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rsidRPr="0059512C">
      <w:pPr>
        <w:jc w:val="center"/>
        <w:rPr>
          <w:b/>
          <w:szCs w:val="22"/>
        </w:rPr>
      </w:pPr>
      <w:bookmarkStart w:id="0" w:name="_Hlk49349293"/>
      <w:bookmarkStart w:id="1" w:name="_GoBack"/>
      <w:bookmarkEnd w:id="1"/>
      <w:r w:rsidRPr="0060706A">
        <w:rPr>
          <w:b/>
          <w:kern w:val="0"/>
        </w:rPr>
        <w:t>Before</w:t>
      </w:r>
      <w:r w:rsidRPr="0059512C">
        <w:rPr>
          <w:b/>
          <w:szCs w:val="22"/>
        </w:rPr>
        <w:t xml:space="preserve"> the</w:t>
      </w:r>
    </w:p>
    <w:p w:rsidR="00921803" w:rsidRPr="0060706A" w:rsidP="00921803">
      <w:pPr>
        <w:pStyle w:val="StyleBoldCentered"/>
        <w:rPr>
          <w:rFonts w:ascii="Times New Roman" w:hAnsi="Times New Roman"/>
        </w:rPr>
      </w:pPr>
      <w:r w:rsidRPr="0060706A">
        <w:rPr>
          <w:rFonts w:ascii="Times New Roman" w:hAnsi="Times New Roman"/>
        </w:rPr>
        <w:t>F</w:t>
      </w:r>
      <w:r w:rsidRPr="0060706A">
        <w:rPr>
          <w:rFonts w:ascii="Times New Roman" w:hAnsi="Times New Roman"/>
          <w:caps w:val="0"/>
        </w:rPr>
        <w:t>ederal Communications Commission</w:t>
      </w:r>
    </w:p>
    <w:p w:rsidR="004C2EE3" w:rsidRPr="0060706A" w:rsidP="00096D8C">
      <w:pPr>
        <w:pStyle w:val="StyleBoldCentered"/>
        <w:rPr>
          <w:rFonts w:ascii="Times New Roman" w:hAnsi="Times New Roman"/>
        </w:rPr>
      </w:pPr>
      <w:r w:rsidRPr="0060706A">
        <w:rPr>
          <w:rFonts w:ascii="Times New Roman" w:hAnsi="Times New Roman"/>
          <w:caps w:val="0"/>
        </w:rPr>
        <w:t>Washington, DC 20554</w:t>
      </w:r>
    </w:p>
    <w:p w:rsidR="004C2EE3" w:rsidRPr="0059512C" w:rsidP="0070224F">
      <w:pPr>
        <w:rPr>
          <w:szCs w:val="22"/>
        </w:rPr>
      </w:pPr>
    </w:p>
    <w:p w:rsidR="004C2EE3" w:rsidRPr="0059512C" w:rsidP="0070224F">
      <w:pPr>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59512C">
            <w:pPr>
              <w:tabs>
                <w:tab w:val="center" w:pos="4680"/>
              </w:tabs>
              <w:suppressAutoHyphens/>
              <w:rPr>
                <w:spacing w:val="-2"/>
                <w:szCs w:val="22"/>
              </w:rPr>
            </w:pPr>
            <w:r w:rsidRPr="0059512C">
              <w:rPr>
                <w:spacing w:val="-2"/>
                <w:szCs w:val="22"/>
              </w:rPr>
              <w:t>In the Matter of</w:t>
            </w:r>
          </w:p>
          <w:p w:rsidR="004C2EE3" w:rsidRPr="0059512C">
            <w:pPr>
              <w:tabs>
                <w:tab w:val="center" w:pos="4680"/>
              </w:tabs>
              <w:suppressAutoHyphens/>
              <w:rPr>
                <w:spacing w:val="-2"/>
                <w:szCs w:val="22"/>
              </w:rPr>
            </w:pPr>
          </w:p>
          <w:p w:rsidR="000A0408" w:rsidRPr="0059512C" w:rsidP="007115F7">
            <w:pPr>
              <w:tabs>
                <w:tab w:val="center" w:pos="4680"/>
              </w:tabs>
              <w:suppressAutoHyphens/>
              <w:rPr>
                <w:spacing w:val="-2"/>
                <w:szCs w:val="22"/>
              </w:rPr>
            </w:pPr>
            <w:r w:rsidRPr="0059512C">
              <w:rPr>
                <w:spacing w:val="-2"/>
                <w:szCs w:val="22"/>
              </w:rPr>
              <w:t>Amendment of the Schedule of Application Fees</w:t>
            </w:r>
            <w:r w:rsidRPr="0059512C" w:rsidR="00CA09EB">
              <w:rPr>
                <w:spacing w:val="-2"/>
                <w:szCs w:val="22"/>
              </w:rPr>
              <w:t xml:space="preserve"> Set Forth in Sections 1.1102 through 1.1109 of the Commission’s Rules</w:t>
            </w:r>
          </w:p>
          <w:p w:rsidR="000A0408" w:rsidRPr="0059512C" w:rsidP="007115F7">
            <w:pPr>
              <w:tabs>
                <w:tab w:val="center" w:pos="4680"/>
              </w:tabs>
              <w:suppressAutoHyphens/>
              <w:rPr>
                <w:spacing w:val="-2"/>
                <w:szCs w:val="22"/>
              </w:rPr>
            </w:pPr>
          </w:p>
        </w:tc>
        <w:tc>
          <w:tcPr>
            <w:tcW w:w="630" w:type="dxa"/>
          </w:tcPr>
          <w:p w:rsidR="004C2EE3" w:rsidRPr="0059512C">
            <w:pPr>
              <w:tabs>
                <w:tab w:val="center" w:pos="4680"/>
              </w:tabs>
              <w:suppressAutoHyphens/>
              <w:rPr>
                <w:b/>
                <w:spacing w:val="-2"/>
                <w:szCs w:val="22"/>
              </w:rPr>
            </w:pPr>
            <w:r w:rsidRPr="0059512C">
              <w:rPr>
                <w:b/>
                <w:spacing w:val="-2"/>
                <w:szCs w:val="22"/>
              </w:rPr>
              <w:t>)</w:t>
            </w:r>
          </w:p>
          <w:p w:rsidR="004C2EE3" w:rsidRPr="0059512C">
            <w:pPr>
              <w:tabs>
                <w:tab w:val="center" w:pos="4680"/>
              </w:tabs>
              <w:suppressAutoHyphens/>
              <w:rPr>
                <w:b/>
                <w:spacing w:val="-2"/>
                <w:szCs w:val="22"/>
              </w:rPr>
            </w:pPr>
            <w:r w:rsidRPr="0059512C">
              <w:rPr>
                <w:b/>
                <w:spacing w:val="-2"/>
                <w:szCs w:val="22"/>
              </w:rPr>
              <w:t>)</w:t>
            </w:r>
          </w:p>
          <w:p w:rsidR="004C2EE3" w:rsidRPr="0059512C">
            <w:pPr>
              <w:tabs>
                <w:tab w:val="center" w:pos="4680"/>
              </w:tabs>
              <w:suppressAutoHyphens/>
              <w:rPr>
                <w:b/>
                <w:spacing w:val="-2"/>
                <w:szCs w:val="22"/>
              </w:rPr>
            </w:pPr>
            <w:r w:rsidRPr="0059512C">
              <w:rPr>
                <w:b/>
                <w:spacing w:val="-2"/>
                <w:szCs w:val="22"/>
              </w:rPr>
              <w:t>)</w:t>
            </w:r>
          </w:p>
          <w:p w:rsidR="004C2EE3" w:rsidRPr="0059512C">
            <w:pPr>
              <w:tabs>
                <w:tab w:val="center" w:pos="4680"/>
              </w:tabs>
              <w:suppressAutoHyphens/>
              <w:rPr>
                <w:b/>
                <w:spacing w:val="-2"/>
                <w:szCs w:val="22"/>
              </w:rPr>
            </w:pPr>
            <w:r w:rsidRPr="0059512C">
              <w:rPr>
                <w:b/>
                <w:spacing w:val="-2"/>
                <w:szCs w:val="22"/>
              </w:rPr>
              <w:t>)</w:t>
            </w:r>
          </w:p>
          <w:p w:rsidR="000A0408" w:rsidRPr="0059512C">
            <w:pPr>
              <w:tabs>
                <w:tab w:val="center" w:pos="4680"/>
              </w:tabs>
              <w:suppressAutoHyphens/>
              <w:rPr>
                <w:spacing w:val="-2"/>
                <w:szCs w:val="22"/>
              </w:rPr>
            </w:pPr>
            <w:r w:rsidRPr="00B13758">
              <w:rPr>
                <w:b/>
                <w:spacing w:val="-2"/>
              </w:rPr>
              <w:t>)</w:t>
            </w:r>
          </w:p>
          <w:p w:rsidR="000A0408" w:rsidRPr="0059512C">
            <w:pPr>
              <w:tabs>
                <w:tab w:val="center" w:pos="4680"/>
              </w:tabs>
              <w:suppressAutoHyphens/>
              <w:rPr>
                <w:spacing w:val="-2"/>
                <w:szCs w:val="22"/>
              </w:rPr>
            </w:pPr>
          </w:p>
        </w:tc>
        <w:tc>
          <w:tcPr>
            <w:tcW w:w="4248" w:type="dxa"/>
          </w:tcPr>
          <w:p w:rsidR="004C2EE3" w:rsidRPr="0059512C">
            <w:pPr>
              <w:tabs>
                <w:tab w:val="center" w:pos="4680"/>
              </w:tabs>
              <w:suppressAutoHyphens/>
              <w:rPr>
                <w:spacing w:val="-2"/>
                <w:szCs w:val="22"/>
              </w:rPr>
            </w:pPr>
          </w:p>
          <w:p w:rsidR="004C2EE3" w:rsidRPr="0059512C">
            <w:pPr>
              <w:pStyle w:val="TOAHeading"/>
              <w:tabs>
                <w:tab w:val="center" w:pos="4680"/>
                <w:tab w:val="clear" w:pos="9360"/>
              </w:tabs>
              <w:rPr>
                <w:spacing w:val="-2"/>
                <w:szCs w:val="22"/>
              </w:rPr>
            </w:pPr>
          </w:p>
          <w:p w:rsidR="004C2EE3" w:rsidRPr="0059512C">
            <w:pPr>
              <w:tabs>
                <w:tab w:val="center" w:pos="4680"/>
              </w:tabs>
              <w:suppressAutoHyphens/>
              <w:rPr>
                <w:spacing w:val="-2"/>
                <w:szCs w:val="22"/>
              </w:rPr>
            </w:pPr>
            <w:r>
              <w:rPr>
                <w:spacing w:val="-2"/>
                <w:szCs w:val="22"/>
              </w:rPr>
              <w:t xml:space="preserve">MD Docket No. </w:t>
            </w:r>
            <w:r>
              <w:t>20-270</w:t>
            </w:r>
          </w:p>
          <w:p w:rsidR="000A0408" w:rsidRPr="0059512C">
            <w:pPr>
              <w:tabs>
                <w:tab w:val="center" w:pos="4680"/>
              </w:tabs>
              <w:suppressAutoHyphens/>
              <w:rPr>
                <w:spacing w:val="-2"/>
                <w:szCs w:val="22"/>
              </w:rPr>
            </w:pPr>
          </w:p>
          <w:p w:rsidR="000A0408" w:rsidRPr="0059512C">
            <w:pPr>
              <w:tabs>
                <w:tab w:val="center" w:pos="4680"/>
              </w:tabs>
              <w:suppressAutoHyphens/>
              <w:rPr>
                <w:spacing w:val="-2"/>
                <w:szCs w:val="22"/>
              </w:rPr>
            </w:pPr>
          </w:p>
          <w:p w:rsidR="000A0408" w:rsidRPr="0059512C">
            <w:pPr>
              <w:tabs>
                <w:tab w:val="center" w:pos="4680"/>
              </w:tabs>
              <w:suppressAutoHyphens/>
              <w:rPr>
                <w:spacing w:val="-2"/>
                <w:szCs w:val="22"/>
              </w:rPr>
            </w:pPr>
          </w:p>
        </w:tc>
      </w:tr>
    </w:tbl>
    <w:p w:rsidR="004C2EE3" w:rsidRPr="0059512C" w:rsidP="0070224F">
      <w:pPr>
        <w:rPr>
          <w:szCs w:val="22"/>
        </w:rPr>
      </w:pPr>
    </w:p>
    <w:p w:rsidR="00841AB1" w:rsidRPr="0060706A" w:rsidP="00F021FA">
      <w:pPr>
        <w:pStyle w:val="StyleBoldCentered"/>
        <w:rPr>
          <w:rFonts w:ascii="Times New Roman" w:hAnsi="Times New Roman"/>
        </w:rPr>
      </w:pPr>
      <w:r w:rsidRPr="0060706A">
        <w:rPr>
          <w:rFonts w:ascii="Times New Roman" w:hAnsi="Times New Roman"/>
        </w:rPr>
        <w:t>notice of proposed rulemaking</w:t>
      </w:r>
    </w:p>
    <w:p w:rsidR="004C2EE3" w:rsidRPr="0059512C">
      <w:pPr>
        <w:tabs>
          <w:tab w:val="left" w:pos="-720"/>
        </w:tabs>
        <w:suppressAutoHyphens/>
        <w:spacing w:line="227" w:lineRule="auto"/>
        <w:rPr>
          <w:spacing w:val="-2"/>
          <w:szCs w:val="22"/>
        </w:rPr>
      </w:pPr>
    </w:p>
    <w:p w:rsidR="004C2EE3" w:rsidRPr="0059512C" w:rsidP="00133F79">
      <w:pPr>
        <w:tabs>
          <w:tab w:val="left" w:pos="720"/>
          <w:tab w:val="right" w:pos="9360"/>
        </w:tabs>
        <w:suppressAutoHyphens/>
        <w:spacing w:line="227" w:lineRule="auto"/>
        <w:rPr>
          <w:b/>
          <w:spacing w:val="-2"/>
          <w:szCs w:val="22"/>
        </w:rPr>
      </w:pPr>
      <w:r w:rsidRPr="0059512C">
        <w:rPr>
          <w:b/>
          <w:spacing w:val="-2"/>
          <w:szCs w:val="22"/>
        </w:rPr>
        <w:t>Adopted:</w:t>
      </w:r>
      <w:r w:rsidRPr="002E221B">
        <w:rPr>
          <w:b/>
          <w:spacing w:val="-2"/>
          <w:szCs w:val="22"/>
        </w:rPr>
        <w:t xml:space="preserve">  </w:t>
      </w:r>
      <w:r w:rsidRPr="002E221B" w:rsidR="002E221B">
        <w:rPr>
          <w:b/>
          <w:spacing w:val="-2"/>
          <w:szCs w:val="22"/>
        </w:rPr>
        <w:t xml:space="preserve">August </w:t>
      </w:r>
      <w:r w:rsidR="002E221B">
        <w:rPr>
          <w:b/>
          <w:spacing w:val="-2"/>
          <w:szCs w:val="22"/>
        </w:rPr>
        <w:t>12</w:t>
      </w:r>
      <w:r w:rsidRPr="002E221B" w:rsidR="002E221B">
        <w:rPr>
          <w:b/>
          <w:spacing w:val="-2"/>
          <w:szCs w:val="22"/>
        </w:rPr>
        <w:t>, 2020</w:t>
      </w:r>
      <w:r w:rsidRPr="0059512C">
        <w:rPr>
          <w:b/>
          <w:spacing w:val="-2"/>
          <w:szCs w:val="22"/>
        </w:rPr>
        <w:tab/>
      </w:r>
      <w:r w:rsidRPr="0059512C" w:rsidR="00822CE0">
        <w:rPr>
          <w:b/>
          <w:spacing w:val="-2"/>
          <w:szCs w:val="22"/>
        </w:rPr>
        <w:t>Released</w:t>
      </w:r>
      <w:r w:rsidRPr="0059512C">
        <w:rPr>
          <w:b/>
          <w:spacing w:val="-2"/>
          <w:szCs w:val="22"/>
        </w:rPr>
        <w:t>:</w:t>
      </w:r>
      <w:r w:rsidRPr="0059512C" w:rsidR="00822CE0">
        <w:rPr>
          <w:b/>
          <w:spacing w:val="-2"/>
          <w:szCs w:val="22"/>
        </w:rPr>
        <w:t xml:space="preserve"> </w:t>
      </w:r>
      <w:r w:rsidRPr="0059512C">
        <w:rPr>
          <w:b/>
          <w:spacing w:val="-2"/>
          <w:szCs w:val="22"/>
        </w:rPr>
        <w:t xml:space="preserve"> </w:t>
      </w:r>
      <w:r w:rsidR="002E221B">
        <w:rPr>
          <w:b/>
          <w:spacing w:val="-2"/>
          <w:szCs w:val="22"/>
        </w:rPr>
        <w:t>August 2</w:t>
      </w:r>
      <w:r w:rsidR="001853C6">
        <w:rPr>
          <w:b/>
          <w:spacing w:val="-2"/>
          <w:szCs w:val="22"/>
        </w:rPr>
        <w:t>6</w:t>
      </w:r>
      <w:r w:rsidR="002E221B">
        <w:rPr>
          <w:b/>
          <w:spacing w:val="-2"/>
          <w:szCs w:val="22"/>
        </w:rPr>
        <w:t>, 2020</w:t>
      </w:r>
    </w:p>
    <w:p w:rsidR="002146DF" w:rsidRPr="0059512C" w:rsidP="00133F79">
      <w:pPr>
        <w:tabs>
          <w:tab w:val="left" w:pos="720"/>
          <w:tab w:val="right" w:pos="9360"/>
        </w:tabs>
        <w:suppressAutoHyphens/>
        <w:spacing w:line="227" w:lineRule="auto"/>
        <w:rPr>
          <w:b/>
          <w:spacing w:val="-2"/>
          <w:szCs w:val="22"/>
        </w:rPr>
      </w:pPr>
    </w:p>
    <w:p w:rsidR="002146DF" w:rsidRPr="001853C6" w:rsidP="00B13758">
      <w:pPr>
        <w:tabs>
          <w:tab w:val="left" w:pos="2160"/>
        </w:tabs>
        <w:suppressAutoHyphens/>
        <w:spacing w:line="227" w:lineRule="auto"/>
        <w:rPr>
          <w:b/>
          <w:bCs/>
          <w:spacing w:val="-2"/>
          <w:szCs w:val="22"/>
        </w:rPr>
      </w:pPr>
      <w:r w:rsidRPr="001853C6">
        <w:rPr>
          <w:b/>
          <w:bCs/>
          <w:spacing w:val="-2"/>
          <w:szCs w:val="22"/>
        </w:rPr>
        <w:t>Comments Due</w:t>
      </w:r>
      <w:r w:rsidRPr="001853C6" w:rsidR="00661179">
        <w:rPr>
          <w:b/>
          <w:bCs/>
          <w:spacing w:val="-2"/>
          <w:szCs w:val="22"/>
        </w:rPr>
        <w:t>:</w:t>
      </w:r>
      <w:r w:rsidRPr="001853C6" w:rsidR="001853C6">
        <w:rPr>
          <w:b/>
          <w:bCs/>
          <w:spacing w:val="-2"/>
          <w:szCs w:val="22"/>
        </w:rPr>
        <w:t xml:space="preserve"> </w:t>
      </w:r>
      <w:r w:rsidR="00D22E2B">
        <w:rPr>
          <w:b/>
          <w:bCs/>
          <w:spacing w:val="-2"/>
          <w:szCs w:val="22"/>
        </w:rPr>
        <w:t xml:space="preserve"> </w:t>
      </w:r>
      <w:r w:rsidRPr="001853C6">
        <w:rPr>
          <w:b/>
          <w:bCs/>
          <w:spacing w:val="-2"/>
          <w:szCs w:val="22"/>
        </w:rPr>
        <w:t xml:space="preserve">30 days after Federal Register </w:t>
      </w:r>
      <w:r w:rsidRPr="001853C6">
        <w:rPr>
          <w:b/>
          <w:bCs/>
          <w:spacing w:val="-2"/>
          <w:szCs w:val="22"/>
        </w:rPr>
        <w:t>publication</w:t>
      </w:r>
    </w:p>
    <w:p w:rsidR="002146DF" w:rsidRPr="001853C6" w:rsidP="00B13758">
      <w:pPr>
        <w:tabs>
          <w:tab w:val="left" w:pos="2160"/>
          <w:tab w:val="right" w:pos="9360"/>
        </w:tabs>
        <w:suppressAutoHyphens/>
        <w:spacing w:line="227" w:lineRule="auto"/>
        <w:rPr>
          <w:b/>
          <w:bCs/>
          <w:spacing w:val="-2"/>
          <w:szCs w:val="22"/>
        </w:rPr>
      </w:pPr>
      <w:r w:rsidRPr="001853C6">
        <w:rPr>
          <w:b/>
          <w:bCs/>
          <w:spacing w:val="-2"/>
          <w:szCs w:val="22"/>
        </w:rPr>
        <w:t>Reply Comments Due:</w:t>
      </w:r>
      <w:r w:rsidRPr="001853C6" w:rsidR="001853C6">
        <w:rPr>
          <w:b/>
          <w:bCs/>
          <w:spacing w:val="-2"/>
          <w:szCs w:val="22"/>
        </w:rPr>
        <w:t xml:space="preserve"> </w:t>
      </w:r>
      <w:r w:rsidR="00D22E2B">
        <w:rPr>
          <w:b/>
          <w:bCs/>
          <w:spacing w:val="-2"/>
          <w:szCs w:val="22"/>
        </w:rPr>
        <w:t xml:space="preserve"> </w:t>
      </w:r>
      <w:r w:rsidRPr="001853C6">
        <w:rPr>
          <w:b/>
          <w:bCs/>
          <w:spacing w:val="-2"/>
          <w:szCs w:val="22"/>
        </w:rPr>
        <w:t>45 days after Federal Register publication</w:t>
      </w:r>
    </w:p>
    <w:p w:rsidR="00822CE0" w:rsidRPr="0059512C">
      <w:pPr>
        <w:rPr>
          <w:szCs w:val="22"/>
        </w:rPr>
      </w:pPr>
    </w:p>
    <w:p w:rsidR="00A03D56" w:rsidRPr="0059512C">
      <w:pPr>
        <w:rPr>
          <w:szCs w:val="22"/>
        </w:rPr>
      </w:pPr>
      <w:r w:rsidRPr="0059512C">
        <w:rPr>
          <w:szCs w:val="22"/>
        </w:rPr>
        <w:t xml:space="preserve">By </w:t>
      </w:r>
      <w:r w:rsidRPr="0059512C" w:rsidR="004E4A22">
        <w:rPr>
          <w:szCs w:val="22"/>
        </w:rPr>
        <w:t>the</w:t>
      </w:r>
      <w:r w:rsidRPr="0059512C" w:rsidR="002A2D2E">
        <w:rPr>
          <w:szCs w:val="22"/>
        </w:rPr>
        <w:t xml:space="preserve"> </w:t>
      </w:r>
      <w:r w:rsidRPr="0059512C" w:rsidR="000A1DF9">
        <w:rPr>
          <w:spacing w:val="-2"/>
          <w:szCs w:val="22"/>
        </w:rPr>
        <w:t>Commission:</w:t>
      </w:r>
      <w:r w:rsidR="002E221B">
        <w:rPr>
          <w:spacing w:val="-2"/>
          <w:szCs w:val="22"/>
        </w:rPr>
        <w:t xml:space="preserve">  </w:t>
      </w:r>
      <w:r w:rsidR="001853C6">
        <w:rPr>
          <w:spacing w:val="-2"/>
          <w:szCs w:val="22"/>
        </w:rPr>
        <w:t xml:space="preserve">Chairman Pai issuing a </w:t>
      </w:r>
      <w:r w:rsidR="003B7CB5">
        <w:rPr>
          <w:spacing w:val="-2"/>
          <w:szCs w:val="22"/>
        </w:rPr>
        <w:t xml:space="preserve">separate </w:t>
      </w:r>
      <w:r w:rsidR="001853C6">
        <w:rPr>
          <w:spacing w:val="-2"/>
          <w:szCs w:val="22"/>
        </w:rPr>
        <w:t xml:space="preserve">statement; </w:t>
      </w:r>
      <w:r w:rsidR="002E221B">
        <w:t xml:space="preserve">Commissioner Rosenworcel approving in part, dissenting in part, and issuing a </w:t>
      </w:r>
      <w:r w:rsidR="003B7CB5">
        <w:t xml:space="preserve">separate </w:t>
      </w:r>
      <w:r w:rsidR="002E221B">
        <w:t xml:space="preserve">statement; </w:t>
      </w:r>
      <w:r w:rsidR="002E221B">
        <w:rPr>
          <w:spacing w:val="-2"/>
          <w:szCs w:val="22"/>
        </w:rPr>
        <w:t xml:space="preserve">Commissioner Starks </w:t>
      </w:r>
      <w:r w:rsidR="002E221B">
        <w:t>approving in part, dissenting in part.</w:t>
      </w:r>
    </w:p>
    <w:p w:rsidR="00E13D71" w:rsidP="00F76E33">
      <w:pPr>
        <w:pStyle w:val="TOCTitle"/>
      </w:pPr>
      <w:bookmarkStart w:id="2" w:name="TOChere"/>
      <w:bookmarkStart w:id="3" w:name="_Toc16611308"/>
      <w:bookmarkStart w:id="4" w:name="_Toc17709339"/>
      <w:bookmarkStart w:id="5" w:name="_Toc17972518"/>
      <w:bookmarkStart w:id="6" w:name="_Toc18066895"/>
      <w:bookmarkStart w:id="7" w:name="_Toc18939756"/>
      <w:bookmarkStart w:id="8" w:name="_Toc19795056"/>
      <w:bookmarkStart w:id="9" w:name="_Toc19796421"/>
      <w:bookmarkStart w:id="10" w:name="_Toc19796778"/>
      <w:bookmarkStart w:id="11" w:name="_Toc22299855"/>
      <w:bookmarkStart w:id="12" w:name="_Toc24453207"/>
      <w:bookmarkStart w:id="13" w:name="_Toc28005072"/>
      <w:bookmarkStart w:id="14" w:name="_Toc29557372"/>
      <w:r>
        <w:t>Table of Contents</w:t>
      </w:r>
    </w:p>
    <w:p w:rsidR="00F76E33" w:rsidP="00F76E33">
      <w:pPr>
        <w:pStyle w:val="Paratitle"/>
      </w:pPr>
      <w:r>
        <w:t>Heading</w:t>
      </w:r>
      <w:r>
        <w:tab/>
        <w:t>Paragraph #</w:t>
      </w:r>
      <w:bookmarkStart w:id="15" w:name="start_here"/>
      <w:bookmarkEnd w:id="15"/>
    </w:p>
    <w:p w:rsidR="00F76E33" w:rsidP="00F76E33">
      <w:pPr>
        <w:pStyle w:val="TOC1"/>
        <w:rPr>
          <w:rFonts w:asciiTheme="minorHAnsi" w:eastAsiaTheme="minorEastAsia" w:hAnsiTheme="minorHAnsi" w:cstheme="minorBidi"/>
          <w:caps w:val="0"/>
          <w:snapToGrid/>
          <w:kern w:val="0"/>
          <w:szCs w:val="22"/>
        </w:rPr>
      </w:pPr>
      <w:r w:rsidRPr="00533B36">
        <w:t>I.</w:t>
      </w:r>
      <w:r>
        <w:rPr>
          <w:rFonts w:asciiTheme="minorHAnsi" w:eastAsiaTheme="minorEastAsia" w:hAnsiTheme="minorHAnsi" w:cstheme="minorBidi"/>
          <w:caps w:val="0"/>
          <w:snapToGrid/>
          <w:kern w:val="0"/>
          <w:szCs w:val="22"/>
        </w:rPr>
        <w:tab/>
      </w:r>
      <w:r w:rsidRPr="00533B36">
        <w:rPr>
          <w:rFonts w:eastAsiaTheme="minorEastAsia"/>
          <w:snapToGrid/>
          <w:kern w:val="0"/>
        </w:rPr>
        <w:t>I</w:t>
      </w:r>
      <w:r w:rsidRPr="00533B36">
        <w:t>ntroduction</w:t>
      </w:r>
      <w:r>
        <w:tab/>
        <w:t>1</w:t>
      </w:r>
    </w:p>
    <w:p w:rsidR="00F76E33" w:rsidP="00F76E33">
      <w:pPr>
        <w:pStyle w:val="TOC1"/>
        <w:rPr>
          <w:rFonts w:asciiTheme="minorHAnsi" w:eastAsiaTheme="minorEastAsia" w:hAnsiTheme="minorHAnsi" w:cstheme="minorBidi"/>
          <w:caps w:val="0"/>
          <w:snapToGrid/>
          <w:kern w:val="0"/>
          <w:szCs w:val="22"/>
        </w:rPr>
      </w:pPr>
      <w:r w:rsidRPr="00533B36">
        <w:t>II.</w:t>
      </w:r>
      <w:r>
        <w:rPr>
          <w:rFonts w:asciiTheme="minorHAnsi" w:eastAsiaTheme="minorEastAsia" w:hAnsiTheme="minorHAnsi" w:cstheme="minorBidi"/>
          <w:caps w:val="0"/>
          <w:snapToGrid/>
          <w:kern w:val="0"/>
          <w:szCs w:val="22"/>
        </w:rPr>
        <w:tab/>
      </w:r>
      <w:r w:rsidRPr="00533B36">
        <w:t>background</w:t>
      </w:r>
      <w:r>
        <w:tab/>
        <w:t>3</w:t>
      </w:r>
    </w:p>
    <w:p w:rsidR="00F76E33" w:rsidP="00F76E33">
      <w:pPr>
        <w:pStyle w:val="TOC1"/>
        <w:rPr>
          <w:rFonts w:asciiTheme="minorHAnsi" w:eastAsiaTheme="minorEastAsia" w:hAnsiTheme="minorHAnsi" w:cstheme="minorBidi"/>
          <w:caps w:val="0"/>
          <w:snapToGrid/>
          <w:kern w:val="0"/>
          <w:szCs w:val="22"/>
        </w:rPr>
      </w:pPr>
      <w:r w:rsidRPr="00533B36">
        <w:t>III.</w:t>
      </w:r>
      <w:r>
        <w:rPr>
          <w:rFonts w:asciiTheme="minorHAnsi" w:eastAsiaTheme="minorEastAsia" w:hAnsiTheme="minorHAnsi" w:cstheme="minorBidi"/>
          <w:caps w:val="0"/>
          <w:snapToGrid/>
          <w:kern w:val="0"/>
          <w:szCs w:val="22"/>
        </w:rPr>
        <w:tab/>
      </w:r>
      <w:r w:rsidRPr="00533B36">
        <w:t>discussion</w:t>
      </w:r>
      <w:r>
        <w:tab/>
        <w:t>8</w:t>
      </w:r>
    </w:p>
    <w:p w:rsidR="00F76E33" w:rsidP="00F76E3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 xml:space="preserve">A </w:t>
      </w:r>
      <w:r>
        <w:t>Streamlined Application Fee Schedule</w:t>
      </w:r>
      <w:r>
        <w:tab/>
        <w:t>10</w:t>
      </w:r>
    </w:p>
    <w:p w:rsidR="00F76E33" w:rsidP="00F76E3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Wireless Licensing Fees</w:t>
      </w:r>
      <w:r>
        <w:tab/>
        <w:t>12</w:t>
      </w:r>
    </w:p>
    <w:p w:rsidR="00F76E33" w:rsidP="00F76E33">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Media Service Fees</w:t>
      </w:r>
      <w:r>
        <w:tab/>
        <w:t>50</w:t>
      </w:r>
    </w:p>
    <w:p w:rsidR="00F76E33" w:rsidP="00F76E33">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Equipment Approval Fees</w:t>
      </w:r>
      <w:r>
        <w:tab/>
        <w:t>98</w:t>
      </w:r>
    </w:p>
    <w:p w:rsidR="00F76E33" w:rsidP="00F76E33">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Domestic Service Fees</w:t>
      </w:r>
      <w:r>
        <w:tab/>
        <w:t>102</w:t>
      </w:r>
    </w:p>
    <w:p w:rsidR="00F76E33" w:rsidP="00F76E33">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International Service Fees</w:t>
      </w:r>
      <w:r>
        <w:tab/>
        <w:t>136</w:t>
      </w:r>
    </w:p>
    <w:p w:rsidR="00F76E33" w:rsidP="00F76E3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Exemptions</w:t>
      </w:r>
      <w:r>
        <w:tab/>
        <w:t>220</w:t>
      </w:r>
    </w:p>
    <w:p w:rsidR="00F76E33" w:rsidP="00F76E33">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Large and Small Application Fees</w:t>
      </w:r>
      <w:r>
        <w:tab/>
        <w:t>225</w:t>
      </w:r>
    </w:p>
    <w:p w:rsidR="00F76E33" w:rsidP="00F76E3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Framework for Section 8 Fees</w:t>
      </w:r>
      <w:r>
        <w:tab/>
        <w:t>228</w:t>
      </w:r>
    </w:p>
    <w:p w:rsidR="00F76E33" w:rsidP="00F76E33">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Restatement of Certain Rules Fundamental to Waiver, Enforcement, and Collection of Application Fees</w:t>
      </w:r>
      <w:r>
        <w:tab/>
        <w:t>238</w:t>
      </w:r>
    </w:p>
    <w:p w:rsidR="00F76E33" w:rsidP="00F76E33">
      <w:pPr>
        <w:pStyle w:val="TOC1"/>
        <w:rPr>
          <w:rFonts w:asciiTheme="minorHAnsi" w:eastAsiaTheme="minorEastAsia" w:hAnsiTheme="minorHAnsi" w:cstheme="minorBidi"/>
          <w:caps w:val="0"/>
          <w:snapToGrid/>
          <w:kern w:val="0"/>
          <w:szCs w:val="22"/>
        </w:rPr>
      </w:pPr>
      <w:r w:rsidRPr="00533B36">
        <w:t>IV.</w:t>
      </w:r>
      <w:r>
        <w:rPr>
          <w:rFonts w:asciiTheme="minorHAnsi" w:eastAsiaTheme="minorEastAsia" w:hAnsiTheme="minorHAnsi" w:cstheme="minorBidi"/>
          <w:caps w:val="0"/>
          <w:snapToGrid/>
          <w:kern w:val="0"/>
          <w:szCs w:val="22"/>
        </w:rPr>
        <w:tab/>
      </w:r>
      <w:r w:rsidRPr="00533B36">
        <w:t>procedural matters</w:t>
      </w:r>
      <w:r>
        <w:tab/>
        <w:t>241</w:t>
      </w:r>
    </w:p>
    <w:p w:rsidR="00F76E33" w:rsidP="00F76E33">
      <w:pPr>
        <w:pStyle w:val="TOC1"/>
        <w:rPr>
          <w:rFonts w:asciiTheme="minorHAnsi" w:eastAsiaTheme="minorEastAsia" w:hAnsiTheme="minorHAnsi" w:cstheme="minorBidi"/>
          <w:caps w:val="0"/>
          <w:snapToGrid/>
          <w:kern w:val="0"/>
          <w:szCs w:val="22"/>
        </w:rPr>
      </w:pPr>
      <w:r w:rsidRPr="00533B36">
        <w:t>V.</w:t>
      </w:r>
      <w:r>
        <w:rPr>
          <w:rFonts w:asciiTheme="minorHAnsi" w:eastAsiaTheme="minorEastAsia" w:hAnsiTheme="minorHAnsi" w:cstheme="minorBidi"/>
          <w:caps w:val="0"/>
          <w:snapToGrid/>
          <w:kern w:val="0"/>
          <w:szCs w:val="22"/>
        </w:rPr>
        <w:tab/>
      </w:r>
      <w:r w:rsidRPr="00533B36">
        <w:t>Ordering clauses</w:t>
      </w:r>
      <w:r>
        <w:tab/>
        <w:t>245</w:t>
      </w:r>
    </w:p>
    <w:p w:rsidR="00F76E33" w:rsidP="00F76E33">
      <w:pPr>
        <w:pStyle w:val="TOC2"/>
        <w:tabs>
          <w:tab w:val="left" w:pos="360"/>
        </w:tabs>
        <w:ind w:left="0" w:firstLine="0"/>
      </w:pPr>
      <w:r>
        <w:t>APPENDIX A—Proposed Rules</w:t>
      </w:r>
    </w:p>
    <w:p w:rsidR="00F76E33" w:rsidP="00F76E33">
      <w:pPr>
        <w:rPr>
          <w:rFonts w:eastAsiaTheme="minorEastAsia"/>
        </w:rPr>
      </w:pPr>
      <w:r>
        <w:rPr>
          <w:rFonts w:eastAsiaTheme="minorEastAsia"/>
        </w:rPr>
        <w:t>APPENDIX B—Initial Regulatory Flexibili</w:t>
      </w:r>
      <w:r>
        <w:rPr>
          <w:rFonts w:eastAsiaTheme="minorEastAsia"/>
        </w:rPr>
        <w:t>ty Analysis</w:t>
      </w:r>
    </w:p>
    <w:p w:rsidR="00F76E33" w:rsidRPr="00F76E33" w:rsidP="00F76E33">
      <w:pPr>
        <w:rPr>
          <w:rFonts w:eastAsiaTheme="minorEastAsia"/>
        </w:rPr>
      </w:pPr>
      <w:r>
        <w:rPr>
          <w:rFonts w:eastAsiaTheme="minorEastAsia"/>
        </w:rPr>
        <w:t>APPENDIX C—Wireless Radio Service Codes</w:t>
      </w:r>
    </w:p>
    <w:bookmarkEnd w:id="2"/>
    <w:p w:rsidR="00F76E33" w:rsidRPr="0059512C" w:rsidP="00AB37E9">
      <w:pPr>
        <w:pStyle w:val="ParaNum"/>
        <w:numPr>
          <w:ilvl w:val="0"/>
          <w:numId w:val="0"/>
        </w:numPr>
        <w:ind w:firstLine="720"/>
        <w:rPr>
          <w:szCs w:val="22"/>
        </w:rPr>
      </w:pPr>
    </w:p>
    <w:p w:rsidR="002C00E8" w:rsidRPr="0060706A" w:rsidP="00E50789">
      <w:pPr>
        <w:pStyle w:val="Heading1"/>
        <w:rPr>
          <w:rFonts w:ascii="Times New Roman" w:hAnsi="Times New Roman"/>
        </w:rPr>
      </w:pPr>
      <w:bookmarkStart w:id="16" w:name="_Toc30085264"/>
      <w:bookmarkStart w:id="17" w:name="_Toc30085360"/>
      <w:bookmarkStart w:id="18" w:name="_Toc31033126"/>
      <w:bookmarkStart w:id="19" w:name="_Toc31288137"/>
      <w:bookmarkStart w:id="20" w:name="_Toc31980671"/>
      <w:bookmarkStart w:id="21" w:name="_Toc35268554"/>
      <w:bookmarkStart w:id="22" w:name="_Toc42256280"/>
      <w:bookmarkStart w:id="23" w:name="_Toc44581646"/>
      <w:r w:rsidRPr="0059512C">
        <w:rPr>
          <w:rFonts w:ascii="Times New Roman" w:hAnsi="Times New Roman" w:eastAsiaTheme="minorEastAsia"/>
          <w:snapToGrid/>
          <w:kern w:val="0"/>
          <w:szCs w:val="22"/>
        </w:rPr>
        <w:t>I</w:t>
      </w:r>
      <w:r w:rsidRPr="0060706A" w:rsidR="002F74D7">
        <w:rPr>
          <w:rFonts w:ascii="Times New Roman" w:hAnsi="Times New Roman"/>
        </w:rPr>
        <w:t>ntroduction</w:t>
      </w:r>
      <w:bookmarkEnd w:id="3"/>
      <w:bookmarkEnd w:id="4"/>
      <w:bookmarkEnd w:id="5"/>
      <w:bookmarkEnd w:id="6"/>
      <w:bookmarkEnd w:id="7"/>
      <w:bookmarkEnd w:id="8"/>
      <w:bookmarkEnd w:id="9"/>
      <w:bookmarkEnd w:id="10"/>
      <w:bookmarkEnd w:id="11"/>
      <w:bookmarkEnd w:id="12"/>
      <w:bookmarkEnd w:id="13"/>
      <w:bookmarkEnd w:id="14"/>
      <w:bookmarkEnd w:id="16"/>
      <w:bookmarkEnd w:id="17"/>
      <w:bookmarkEnd w:id="18"/>
      <w:bookmarkEnd w:id="19"/>
      <w:bookmarkEnd w:id="20"/>
      <w:bookmarkEnd w:id="21"/>
      <w:bookmarkEnd w:id="22"/>
      <w:bookmarkEnd w:id="23"/>
      <w:r w:rsidRPr="0060706A" w:rsidR="003F1D02">
        <w:rPr>
          <w:rFonts w:ascii="Times New Roman" w:hAnsi="Times New Roman"/>
        </w:rPr>
        <w:t xml:space="preserve"> </w:t>
      </w:r>
    </w:p>
    <w:p w:rsidR="00E513A1" w:rsidRPr="0059512C" w:rsidP="00E513A1">
      <w:pPr>
        <w:pStyle w:val="ParaNum"/>
        <w:rPr>
          <w:bCs/>
          <w:szCs w:val="22"/>
        </w:rPr>
      </w:pPr>
      <w:r w:rsidRPr="0059512C">
        <w:rPr>
          <w:szCs w:val="22"/>
        </w:rPr>
        <w:t>In this Notice of Proposed Rulemaking</w:t>
      </w:r>
      <w:r w:rsidRPr="0059512C" w:rsidR="0012501C">
        <w:rPr>
          <w:szCs w:val="22"/>
        </w:rPr>
        <w:t xml:space="preserve"> (Notice)</w:t>
      </w:r>
      <w:r w:rsidRPr="0059512C">
        <w:rPr>
          <w:szCs w:val="22"/>
        </w:rPr>
        <w:t>, we seek comment on a new application fee schedule</w:t>
      </w:r>
      <w:r w:rsidRPr="0059512C" w:rsidR="00ED322E">
        <w:rPr>
          <w:szCs w:val="22"/>
        </w:rPr>
        <w:t xml:space="preserve"> proposing significant changes to the Commission’s existing fee schedule in both types of applications and other processes covered by the fee requirement and also in the amount of fees proposed.  </w:t>
      </w:r>
      <w:r w:rsidRPr="0059512C" w:rsidR="00C83C06">
        <w:rPr>
          <w:szCs w:val="22"/>
        </w:rPr>
        <w:t>Th</w:t>
      </w:r>
      <w:r w:rsidRPr="0059512C" w:rsidR="002B30E3">
        <w:rPr>
          <w:szCs w:val="22"/>
        </w:rPr>
        <w:t xml:space="preserve">e new fee schedule and proposed </w:t>
      </w:r>
      <w:r w:rsidRPr="0059512C" w:rsidR="00C83C06">
        <w:rPr>
          <w:szCs w:val="22"/>
        </w:rPr>
        <w:t xml:space="preserve">fees </w:t>
      </w:r>
      <w:r w:rsidRPr="0059512C">
        <w:rPr>
          <w:szCs w:val="22"/>
        </w:rPr>
        <w:t>impact</w:t>
      </w:r>
      <w:r w:rsidRPr="0059512C" w:rsidR="00C83C06">
        <w:rPr>
          <w:szCs w:val="22"/>
        </w:rPr>
        <w:t xml:space="preserve"> </w:t>
      </w:r>
      <w:r w:rsidRPr="0059512C">
        <w:rPr>
          <w:szCs w:val="22"/>
        </w:rPr>
        <w:t>stakeholders i</w:t>
      </w:r>
      <w:r w:rsidRPr="0059512C">
        <w:rPr>
          <w:szCs w:val="22"/>
        </w:rPr>
        <w:t>n every industry overseen by</w:t>
      </w:r>
      <w:r w:rsidRPr="0059512C" w:rsidR="00C83C06">
        <w:rPr>
          <w:szCs w:val="22"/>
        </w:rPr>
        <w:t xml:space="preserve"> the Commission.  </w:t>
      </w:r>
      <w:r w:rsidRPr="0059512C">
        <w:rPr>
          <w:szCs w:val="22"/>
        </w:rPr>
        <w:t xml:space="preserve">The </w:t>
      </w:r>
      <w:r w:rsidRPr="0059512C" w:rsidR="00910C08">
        <w:rPr>
          <w:szCs w:val="22"/>
        </w:rPr>
        <w:t xml:space="preserve">new and revised </w:t>
      </w:r>
      <w:r w:rsidRPr="0059512C">
        <w:rPr>
          <w:szCs w:val="22"/>
        </w:rPr>
        <w:t xml:space="preserve">fees </w:t>
      </w:r>
      <w:r w:rsidRPr="0059512C" w:rsidR="00341EE8">
        <w:rPr>
          <w:szCs w:val="22"/>
        </w:rPr>
        <w:t>apply</w:t>
      </w:r>
      <w:r w:rsidRPr="0059512C">
        <w:rPr>
          <w:szCs w:val="22"/>
        </w:rPr>
        <w:t xml:space="preserve"> to</w:t>
      </w:r>
      <w:r w:rsidRPr="0059512C" w:rsidR="00C83C06">
        <w:rPr>
          <w:szCs w:val="22"/>
        </w:rPr>
        <w:t xml:space="preserve"> </w:t>
      </w:r>
      <w:r w:rsidRPr="0059512C" w:rsidR="002B30E3">
        <w:rPr>
          <w:szCs w:val="22"/>
        </w:rPr>
        <w:t xml:space="preserve">a broad spectrum of filings processed by the </w:t>
      </w:r>
      <w:r w:rsidRPr="0059512C" w:rsidR="00CE5C2A">
        <w:rPr>
          <w:szCs w:val="22"/>
        </w:rPr>
        <w:t>Commission</w:t>
      </w:r>
      <w:r w:rsidRPr="0059512C" w:rsidR="002B30E3">
        <w:rPr>
          <w:szCs w:val="22"/>
        </w:rPr>
        <w:t xml:space="preserve"> including </w:t>
      </w:r>
      <w:r w:rsidRPr="0059512C" w:rsidR="00C83C06">
        <w:rPr>
          <w:szCs w:val="22"/>
        </w:rPr>
        <w:t>applications, modifications</w:t>
      </w:r>
      <w:r w:rsidRPr="0059512C" w:rsidR="00264E73">
        <w:rPr>
          <w:szCs w:val="22"/>
        </w:rPr>
        <w:t>,</w:t>
      </w:r>
      <w:r w:rsidRPr="0059512C" w:rsidR="00C83C06">
        <w:rPr>
          <w:szCs w:val="22"/>
        </w:rPr>
        <w:t xml:space="preserve"> and renewals of wireless, television </w:t>
      </w:r>
      <w:r w:rsidR="001B02F0">
        <w:rPr>
          <w:szCs w:val="22"/>
        </w:rPr>
        <w:t xml:space="preserve">and </w:t>
      </w:r>
      <w:r w:rsidRPr="0059512C" w:rsidR="00C83C06">
        <w:rPr>
          <w:szCs w:val="22"/>
        </w:rPr>
        <w:t>satellite licenses</w:t>
      </w:r>
      <w:r w:rsidRPr="0059512C" w:rsidR="00910C08">
        <w:rPr>
          <w:szCs w:val="22"/>
        </w:rPr>
        <w:t>,</w:t>
      </w:r>
      <w:r w:rsidRPr="0059512C" w:rsidR="00C83C06">
        <w:rPr>
          <w:szCs w:val="22"/>
        </w:rPr>
        <w:t xml:space="preserve"> </w:t>
      </w:r>
      <w:r w:rsidRPr="0059512C" w:rsidR="00910C08">
        <w:rPr>
          <w:szCs w:val="22"/>
        </w:rPr>
        <w:t xml:space="preserve">applications to participate in auctions </w:t>
      </w:r>
      <w:r w:rsidRPr="0059512C" w:rsidR="00C83C06">
        <w:rPr>
          <w:szCs w:val="22"/>
        </w:rPr>
        <w:t>to tariff filings, formal complaints and</w:t>
      </w:r>
      <w:r w:rsidR="001B02F0">
        <w:rPr>
          <w:szCs w:val="22"/>
        </w:rPr>
        <w:t xml:space="preserve"> certain </w:t>
      </w:r>
      <w:r w:rsidRPr="0059512C" w:rsidR="002B30E3">
        <w:rPr>
          <w:szCs w:val="22"/>
        </w:rPr>
        <w:t>petitions</w:t>
      </w:r>
      <w:r w:rsidRPr="0059512C" w:rsidR="00C83C06">
        <w:rPr>
          <w:szCs w:val="22"/>
        </w:rPr>
        <w:t xml:space="preserve">.  </w:t>
      </w:r>
      <w:r w:rsidRPr="0059512C" w:rsidR="00ED322E">
        <w:rPr>
          <w:szCs w:val="22"/>
        </w:rPr>
        <w:t xml:space="preserve">As we explain below, the changes </w:t>
      </w:r>
      <w:r w:rsidRPr="0059512C">
        <w:rPr>
          <w:szCs w:val="22"/>
        </w:rPr>
        <w:t xml:space="preserve">we initiate today </w:t>
      </w:r>
      <w:r w:rsidRPr="0059512C" w:rsidR="00ED322E">
        <w:rPr>
          <w:szCs w:val="22"/>
        </w:rPr>
        <w:t>derive from modifications to the Commission’s statutory application fee authority made by the RAY BAUM’S Act of 2018.</w:t>
      </w:r>
      <w:r>
        <w:rPr>
          <w:rStyle w:val="FootnoteReference"/>
        </w:rPr>
        <w:footnoteReference w:id="3"/>
      </w:r>
      <w:r w:rsidRPr="0059512C" w:rsidR="00ED322E">
        <w:rPr>
          <w:szCs w:val="22"/>
        </w:rPr>
        <w:t xml:space="preserve"> </w:t>
      </w:r>
      <w:r w:rsidRPr="0059512C" w:rsidR="003505F3">
        <w:rPr>
          <w:szCs w:val="22"/>
        </w:rPr>
        <w:t xml:space="preserve"> </w:t>
      </w:r>
      <w:r w:rsidRPr="0059512C" w:rsidR="00275A21">
        <w:rPr>
          <w:szCs w:val="22"/>
        </w:rPr>
        <w:t>The current application fee framework was established more than 30 years ago</w:t>
      </w:r>
      <w:r w:rsidRPr="0059512C">
        <w:rPr>
          <w:szCs w:val="22"/>
        </w:rPr>
        <w:t xml:space="preserve"> </w:t>
      </w:r>
      <w:r w:rsidRPr="0059512C" w:rsidR="002B30E3">
        <w:rPr>
          <w:szCs w:val="22"/>
        </w:rPr>
        <w:t xml:space="preserve">by Congress.  While accurate at the time, the framework did not allow the fee schedule to change as a result of advancements in technology and corresponding changes in Commission procedures and rules.  </w:t>
      </w:r>
      <w:r w:rsidRPr="0059512C" w:rsidR="00275A21">
        <w:rPr>
          <w:szCs w:val="22"/>
        </w:rPr>
        <w:t xml:space="preserve">Notably, the Commission was constrained </w:t>
      </w:r>
      <w:r w:rsidRPr="0059512C" w:rsidR="00E44F86">
        <w:rPr>
          <w:szCs w:val="22"/>
        </w:rPr>
        <w:t>from adding, removing</w:t>
      </w:r>
      <w:r w:rsidRPr="0059512C" w:rsidR="00BF7AAF">
        <w:rPr>
          <w:szCs w:val="22"/>
        </w:rPr>
        <w:t>,</w:t>
      </w:r>
      <w:r w:rsidRPr="0059512C" w:rsidR="00E44F86">
        <w:rPr>
          <w:szCs w:val="22"/>
        </w:rPr>
        <w:t xml:space="preserve"> or otherwise changing the structure or levels of our application fees prior to the RAY BAUM’S Act</w:t>
      </w:r>
      <w:r w:rsidRPr="0059512C" w:rsidR="002D7C08">
        <w:rPr>
          <w:szCs w:val="22"/>
        </w:rPr>
        <w:t>,</w:t>
      </w:r>
      <w:r w:rsidRPr="0059512C" w:rsidR="00E44F86">
        <w:rPr>
          <w:szCs w:val="22"/>
        </w:rPr>
        <w:t xml:space="preserve"> outside </w:t>
      </w:r>
      <w:r w:rsidR="001B02F0">
        <w:rPr>
          <w:szCs w:val="22"/>
        </w:rPr>
        <w:t xml:space="preserve">of </w:t>
      </w:r>
      <w:r w:rsidRPr="0059512C" w:rsidR="00E44F86">
        <w:rPr>
          <w:szCs w:val="22"/>
        </w:rPr>
        <w:t xml:space="preserve">a </w:t>
      </w:r>
      <w:r w:rsidRPr="0059512C" w:rsidR="002B30E3">
        <w:rPr>
          <w:szCs w:val="22"/>
        </w:rPr>
        <w:t xml:space="preserve">ministerial </w:t>
      </w:r>
      <w:r w:rsidRPr="0059512C" w:rsidR="00E44F86">
        <w:rPr>
          <w:szCs w:val="22"/>
        </w:rPr>
        <w:t xml:space="preserve">biannual review </w:t>
      </w:r>
      <w:r w:rsidRPr="0059512C" w:rsidR="002B30E3">
        <w:rPr>
          <w:szCs w:val="22"/>
        </w:rPr>
        <w:t xml:space="preserve">to determine, based on a statutory threshold, whether the fee rate should be revised to reflect changes in </w:t>
      </w:r>
      <w:r w:rsidRPr="0059512C" w:rsidR="00E44F86">
        <w:rPr>
          <w:szCs w:val="22"/>
        </w:rPr>
        <w:t xml:space="preserve">the Consumer Price Index.  </w:t>
      </w:r>
    </w:p>
    <w:p w:rsidR="00BF7065" w:rsidRPr="0059512C" w:rsidP="00E513A1">
      <w:pPr>
        <w:pStyle w:val="ParaNum"/>
        <w:rPr>
          <w:bCs/>
          <w:szCs w:val="22"/>
        </w:rPr>
      </w:pPr>
      <w:r w:rsidRPr="0059512C">
        <w:rPr>
          <w:szCs w:val="22"/>
        </w:rPr>
        <w:t xml:space="preserve">This rulemaking provides an </w:t>
      </w:r>
      <w:r w:rsidRPr="0059512C" w:rsidR="00E44F86">
        <w:rPr>
          <w:szCs w:val="22"/>
        </w:rPr>
        <w:t>opportunity to bring this set of fees into the 21</w:t>
      </w:r>
      <w:r w:rsidRPr="0059512C" w:rsidR="00E44F86">
        <w:rPr>
          <w:szCs w:val="22"/>
          <w:vertAlign w:val="superscript"/>
        </w:rPr>
        <w:t>st</w:t>
      </w:r>
      <w:r w:rsidRPr="0059512C" w:rsidR="00E44F86">
        <w:rPr>
          <w:szCs w:val="22"/>
        </w:rPr>
        <w:t xml:space="preserve"> century by </w:t>
      </w:r>
      <w:r w:rsidRPr="0059512C" w:rsidR="00341EE8">
        <w:rPr>
          <w:szCs w:val="22"/>
        </w:rPr>
        <w:t xml:space="preserve">lowering fees to </w:t>
      </w:r>
      <w:r w:rsidRPr="0059512C" w:rsidR="00E44F86">
        <w:rPr>
          <w:szCs w:val="22"/>
        </w:rPr>
        <w:t xml:space="preserve">account for processing efficiencies </w:t>
      </w:r>
      <w:r w:rsidRPr="0059512C" w:rsidR="00341EE8">
        <w:rPr>
          <w:szCs w:val="22"/>
        </w:rPr>
        <w:t xml:space="preserve">where appropriate, </w:t>
      </w:r>
      <w:r w:rsidRPr="0059512C" w:rsidR="00E44F86">
        <w:rPr>
          <w:szCs w:val="22"/>
        </w:rPr>
        <w:t xml:space="preserve">adding </w:t>
      </w:r>
      <w:r w:rsidRPr="0059512C" w:rsidR="00341EE8">
        <w:rPr>
          <w:szCs w:val="22"/>
        </w:rPr>
        <w:t xml:space="preserve">new </w:t>
      </w:r>
      <w:r w:rsidRPr="0059512C" w:rsidR="00E44F86">
        <w:rPr>
          <w:szCs w:val="22"/>
        </w:rPr>
        <w:t>fees for applications that were implemented after the original fee schedule was adopted</w:t>
      </w:r>
      <w:r w:rsidRPr="0059512C" w:rsidR="00BF7AAF">
        <w:rPr>
          <w:szCs w:val="22"/>
        </w:rPr>
        <w:t>,</w:t>
      </w:r>
      <w:r w:rsidRPr="0059512C" w:rsidR="00E44F86">
        <w:rPr>
          <w:szCs w:val="22"/>
        </w:rPr>
        <w:t xml:space="preserve"> and eliminating fees for applications that no longer exist.</w:t>
      </w:r>
      <w:r w:rsidRPr="0059512C" w:rsidR="00E44F86">
        <w:rPr>
          <w:b/>
          <w:szCs w:val="22"/>
        </w:rPr>
        <w:t xml:space="preserve"> </w:t>
      </w:r>
      <w:r w:rsidRPr="0059512C" w:rsidR="00341EE8">
        <w:rPr>
          <w:b/>
          <w:szCs w:val="22"/>
        </w:rPr>
        <w:t xml:space="preserve"> </w:t>
      </w:r>
      <w:r w:rsidRPr="0059512C" w:rsidR="00341EE8">
        <w:rPr>
          <w:bCs/>
          <w:szCs w:val="22"/>
        </w:rPr>
        <w:t>The actions we propose today</w:t>
      </w:r>
      <w:r w:rsidRPr="0059512C" w:rsidR="00341EE8">
        <w:rPr>
          <w:b/>
          <w:szCs w:val="22"/>
        </w:rPr>
        <w:t xml:space="preserve"> </w:t>
      </w:r>
      <w:r w:rsidRPr="0059512C" w:rsidR="00341EE8">
        <w:rPr>
          <w:szCs w:val="22"/>
        </w:rPr>
        <w:t xml:space="preserve">will simplify and streamline an overly complex schedule of fees by proposing significant fee consolidation in matters overseen by both the Wireless </w:t>
      </w:r>
      <w:r w:rsidRPr="0059512C" w:rsidR="00BF7AAF">
        <w:rPr>
          <w:szCs w:val="22"/>
        </w:rPr>
        <w:t xml:space="preserve">Telecommunications </w:t>
      </w:r>
      <w:r w:rsidRPr="0059512C" w:rsidR="00341EE8">
        <w:rPr>
          <w:szCs w:val="22"/>
        </w:rPr>
        <w:t xml:space="preserve">Bureau and the International Bureau.  </w:t>
      </w:r>
      <w:r w:rsidRPr="0059512C" w:rsidR="00ED322E">
        <w:rPr>
          <w:szCs w:val="22"/>
        </w:rPr>
        <w:t>In this Notice, we also adopt several amendments to our rules to conform with the revised text of the Communications Act, as amended by the RAY BAUM’S Act</w:t>
      </w:r>
      <w:r w:rsidRPr="0059512C" w:rsidR="00190707">
        <w:rPr>
          <w:szCs w:val="22"/>
        </w:rPr>
        <w:t xml:space="preserve">.  </w:t>
      </w:r>
    </w:p>
    <w:p w:rsidR="003F1D02" w:rsidRPr="0060706A" w:rsidP="004A001C">
      <w:pPr>
        <w:pStyle w:val="Heading1"/>
        <w:rPr>
          <w:rFonts w:ascii="Times New Roman" w:hAnsi="Times New Roman"/>
        </w:rPr>
      </w:pPr>
      <w:bookmarkStart w:id="24" w:name="_Toc16611309"/>
      <w:bookmarkStart w:id="25" w:name="_Toc17709340"/>
      <w:bookmarkStart w:id="26" w:name="_Toc17972519"/>
      <w:bookmarkStart w:id="27" w:name="_Toc18066896"/>
      <w:bookmarkStart w:id="28" w:name="_Toc18939757"/>
      <w:bookmarkStart w:id="29" w:name="_Toc19795057"/>
      <w:bookmarkStart w:id="30" w:name="_Toc19796422"/>
      <w:bookmarkStart w:id="31" w:name="_Toc19796779"/>
      <w:bookmarkStart w:id="32" w:name="_Toc22299856"/>
      <w:bookmarkStart w:id="33" w:name="_Toc24453208"/>
      <w:bookmarkStart w:id="34" w:name="_Toc28005073"/>
      <w:bookmarkStart w:id="35" w:name="_Toc29557373"/>
      <w:bookmarkStart w:id="36" w:name="_Toc30085265"/>
      <w:bookmarkStart w:id="37" w:name="_Toc30085361"/>
      <w:bookmarkStart w:id="38" w:name="_Toc31033127"/>
      <w:bookmarkStart w:id="39" w:name="_Toc31288138"/>
      <w:bookmarkStart w:id="40" w:name="_Toc31980672"/>
      <w:bookmarkStart w:id="41" w:name="_Toc35268555"/>
      <w:bookmarkStart w:id="42" w:name="_Toc42256281"/>
      <w:bookmarkStart w:id="43" w:name="_Toc44581647"/>
      <w:r w:rsidRPr="0060706A">
        <w:rPr>
          <w:rFonts w:ascii="Times New Roman" w:hAnsi="Times New Roman"/>
        </w:rPr>
        <w:t>background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9573E" w:rsidRPr="0059512C" w:rsidP="0069573E">
      <w:pPr>
        <w:pStyle w:val="ParaNum"/>
        <w:rPr>
          <w:szCs w:val="22"/>
        </w:rPr>
      </w:pPr>
      <w:r w:rsidRPr="0059512C">
        <w:rPr>
          <w:szCs w:val="22"/>
        </w:rPr>
        <w:t xml:space="preserve">Congress </w:t>
      </w:r>
      <w:r w:rsidRPr="0059512C">
        <w:rPr>
          <w:szCs w:val="22"/>
        </w:rPr>
        <w:t>established the Commission’s application fee authority in 198</w:t>
      </w:r>
      <w:r w:rsidRPr="0059512C" w:rsidR="002B30E3">
        <w:rPr>
          <w:szCs w:val="22"/>
        </w:rPr>
        <w:t>6</w:t>
      </w:r>
      <w:r w:rsidRPr="0059512C">
        <w:rPr>
          <w:szCs w:val="22"/>
        </w:rPr>
        <w:t xml:space="preserve"> when Congress adopted a statutory schedule of application fees and charged the Commission with updating and amending the schedule pursuant to statutory guidance every two years.</w:t>
      </w:r>
      <w:r>
        <w:rPr>
          <w:rStyle w:val="FootnoteReference"/>
        </w:rPr>
        <w:footnoteReference w:id="4"/>
      </w:r>
      <w:r w:rsidRPr="0059512C">
        <w:rPr>
          <w:szCs w:val="22"/>
        </w:rPr>
        <w:t xml:space="preserve">  </w:t>
      </w:r>
      <w:r w:rsidRPr="0059512C" w:rsidR="00FF65BF">
        <w:rPr>
          <w:szCs w:val="22"/>
        </w:rPr>
        <w:t>S</w:t>
      </w:r>
      <w:r w:rsidRPr="0059512C">
        <w:rPr>
          <w:szCs w:val="22"/>
        </w:rPr>
        <w:t>ection 8 set out a detailed schedule prescribing specific fee amounts for</w:t>
      </w:r>
      <w:r w:rsidRPr="0059512C" w:rsidR="00C728E4">
        <w:rPr>
          <w:szCs w:val="22"/>
        </w:rPr>
        <w:t xml:space="preserve"> 41</w:t>
      </w:r>
      <w:r w:rsidRPr="0059512C">
        <w:rPr>
          <w:szCs w:val="22"/>
        </w:rPr>
        <w:t xml:space="preserve"> of types of applications and other processes that the Commission used in licensing and regulating various services under its jurisdiction at that time.</w:t>
      </w:r>
      <w:r>
        <w:rPr>
          <w:rStyle w:val="FootnoteReference"/>
        </w:rPr>
        <w:footnoteReference w:id="5"/>
      </w:r>
      <w:r w:rsidRPr="0059512C">
        <w:rPr>
          <w:szCs w:val="22"/>
        </w:rPr>
        <w:t xml:space="preserve">  </w:t>
      </w:r>
      <w:r w:rsidRPr="0059512C" w:rsidR="00FF65BF">
        <w:rPr>
          <w:szCs w:val="22"/>
        </w:rPr>
        <w:t>The Commission implemented section 8 in 1987, adopting the fee schedule exactly as enacted by Congress and adopting rules and procedures for assessing and collecting such fees.</w:t>
      </w:r>
      <w:r>
        <w:rPr>
          <w:rStyle w:val="FootnoteReference"/>
          <w:sz w:val="22"/>
          <w:szCs w:val="22"/>
        </w:rPr>
        <w:footnoteReference w:id="6"/>
      </w:r>
      <w:r w:rsidRPr="0059512C" w:rsidR="00FF65BF">
        <w:rPr>
          <w:szCs w:val="22"/>
        </w:rPr>
        <w:t xml:space="preserve">  </w:t>
      </w:r>
    </w:p>
    <w:p w:rsidR="00655FB3" w:rsidRPr="0060706A" w:rsidP="00655FB3">
      <w:pPr>
        <w:pStyle w:val="ParaNum"/>
      </w:pPr>
      <w:r w:rsidRPr="0059512C">
        <w:rPr>
          <w:szCs w:val="22"/>
        </w:rPr>
        <w:t>Congress gave the Commission only limited authority to amend the application fee schedule:  T</w:t>
      </w:r>
      <w:r w:rsidRPr="0059512C" w:rsidR="00ED322E">
        <w:rPr>
          <w:szCs w:val="22"/>
        </w:rPr>
        <w:t xml:space="preserve">he Commission </w:t>
      </w:r>
      <w:r w:rsidRPr="0059512C">
        <w:rPr>
          <w:szCs w:val="22"/>
        </w:rPr>
        <w:t>was required to</w:t>
      </w:r>
      <w:r w:rsidRPr="0059512C" w:rsidR="00ED322E">
        <w:rPr>
          <w:szCs w:val="22"/>
        </w:rPr>
        <w:t xml:space="preserve"> simply adjust the fees every two years to reflect changes in </w:t>
      </w:r>
      <w:r w:rsidRPr="0059512C" w:rsidR="00ED322E">
        <w:rPr>
          <w:szCs w:val="22"/>
        </w:rPr>
        <w:t xml:space="preserve">the </w:t>
      </w:r>
      <w:r w:rsidRPr="0059512C" w:rsidR="002E0396">
        <w:rPr>
          <w:szCs w:val="22"/>
        </w:rPr>
        <w:t>Consumer Price Index</w:t>
      </w:r>
      <w:r w:rsidRPr="0060706A" w:rsidR="00ED322E">
        <w:rPr>
          <w:sz w:val="20"/>
        </w:rPr>
        <w:t>.</w:t>
      </w:r>
      <w:r>
        <w:rPr>
          <w:rStyle w:val="FootnoteReference"/>
        </w:rPr>
        <w:footnoteReference w:id="7"/>
      </w:r>
      <w:r w:rsidRPr="0059512C" w:rsidR="00ED322E">
        <w:rPr>
          <w:szCs w:val="22"/>
        </w:rPr>
        <w:t xml:space="preserve">  Notably, the Commission did not have the authority to make other changes to application fees or to add or delete fee categories.</w:t>
      </w:r>
      <w:r>
        <w:rPr>
          <w:rStyle w:val="FootnoteReference"/>
        </w:rPr>
        <w:footnoteReference w:id="8"/>
      </w:r>
      <w:r w:rsidRPr="0059512C" w:rsidR="00ED322E">
        <w:rPr>
          <w:szCs w:val="22"/>
        </w:rPr>
        <w:t xml:space="preserve">  The biennial process for adjusting the application fee schedule was sufficiently pro forma that the adjustments were not subject to notice and comment rulemakings or petitions for reconsideration.  Thus, the Commission concluded that </w:t>
      </w:r>
      <w:r w:rsidRPr="0059512C" w:rsidR="00943A83">
        <w:rPr>
          <w:szCs w:val="22"/>
        </w:rPr>
        <w:t xml:space="preserve">the </w:t>
      </w:r>
      <w:r w:rsidRPr="0059512C" w:rsidR="00ED322E">
        <w:rPr>
          <w:szCs w:val="22"/>
        </w:rPr>
        <w:t xml:space="preserve">statutory schedule listing by specific categories of applications and other processes subject to fees </w:t>
      </w:r>
      <w:r w:rsidRPr="0059512C" w:rsidR="00ED322E">
        <w:rPr>
          <w:szCs w:val="22"/>
          <w:shd w:val="clear" w:color="auto" w:fill="FFFFFF"/>
        </w:rPr>
        <w:t>could only be changed in accordance with the statute or through the passage of new legislation.</w:t>
      </w:r>
      <w:r>
        <w:rPr>
          <w:rStyle w:val="FootnoteReference"/>
          <w:shd w:val="clear" w:color="auto" w:fill="FFFFFF"/>
        </w:rPr>
        <w:footnoteReference w:id="9"/>
      </w:r>
      <w:r w:rsidRPr="0059512C" w:rsidR="00ED322E">
        <w:rPr>
          <w:szCs w:val="22"/>
          <w:shd w:val="clear" w:color="auto" w:fill="FFFFFF"/>
        </w:rPr>
        <w:t xml:space="preserve">  </w:t>
      </w:r>
      <w:r w:rsidRPr="0060706A" w:rsidR="00AD01B1">
        <w:t>Moreover, a</w:t>
      </w:r>
      <w:r w:rsidRPr="0060706A" w:rsidR="00AD01B1">
        <w:rPr>
          <w:shd w:val="clear" w:color="auto" w:fill="FFFFFF"/>
        </w:rPr>
        <w:t xml:space="preserve"> filing or other process not listed on the schedule was exempt from fees unless and until Congress added it to the fee schedule; no specific enumerated statutory exemption was required.</w:t>
      </w:r>
      <w:r>
        <w:rPr>
          <w:rStyle w:val="FootnoteReference"/>
          <w:shd w:val="clear" w:color="auto" w:fill="FFFFFF"/>
        </w:rPr>
        <w:footnoteReference w:id="10"/>
      </w:r>
      <w:r w:rsidRPr="0060706A" w:rsidR="00AD01B1">
        <w:rPr>
          <w:shd w:val="clear" w:color="auto" w:fill="FFFFFF"/>
        </w:rPr>
        <w:t xml:space="preserve"> </w:t>
      </w:r>
      <w:r w:rsidR="00EA7145">
        <w:rPr>
          <w:shd w:val="clear" w:color="auto" w:fill="FFFFFF"/>
        </w:rPr>
        <w:t xml:space="preserve"> </w:t>
      </w:r>
      <w:r w:rsidRPr="0059512C">
        <w:rPr>
          <w:szCs w:val="22"/>
          <w:shd w:val="clear" w:color="auto" w:fill="FFFFFF"/>
        </w:rPr>
        <w:t xml:space="preserve">And </w:t>
      </w:r>
      <w:r w:rsidRPr="0059512C">
        <w:rPr>
          <w:szCs w:val="22"/>
        </w:rPr>
        <w:t>Congress has only added fee categories or changed fee rates a handful of times since 1986.</w:t>
      </w:r>
      <w:r>
        <w:rPr>
          <w:rStyle w:val="FootnoteReference"/>
        </w:rPr>
        <w:footnoteReference w:id="11"/>
      </w:r>
      <w:r w:rsidRPr="0059512C">
        <w:rPr>
          <w:szCs w:val="22"/>
        </w:rPr>
        <w:t xml:space="preserve">  </w:t>
      </w:r>
      <w:r w:rsidRPr="0059512C" w:rsidR="00ED322E">
        <w:rPr>
          <w:szCs w:val="22"/>
          <w:shd w:val="clear" w:color="auto" w:fill="FFFFFF"/>
        </w:rPr>
        <w:t xml:space="preserve">As such, </w:t>
      </w:r>
      <w:r w:rsidRPr="0059512C">
        <w:rPr>
          <w:szCs w:val="22"/>
          <w:shd w:val="clear" w:color="auto" w:fill="FFFFFF"/>
        </w:rPr>
        <w:t>many of the</w:t>
      </w:r>
      <w:r w:rsidRPr="0059512C" w:rsidR="00ED322E">
        <w:rPr>
          <w:szCs w:val="22"/>
          <w:shd w:val="clear" w:color="auto" w:fill="FFFFFF"/>
        </w:rPr>
        <w:t xml:space="preserve"> categories of applications that are subject to fees under section 8 w</w:t>
      </w:r>
      <w:r w:rsidRPr="0059512C" w:rsidR="00943A83">
        <w:rPr>
          <w:szCs w:val="22"/>
          <w:shd w:val="clear" w:color="auto" w:fill="FFFFFF"/>
        </w:rPr>
        <w:t xml:space="preserve">ere </w:t>
      </w:r>
      <w:r w:rsidRPr="0059512C" w:rsidR="00ED322E">
        <w:rPr>
          <w:szCs w:val="22"/>
          <w:shd w:val="clear" w:color="auto" w:fill="FFFFFF"/>
        </w:rPr>
        <w:t xml:space="preserve">effectively set in amber </w:t>
      </w:r>
      <w:r w:rsidRPr="0059512C" w:rsidR="00932954">
        <w:rPr>
          <w:szCs w:val="22"/>
          <w:shd w:val="clear" w:color="auto" w:fill="FFFFFF"/>
        </w:rPr>
        <w:t>for over 30 years</w:t>
      </w:r>
      <w:r w:rsidRPr="0059512C" w:rsidR="00ED322E">
        <w:rPr>
          <w:szCs w:val="22"/>
          <w:shd w:val="clear" w:color="auto" w:fill="FFFFFF"/>
        </w:rPr>
        <w:t>.</w:t>
      </w:r>
      <w:r>
        <w:rPr>
          <w:rStyle w:val="FootnoteReference"/>
          <w:shd w:val="clear" w:color="auto" w:fill="FFFFFF"/>
        </w:rPr>
        <w:footnoteReference w:id="12"/>
      </w:r>
      <w:r w:rsidR="0059512C">
        <w:rPr>
          <w:szCs w:val="22"/>
          <w:shd w:val="clear" w:color="auto" w:fill="FFFFFF"/>
        </w:rPr>
        <w:t xml:space="preserve">  </w:t>
      </w:r>
      <w:r w:rsidRPr="0060706A" w:rsidR="001A6271">
        <w:rPr>
          <w:shd w:val="clear" w:color="auto" w:fill="FFFFFF"/>
        </w:rPr>
        <w:t xml:space="preserve">Furthermore, even for categories of </w:t>
      </w:r>
      <w:r w:rsidRPr="0060706A" w:rsidR="001A6271">
        <w:rPr>
          <w:i/>
          <w:shd w:val="clear" w:color="auto" w:fill="FFFFFF"/>
        </w:rPr>
        <w:t>applications</w:t>
      </w:r>
      <w:r w:rsidRPr="0060706A" w:rsidR="001A6271">
        <w:rPr>
          <w:shd w:val="clear" w:color="auto" w:fill="FFFFFF"/>
        </w:rPr>
        <w:t xml:space="preserve"> that required fees under the statute, Congress provided that certain categories of </w:t>
      </w:r>
      <w:r w:rsidRPr="0060706A" w:rsidR="001A6271">
        <w:rPr>
          <w:i/>
          <w:shd w:val="clear" w:color="auto" w:fill="FFFFFF"/>
        </w:rPr>
        <w:t>applicants</w:t>
      </w:r>
      <w:r w:rsidRPr="0060706A" w:rsidR="001A6271">
        <w:rPr>
          <w:shd w:val="clear" w:color="auto" w:fill="FFFFFF"/>
        </w:rPr>
        <w:t xml:space="preserve"> should receive exemptions under section 8(d) of the Act.  Such statutory exempt entities </w:t>
      </w:r>
      <w:r w:rsidRPr="0060706A" w:rsidR="001A6271">
        <w:rPr>
          <w:shd w:val="clear" w:color="auto" w:fill="FFFFFF"/>
        </w:rPr>
        <w:t xml:space="preserve">included </w:t>
      </w:r>
      <w:r w:rsidRPr="0060706A" w:rsidR="001A6271">
        <w:t>nonprofit entities licensed in certain radio services, as well as all governmental entities.</w:t>
      </w:r>
      <w:r>
        <w:rPr>
          <w:rStyle w:val="FootnoteReference"/>
          <w:shd w:val="clear" w:color="auto" w:fill="FFFFFF"/>
        </w:rPr>
        <w:footnoteReference w:id="13"/>
      </w:r>
      <w:r w:rsidRPr="0060706A" w:rsidR="001A6271">
        <w:rPr>
          <w:shd w:val="clear" w:color="auto" w:fill="FFFFFF"/>
        </w:rPr>
        <w:t xml:space="preserve"> </w:t>
      </w:r>
      <w:r w:rsidRPr="0060706A" w:rsidR="001A6271">
        <w:t xml:space="preserve"> In adopting rules to implement the statutory exemptions, the Commission also determined that licensees providing noncommercial educational broadcast services should be classified as exempt entities.</w:t>
      </w:r>
      <w:r>
        <w:rPr>
          <w:rStyle w:val="FootnoteReference"/>
        </w:rPr>
        <w:footnoteReference w:id="14"/>
      </w:r>
      <w:r w:rsidRPr="0060706A" w:rsidR="001A6271">
        <w:t xml:space="preserve">  The Commission included such entities in the exemption rule based on the legislative history clearly explaining that in establishing a fee for broadcast stations, Congresses intended to exempt such </w:t>
      </w:r>
      <w:r w:rsidRPr="0060706A" w:rsidR="00250779">
        <w:t xml:space="preserve">noncommercial educational broadcast services </w:t>
      </w:r>
      <w:r w:rsidRPr="0060706A" w:rsidR="001A6271">
        <w:t>from application fees.</w:t>
      </w:r>
      <w:r>
        <w:rPr>
          <w:rStyle w:val="FootnoteReference"/>
        </w:rPr>
        <w:footnoteReference w:id="15"/>
      </w:r>
      <w:r w:rsidRPr="0060706A" w:rsidR="001A6271">
        <w:t xml:space="preserve">  The Commission included</w:t>
      </w:r>
      <w:r w:rsidR="0067511D">
        <w:t xml:space="preserve"> educational broadcast service (</w:t>
      </w:r>
      <w:r w:rsidRPr="0060706A" w:rsidR="001A6271">
        <w:t>EBS</w:t>
      </w:r>
      <w:r w:rsidR="0067511D">
        <w:t>)</w:t>
      </w:r>
      <w:r w:rsidRPr="0060706A" w:rsidR="001A6271">
        <w:t xml:space="preserve"> licensees as exempt in section 1.1116 in recognition of the fact that EBS licenses were generally held by otherwise exempt entities.</w:t>
      </w:r>
      <w:r>
        <w:rPr>
          <w:rStyle w:val="FootnoteReference"/>
        </w:rPr>
        <w:footnoteReference w:id="16"/>
      </w:r>
    </w:p>
    <w:p w:rsidR="00BD4D51" w:rsidRPr="00655FB3" w:rsidP="00655FB3">
      <w:pPr>
        <w:pStyle w:val="ParaNum"/>
        <w:rPr>
          <w:szCs w:val="22"/>
        </w:rPr>
      </w:pPr>
      <w:r w:rsidRPr="00655FB3">
        <w:rPr>
          <w:szCs w:val="22"/>
        </w:rPr>
        <w:t xml:space="preserve">Section 8 also  provided </w:t>
      </w:r>
      <w:r w:rsidRPr="00655FB3" w:rsidR="00ED322E">
        <w:rPr>
          <w:szCs w:val="22"/>
        </w:rPr>
        <w:t>the Commission the ability to “waive or defer payment” of an application fee “in any specific instance for good cause shown, where such action would promote the public interest.”</w:t>
      </w:r>
      <w:r>
        <w:rPr>
          <w:rStyle w:val="FootnoteReference"/>
        </w:rPr>
        <w:footnoteReference w:id="17"/>
      </w:r>
      <w:r w:rsidRPr="00655FB3" w:rsidR="00ED322E">
        <w:rPr>
          <w:szCs w:val="22"/>
        </w:rPr>
        <w:t xml:space="preserve">  The Commission determined that such language limited it to acting on waiver and deferral requests “on a case by case basis to specific applicants upon a showing of extraordinary and compelling circumstances,”</w:t>
      </w:r>
      <w:r>
        <w:rPr>
          <w:rStyle w:val="FootnoteReference"/>
        </w:rPr>
        <w:footnoteReference w:id="18"/>
      </w:r>
      <w:r w:rsidRPr="00655FB3" w:rsidR="00ED322E">
        <w:rPr>
          <w:szCs w:val="22"/>
        </w:rPr>
        <w:t xml:space="preserve"> and the Commission adopted rules expressly precluding it from granting waivers for entire classes of services.</w:t>
      </w:r>
      <w:r>
        <w:rPr>
          <w:rStyle w:val="FootnoteReference"/>
        </w:rPr>
        <w:footnoteReference w:id="19"/>
      </w:r>
    </w:p>
    <w:p w:rsidR="00FE6070" w:rsidRPr="0059512C" w:rsidP="009E3678">
      <w:pPr>
        <w:pStyle w:val="ParaNum"/>
        <w:rPr>
          <w:szCs w:val="22"/>
        </w:rPr>
      </w:pPr>
      <w:r w:rsidRPr="0059512C">
        <w:rPr>
          <w:szCs w:val="22"/>
        </w:rPr>
        <w:t xml:space="preserve">The Commission most recently amended </w:t>
      </w:r>
      <w:r w:rsidRPr="0059512C" w:rsidR="00644A31">
        <w:rPr>
          <w:szCs w:val="22"/>
        </w:rPr>
        <w:t>the</w:t>
      </w:r>
      <w:r w:rsidRPr="0059512C">
        <w:rPr>
          <w:szCs w:val="22"/>
        </w:rPr>
        <w:t xml:space="preserve"> schedule of application fees in 2018 to </w:t>
      </w:r>
      <w:r w:rsidRPr="0059512C">
        <w:rPr>
          <w:szCs w:val="22"/>
        </w:rPr>
        <w:t>reflect changes in the Consumer Price Index.</w:t>
      </w:r>
      <w:r>
        <w:rPr>
          <w:rStyle w:val="FootnoteReference"/>
        </w:rPr>
        <w:footnoteReference w:id="20"/>
      </w:r>
      <w:r w:rsidRPr="0059512C">
        <w:rPr>
          <w:szCs w:val="22"/>
        </w:rPr>
        <w:t xml:space="preserve">  The current schedule of application fees spans </w:t>
      </w:r>
      <w:r w:rsidRPr="0059512C" w:rsidR="00424D70">
        <w:rPr>
          <w:szCs w:val="22"/>
        </w:rPr>
        <w:t>13</w:t>
      </w:r>
      <w:r w:rsidRPr="0059512C">
        <w:rPr>
          <w:szCs w:val="22"/>
        </w:rPr>
        <w:t xml:space="preserve"> pages o</w:t>
      </w:r>
      <w:r w:rsidRPr="0059512C">
        <w:rPr>
          <w:szCs w:val="22"/>
        </w:rPr>
        <w:t>f the Code of Federal Regulatio</w:t>
      </w:r>
      <w:r w:rsidRPr="0059512C" w:rsidR="00425C07">
        <w:rPr>
          <w:szCs w:val="22"/>
        </w:rPr>
        <w:t>ns</w:t>
      </w:r>
      <w:r w:rsidRPr="0059512C" w:rsidR="00181EC7">
        <w:rPr>
          <w:szCs w:val="22"/>
        </w:rPr>
        <w:t xml:space="preserve">, </w:t>
      </w:r>
      <w:r w:rsidRPr="0059512C" w:rsidR="00644A31">
        <w:rPr>
          <w:szCs w:val="22"/>
        </w:rPr>
        <w:t>listing</w:t>
      </w:r>
      <w:r w:rsidRPr="0059512C" w:rsidR="00181EC7">
        <w:rPr>
          <w:szCs w:val="22"/>
        </w:rPr>
        <w:t xml:space="preserve"> </w:t>
      </w:r>
      <w:r w:rsidRPr="0059512C" w:rsidR="00424D70">
        <w:rPr>
          <w:szCs w:val="22"/>
        </w:rPr>
        <w:t>450</w:t>
      </w:r>
      <w:r w:rsidRPr="0059512C" w:rsidR="00181EC7">
        <w:rPr>
          <w:szCs w:val="22"/>
        </w:rPr>
        <w:t xml:space="preserve"> separate fees.  </w:t>
      </w:r>
      <w:r w:rsidR="006507EF">
        <w:t xml:space="preserve">In </w:t>
      </w:r>
      <w:r w:rsidR="00040757">
        <w:t>s</w:t>
      </w:r>
      <w:r w:rsidR="006507EF">
        <w:t>ection 8, Congress adopted fees for a variety of filings that the Commission processed at that time.</w:t>
      </w:r>
      <w:r>
        <w:rPr>
          <w:rStyle w:val="FootnoteReference"/>
        </w:rPr>
        <w:footnoteReference w:id="21"/>
      </w:r>
      <w:r w:rsidR="006507EF">
        <w:t xml:space="preserve">  </w:t>
      </w:r>
      <w:r w:rsidRPr="0059512C" w:rsidR="00181EC7">
        <w:rPr>
          <w:szCs w:val="22"/>
        </w:rPr>
        <w:t xml:space="preserve">Our rules currently divide application fees into </w:t>
      </w:r>
      <w:r w:rsidRPr="0059512C" w:rsidR="00644A31">
        <w:rPr>
          <w:szCs w:val="22"/>
        </w:rPr>
        <w:t>eight</w:t>
      </w:r>
      <w:r w:rsidRPr="0059512C" w:rsidR="00181EC7">
        <w:rPr>
          <w:szCs w:val="22"/>
        </w:rPr>
        <w:t xml:space="preserve"> section</w:t>
      </w:r>
      <w:r w:rsidRPr="0059512C" w:rsidR="00502BAD">
        <w:rPr>
          <w:szCs w:val="22"/>
        </w:rPr>
        <w:t>s that correlate with various bureau operations:  filings for the wireless telecommunications services (rule 1.1102), filings for the equipment approvals/experimental radio services (rule 1.1103), filings for the media services (rule 1.1104), filings for wireline competition services (rule 1.1105), filings for enforcement services (rule 1.1106), filings for international services (rule 1.1107), filings for international telecommunications services (rule 1.1108), and filings for Homeland services (rule 1.1109).</w:t>
      </w:r>
    </w:p>
    <w:p w:rsidR="00ED322E" w:rsidRPr="0059512C" w:rsidP="009E3678">
      <w:pPr>
        <w:pStyle w:val="ParaNum"/>
        <w:rPr>
          <w:szCs w:val="22"/>
        </w:rPr>
      </w:pPr>
      <w:bookmarkStart w:id="45" w:name="_Hlk36035092"/>
      <w:r w:rsidRPr="0059512C">
        <w:rPr>
          <w:szCs w:val="22"/>
        </w:rPr>
        <w:t>In 2018, as part of</w:t>
      </w:r>
      <w:r w:rsidRPr="0059512C">
        <w:rPr>
          <w:szCs w:val="22"/>
        </w:rPr>
        <w:t xml:space="preserve"> the RAY BAUM’S Act of 2018, Congress revised the Commission’s application fee authority by </w:t>
      </w:r>
      <w:r w:rsidRPr="0059512C" w:rsidR="00502BAD">
        <w:rPr>
          <w:szCs w:val="22"/>
        </w:rPr>
        <w:t>amending</w:t>
      </w:r>
      <w:r w:rsidRPr="0059512C">
        <w:rPr>
          <w:szCs w:val="22"/>
        </w:rPr>
        <w:t xml:space="preserve"> section 8 and adding section 9A to the Communications Act.</w:t>
      </w:r>
      <w:bookmarkEnd w:id="45"/>
      <w:r>
        <w:rPr>
          <w:rStyle w:val="FootnoteReference"/>
        </w:rPr>
        <w:footnoteReference w:id="22"/>
      </w:r>
      <w:r w:rsidRPr="0059512C">
        <w:rPr>
          <w:szCs w:val="22"/>
        </w:rPr>
        <w:t xml:space="preserve">  In making such changes, </w:t>
      </w:r>
      <w:bookmarkStart w:id="46" w:name="_Hlk36035136"/>
      <w:r w:rsidRPr="0059512C">
        <w:rPr>
          <w:szCs w:val="22"/>
        </w:rPr>
        <w:t xml:space="preserve">Congress deleted outdated language from the statute, removed the now </w:t>
      </w:r>
      <w:r w:rsidRPr="0059512C">
        <w:rPr>
          <w:szCs w:val="22"/>
        </w:rPr>
        <w:t xml:space="preserve">obsolete statutory schedule of application fees, directed the Commission on how to update the application fees under a new scheme, and revised and reformatted other provisions of the statute.  </w:t>
      </w:r>
      <w:bookmarkEnd w:id="46"/>
      <w:r w:rsidRPr="0059512C" w:rsidR="00502BAD">
        <w:rPr>
          <w:szCs w:val="22"/>
        </w:rPr>
        <w:t xml:space="preserve">Most notably, Congress specifically required </w:t>
      </w:r>
      <w:r w:rsidRPr="0059512C">
        <w:rPr>
          <w:szCs w:val="22"/>
        </w:rPr>
        <w:t>that the Commissio</w:t>
      </w:r>
      <w:r w:rsidRPr="0059512C">
        <w:rPr>
          <w:szCs w:val="22"/>
        </w:rPr>
        <w:t>n (i) adopt a schedule of application fees to recover the costs to process applications and (ii) amend the schedule, as needed, to reflect increases or decreases in the costs of processing applications or to reflect the consolidation or addition of new cat</w:t>
      </w:r>
      <w:r w:rsidRPr="0059512C">
        <w:rPr>
          <w:szCs w:val="22"/>
        </w:rPr>
        <w:t>egories.</w:t>
      </w:r>
      <w:r>
        <w:rPr>
          <w:rStyle w:val="FootnoteReference"/>
        </w:rPr>
        <w:footnoteReference w:id="23"/>
      </w:r>
    </w:p>
    <w:p w:rsidR="00DE3B2D" w:rsidRPr="0060706A" w:rsidP="00DE3B2D">
      <w:pPr>
        <w:pStyle w:val="Heading1"/>
        <w:rPr>
          <w:rFonts w:ascii="Times New Roman" w:hAnsi="Times New Roman"/>
        </w:rPr>
      </w:pPr>
      <w:bookmarkStart w:id="47" w:name="_Toc16611310"/>
      <w:bookmarkStart w:id="48" w:name="_Toc17709341"/>
      <w:bookmarkStart w:id="49" w:name="_Toc17972520"/>
      <w:bookmarkStart w:id="50" w:name="_Toc18066897"/>
      <w:bookmarkStart w:id="51" w:name="_Toc18939758"/>
      <w:bookmarkStart w:id="52" w:name="_Toc19795058"/>
      <w:bookmarkStart w:id="53" w:name="_Toc19796423"/>
      <w:bookmarkStart w:id="54" w:name="_Toc19796780"/>
      <w:bookmarkStart w:id="55" w:name="_Toc22299857"/>
      <w:bookmarkStart w:id="56" w:name="_Toc24453209"/>
      <w:bookmarkStart w:id="57" w:name="_Toc28005074"/>
      <w:bookmarkStart w:id="58" w:name="_Toc29557374"/>
      <w:bookmarkStart w:id="59" w:name="_Toc30085266"/>
      <w:bookmarkStart w:id="60" w:name="_Toc30085362"/>
      <w:bookmarkStart w:id="61" w:name="_Toc31033128"/>
      <w:bookmarkStart w:id="62" w:name="_Toc31288139"/>
      <w:bookmarkStart w:id="63" w:name="_Toc31980673"/>
      <w:bookmarkStart w:id="64" w:name="_Toc35268556"/>
      <w:bookmarkStart w:id="65" w:name="_Toc42256282"/>
      <w:bookmarkStart w:id="66" w:name="_Toc44581648"/>
      <w:r w:rsidRPr="0060706A">
        <w:rPr>
          <w:rFonts w:ascii="Times New Roman" w:hAnsi="Times New Roman"/>
        </w:rPr>
        <w:t>discussion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5C53D0" w:rsidRPr="00B13758" w:rsidP="00F364EF">
      <w:pPr>
        <w:pStyle w:val="ParaNum"/>
        <w:tabs>
          <w:tab w:val="left" w:pos="810"/>
        </w:tabs>
      </w:pPr>
      <w:r w:rsidRPr="0059512C">
        <w:rPr>
          <w:szCs w:val="22"/>
        </w:rPr>
        <w:t xml:space="preserve">The RAY BAUM’S Act fundamentally changed the structure of the </w:t>
      </w:r>
      <w:r w:rsidR="002928C6">
        <w:rPr>
          <w:szCs w:val="22"/>
        </w:rPr>
        <w:t>Commission</w:t>
      </w:r>
      <w:r w:rsidRPr="0059512C">
        <w:rPr>
          <w:szCs w:val="22"/>
        </w:rPr>
        <w:t xml:space="preserve">’s </w:t>
      </w:r>
      <w:r w:rsidRPr="0059512C" w:rsidR="00FE1101">
        <w:rPr>
          <w:szCs w:val="22"/>
        </w:rPr>
        <w:t>a</w:t>
      </w:r>
      <w:r w:rsidRPr="0059512C">
        <w:rPr>
          <w:szCs w:val="22"/>
        </w:rPr>
        <w:t xml:space="preserve">pplication </w:t>
      </w:r>
      <w:r w:rsidRPr="0059512C" w:rsidR="00FE1101">
        <w:rPr>
          <w:szCs w:val="22"/>
        </w:rPr>
        <w:t>f</w:t>
      </w:r>
      <w:r w:rsidRPr="0059512C">
        <w:rPr>
          <w:szCs w:val="22"/>
        </w:rPr>
        <w:t xml:space="preserve">ees by moving from a schedule established by statute and </w:t>
      </w:r>
      <w:r w:rsidRPr="0059512C" w:rsidR="00502BAD">
        <w:rPr>
          <w:szCs w:val="22"/>
        </w:rPr>
        <w:t>updated to keep pace with</w:t>
      </w:r>
      <w:r w:rsidRPr="0059512C" w:rsidR="00524C71">
        <w:rPr>
          <w:szCs w:val="22"/>
        </w:rPr>
        <w:t xml:space="preserve"> the </w:t>
      </w:r>
      <w:r w:rsidRPr="0059512C" w:rsidR="002E0396">
        <w:rPr>
          <w:szCs w:val="22"/>
        </w:rPr>
        <w:t xml:space="preserve">Consumer Price Index </w:t>
      </w:r>
      <w:r w:rsidRPr="0059512C" w:rsidR="00524C71">
        <w:rPr>
          <w:szCs w:val="22"/>
        </w:rPr>
        <w:t xml:space="preserve">to one </w:t>
      </w:r>
      <w:r w:rsidRPr="0059512C" w:rsidR="00502BAD">
        <w:rPr>
          <w:szCs w:val="22"/>
        </w:rPr>
        <w:t xml:space="preserve">where the Commission has discretion to amend the schedule of application fees itself and set them </w:t>
      </w:r>
      <w:r w:rsidRPr="0059512C" w:rsidR="00524C71">
        <w:rPr>
          <w:szCs w:val="22"/>
        </w:rPr>
        <w:t xml:space="preserve">based on </w:t>
      </w:r>
      <w:r w:rsidRPr="0059512C" w:rsidR="00502BAD">
        <w:rPr>
          <w:szCs w:val="22"/>
        </w:rPr>
        <w:t>the “costs of the Commission to process applications.”</w:t>
      </w:r>
      <w:r>
        <w:rPr>
          <w:rStyle w:val="FootnoteReference"/>
        </w:rPr>
        <w:footnoteReference w:id="24"/>
      </w:r>
      <w:r w:rsidRPr="0059512C" w:rsidR="00502BAD">
        <w:rPr>
          <w:szCs w:val="22"/>
        </w:rPr>
        <w:t xml:space="preserve">  </w:t>
      </w:r>
      <w:r w:rsidRPr="0059512C" w:rsidR="00FC3F08">
        <w:rPr>
          <w:szCs w:val="22"/>
        </w:rPr>
        <w:t>To implement the RAY BAUM’S Act</w:t>
      </w:r>
      <w:r w:rsidRPr="0059512C" w:rsidR="00502BAD">
        <w:rPr>
          <w:szCs w:val="22"/>
        </w:rPr>
        <w:t>, we propose a new streamlined schedule of application fees that aligns with the types of applications the Commission now receives and correlates the fees charged to the costs of processing the associated applications</w:t>
      </w:r>
      <w:r w:rsidRPr="0059512C" w:rsidR="00513166">
        <w:rPr>
          <w:szCs w:val="22"/>
        </w:rPr>
        <w:t xml:space="preserve">.  </w:t>
      </w:r>
      <w:r w:rsidRPr="0060706A" w:rsidR="00DE49B4">
        <w:t>In mak</w:t>
      </w:r>
      <w:r w:rsidRPr="0060706A">
        <w:t>ing</w:t>
      </w:r>
      <w:r w:rsidRPr="0060706A" w:rsidR="00DE49B4">
        <w:t xml:space="preserve"> our proposals under the revised statutory framework, we propose to adopt as our overarching goals that our framework for assessing application fees are fair, administrable, and sustainable.</w:t>
      </w:r>
      <w:r>
        <w:rPr>
          <w:rStyle w:val="FootnoteReference"/>
        </w:rPr>
        <w:footnoteReference w:id="25"/>
      </w:r>
      <w:r w:rsidRPr="0060706A" w:rsidR="00DE49B4">
        <w:t xml:space="preserve"> </w:t>
      </w:r>
    </w:p>
    <w:p w:rsidR="00502BAD" w:rsidRPr="00B13758" w:rsidP="00F364EF">
      <w:pPr>
        <w:pStyle w:val="ParaNum"/>
        <w:tabs>
          <w:tab w:val="left" w:pos="810"/>
        </w:tabs>
      </w:pPr>
      <w:r>
        <w:rPr>
          <w:szCs w:val="22"/>
        </w:rPr>
        <w:t>W</w:t>
      </w:r>
      <w:r w:rsidRPr="0059512C" w:rsidR="00E9332A">
        <w:rPr>
          <w:szCs w:val="22"/>
        </w:rPr>
        <w:t xml:space="preserve">e are </w:t>
      </w:r>
      <w:r w:rsidRPr="0059512C" w:rsidR="007B4DB8">
        <w:rPr>
          <w:szCs w:val="22"/>
        </w:rPr>
        <w:t xml:space="preserve">seeking comment on </w:t>
      </w:r>
      <w:r w:rsidRPr="0059512C" w:rsidR="00E9332A">
        <w:rPr>
          <w:szCs w:val="22"/>
        </w:rPr>
        <w:t xml:space="preserve">consolidating the </w:t>
      </w:r>
      <w:r w:rsidRPr="0059512C" w:rsidR="00DE49B4">
        <w:rPr>
          <w:szCs w:val="22"/>
        </w:rPr>
        <w:t xml:space="preserve">application fees assessed on </w:t>
      </w:r>
      <w:r w:rsidRPr="0059512C" w:rsidR="00E9332A">
        <w:rPr>
          <w:szCs w:val="22"/>
        </w:rPr>
        <w:t>licenses for wireless services</w:t>
      </w:r>
      <w:r w:rsidRPr="0059512C" w:rsidR="00B75CAE">
        <w:rPr>
          <w:szCs w:val="22"/>
        </w:rPr>
        <w:t>—</w:t>
      </w:r>
      <w:r w:rsidRPr="0059512C" w:rsidR="00805451">
        <w:rPr>
          <w:szCs w:val="22"/>
        </w:rPr>
        <w:t>i</w:t>
      </w:r>
      <w:r w:rsidRPr="0059512C" w:rsidR="00E9332A">
        <w:rPr>
          <w:szCs w:val="22"/>
        </w:rPr>
        <w:t xml:space="preserve">nstead of separate application fees for each application in each wireless service, we are </w:t>
      </w:r>
      <w:r w:rsidRPr="0059512C" w:rsidR="007B4DB8">
        <w:rPr>
          <w:szCs w:val="22"/>
        </w:rPr>
        <w:t xml:space="preserve">proposing to </w:t>
      </w:r>
      <w:r w:rsidRPr="0059512C" w:rsidR="00E9332A">
        <w:rPr>
          <w:szCs w:val="22"/>
        </w:rPr>
        <w:t>consolidat</w:t>
      </w:r>
      <w:r w:rsidRPr="0059512C" w:rsidR="007B4DB8">
        <w:rPr>
          <w:szCs w:val="22"/>
        </w:rPr>
        <w:t>e</w:t>
      </w:r>
      <w:r w:rsidRPr="0059512C" w:rsidR="00E9332A">
        <w:rPr>
          <w:szCs w:val="22"/>
        </w:rPr>
        <w:t xml:space="preserve"> the application </w:t>
      </w:r>
      <w:r w:rsidRPr="0059512C" w:rsidR="00DE49B4">
        <w:rPr>
          <w:szCs w:val="22"/>
        </w:rPr>
        <w:t xml:space="preserve">fees </w:t>
      </w:r>
      <w:r w:rsidRPr="0059512C" w:rsidR="00E9332A">
        <w:rPr>
          <w:szCs w:val="22"/>
        </w:rPr>
        <w:t xml:space="preserve">into site-based licenses, personal licenses, and geographic-based licenses. </w:t>
      </w:r>
      <w:r w:rsidRPr="0059512C" w:rsidR="003E35D9">
        <w:rPr>
          <w:szCs w:val="22"/>
        </w:rPr>
        <w:t xml:space="preserve"> </w:t>
      </w:r>
      <w:r w:rsidRPr="0059512C" w:rsidR="007B4DB8">
        <w:rPr>
          <w:szCs w:val="22"/>
        </w:rPr>
        <w:t>We seek comment on consolidat</w:t>
      </w:r>
      <w:r w:rsidRPr="0059512C" w:rsidR="003E4473">
        <w:rPr>
          <w:szCs w:val="22"/>
        </w:rPr>
        <w:t xml:space="preserve">ing some of </w:t>
      </w:r>
      <w:r w:rsidRPr="0059512C" w:rsidR="007B4DB8">
        <w:rPr>
          <w:szCs w:val="22"/>
        </w:rPr>
        <w:t>t</w:t>
      </w:r>
      <w:r w:rsidRPr="0059512C" w:rsidR="000A29D0">
        <w:rPr>
          <w:szCs w:val="22"/>
        </w:rPr>
        <w:t>he application</w:t>
      </w:r>
      <w:r w:rsidRPr="0059512C" w:rsidR="00DE49B4">
        <w:rPr>
          <w:szCs w:val="22"/>
        </w:rPr>
        <w:t xml:space="preserve"> fee</w:t>
      </w:r>
      <w:r w:rsidRPr="0059512C" w:rsidR="000A29D0">
        <w:rPr>
          <w:szCs w:val="22"/>
        </w:rPr>
        <w:t>s for l</w:t>
      </w:r>
      <w:r w:rsidRPr="0059512C" w:rsidR="007B4DB8">
        <w:rPr>
          <w:szCs w:val="22"/>
        </w:rPr>
        <w:t xml:space="preserve">icenses from the Media Bureau and removing some </w:t>
      </w:r>
      <w:r w:rsidRPr="0059512C" w:rsidR="00CC2BE7">
        <w:rPr>
          <w:szCs w:val="22"/>
        </w:rPr>
        <w:t>M</w:t>
      </w:r>
      <w:r w:rsidRPr="0059512C" w:rsidR="00264769">
        <w:rPr>
          <w:szCs w:val="22"/>
        </w:rPr>
        <w:t xml:space="preserve">edia </w:t>
      </w:r>
      <w:r w:rsidRPr="0059512C" w:rsidR="00CC2BE7">
        <w:rPr>
          <w:szCs w:val="22"/>
        </w:rPr>
        <w:t xml:space="preserve">Bureau </w:t>
      </w:r>
      <w:r w:rsidRPr="0059512C" w:rsidR="007B4DB8">
        <w:rPr>
          <w:szCs w:val="22"/>
        </w:rPr>
        <w:t xml:space="preserve">applications from the fee schedule.  </w:t>
      </w:r>
      <w:r w:rsidRPr="0059512C">
        <w:rPr>
          <w:szCs w:val="22"/>
        </w:rPr>
        <w:t xml:space="preserve">In </w:t>
      </w:r>
      <w:r w:rsidRPr="0059512C">
        <w:rPr>
          <w:szCs w:val="22"/>
        </w:rPr>
        <w:t xml:space="preserve">addition, we are seeking comment on new application fees for certain applications in the Wireline Competition Bureau that currently do not have fees.  </w:t>
      </w:r>
      <w:r w:rsidRPr="0059512C" w:rsidR="00A214AB">
        <w:rPr>
          <w:szCs w:val="22"/>
        </w:rPr>
        <w:t xml:space="preserve">For applications for international services, we are proposing to </w:t>
      </w:r>
      <w:r w:rsidRPr="0059512C" w:rsidR="00264769">
        <w:rPr>
          <w:szCs w:val="22"/>
        </w:rPr>
        <w:t>consolidate some of the application</w:t>
      </w:r>
      <w:r w:rsidRPr="0059512C" w:rsidR="00DE49B4">
        <w:rPr>
          <w:szCs w:val="22"/>
        </w:rPr>
        <w:t xml:space="preserve"> fee</w:t>
      </w:r>
      <w:r w:rsidRPr="0059512C" w:rsidR="00264769">
        <w:rPr>
          <w:szCs w:val="22"/>
        </w:rPr>
        <w:t xml:space="preserve">s for space stations and earth stations.  We also propose new application fees for some </w:t>
      </w:r>
      <w:r w:rsidRPr="0059512C" w:rsidR="00B75CAE">
        <w:rPr>
          <w:szCs w:val="22"/>
        </w:rPr>
        <w:t xml:space="preserve">international </w:t>
      </w:r>
      <w:r w:rsidRPr="0059512C" w:rsidR="00264769">
        <w:rPr>
          <w:szCs w:val="22"/>
        </w:rPr>
        <w:t xml:space="preserve">services, such as petitions for </w:t>
      </w:r>
      <w:r w:rsidRPr="0059512C" w:rsidR="00CC2BE7">
        <w:rPr>
          <w:szCs w:val="22"/>
        </w:rPr>
        <w:t xml:space="preserve">United States </w:t>
      </w:r>
      <w:r w:rsidRPr="0059512C" w:rsidR="00264769">
        <w:rPr>
          <w:szCs w:val="22"/>
        </w:rPr>
        <w:t xml:space="preserve">market access for foreign space stations.  </w:t>
      </w:r>
      <w:r w:rsidRPr="0059512C" w:rsidR="00261F9E">
        <w:rPr>
          <w:szCs w:val="22"/>
        </w:rPr>
        <w:t xml:space="preserve">For all of the proposed fees, we are including estimates of the Commission’s costs in processing the applications.  We seek comment on the estimates and whether </w:t>
      </w:r>
      <w:r w:rsidRPr="0059512C" w:rsidR="007B4747">
        <w:rPr>
          <w:szCs w:val="22"/>
        </w:rPr>
        <w:t>we have included the appropriate steps in processing the application in estimating the costs.</w:t>
      </w:r>
      <w:r w:rsidRPr="0060706A" w:rsidR="00DE49B4">
        <w:t xml:space="preserve"> In making our proposals here, however, we remind commenters that our section 8 authority is distinct from the Commission’s authority with respect to other collections.</w:t>
      </w:r>
      <w:r>
        <w:rPr>
          <w:rStyle w:val="FootnoteReference"/>
        </w:rPr>
        <w:footnoteReference w:id="26"/>
      </w:r>
      <w:r w:rsidRPr="0060706A" w:rsidR="00DE49B4">
        <w:t xml:space="preserve">  Application fees collected by the Commission are deposited in the general fund of the U.S. Treasury and do not fund the Commission’s activities.</w:t>
      </w:r>
      <w:r>
        <w:rPr>
          <w:rStyle w:val="FootnoteReference"/>
        </w:rPr>
        <w:footnoteReference w:id="27"/>
      </w:r>
      <w:r w:rsidRPr="0060706A" w:rsidR="00DE49B4">
        <w:t xml:space="preserve">  In this context, we propose to take a careful approach and only categorize a limited set of activities as being including in the cost of processing applications for purposes of </w:t>
      </w:r>
      <w:r w:rsidR="00902881">
        <w:t>s</w:t>
      </w:r>
      <w:r w:rsidRPr="002E374F" w:rsidR="00DE49B4">
        <w:t>ection</w:t>
      </w:r>
      <w:r w:rsidRPr="0060706A" w:rsidR="00DE49B4">
        <w:t xml:space="preserve"> 8 fees.</w:t>
      </w:r>
    </w:p>
    <w:p w:rsidR="00F94E77" w:rsidRPr="0059512C" w:rsidP="00F94E77">
      <w:pPr>
        <w:pStyle w:val="Heading2"/>
        <w:rPr>
          <w:szCs w:val="22"/>
        </w:rPr>
      </w:pPr>
      <w:bookmarkStart w:id="67" w:name="_Toc16611315"/>
      <w:bookmarkStart w:id="68" w:name="_Toc17709346"/>
      <w:bookmarkStart w:id="69" w:name="_Toc17972525"/>
      <w:bookmarkStart w:id="70" w:name="_Toc18066902"/>
      <w:bookmarkStart w:id="71" w:name="_Toc18939763"/>
      <w:bookmarkStart w:id="72" w:name="_Toc19795063"/>
      <w:bookmarkStart w:id="73" w:name="_Toc19796428"/>
      <w:bookmarkStart w:id="74" w:name="_Toc19796785"/>
      <w:bookmarkStart w:id="75" w:name="_Toc22299862"/>
      <w:bookmarkStart w:id="76" w:name="_Toc24453214"/>
      <w:bookmarkStart w:id="77" w:name="_Toc28005079"/>
      <w:bookmarkStart w:id="78" w:name="_Toc29557379"/>
      <w:bookmarkStart w:id="79" w:name="_Toc30085271"/>
      <w:bookmarkStart w:id="80" w:name="_Toc30085367"/>
      <w:bookmarkStart w:id="81" w:name="_Toc31033133"/>
      <w:bookmarkStart w:id="82" w:name="_Toc31288144"/>
      <w:bookmarkStart w:id="83" w:name="_Toc31980678"/>
      <w:bookmarkStart w:id="84" w:name="_Toc35268557"/>
      <w:bookmarkStart w:id="85" w:name="_Toc42256283"/>
      <w:bookmarkStart w:id="86" w:name="_Toc44581649"/>
      <w:r w:rsidRPr="0059512C">
        <w:rPr>
          <w:szCs w:val="22"/>
        </w:rPr>
        <w:t>A Streamlined</w:t>
      </w:r>
      <w:r w:rsidRPr="0059512C" w:rsidR="00CC0CD9">
        <w:rPr>
          <w:szCs w:val="22"/>
        </w:rPr>
        <w:t xml:space="preserve"> Application</w:t>
      </w:r>
      <w:r w:rsidRPr="0059512C" w:rsidR="00FD013B">
        <w:rPr>
          <w:szCs w:val="22"/>
        </w:rPr>
        <w:t xml:space="preserve"> </w:t>
      </w:r>
      <w:r w:rsidRPr="0059512C">
        <w:rPr>
          <w:szCs w:val="22"/>
        </w:rPr>
        <w:t>Fee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9512C">
        <w:rPr>
          <w:szCs w:val="22"/>
        </w:rPr>
        <w:t xml:space="preserve"> Schedule</w:t>
      </w:r>
      <w:bookmarkEnd w:id="84"/>
      <w:bookmarkEnd w:id="85"/>
      <w:bookmarkEnd w:id="86"/>
    </w:p>
    <w:p w:rsidR="00424D70" w:rsidRPr="0059512C" w:rsidP="006D35FC">
      <w:pPr>
        <w:pStyle w:val="ParaNum"/>
        <w:rPr>
          <w:szCs w:val="22"/>
        </w:rPr>
      </w:pPr>
      <w:r w:rsidRPr="0059512C">
        <w:rPr>
          <w:szCs w:val="22"/>
        </w:rPr>
        <w:t xml:space="preserve">We propose to streamline our schedule of application fees, consolidating the </w:t>
      </w:r>
      <w:r w:rsidRPr="0059512C" w:rsidR="00F65F2F">
        <w:rPr>
          <w:szCs w:val="22"/>
        </w:rPr>
        <w:t>eight</w:t>
      </w:r>
      <w:r w:rsidRPr="0059512C">
        <w:rPr>
          <w:szCs w:val="22"/>
        </w:rPr>
        <w:t xml:space="preserve"> separate categories of fees currently in our rules down to </w:t>
      </w:r>
      <w:r w:rsidRPr="0059512C" w:rsidR="00F65F2F">
        <w:rPr>
          <w:szCs w:val="22"/>
        </w:rPr>
        <w:t>five</w:t>
      </w:r>
      <w:r w:rsidRPr="0059512C">
        <w:rPr>
          <w:szCs w:val="22"/>
        </w:rPr>
        <w:t xml:space="preserve"> functional categories:  Wireless Lic</w:t>
      </w:r>
      <w:r w:rsidRPr="0059512C">
        <w:rPr>
          <w:szCs w:val="22"/>
        </w:rPr>
        <w:t>ensing Fees, Media Licensing Fees, Equipment Approval Fees, Domestic Service Fees, and International Service Fees.  In conjunction with this consolidation, we propose to consolidate our approach to listing application fees, reducing the total number of app</w:t>
      </w:r>
      <w:r w:rsidRPr="0059512C">
        <w:rPr>
          <w:szCs w:val="22"/>
        </w:rPr>
        <w:t xml:space="preserve">lication fees from 450 to </w:t>
      </w:r>
      <w:r w:rsidRPr="0059512C" w:rsidR="00020760">
        <w:rPr>
          <w:szCs w:val="22"/>
        </w:rPr>
        <w:t>167</w:t>
      </w:r>
      <w:r w:rsidRPr="0059512C" w:rsidR="002C75C9">
        <w:rPr>
          <w:szCs w:val="22"/>
        </w:rPr>
        <w:t xml:space="preserve">, while still including new fees for services that were not listed previously in </w:t>
      </w:r>
      <w:r w:rsidRPr="0059512C" w:rsidR="002C5658">
        <w:rPr>
          <w:szCs w:val="22"/>
        </w:rPr>
        <w:t>section 8 of the Act</w:t>
      </w:r>
      <w:r w:rsidRPr="0059512C" w:rsidR="002C75C9">
        <w:rPr>
          <w:szCs w:val="22"/>
        </w:rPr>
        <w:t xml:space="preserve">. </w:t>
      </w:r>
      <w:r w:rsidRPr="0059512C">
        <w:rPr>
          <w:szCs w:val="22"/>
        </w:rPr>
        <w:t xml:space="preserve"> We believe that this consolidation will provide a more straightforward roadmap for filers to determine </w:t>
      </w:r>
      <w:r w:rsidRPr="0059512C" w:rsidR="002C75C9">
        <w:rPr>
          <w:szCs w:val="22"/>
        </w:rPr>
        <w:t>what fees they owe with any given application filed with the Commission.  We seek comment on this approach.</w:t>
      </w:r>
    </w:p>
    <w:p w:rsidR="004D3F63" w:rsidRPr="0059512C" w:rsidP="009E3678">
      <w:pPr>
        <w:pStyle w:val="ParaNum"/>
        <w:rPr>
          <w:szCs w:val="22"/>
        </w:rPr>
      </w:pPr>
      <w:r w:rsidRPr="0059512C">
        <w:rPr>
          <w:szCs w:val="22"/>
        </w:rPr>
        <w:t>We propose specific application fees based o</w:t>
      </w:r>
      <w:r w:rsidRPr="0059512C">
        <w:rPr>
          <w:szCs w:val="22"/>
        </w:rPr>
        <w:t>n estimates of the direct labor costs to process a typical application, including all labor costs for identifiable tasks up through the first</w:t>
      </w:r>
      <w:r w:rsidR="00D969EB">
        <w:rPr>
          <w:szCs w:val="22"/>
        </w:rPr>
        <w:t xml:space="preserve"> </w:t>
      </w:r>
      <w:r w:rsidRPr="0059512C">
        <w:rPr>
          <w:szCs w:val="22"/>
        </w:rPr>
        <w:t>level of supervision.</w:t>
      </w:r>
      <w:r>
        <w:rPr>
          <w:rStyle w:val="FootnoteReference"/>
        </w:rPr>
        <w:footnoteReference w:id="28"/>
      </w:r>
      <w:r w:rsidRPr="0059512C">
        <w:rPr>
          <w:szCs w:val="22"/>
        </w:rPr>
        <w:t xml:space="preserve">  These estimates are based on a large number of applications processed by Commission staff</w:t>
      </w:r>
      <w:r w:rsidRPr="0059512C">
        <w:rPr>
          <w:szCs w:val="22"/>
        </w:rPr>
        <w:t xml:space="preserve"> and found to be typical in terms of the amount of time spent on processing.  For the cost-based data, we estimate the direct labor costs to process a particular application by multiplying (1) an estimate of the number of hours needed for each identifiable</w:t>
      </w:r>
      <w:r w:rsidRPr="0059512C">
        <w:rPr>
          <w:szCs w:val="22"/>
        </w:rPr>
        <w:t xml:space="preserve"> task, up to first</w:t>
      </w:r>
      <w:r w:rsidR="00B33628">
        <w:rPr>
          <w:szCs w:val="22"/>
        </w:rPr>
        <w:t>-</w:t>
      </w:r>
      <w:r w:rsidRPr="0059512C">
        <w:rPr>
          <w:szCs w:val="22"/>
        </w:rPr>
        <w:t>level supervisory tasks required to process the application; by (2) an estimate of the labor cost per hour for the employee that performs the task; by (3) an estimate of the probability that the task needs to be performed; and (4) summin</w:t>
      </w:r>
      <w:r w:rsidRPr="0059512C">
        <w:rPr>
          <w:szCs w:val="22"/>
        </w:rPr>
        <w:t xml:space="preserve">g the products of this multiplication for each task.  We estimate labor cost per hour for the various general schedule pay grades of the employees that process applications based on the </w:t>
      </w:r>
      <w:r w:rsidRPr="0059512C" w:rsidR="006664D0">
        <w:rPr>
          <w:szCs w:val="22"/>
        </w:rPr>
        <w:t xml:space="preserve">2020 </w:t>
      </w:r>
      <w:r w:rsidRPr="0059512C">
        <w:rPr>
          <w:szCs w:val="22"/>
        </w:rPr>
        <w:t>federal government pay table for Washington DC, at the step 5 lev</w:t>
      </w:r>
      <w:r w:rsidRPr="0059512C">
        <w:rPr>
          <w:szCs w:val="22"/>
        </w:rPr>
        <w:t>el, as we currently do under our F</w:t>
      </w:r>
      <w:r w:rsidR="00B33628">
        <w:rPr>
          <w:szCs w:val="22"/>
        </w:rPr>
        <w:t xml:space="preserve">reedom </w:t>
      </w:r>
      <w:r w:rsidRPr="0059512C">
        <w:rPr>
          <w:szCs w:val="22"/>
        </w:rPr>
        <w:t>O</w:t>
      </w:r>
      <w:r w:rsidR="00B33628">
        <w:rPr>
          <w:szCs w:val="22"/>
        </w:rPr>
        <w:t xml:space="preserve">f </w:t>
      </w:r>
      <w:r w:rsidRPr="0059512C">
        <w:rPr>
          <w:szCs w:val="22"/>
        </w:rPr>
        <w:t>I</w:t>
      </w:r>
      <w:r w:rsidR="00B33628">
        <w:rPr>
          <w:szCs w:val="22"/>
        </w:rPr>
        <w:t xml:space="preserve">nformation </w:t>
      </w:r>
      <w:r w:rsidRPr="0059512C">
        <w:rPr>
          <w:szCs w:val="22"/>
        </w:rPr>
        <w:t>A</w:t>
      </w:r>
      <w:r w:rsidR="00B33628">
        <w:rPr>
          <w:szCs w:val="22"/>
        </w:rPr>
        <w:t>ct</w:t>
      </w:r>
      <w:r w:rsidRPr="0059512C">
        <w:rPr>
          <w:szCs w:val="22"/>
        </w:rPr>
        <w:t xml:space="preserve"> rules</w:t>
      </w:r>
      <w:r w:rsidRPr="0059512C" w:rsidR="00951449">
        <w:rPr>
          <w:szCs w:val="22"/>
        </w:rPr>
        <w:t>;</w:t>
      </w:r>
      <w:r>
        <w:rPr>
          <w:rStyle w:val="FootnoteReference"/>
        </w:rPr>
        <w:footnoteReference w:id="29"/>
      </w:r>
      <w:r w:rsidRPr="0059512C">
        <w:rPr>
          <w:szCs w:val="22"/>
        </w:rPr>
        <w:t xml:space="preserve"> we estimate overhead costs at 20% of the salary level also per that rule, and we estimate each employee works 2,087 hours in one year.  We also round each fee to the nearest $5 increment,</w:t>
      </w:r>
      <w:r w:rsidRPr="0059512C">
        <w:rPr>
          <w:szCs w:val="22"/>
        </w:rPr>
        <w:t xml:space="preserve"> as required by section 8</w:t>
      </w:r>
      <w:r w:rsidRPr="0059512C" w:rsidR="00105A39">
        <w:rPr>
          <w:szCs w:val="22"/>
        </w:rPr>
        <w:t>,</w:t>
      </w:r>
      <w:r w:rsidRPr="0059512C">
        <w:rPr>
          <w:szCs w:val="22"/>
        </w:rPr>
        <w:t xml:space="preserve"> as amended.</w:t>
      </w:r>
      <w:r>
        <w:rPr>
          <w:rStyle w:val="FootnoteReference"/>
        </w:rPr>
        <w:footnoteReference w:id="30"/>
      </w:r>
      <w:r w:rsidRPr="0059512C">
        <w:rPr>
          <w:szCs w:val="22"/>
        </w:rPr>
        <w:t xml:space="preserve">  We seek comment on this approach.  More broadly, w</w:t>
      </w:r>
      <w:r w:rsidRPr="0059512C" w:rsidR="008C6624">
        <w:rPr>
          <w:szCs w:val="22"/>
        </w:rPr>
        <w:t xml:space="preserve">e seek comment on the </w:t>
      </w:r>
      <w:r w:rsidRPr="0059512C" w:rsidR="008C6624">
        <w:rPr>
          <w:szCs w:val="22"/>
        </w:rPr>
        <w:t>changes to application fees and whether they reasonably reflect current costs of application processing.</w:t>
      </w:r>
    </w:p>
    <w:p w:rsidR="00B3094B" w:rsidRPr="0059512C" w:rsidP="00020760">
      <w:pPr>
        <w:pStyle w:val="Heading3"/>
        <w:rPr>
          <w:szCs w:val="22"/>
        </w:rPr>
      </w:pPr>
      <w:bookmarkStart w:id="87" w:name="_Toc16611316"/>
      <w:bookmarkStart w:id="88" w:name="_Toc17709347"/>
      <w:bookmarkStart w:id="89" w:name="_Toc17972526"/>
      <w:bookmarkStart w:id="90" w:name="_Toc18066903"/>
      <w:bookmarkStart w:id="91" w:name="_Toc18939764"/>
      <w:bookmarkStart w:id="92" w:name="_Toc19795064"/>
      <w:bookmarkStart w:id="93" w:name="_Toc19796429"/>
      <w:bookmarkStart w:id="94" w:name="_Toc19796786"/>
      <w:bookmarkStart w:id="95" w:name="_Toc22299863"/>
      <w:bookmarkStart w:id="96" w:name="_Toc24453215"/>
      <w:bookmarkStart w:id="97" w:name="_Toc28005083"/>
      <w:bookmarkStart w:id="98" w:name="_Toc29557381"/>
      <w:bookmarkStart w:id="99" w:name="_Toc30085369"/>
      <w:bookmarkStart w:id="100" w:name="_Toc31033135"/>
      <w:bookmarkStart w:id="101" w:name="_Toc31288147"/>
      <w:bookmarkStart w:id="102" w:name="_Toc31980681"/>
      <w:bookmarkStart w:id="103" w:name="_Toc35268558"/>
      <w:bookmarkStart w:id="104" w:name="_Toc42256285"/>
      <w:bookmarkStart w:id="105" w:name="_Toc44581650"/>
      <w:r w:rsidRPr="0059512C">
        <w:rPr>
          <w:szCs w:val="22"/>
        </w:rPr>
        <w:t>Wireless Licensing Fees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36492D" w:rsidRPr="0059512C" w:rsidP="0036492D">
      <w:pPr>
        <w:pStyle w:val="ParaNum"/>
        <w:rPr>
          <w:szCs w:val="22"/>
        </w:rPr>
      </w:pPr>
      <w:r w:rsidRPr="0059512C">
        <w:rPr>
          <w:szCs w:val="22"/>
        </w:rPr>
        <w:t xml:space="preserve">The Wireless </w:t>
      </w:r>
      <w:r w:rsidRPr="0059512C">
        <w:rPr>
          <w:szCs w:val="22"/>
        </w:rPr>
        <w:t xml:space="preserve">Telecommunications Bureau processes applications for almost all wireless services, from fixed microwave links to amateur radio to mobile broadband services.  The Office of Engineering and Technology administers the </w:t>
      </w:r>
      <w:r w:rsidRPr="0059512C" w:rsidR="00AA0DFB">
        <w:rPr>
          <w:szCs w:val="22"/>
        </w:rPr>
        <w:t>e</w:t>
      </w:r>
      <w:r w:rsidRPr="0059512C">
        <w:rPr>
          <w:szCs w:val="22"/>
        </w:rPr>
        <w:t xml:space="preserve">xperimental </w:t>
      </w:r>
      <w:r w:rsidRPr="0059512C" w:rsidR="00AA0DFB">
        <w:rPr>
          <w:szCs w:val="22"/>
        </w:rPr>
        <w:t>r</w:t>
      </w:r>
      <w:r w:rsidRPr="0059512C">
        <w:rPr>
          <w:szCs w:val="22"/>
        </w:rPr>
        <w:t xml:space="preserve">adio </w:t>
      </w:r>
      <w:r w:rsidRPr="0059512C" w:rsidR="00AA0DFB">
        <w:rPr>
          <w:szCs w:val="22"/>
        </w:rPr>
        <w:t>s</w:t>
      </w:r>
      <w:r w:rsidRPr="0059512C">
        <w:rPr>
          <w:szCs w:val="22"/>
        </w:rPr>
        <w:t xml:space="preserve">ervice under </w:t>
      </w:r>
      <w:r w:rsidRPr="0059512C" w:rsidR="00AA0DFB">
        <w:rPr>
          <w:szCs w:val="22"/>
        </w:rPr>
        <w:t>Part</w:t>
      </w:r>
      <w:r w:rsidRPr="0059512C">
        <w:rPr>
          <w:szCs w:val="22"/>
        </w:rPr>
        <w:t xml:space="preserve"> 5 o</w:t>
      </w:r>
      <w:r w:rsidRPr="0059512C">
        <w:rPr>
          <w:szCs w:val="22"/>
        </w:rPr>
        <w:t>f the FCC rules.</w:t>
      </w:r>
    </w:p>
    <w:p w:rsidR="00AA0DFB" w:rsidRPr="0059512C" w:rsidP="00AA0DFB">
      <w:pPr>
        <w:pStyle w:val="ParaNum"/>
        <w:rPr>
          <w:szCs w:val="22"/>
        </w:rPr>
      </w:pPr>
      <w:r w:rsidRPr="0059512C">
        <w:rPr>
          <w:szCs w:val="22"/>
        </w:rPr>
        <w:t>The Commission currently has a patchwork of service-specific application fees for wireless radio services.  Specifically, the current application fee schedule consists of separate application fees for 19 different categories of wireless li</w:t>
      </w:r>
      <w:r w:rsidRPr="0059512C">
        <w:rPr>
          <w:szCs w:val="22"/>
        </w:rPr>
        <w:t>censes as well as a separate category for experimental radio services, with each category containing multiple fees.  These categories of fees were adopted years ago, and they include only those radio services specified in the Act.  This service-specific ap</w:t>
      </w:r>
      <w:r w:rsidRPr="0059512C">
        <w:rPr>
          <w:szCs w:val="22"/>
        </w:rPr>
        <w:t xml:space="preserve">proach has had several shortcomings.  </w:t>
      </w:r>
      <w:r w:rsidRPr="0059512C">
        <w:rPr>
          <w:i/>
          <w:iCs/>
          <w:szCs w:val="22"/>
        </w:rPr>
        <w:t>First</w:t>
      </w:r>
      <w:r w:rsidRPr="0059512C">
        <w:rPr>
          <w:szCs w:val="22"/>
        </w:rPr>
        <w:t xml:space="preserve">, it has been complicated to administer and difficult for the public to understand.  </w:t>
      </w:r>
      <w:r w:rsidRPr="0059512C">
        <w:rPr>
          <w:i/>
          <w:iCs/>
          <w:szCs w:val="22"/>
        </w:rPr>
        <w:t>Second</w:t>
      </w:r>
      <w:r w:rsidRPr="0059512C">
        <w:rPr>
          <w:szCs w:val="22"/>
        </w:rPr>
        <w:t xml:space="preserve">, the approach has resulted in different fees for similar types of application processing efforts primarily due to differences in how radio services are designated.  </w:t>
      </w:r>
      <w:r w:rsidRPr="0059512C">
        <w:rPr>
          <w:i/>
          <w:iCs/>
          <w:szCs w:val="22"/>
        </w:rPr>
        <w:t>Third</w:t>
      </w:r>
      <w:r w:rsidRPr="0059512C">
        <w:rPr>
          <w:szCs w:val="22"/>
        </w:rPr>
        <w:t>, the current fee schedule does not assess fees for applications for new wireless ser</w:t>
      </w:r>
      <w:r w:rsidRPr="0059512C">
        <w:rPr>
          <w:szCs w:val="22"/>
        </w:rPr>
        <w:t>vices that are not listed in the Act.</w:t>
      </w:r>
    </w:p>
    <w:p w:rsidR="009E3678" w:rsidRPr="0059512C" w:rsidP="00AA0DFB">
      <w:pPr>
        <w:pStyle w:val="ParaNum"/>
        <w:rPr>
          <w:szCs w:val="22"/>
        </w:rPr>
      </w:pPr>
      <w:r w:rsidRPr="0059512C">
        <w:rPr>
          <w:szCs w:val="22"/>
        </w:rPr>
        <w:t>We propose to address the</w:t>
      </w:r>
      <w:r w:rsidR="00F64F2F">
        <w:rPr>
          <w:szCs w:val="22"/>
        </w:rPr>
        <w:t>se</w:t>
      </w:r>
      <w:r w:rsidRPr="0059512C">
        <w:rPr>
          <w:szCs w:val="22"/>
        </w:rPr>
        <w:t xml:space="preserve"> shortcomings by charging fees for all services, as required by the new law, and by consolidating the fees into four categories so that we charge the same fees for similar types of applicatio</w:t>
      </w:r>
      <w:r w:rsidRPr="0059512C">
        <w:rPr>
          <w:szCs w:val="22"/>
        </w:rPr>
        <w:t>n processing work: site-based, personal, geographic-based, and experimental.  We note that the Commission’s software platform for licensing, the Universal Licensing System</w:t>
      </w:r>
      <w:r w:rsidR="00B33628">
        <w:rPr>
          <w:szCs w:val="22"/>
        </w:rPr>
        <w:t xml:space="preserve"> (ULS)</w:t>
      </w:r>
      <w:r w:rsidRPr="0059512C">
        <w:rPr>
          <w:szCs w:val="22"/>
        </w:rPr>
        <w:t>, provides for the filing, review, and disposition of all types of license appl</w:t>
      </w:r>
      <w:r w:rsidRPr="0059512C">
        <w:rPr>
          <w:szCs w:val="22"/>
        </w:rPr>
        <w:t>ications in the Wireless Radio Services, including auctioned geographic licenses, site-based licenses, and personal licenses.  We propose that as new services are licensed, they would be included in the appropriate category.  Our proposal would simplify an</w:t>
      </w:r>
      <w:r w:rsidRPr="0059512C">
        <w:rPr>
          <w:szCs w:val="22"/>
        </w:rPr>
        <w:t xml:space="preserve">d harmonize the fee structure and would benefit the public by making our assessment of fees more equitable and clearer to understand.  In addition, the proposed approach would be easier to implement and, accordingly, would reduce administrative burdens on </w:t>
      </w:r>
      <w:r w:rsidRPr="0059512C">
        <w:rPr>
          <w:szCs w:val="22"/>
        </w:rPr>
        <w:t xml:space="preserve">applicants and the Commission.  </w:t>
      </w:r>
    </w:p>
    <w:p w:rsidR="00AA0DFB" w:rsidRPr="0059512C" w:rsidP="00AA0DFB">
      <w:pPr>
        <w:pStyle w:val="ParaNum"/>
        <w:rPr>
          <w:szCs w:val="22"/>
        </w:rPr>
      </w:pPr>
      <w:r w:rsidRPr="0059512C">
        <w:rPr>
          <w:szCs w:val="22"/>
        </w:rPr>
        <w:t>We seek comment our approach and on the following schedule for wireless licensing fees.</w:t>
      </w:r>
      <w:r w:rsidRPr="0059512C" w:rsidR="009E3678">
        <w:rPr>
          <w:szCs w:val="22"/>
        </w:rPr>
        <w:t xml:space="preserve">  We note that a reference table of wireless radio service codes is contained in Appendix </w:t>
      </w:r>
      <w:r w:rsidRPr="00405B6C" w:rsidR="009E3678">
        <w:rPr>
          <w:szCs w:val="22"/>
        </w:rPr>
        <w:t>C.</w:t>
      </w:r>
    </w:p>
    <w:p w:rsidR="00B3094B" w:rsidRPr="0059512C" w:rsidP="00020760">
      <w:pPr>
        <w:pStyle w:val="Heading4"/>
        <w:rPr>
          <w:szCs w:val="22"/>
        </w:rPr>
      </w:pPr>
      <w:bookmarkStart w:id="106" w:name="_Toc18066904"/>
      <w:bookmarkStart w:id="107" w:name="_Toc18939765"/>
      <w:bookmarkStart w:id="108" w:name="_Toc19795065"/>
      <w:bookmarkStart w:id="109" w:name="_Toc19796430"/>
      <w:bookmarkStart w:id="110" w:name="_Toc19796787"/>
      <w:bookmarkStart w:id="111" w:name="_Toc28005084"/>
      <w:bookmarkStart w:id="112" w:name="_Toc29557382"/>
      <w:bookmarkStart w:id="113" w:name="_Toc35268559"/>
      <w:r w:rsidRPr="0059512C">
        <w:rPr>
          <w:szCs w:val="22"/>
        </w:rPr>
        <w:t>Site-Based Licenses</w:t>
      </w:r>
      <w:bookmarkEnd w:id="106"/>
      <w:bookmarkEnd w:id="107"/>
      <w:bookmarkEnd w:id="108"/>
      <w:bookmarkEnd w:id="109"/>
      <w:bookmarkEnd w:id="110"/>
      <w:bookmarkEnd w:id="111"/>
      <w:bookmarkEnd w:id="112"/>
      <w:bookmarkEnd w:id="113"/>
    </w:p>
    <w:p w:rsidR="00AA0DFB" w:rsidRPr="0059512C" w:rsidP="009E3678">
      <w:pPr>
        <w:pStyle w:val="ParaNum"/>
        <w:rPr>
          <w:szCs w:val="22"/>
        </w:rPr>
      </w:pPr>
      <w:bookmarkStart w:id="114" w:name="_Hlk31098188"/>
      <w:r w:rsidRPr="0059512C">
        <w:rPr>
          <w:szCs w:val="22"/>
        </w:rPr>
        <w:t>Site-based licensed ser</w:t>
      </w:r>
      <w:r w:rsidRPr="0059512C">
        <w:rPr>
          <w:szCs w:val="22"/>
        </w:rPr>
        <w:t>vices include land mobile systems (one or more base stations communicating with mobile devices, or mobile-only systems), point-to-point systems (two stations using a spectrum band to form a data communications path), point-to-multipoint systems (one or mor</w:t>
      </w:r>
      <w:r w:rsidRPr="0059512C">
        <w:rPr>
          <w:szCs w:val="22"/>
        </w:rPr>
        <w:t>e base stations that communicate with fixed remote units), as well as radiolocation and radionavigation systems. Applications to authorize these types of radio systems should be subject to the same assessment of fees because the applications contain simila</w:t>
      </w:r>
      <w:r w:rsidRPr="0059512C">
        <w:rPr>
          <w:szCs w:val="22"/>
        </w:rPr>
        <w:t>r types of data (location, antenna, frequency, path, mobile devices) and the applications often require technical analysis and review by Commission staff.  Specifically, an applicant’s initial application for authorization generally provides the exact tech</w:t>
      </w:r>
      <w:r w:rsidRPr="0059512C">
        <w:rPr>
          <w:szCs w:val="22"/>
        </w:rPr>
        <w:t xml:space="preserve">nical parameters of its planned operations (such as transmitter location, area of operation, desired frequency(s)/band(s), power levels).  Deviation from the specific authorized parameters requires the licensee to file an application to modify the station </w:t>
      </w:r>
      <w:r w:rsidRPr="0059512C">
        <w:rPr>
          <w:szCs w:val="22"/>
        </w:rPr>
        <w:t>which, depending on the nature of the modifications, may require prior approval (major modifications) or may simply require notification after the fact (minor modifications).  The construction notification (where required) confirms construction based on au</w:t>
      </w:r>
      <w:r w:rsidRPr="0059512C">
        <w:rPr>
          <w:szCs w:val="22"/>
        </w:rPr>
        <w:t xml:space="preserve">thorized parameters, and the licensee’s renewal request confirms continued operation at those parameters.  As such, applications in these services generally involve detailed, often technical review prior to initial authorization or major modification, and </w:t>
      </w:r>
      <w:r w:rsidRPr="0059512C">
        <w:rPr>
          <w:szCs w:val="22"/>
        </w:rPr>
        <w:t xml:space="preserve">administrative review of minor modifications and at the construction and renewal deadlines.  </w:t>
      </w:r>
    </w:p>
    <w:p w:rsidR="0066038D" w:rsidRPr="0059512C" w:rsidP="008272E8">
      <w:pPr>
        <w:pStyle w:val="ParaNum"/>
        <w:rPr>
          <w:szCs w:val="22"/>
        </w:rPr>
      </w:pPr>
      <w:r w:rsidRPr="0059512C">
        <w:rPr>
          <w:szCs w:val="22"/>
        </w:rPr>
        <w:t>In 2019</w:t>
      </w:r>
      <w:r w:rsidR="003876C4">
        <w:rPr>
          <w:szCs w:val="22"/>
        </w:rPr>
        <w:t>,</w:t>
      </w:r>
      <w:r w:rsidRPr="0059512C">
        <w:rPr>
          <w:szCs w:val="22"/>
        </w:rPr>
        <w:t xml:space="preserve"> the Commission received over 179,000 site-based license applications.  Accordingly, a significant amount of staff time is spent each year reviewing and a</w:t>
      </w:r>
      <w:r w:rsidRPr="0059512C">
        <w:rPr>
          <w:szCs w:val="22"/>
        </w:rPr>
        <w:t xml:space="preserve">nalyzing site-based license applications where the applicant proposes a specific system configuration with detailed operating parameters.  </w:t>
      </w:r>
      <w:bookmarkEnd w:id="114"/>
    </w:p>
    <w:p w:rsidR="00B3094B" w:rsidRPr="0059512C" w:rsidP="00A45E95">
      <w:pPr>
        <w:pStyle w:val="ParaNum"/>
        <w:rPr>
          <w:szCs w:val="22"/>
        </w:rPr>
      </w:pPr>
      <w:r w:rsidRPr="0059512C">
        <w:rPr>
          <w:szCs w:val="22"/>
        </w:rPr>
        <w:t xml:space="preserve">We propose and seek comment on adopting </w:t>
      </w:r>
      <w:r w:rsidRPr="0059512C" w:rsidR="00A45E95">
        <w:rPr>
          <w:szCs w:val="22"/>
        </w:rPr>
        <w:t>the following cost-based</w:t>
      </w:r>
      <w:r w:rsidRPr="0059512C">
        <w:rPr>
          <w:szCs w:val="22"/>
        </w:rPr>
        <w:t xml:space="preserve"> fees for </w:t>
      </w:r>
      <w:r w:rsidR="003876C4">
        <w:rPr>
          <w:szCs w:val="22"/>
        </w:rPr>
        <w:t>site-based</w:t>
      </w:r>
      <w:r w:rsidR="005F066B">
        <w:rPr>
          <w:szCs w:val="22"/>
        </w:rPr>
        <w:t xml:space="preserve"> license</w:t>
      </w:r>
      <w:r w:rsidRPr="0059512C">
        <w:rPr>
          <w:szCs w:val="22"/>
        </w:rPr>
        <w:t xml:space="preserve"> applications</w:t>
      </w:r>
      <w:r w:rsidRPr="0059512C" w:rsidR="00A45E95">
        <w:rPr>
          <w:szCs w:val="22"/>
        </w:rPr>
        <w:t xml:space="preserve">—and we give as an example the current fees for one type of site-based license, common carrier </w:t>
      </w:r>
      <w:r w:rsidRPr="0059512C" w:rsidR="00E22861">
        <w:rPr>
          <w:szCs w:val="22"/>
        </w:rPr>
        <w:t xml:space="preserve">point-to-point </w:t>
      </w:r>
      <w:r w:rsidRPr="0059512C" w:rsidR="00A45E95">
        <w:rPr>
          <w:szCs w:val="22"/>
        </w:rPr>
        <w:t>microwave service</w:t>
      </w:r>
      <w:r w:rsidRPr="0059512C">
        <w:rPr>
          <w:szCs w:val="22"/>
        </w:rPr>
        <w:t>.</w:t>
      </w:r>
      <w:r w:rsidRPr="0059512C" w:rsidR="00A45E95">
        <w:rPr>
          <w:szCs w:val="22"/>
        </w:rPr>
        <w:t xml:space="preserve">  </w:t>
      </w:r>
      <w:r w:rsidRPr="0059512C">
        <w:rPr>
          <w:szCs w:val="22"/>
        </w:rPr>
        <w:t>All fees are per call sign unless otherwise noted.</w:t>
      </w:r>
    </w:p>
    <w:tbl>
      <w:tblPr>
        <w:tblStyle w:val="TableGrid"/>
        <w:tblW w:w="8640" w:type="dxa"/>
        <w:tblInd w:w="85" w:type="dxa"/>
        <w:tblLook w:val="04A0"/>
      </w:tblPr>
      <w:tblGrid>
        <w:gridCol w:w="2880"/>
        <w:gridCol w:w="2880"/>
        <w:gridCol w:w="2880"/>
      </w:tblGrid>
      <w:tr w:rsidTr="00A45E95">
        <w:tblPrEx>
          <w:tblW w:w="8640" w:type="dxa"/>
          <w:tblInd w:w="85" w:type="dxa"/>
          <w:tblLook w:val="04A0"/>
        </w:tblPrEx>
        <w:tc>
          <w:tcPr>
            <w:tcW w:w="2880" w:type="dxa"/>
          </w:tcPr>
          <w:p w:rsidR="00B3094B" w:rsidRPr="0059512C" w:rsidP="00A45E95">
            <w:pPr>
              <w:pStyle w:val="ParaNum"/>
              <w:keepNext/>
              <w:widowControl/>
              <w:numPr>
                <w:ilvl w:val="0"/>
                <w:numId w:val="0"/>
              </w:numPr>
              <w:rPr>
                <w:b/>
                <w:szCs w:val="22"/>
              </w:rPr>
            </w:pPr>
            <w:r w:rsidRPr="0059512C">
              <w:rPr>
                <w:b/>
                <w:szCs w:val="22"/>
              </w:rPr>
              <w:t xml:space="preserve">Type of </w:t>
            </w:r>
            <w:r w:rsidRPr="0059512C" w:rsidR="00E22861">
              <w:rPr>
                <w:b/>
                <w:szCs w:val="22"/>
              </w:rPr>
              <w:t xml:space="preserve">Site-Based Licensing </w:t>
            </w:r>
            <w:r w:rsidRPr="0059512C">
              <w:rPr>
                <w:b/>
                <w:szCs w:val="22"/>
              </w:rPr>
              <w:t>application</w:t>
            </w:r>
          </w:p>
        </w:tc>
        <w:tc>
          <w:tcPr>
            <w:tcW w:w="2880" w:type="dxa"/>
          </w:tcPr>
          <w:p w:rsidR="00B3094B" w:rsidRPr="0059512C" w:rsidP="00A45E95">
            <w:pPr>
              <w:pStyle w:val="ParaNum"/>
              <w:keepNext/>
              <w:widowControl/>
              <w:numPr>
                <w:ilvl w:val="0"/>
                <w:numId w:val="0"/>
              </w:numPr>
              <w:rPr>
                <w:b/>
                <w:szCs w:val="22"/>
              </w:rPr>
            </w:pPr>
            <w:r w:rsidRPr="0059512C">
              <w:rPr>
                <w:b/>
                <w:szCs w:val="22"/>
              </w:rPr>
              <w:t xml:space="preserve">Current Fee for Common Carrier </w:t>
            </w:r>
            <w:r w:rsidRPr="0059512C">
              <w:rPr>
                <w:b/>
                <w:szCs w:val="22"/>
              </w:rPr>
              <w:t>Microwave</w:t>
            </w:r>
          </w:p>
        </w:tc>
        <w:tc>
          <w:tcPr>
            <w:tcW w:w="0" w:type="auto"/>
          </w:tcPr>
          <w:p w:rsidR="00B3094B" w:rsidRPr="0059512C" w:rsidP="00A45E95">
            <w:pPr>
              <w:pStyle w:val="ParaNum"/>
              <w:keepNext/>
              <w:widowControl/>
              <w:numPr>
                <w:ilvl w:val="0"/>
                <w:numId w:val="0"/>
              </w:numPr>
              <w:rPr>
                <w:b/>
                <w:szCs w:val="22"/>
              </w:rPr>
            </w:pPr>
            <w:r w:rsidRPr="0059512C">
              <w:rPr>
                <w:b/>
                <w:szCs w:val="22"/>
              </w:rPr>
              <w:t>Cost-based Fee</w:t>
            </w:r>
          </w:p>
        </w:tc>
      </w:tr>
      <w:tr w:rsidTr="00A45E95">
        <w:tblPrEx>
          <w:tblW w:w="8640" w:type="dxa"/>
          <w:tblInd w:w="85" w:type="dxa"/>
          <w:tblLook w:val="04A0"/>
        </w:tblPrEx>
        <w:tc>
          <w:tcPr>
            <w:tcW w:w="2880" w:type="dxa"/>
          </w:tcPr>
          <w:p w:rsidR="00B3094B" w:rsidRPr="0059512C" w:rsidP="004B401B">
            <w:pPr>
              <w:pStyle w:val="ParaNum"/>
              <w:numPr>
                <w:ilvl w:val="0"/>
                <w:numId w:val="0"/>
              </w:numPr>
              <w:rPr>
                <w:szCs w:val="22"/>
              </w:rPr>
            </w:pPr>
            <w:r w:rsidRPr="0059512C">
              <w:rPr>
                <w:szCs w:val="22"/>
              </w:rPr>
              <w:t>New license, major modification</w:t>
            </w:r>
          </w:p>
        </w:tc>
        <w:tc>
          <w:tcPr>
            <w:tcW w:w="2880" w:type="dxa"/>
          </w:tcPr>
          <w:p w:rsidR="00B3094B" w:rsidRPr="0059512C" w:rsidP="004B401B">
            <w:pPr>
              <w:pStyle w:val="ParaNum"/>
              <w:numPr>
                <w:ilvl w:val="0"/>
                <w:numId w:val="0"/>
              </w:numPr>
              <w:rPr>
                <w:szCs w:val="22"/>
              </w:rPr>
            </w:pPr>
            <w:r w:rsidRPr="0059512C">
              <w:rPr>
                <w:szCs w:val="22"/>
              </w:rPr>
              <w:t>$305</w:t>
            </w:r>
          </w:p>
        </w:tc>
        <w:tc>
          <w:tcPr>
            <w:tcW w:w="0" w:type="auto"/>
          </w:tcPr>
          <w:p w:rsidR="00B3094B" w:rsidRPr="0059512C" w:rsidP="004B401B">
            <w:pPr>
              <w:pStyle w:val="ParaNum"/>
              <w:numPr>
                <w:ilvl w:val="0"/>
                <w:numId w:val="0"/>
              </w:numPr>
              <w:rPr>
                <w:szCs w:val="22"/>
              </w:rPr>
            </w:pPr>
            <w:r w:rsidRPr="0059512C">
              <w:rPr>
                <w:szCs w:val="22"/>
              </w:rPr>
              <w:t>$1</w:t>
            </w:r>
            <w:r w:rsidRPr="0059512C" w:rsidR="00A705B1">
              <w:rPr>
                <w:szCs w:val="22"/>
              </w:rPr>
              <w:t>90</w:t>
            </w:r>
          </w:p>
        </w:tc>
      </w:tr>
      <w:tr w:rsidTr="00A45E95">
        <w:tblPrEx>
          <w:tblW w:w="8640" w:type="dxa"/>
          <w:tblInd w:w="85" w:type="dxa"/>
          <w:tblLook w:val="04A0"/>
        </w:tblPrEx>
        <w:tc>
          <w:tcPr>
            <w:tcW w:w="2880" w:type="dxa"/>
          </w:tcPr>
          <w:p w:rsidR="00B3094B" w:rsidRPr="0059512C" w:rsidP="004B401B">
            <w:pPr>
              <w:pStyle w:val="ParaNum"/>
              <w:numPr>
                <w:ilvl w:val="0"/>
                <w:numId w:val="0"/>
              </w:numPr>
              <w:rPr>
                <w:szCs w:val="22"/>
              </w:rPr>
            </w:pPr>
            <w:r w:rsidRPr="0059512C">
              <w:rPr>
                <w:szCs w:val="22"/>
              </w:rPr>
              <w:t>Minor modification</w:t>
            </w:r>
          </w:p>
        </w:tc>
        <w:tc>
          <w:tcPr>
            <w:tcW w:w="2880" w:type="dxa"/>
          </w:tcPr>
          <w:p w:rsidR="00B3094B" w:rsidRPr="0059512C" w:rsidP="004B401B">
            <w:pPr>
              <w:pStyle w:val="ParaNum"/>
              <w:numPr>
                <w:ilvl w:val="0"/>
                <w:numId w:val="0"/>
              </w:numPr>
              <w:rPr>
                <w:szCs w:val="22"/>
              </w:rPr>
            </w:pPr>
            <w:r w:rsidRPr="0059512C">
              <w:rPr>
                <w:szCs w:val="22"/>
              </w:rPr>
              <w:t>n/a</w:t>
            </w:r>
          </w:p>
        </w:tc>
        <w:tc>
          <w:tcPr>
            <w:tcW w:w="0" w:type="auto"/>
          </w:tcPr>
          <w:p w:rsidR="00B3094B" w:rsidRPr="0059512C" w:rsidP="004B401B">
            <w:pPr>
              <w:pStyle w:val="ParaNum"/>
              <w:numPr>
                <w:ilvl w:val="0"/>
                <w:numId w:val="0"/>
              </w:numPr>
              <w:rPr>
                <w:szCs w:val="22"/>
              </w:rPr>
            </w:pPr>
            <w:r w:rsidRPr="0059512C">
              <w:rPr>
                <w:szCs w:val="22"/>
              </w:rPr>
              <w:t>$</w:t>
            </w:r>
            <w:r w:rsidR="00FB3250">
              <w:rPr>
                <w:szCs w:val="22"/>
              </w:rPr>
              <w:t>5</w:t>
            </w:r>
            <w:r w:rsidRPr="0059512C">
              <w:rPr>
                <w:szCs w:val="22"/>
              </w:rPr>
              <w:t>0</w:t>
            </w:r>
          </w:p>
        </w:tc>
      </w:tr>
      <w:tr w:rsidTr="00A45E95">
        <w:tblPrEx>
          <w:tblW w:w="8640" w:type="dxa"/>
          <w:tblInd w:w="85" w:type="dxa"/>
          <w:tblLook w:val="04A0"/>
        </w:tblPrEx>
        <w:tc>
          <w:tcPr>
            <w:tcW w:w="2880" w:type="dxa"/>
          </w:tcPr>
          <w:p w:rsidR="00B3094B" w:rsidRPr="0059512C" w:rsidP="004B401B">
            <w:pPr>
              <w:pStyle w:val="ParaNum"/>
              <w:numPr>
                <w:ilvl w:val="0"/>
                <w:numId w:val="0"/>
              </w:numPr>
              <w:rPr>
                <w:szCs w:val="22"/>
              </w:rPr>
            </w:pPr>
            <w:r w:rsidRPr="0059512C">
              <w:rPr>
                <w:szCs w:val="22"/>
              </w:rPr>
              <w:t>Special temporary authority</w:t>
            </w:r>
          </w:p>
        </w:tc>
        <w:tc>
          <w:tcPr>
            <w:tcW w:w="2880" w:type="dxa"/>
          </w:tcPr>
          <w:p w:rsidR="00B3094B" w:rsidRPr="0059512C" w:rsidP="004B401B">
            <w:pPr>
              <w:pStyle w:val="ParaNum"/>
              <w:numPr>
                <w:ilvl w:val="0"/>
                <w:numId w:val="0"/>
              </w:numPr>
              <w:rPr>
                <w:szCs w:val="22"/>
              </w:rPr>
            </w:pPr>
            <w:r w:rsidRPr="0059512C">
              <w:rPr>
                <w:szCs w:val="22"/>
              </w:rPr>
              <w:t>$140</w:t>
            </w:r>
          </w:p>
        </w:tc>
        <w:tc>
          <w:tcPr>
            <w:tcW w:w="0" w:type="auto"/>
          </w:tcPr>
          <w:p w:rsidR="00B3094B" w:rsidRPr="0059512C" w:rsidP="004B401B">
            <w:pPr>
              <w:pStyle w:val="ParaNum"/>
              <w:numPr>
                <w:ilvl w:val="0"/>
                <w:numId w:val="0"/>
              </w:numPr>
              <w:rPr>
                <w:szCs w:val="22"/>
              </w:rPr>
            </w:pPr>
            <w:r w:rsidRPr="0059512C">
              <w:rPr>
                <w:szCs w:val="22"/>
              </w:rPr>
              <w:t>$1</w:t>
            </w:r>
            <w:r w:rsidRPr="0059512C" w:rsidR="00A705B1">
              <w:rPr>
                <w:szCs w:val="22"/>
              </w:rPr>
              <w:t>35</w:t>
            </w:r>
          </w:p>
        </w:tc>
      </w:tr>
      <w:tr w:rsidTr="00A45E95">
        <w:tblPrEx>
          <w:tblW w:w="8640" w:type="dxa"/>
          <w:tblInd w:w="85" w:type="dxa"/>
          <w:tblLook w:val="04A0"/>
        </w:tblPrEx>
        <w:tc>
          <w:tcPr>
            <w:tcW w:w="2880" w:type="dxa"/>
          </w:tcPr>
          <w:p w:rsidR="00B3094B" w:rsidRPr="0059512C" w:rsidP="004B401B">
            <w:pPr>
              <w:pStyle w:val="ParaNum"/>
              <w:numPr>
                <w:ilvl w:val="0"/>
                <w:numId w:val="0"/>
              </w:numPr>
              <w:rPr>
                <w:szCs w:val="22"/>
              </w:rPr>
            </w:pPr>
            <w:r w:rsidRPr="0059512C">
              <w:rPr>
                <w:szCs w:val="22"/>
              </w:rPr>
              <w:t>Assignment/transfer of control</w:t>
            </w:r>
          </w:p>
        </w:tc>
        <w:tc>
          <w:tcPr>
            <w:tcW w:w="2880" w:type="dxa"/>
          </w:tcPr>
          <w:p w:rsidR="00B3094B" w:rsidRPr="0059512C" w:rsidP="004B401B">
            <w:pPr>
              <w:pStyle w:val="ParaNum"/>
              <w:numPr>
                <w:ilvl w:val="0"/>
                <w:numId w:val="0"/>
              </w:numPr>
              <w:rPr>
                <w:szCs w:val="22"/>
              </w:rPr>
            </w:pPr>
            <w:r w:rsidRPr="0059512C">
              <w:rPr>
                <w:szCs w:val="22"/>
              </w:rPr>
              <w:t>$110</w:t>
            </w:r>
            <w:r w:rsidR="00AD5927">
              <w:rPr>
                <w:szCs w:val="22"/>
              </w:rPr>
              <w:t xml:space="preserve"> (first call</w:t>
            </w:r>
            <w:r w:rsidR="00EA7DB3">
              <w:rPr>
                <w:szCs w:val="22"/>
              </w:rPr>
              <w:t xml:space="preserve"> </w:t>
            </w:r>
            <w:r w:rsidR="00AD5927">
              <w:rPr>
                <w:szCs w:val="22"/>
              </w:rPr>
              <w:t>sign); $70 each additional</w:t>
            </w:r>
          </w:p>
        </w:tc>
        <w:tc>
          <w:tcPr>
            <w:tcW w:w="0" w:type="auto"/>
          </w:tcPr>
          <w:p w:rsidR="00B3094B" w:rsidRPr="0059512C" w:rsidP="004B401B">
            <w:pPr>
              <w:pStyle w:val="ParaNum"/>
              <w:numPr>
                <w:ilvl w:val="0"/>
                <w:numId w:val="0"/>
              </w:numPr>
              <w:rPr>
                <w:szCs w:val="22"/>
              </w:rPr>
            </w:pPr>
            <w:r w:rsidRPr="0059512C">
              <w:rPr>
                <w:szCs w:val="22"/>
              </w:rPr>
              <w:t>$</w:t>
            </w:r>
            <w:r w:rsidR="00FB3250">
              <w:rPr>
                <w:szCs w:val="22"/>
              </w:rPr>
              <w:t>5</w:t>
            </w:r>
            <w:r w:rsidRPr="0059512C">
              <w:rPr>
                <w:szCs w:val="22"/>
              </w:rPr>
              <w:t>0</w:t>
            </w:r>
          </w:p>
        </w:tc>
      </w:tr>
      <w:tr w:rsidTr="00A45E95">
        <w:tblPrEx>
          <w:tblW w:w="8640" w:type="dxa"/>
          <w:tblInd w:w="85" w:type="dxa"/>
          <w:tblLook w:val="04A0"/>
        </w:tblPrEx>
        <w:tc>
          <w:tcPr>
            <w:tcW w:w="2880" w:type="dxa"/>
          </w:tcPr>
          <w:p w:rsidR="00B3094B" w:rsidRPr="0059512C" w:rsidP="004B401B">
            <w:pPr>
              <w:pStyle w:val="ParaNum"/>
              <w:numPr>
                <w:ilvl w:val="0"/>
                <w:numId w:val="0"/>
              </w:numPr>
              <w:rPr>
                <w:szCs w:val="22"/>
              </w:rPr>
            </w:pPr>
            <w:r w:rsidRPr="0059512C">
              <w:rPr>
                <w:szCs w:val="22"/>
              </w:rPr>
              <w:t>Rule waiver</w:t>
            </w:r>
          </w:p>
        </w:tc>
        <w:tc>
          <w:tcPr>
            <w:tcW w:w="2880" w:type="dxa"/>
          </w:tcPr>
          <w:p w:rsidR="00B3094B" w:rsidRPr="0059512C" w:rsidP="004B401B">
            <w:pPr>
              <w:pStyle w:val="ParaNum"/>
              <w:numPr>
                <w:ilvl w:val="0"/>
                <w:numId w:val="0"/>
              </w:numPr>
              <w:rPr>
                <w:szCs w:val="22"/>
              </w:rPr>
            </w:pPr>
            <w:r w:rsidRPr="0059512C">
              <w:rPr>
                <w:szCs w:val="22"/>
              </w:rPr>
              <w:t>n/a</w:t>
            </w:r>
          </w:p>
        </w:tc>
        <w:tc>
          <w:tcPr>
            <w:tcW w:w="0" w:type="auto"/>
          </w:tcPr>
          <w:p w:rsidR="00B3094B" w:rsidRPr="0059512C" w:rsidP="004B401B">
            <w:pPr>
              <w:pStyle w:val="ParaNum"/>
              <w:numPr>
                <w:ilvl w:val="0"/>
                <w:numId w:val="0"/>
              </w:numPr>
              <w:rPr>
                <w:szCs w:val="22"/>
              </w:rPr>
            </w:pPr>
            <w:r w:rsidRPr="0059512C">
              <w:rPr>
                <w:szCs w:val="22"/>
              </w:rPr>
              <w:t>$3</w:t>
            </w:r>
            <w:r w:rsidRPr="0059512C" w:rsidR="00A705B1">
              <w:rPr>
                <w:szCs w:val="22"/>
              </w:rPr>
              <w:t>80</w:t>
            </w:r>
            <w:r w:rsidRPr="0059512C">
              <w:rPr>
                <w:szCs w:val="22"/>
              </w:rPr>
              <w:t xml:space="preserve"> </w:t>
            </w:r>
          </w:p>
        </w:tc>
      </w:tr>
      <w:tr w:rsidTr="00A45E95">
        <w:tblPrEx>
          <w:tblW w:w="8640" w:type="dxa"/>
          <w:tblInd w:w="85" w:type="dxa"/>
          <w:tblLook w:val="04A0"/>
        </w:tblPrEx>
        <w:tc>
          <w:tcPr>
            <w:tcW w:w="2880" w:type="dxa"/>
          </w:tcPr>
          <w:p w:rsidR="00B3094B" w:rsidRPr="0059512C" w:rsidP="004B401B">
            <w:pPr>
              <w:pStyle w:val="ParaNum"/>
              <w:numPr>
                <w:ilvl w:val="0"/>
                <w:numId w:val="0"/>
              </w:numPr>
              <w:rPr>
                <w:szCs w:val="22"/>
              </w:rPr>
            </w:pPr>
            <w:r w:rsidRPr="0059512C">
              <w:rPr>
                <w:szCs w:val="22"/>
              </w:rPr>
              <w:t>Renewal</w:t>
            </w:r>
          </w:p>
        </w:tc>
        <w:tc>
          <w:tcPr>
            <w:tcW w:w="2880" w:type="dxa"/>
          </w:tcPr>
          <w:p w:rsidR="00B3094B" w:rsidRPr="0059512C" w:rsidP="004B401B">
            <w:pPr>
              <w:pStyle w:val="ParaNum"/>
              <w:numPr>
                <w:ilvl w:val="0"/>
                <w:numId w:val="0"/>
              </w:numPr>
              <w:rPr>
                <w:szCs w:val="22"/>
              </w:rPr>
            </w:pPr>
            <w:r w:rsidRPr="0059512C">
              <w:rPr>
                <w:szCs w:val="22"/>
              </w:rPr>
              <w:t>$305</w:t>
            </w:r>
          </w:p>
        </w:tc>
        <w:tc>
          <w:tcPr>
            <w:tcW w:w="0" w:type="auto"/>
          </w:tcPr>
          <w:p w:rsidR="00B3094B" w:rsidRPr="0059512C" w:rsidP="004B401B">
            <w:pPr>
              <w:pStyle w:val="ParaNum"/>
              <w:numPr>
                <w:ilvl w:val="0"/>
                <w:numId w:val="0"/>
              </w:numPr>
              <w:rPr>
                <w:szCs w:val="22"/>
              </w:rPr>
            </w:pPr>
            <w:r w:rsidRPr="0059512C">
              <w:rPr>
                <w:szCs w:val="22"/>
              </w:rPr>
              <w:t>$</w:t>
            </w:r>
            <w:r w:rsidR="00FB3250">
              <w:rPr>
                <w:szCs w:val="22"/>
              </w:rPr>
              <w:t>5</w:t>
            </w:r>
            <w:r w:rsidRPr="0059512C">
              <w:rPr>
                <w:szCs w:val="22"/>
              </w:rPr>
              <w:t>0</w:t>
            </w:r>
          </w:p>
        </w:tc>
      </w:tr>
      <w:tr w:rsidTr="00A45E95">
        <w:tblPrEx>
          <w:tblW w:w="8640" w:type="dxa"/>
          <w:tblInd w:w="85" w:type="dxa"/>
          <w:tblLook w:val="04A0"/>
        </w:tblPrEx>
        <w:tc>
          <w:tcPr>
            <w:tcW w:w="2880" w:type="dxa"/>
          </w:tcPr>
          <w:p w:rsidR="00B3094B" w:rsidRPr="0059512C" w:rsidP="004B401B">
            <w:pPr>
              <w:pStyle w:val="ParaNum"/>
              <w:numPr>
                <w:ilvl w:val="0"/>
                <w:numId w:val="0"/>
              </w:numPr>
              <w:rPr>
                <w:szCs w:val="22"/>
              </w:rPr>
            </w:pPr>
            <w:r w:rsidRPr="0059512C">
              <w:rPr>
                <w:szCs w:val="22"/>
              </w:rPr>
              <w:t xml:space="preserve">Construction </w:t>
            </w:r>
            <w:r w:rsidR="00AD5927">
              <w:rPr>
                <w:szCs w:val="22"/>
              </w:rPr>
              <w:t>Extension</w:t>
            </w:r>
          </w:p>
        </w:tc>
        <w:tc>
          <w:tcPr>
            <w:tcW w:w="2880" w:type="dxa"/>
          </w:tcPr>
          <w:p w:rsidR="00B3094B" w:rsidRPr="0059512C" w:rsidP="004B401B">
            <w:pPr>
              <w:pStyle w:val="ParaNum"/>
              <w:numPr>
                <w:ilvl w:val="0"/>
                <w:numId w:val="0"/>
              </w:numPr>
              <w:rPr>
                <w:szCs w:val="22"/>
              </w:rPr>
            </w:pPr>
            <w:r w:rsidRPr="0059512C">
              <w:rPr>
                <w:szCs w:val="22"/>
              </w:rPr>
              <w:t>$110</w:t>
            </w:r>
          </w:p>
        </w:tc>
        <w:tc>
          <w:tcPr>
            <w:tcW w:w="0" w:type="auto"/>
          </w:tcPr>
          <w:p w:rsidR="00B3094B" w:rsidRPr="0059512C" w:rsidP="004B401B">
            <w:pPr>
              <w:pStyle w:val="ParaNum"/>
              <w:numPr>
                <w:ilvl w:val="0"/>
                <w:numId w:val="0"/>
              </w:numPr>
              <w:rPr>
                <w:szCs w:val="22"/>
              </w:rPr>
            </w:pPr>
            <w:r w:rsidRPr="0059512C">
              <w:rPr>
                <w:szCs w:val="22"/>
              </w:rPr>
              <w:t>$</w:t>
            </w:r>
            <w:r w:rsidR="00FB3250">
              <w:rPr>
                <w:szCs w:val="22"/>
              </w:rPr>
              <w:t>5</w:t>
            </w:r>
            <w:r w:rsidRPr="0059512C">
              <w:rPr>
                <w:szCs w:val="22"/>
              </w:rPr>
              <w:t>0</w:t>
            </w:r>
          </w:p>
        </w:tc>
      </w:tr>
      <w:tr w:rsidTr="00A45E95">
        <w:tblPrEx>
          <w:tblW w:w="8640" w:type="dxa"/>
          <w:tblInd w:w="85" w:type="dxa"/>
          <w:tblLook w:val="04A0"/>
        </w:tblPrEx>
        <w:tc>
          <w:tcPr>
            <w:tcW w:w="2880" w:type="dxa"/>
          </w:tcPr>
          <w:p w:rsidR="00B3094B" w:rsidRPr="0059512C" w:rsidP="004B401B">
            <w:pPr>
              <w:pStyle w:val="ParaNum"/>
              <w:numPr>
                <w:ilvl w:val="0"/>
                <w:numId w:val="0"/>
              </w:numPr>
              <w:rPr>
                <w:szCs w:val="22"/>
              </w:rPr>
            </w:pPr>
            <w:r w:rsidRPr="0059512C">
              <w:rPr>
                <w:szCs w:val="22"/>
              </w:rPr>
              <w:t>Spectrum leasing</w:t>
            </w:r>
          </w:p>
        </w:tc>
        <w:tc>
          <w:tcPr>
            <w:tcW w:w="2880" w:type="dxa"/>
          </w:tcPr>
          <w:p w:rsidR="00B3094B" w:rsidRPr="0059512C" w:rsidP="004B401B">
            <w:pPr>
              <w:pStyle w:val="ParaNum"/>
              <w:numPr>
                <w:ilvl w:val="0"/>
                <w:numId w:val="0"/>
              </w:numPr>
              <w:rPr>
                <w:szCs w:val="22"/>
              </w:rPr>
            </w:pPr>
            <w:r w:rsidRPr="0059512C">
              <w:rPr>
                <w:szCs w:val="22"/>
              </w:rPr>
              <w:t>$</w:t>
            </w:r>
            <w:r w:rsidR="005B7C4B">
              <w:rPr>
                <w:szCs w:val="22"/>
              </w:rPr>
              <w:t>110</w:t>
            </w:r>
            <w:r w:rsidR="00AD5927">
              <w:rPr>
                <w:szCs w:val="22"/>
              </w:rPr>
              <w:t xml:space="preserve"> (first call</w:t>
            </w:r>
            <w:r w:rsidR="00EA7DB3">
              <w:rPr>
                <w:szCs w:val="22"/>
              </w:rPr>
              <w:t xml:space="preserve"> </w:t>
            </w:r>
            <w:r w:rsidR="00AD5927">
              <w:rPr>
                <w:szCs w:val="22"/>
              </w:rPr>
              <w:t>sign); $70 each additional</w:t>
            </w:r>
          </w:p>
        </w:tc>
        <w:tc>
          <w:tcPr>
            <w:tcW w:w="0" w:type="auto"/>
          </w:tcPr>
          <w:p w:rsidR="00B3094B" w:rsidRPr="0059512C" w:rsidP="004B401B">
            <w:pPr>
              <w:pStyle w:val="ParaNum"/>
              <w:numPr>
                <w:ilvl w:val="0"/>
                <w:numId w:val="0"/>
              </w:numPr>
              <w:rPr>
                <w:szCs w:val="22"/>
              </w:rPr>
            </w:pPr>
            <w:r w:rsidRPr="0059512C">
              <w:rPr>
                <w:szCs w:val="22"/>
              </w:rPr>
              <w:t>$</w:t>
            </w:r>
            <w:r w:rsidR="00FB3250">
              <w:rPr>
                <w:szCs w:val="22"/>
              </w:rPr>
              <w:t>5</w:t>
            </w:r>
            <w:r w:rsidRPr="0059512C">
              <w:rPr>
                <w:szCs w:val="22"/>
              </w:rPr>
              <w:t>0</w:t>
            </w:r>
          </w:p>
        </w:tc>
      </w:tr>
    </w:tbl>
    <w:p w:rsidR="00B3094B" w:rsidRPr="0059512C" w:rsidP="00B3094B">
      <w:pPr>
        <w:pStyle w:val="ParaNum"/>
        <w:numPr>
          <w:ilvl w:val="0"/>
          <w:numId w:val="0"/>
        </w:numPr>
        <w:ind w:left="720"/>
        <w:rPr>
          <w:szCs w:val="22"/>
        </w:rPr>
      </w:pPr>
    </w:p>
    <w:p w:rsidR="00E22861" w:rsidRPr="0059512C" w:rsidP="00E22861">
      <w:pPr>
        <w:pStyle w:val="ParaNum"/>
        <w:rPr>
          <w:szCs w:val="22"/>
        </w:rPr>
      </w:pPr>
      <w:r w:rsidRPr="0059512C">
        <w:rPr>
          <w:szCs w:val="22"/>
        </w:rPr>
        <w:t xml:space="preserve">We estimate that the Commission’s resources in processing an application for a new </w:t>
      </w:r>
      <w:r w:rsidRPr="0059512C" w:rsidR="001D2025">
        <w:rPr>
          <w:szCs w:val="22"/>
        </w:rPr>
        <w:t xml:space="preserve">site-based </w:t>
      </w:r>
      <w:r w:rsidRPr="0059512C">
        <w:rPr>
          <w:szCs w:val="22"/>
        </w:rPr>
        <w:t xml:space="preserve">license or a major modification </w:t>
      </w:r>
      <w:r w:rsidRPr="0059512C" w:rsidR="00165F7B">
        <w:rPr>
          <w:szCs w:val="22"/>
        </w:rPr>
        <w:t xml:space="preserve">of an existing license </w:t>
      </w:r>
      <w:r w:rsidRPr="0059512C">
        <w:rPr>
          <w:szCs w:val="22"/>
        </w:rPr>
        <w:t>consist of program analyst review and engineer technical review.  Our estimate is that this process involves $1</w:t>
      </w:r>
      <w:r w:rsidRPr="0059512C" w:rsidR="00EC09EC">
        <w:rPr>
          <w:szCs w:val="22"/>
        </w:rPr>
        <w:t>90</w:t>
      </w:r>
      <w:r w:rsidRPr="0059512C">
        <w:rPr>
          <w:szCs w:val="22"/>
        </w:rPr>
        <w:t xml:space="preserve"> in costs.  We estimate that the Commission’s resources in processing an application for</w:t>
      </w:r>
      <w:r w:rsidRPr="0059512C">
        <w:rPr>
          <w:szCs w:val="22"/>
        </w:rPr>
        <w:t xml:space="preserve"> </w:t>
      </w:r>
      <w:r w:rsidR="00DD2434">
        <w:rPr>
          <w:szCs w:val="22"/>
        </w:rPr>
        <w:t>special temporary authority (</w:t>
      </w:r>
      <w:r w:rsidRPr="0059512C">
        <w:rPr>
          <w:szCs w:val="22"/>
        </w:rPr>
        <w:t>STA</w:t>
      </w:r>
      <w:r w:rsidR="00DD2434">
        <w:rPr>
          <w:szCs w:val="22"/>
        </w:rPr>
        <w:t>)</w:t>
      </w:r>
      <w:r w:rsidRPr="0059512C">
        <w:rPr>
          <w:szCs w:val="22"/>
        </w:rPr>
        <w:t xml:space="preserve"> consist of program analyst review and processing, engineer technical review, and supervisor coordinate with management.  Our estimate is that this process involves $1</w:t>
      </w:r>
      <w:r w:rsidRPr="0059512C" w:rsidR="00EC09EC">
        <w:rPr>
          <w:szCs w:val="22"/>
        </w:rPr>
        <w:t>35</w:t>
      </w:r>
      <w:r w:rsidRPr="0059512C">
        <w:rPr>
          <w:szCs w:val="22"/>
        </w:rPr>
        <w:t xml:space="preserve"> in costs.  We estimate that the Commission’s resourc</w:t>
      </w:r>
      <w:r w:rsidRPr="0059512C">
        <w:rPr>
          <w:szCs w:val="22"/>
        </w:rPr>
        <w:t>es in processing an application for assignment/transfer of control consist of the following:  program analyst review and processing.  Our estimate is that this process involves $</w:t>
      </w:r>
      <w:r w:rsidR="00FB3250">
        <w:rPr>
          <w:szCs w:val="22"/>
        </w:rPr>
        <w:t>5</w:t>
      </w:r>
      <w:r w:rsidRPr="0059512C">
        <w:rPr>
          <w:szCs w:val="22"/>
        </w:rPr>
        <w:t>0 in costs.  We estimate that the Commission’s resources in processing an app</w:t>
      </w:r>
      <w:r w:rsidRPr="0059512C">
        <w:rPr>
          <w:szCs w:val="22"/>
        </w:rPr>
        <w:t>lication for rule waiver consist of the following:  program analyst review and processing, engineer technical review, attorney legal review, and supervisor coordinate with management.  Our estimate is that this process involves $3</w:t>
      </w:r>
      <w:r w:rsidRPr="0059512C" w:rsidR="00EC09EC">
        <w:rPr>
          <w:szCs w:val="22"/>
        </w:rPr>
        <w:t>80</w:t>
      </w:r>
      <w:r w:rsidRPr="0059512C">
        <w:rPr>
          <w:szCs w:val="22"/>
        </w:rPr>
        <w:t xml:space="preserve"> in costs.  </w:t>
      </w:r>
    </w:p>
    <w:p w:rsidR="00A45E95" w:rsidRPr="0059512C" w:rsidP="00B3094B">
      <w:pPr>
        <w:pStyle w:val="ParaNum"/>
        <w:rPr>
          <w:szCs w:val="22"/>
        </w:rPr>
      </w:pPr>
      <w:r w:rsidRPr="0059512C">
        <w:rPr>
          <w:szCs w:val="22"/>
        </w:rPr>
        <w:t>The applica</w:t>
      </w:r>
      <w:r w:rsidRPr="0059512C">
        <w:rPr>
          <w:szCs w:val="22"/>
        </w:rPr>
        <w:t xml:space="preserve">tions for minor modifications, site-based renewals, construction </w:t>
      </w:r>
      <w:r w:rsidR="00405B55">
        <w:rPr>
          <w:szCs w:val="22"/>
        </w:rPr>
        <w:t>extensions</w:t>
      </w:r>
      <w:r w:rsidRPr="0059512C">
        <w:rPr>
          <w:szCs w:val="22"/>
        </w:rPr>
        <w:t>, and spectrum leasing, are all mostly automated and do not have specific staff costs for data input or review</w:t>
      </w:r>
      <w:r w:rsidRPr="0059512C" w:rsidR="00E22861">
        <w:rPr>
          <w:szCs w:val="22"/>
        </w:rPr>
        <w:t>.  We propose a nominal application fee of $</w:t>
      </w:r>
      <w:r w:rsidR="00FB3250">
        <w:rPr>
          <w:szCs w:val="22"/>
        </w:rPr>
        <w:t>5</w:t>
      </w:r>
      <w:r w:rsidRPr="0059512C" w:rsidR="00E22861">
        <w:rPr>
          <w:szCs w:val="22"/>
        </w:rPr>
        <w:t xml:space="preserve">0 due to the routine system maintenance required in </w:t>
      </w:r>
      <w:r w:rsidR="00B33628">
        <w:rPr>
          <w:szCs w:val="22"/>
        </w:rPr>
        <w:t>U</w:t>
      </w:r>
      <w:r w:rsidR="003E062C">
        <w:rPr>
          <w:szCs w:val="22"/>
        </w:rPr>
        <w:t>LS</w:t>
      </w:r>
      <w:r w:rsidR="00B33628">
        <w:rPr>
          <w:szCs w:val="22"/>
        </w:rPr>
        <w:t xml:space="preserve"> </w:t>
      </w:r>
      <w:r w:rsidRPr="0059512C" w:rsidR="00E22861">
        <w:rPr>
          <w:szCs w:val="22"/>
        </w:rPr>
        <w:t>and for system monitoring.</w:t>
      </w:r>
    </w:p>
    <w:p w:rsidR="00E22861" w:rsidRPr="0059512C" w:rsidP="00B3094B">
      <w:pPr>
        <w:pStyle w:val="ParaNum"/>
        <w:rPr>
          <w:szCs w:val="22"/>
        </w:rPr>
      </w:pPr>
      <w:r w:rsidRPr="0059512C">
        <w:rPr>
          <w:szCs w:val="22"/>
        </w:rPr>
        <w:t>We propose no application fee for administrative updates.</w:t>
      </w:r>
      <w:r>
        <w:rPr>
          <w:rStyle w:val="FootnoteReference"/>
        </w:rPr>
        <w:footnoteReference w:id="31"/>
      </w:r>
      <w:r w:rsidRPr="0059512C">
        <w:rPr>
          <w:szCs w:val="22"/>
        </w:rPr>
        <w:t xml:space="preserve">  For administrative updates we find that it is in the public interest to encourage licensees to update their information and thus propose no application fee is charged.  In addition, we seek comment on whether certain types of minor modifications that are</w:t>
      </w:r>
      <w:r w:rsidRPr="0059512C">
        <w:rPr>
          <w:szCs w:val="22"/>
        </w:rPr>
        <w:t xml:space="preserve"> largely automated, such as minor modifications to remove facilities (e.g., frequencies, sites, paths) should have no application fee because they have no identifiable direct costs and are in the public interest.  In this regard, we note that cancelling a </w:t>
      </w:r>
      <w:r w:rsidRPr="0059512C">
        <w:rPr>
          <w:szCs w:val="22"/>
        </w:rPr>
        <w:t xml:space="preserve">license in its entirety does not require a fee.  Eliminating fees for removal of unused portions of a license could encourage licensees to return unused spectrum so that it would be available for other potential users.  </w:t>
      </w:r>
    </w:p>
    <w:p w:rsidR="00A45E95" w:rsidRPr="0059512C" w:rsidP="00B3094B">
      <w:pPr>
        <w:pStyle w:val="ParaNum"/>
        <w:rPr>
          <w:szCs w:val="22"/>
        </w:rPr>
      </w:pPr>
      <w:r w:rsidRPr="0059512C">
        <w:rPr>
          <w:szCs w:val="22"/>
        </w:rPr>
        <w:t>In instances where an applicant ele</w:t>
      </w:r>
      <w:r w:rsidRPr="0059512C">
        <w:rPr>
          <w:szCs w:val="22"/>
        </w:rPr>
        <w:t>cts to receive a physical license by mail</w:t>
      </w:r>
      <w:r w:rsidRPr="0059512C" w:rsidR="008C0744">
        <w:rPr>
          <w:szCs w:val="22"/>
        </w:rPr>
        <w:t xml:space="preserve"> (including </w:t>
      </w:r>
      <w:r w:rsidRPr="0059512C" w:rsidR="008C0744">
        <w:rPr>
          <w:szCs w:val="22"/>
        </w:rPr>
        <w:t>requests for a duplicate authorization)</w:t>
      </w:r>
      <w:r w:rsidRPr="0059512C">
        <w:rPr>
          <w:szCs w:val="22"/>
        </w:rPr>
        <w:t>, the Commission incurs costs for printing and mailing the duplicate authorization.</w:t>
      </w:r>
      <w:r w:rsidRPr="0059512C" w:rsidR="00E22861">
        <w:rPr>
          <w:szCs w:val="22"/>
        </w:rPr>
        <w:t xml:space="preserve">  The Commission has proposed to eliminate these services</w:t>
      </w:r>
      <w:r>
        <w:rPr>
          <w:rStyle w:val="FootnoteReference"/>
        </w:rPr>
        <w:footnoteReference w:id="32"/>
      </w:r>
      <w:r w:rsidRPr="0059512C" w:rsidR="00E22861">
        <w:rPr>
          <w:szCs w:val="22"/>
        </w:rPr>
        <w:t>—but to the extent the Commission does not do so, we propose a fee of $</w:t>
      </w:r>
      <w:r w:rsidR="00FB3250">
        <w:rPr>
          <w:szCs w:val="22"/>
        </w:rPr>
        <w:t>5</w:t>
      </w:r>
      <w:r w:rsidRPr="0059512C" w:rsidR="00642046">
        <w:rPr>
          <w:szCs w:val="22"/>
        </w:rPr>
        <w:t>0</w:t>
      </w:r>
      <w:r w:rsidRPr="0059512C" w:rsidR="00E22861">
        <w:rPr>
          <w:szCs w:val="22"/>
        </w:rPr>
        <w:t xml:space="preserve"> to cover the costs of these services.</w:t>
      </w:r>
    </w:p>
    <w:p w:rsidR="00B3094B" w:rsidRPr="0059512C" w:rsidP="00B3094B">
      <w:pPr>
        <w:pStyle w:val="ParaNum"/>
        <w:rPr>
          <w:szCs w:val="22"/>
        </w:rPr>
      </w:pPr>
      <w:r w:rsidRPr="0059512C">
        <w:rPr>
          <w:szCs w:val="22"/>
        </w:rPr>
        <w:t>We seek comment on these proposals.</w:t>
      </w:r>
    </w:p>
    <w:p w:rsidR="00B3094B" w:rsidRPr="0059512C" w:rsidP="00020760">
      <w:pPr>
        <w:pStyle w:val="Heading4"/>
        <w:rPr>
          <w:szCs w:val="22"/>
        </w:rPr>
      </w:pPr>
      <w:bookmarkStart w:id="115" w:name="_Toc18939767"/>
      <w:bookmarkStart w:id="116" w:name="_Toc19795067"/>
      <w:bookmarkStart w:id="117" w:name="_Toc19796432"/>
      <w:bookmarkStart w:id="118" w:name="_Toc19796789"/>
      <w:bookmarkStart w:id="119" w:name="_Toc28005086"/>
      <w:bookmarkStart w:id="120" w:name="_Toc29557384"/>
      <w:bookmarkStart w:id="121" w:name="_Toc35268560"/>
      <w:bookmarkStart w:id="122" w:name="_Toc18066905"/>
      <w:r w:rsidRPr="0059512C">
        <w:rPr>
          <w:szCs w:val="22"/>
        </w:rPr>
        <w:t>Personal Licenses</w:t>
      </w:r>
      <w:bookmarkEnd w:id="115"/>
      <w:bookmarkEnd w:id="116"/>
      <w:bookmarkEnd w:id="117"/>
      <w:bookmarkEnd w:id="118"/>
      <w:bookmarkEnd w:id="119"/>
      <w:bookmarkEnd w:id="120"/>
      <w:bookmarkEnd w:id="121"/>
      <w:r w:rsidRPr="0059512C">
        <w:rPr>
          <w:szCs w:val="22"/>
        </w:rPr>
        <w:t xml:space="preserve"> </w:t>
      </w:r>
      <w:bookmarkEnd w:id="122"/>
    </w:p>
    <w:p w:rsidR="009E3678" w:rsidRPr="001B5926" w:rsidP="001B5926">
      <w:pPr>
        <w:pStyle w:val="ParaNum"/>
        <w:rPr>
          <w:szCs w:val="22"/>
        </w:rPr>
      </w:pPr>
      <w:r w:rsidRPr="0059512C">
        <w:rPr>
          <w:szCs w:val="22"/>
        </w:rPr>
        <w:t>Personal license services include Amateur Radio Service (used for recreational, non-commercial radio services),</w:t>
      </w:r>
      <w:r w:rsidRPr="0059512C">
        <w:rPr>
          <w:szCs w:val="22"/>
        </w:rPr>
        <w:t xml:space="preserve"> Ship licenses (used to operate all manner of ships), Aircraft licenses (used to operate all manner of aircraft), Commercial Radio Operator (permits for ship and aircraft station operators, where required), and General Mobile Radio Service (used for short-</w:t>
      </w:r>
      <w:r w:rsidRPr="0059512C">
        <w:rPr>
          <w:szCs w:val="22"/>
        </w:rPr>
        <w:t>distance, two-way voice communications using hand-held radios, as well as for short data messaging applications</w:t>
      </w:r>
      <w:r w:rsidR="00DD2434">
        <w:rPr>
          <w:szCs w:val="22"/>
        </w:rPr>
        <w:t>)</w:t>
      </w:r>
      <w:r w:rsidRPr="0059512C">
        <w:rPr>
          <w:szCs w:val="22"/>
        </w:rPr>
        <w:t>.  With personal radio services, an applicant’s initial application for authorization seeks shared use of certain spectrum bands, or a permit re</w:t>
      </w:r>
      <w:r w:rsidRPr="0059512C">
        <w:rPr>
          <w:szCs w:val="22"/>
        </w:rPr>
        <w:t>quired for operation of certain radio equipment.  In either case, these applications focus only on eligibility and do not require technical review.  As such, there is no construction requirement (or related filings) and renewal filings are non-technical as</w:t>
      </w:r>
      <w:r w:rsidRPr="0059512C">
        <w:rPr>
          <w:szCs w:val="22"/>
        </w:rPr>
        <w:t xml:space="preserve"> well.  For these reasons, applications in these services are highly automated and should be subject to the same assessment of fees.  </w:t>
      </w:r>
      <w:r w:rsidRPr="0059512C" w:rsidR="00456C62">
        <w:rPr>
          <w:szCs w:val="22"/>
        </w:rPr>
        <w:t xml:space="preserve">In 2019, the Commission received over 197,000 personal </w:t>
      </w:r>
      <w:r w:rsidR="007321EC">
        <w:rPr>
          <w:szCs w:val="22"/>
        </w:rPr>
        <w:t xml:space="preserve">license </w:t>
      </w:r>
      <w:r w:rsidRPr="0059512C" w:rsidR="00456C62">
        <w:rPr>
          <w:szCs w:val="22"/>
        </w:rPr>
        <w:t>applications</w:t>
      </w:r>
      <w:r w:rsidR="00456C62">
        <w:rPr>
          <w:szCs w:val="22"/>
        </w:rPr>
        <w:t xml:space="preserve">. </w:t>
      </w:r>
      <w:r w:rsidRPr="0059512C" w:rsidR="00456C62">
        <w:rPr>
          <w:szCs w:val="22"/>
        </w:rPr>
        <w:t xml:space="preserve"> </w:t>
      </w:r>
      <w:r w:rsidRPr="0059512C">
        <w:rPr>
          <w:szCs w:val="22"/>
        </w:rPr>
        <w:t xml:space="preserve">We note that, </w:t>
      </w:r>
      <w:bookmarkStart w:id="123" w:name="_Hlk36039572"/>
      <w:r w:rsidRPr="0059512C">
        <w:rPr>
          <w:szCs w:val="22"/>
        </w:rPr>
        <w:t xml:space="preserve">while the statute </w:t>
      </w:r>
      <w:r w:rsidRPr="0059512C">
        <w:rPr>
          <w:szCs w:val="22"/>
        </w:rPr>
        <w:t>previously limited the Commission’s authority to charge fees only for specific services listed in the Act, the RAY BAUM’S Act now requires the Commission to collect fees from several previously uncharged services</w:t>
      </w:r>
      <w:bookmarkEnd w:id="123"/>
      <w:r w:rsidRPr="0059512C">
        <w:rPr>
          <w:szCs w:val="22"/>
        </w:rPr>
        <w:t>.  As such, several services in the personal</w:t>
      </w:r>
      <w:r w:rsidRPr="0059512C">
        <w:rPr>
          <w:szCs w:val="22"/>
        </w:rPr>
        <w:t xml:space="preserve"> licenses category </w:t>
      </w:r>
      <w:r w:rsidR="00EA7DB3">
        <w:rPr>
          <w:szCs w:val="22"/>
        </w:rPr>
        <w:t>will</w:t>
      </w:r>
      <w:r w:rsidRPr="0059512C">
        <w:rPr>
          <w:szCs w:val="22"/>
        </w:rPr>
        <w:t xml:space="preserve"> be subject to new fees.  One such example is Amateur Radio Service licenses, which were not listed on the fee schedule in section 8 of the Act, but are now subject to fees under the broader mandate of the RAY BAUM’s Act.</w:t>
      </w:r>
      <w:r w:rsidRPr="0059512C" w:rsidR="000A0D62">
        <w:rPr>
          <w:szCs w:val="22"/>
        </w:rPr>
        <w:t xml:space="preserve">   </w:t>
      </w:r>
    </w:p>
    <w:p w:rsidR="00354699" w:rsidRPr="0059512C" w:rsidP="009E3678">
      <w:pPr>
        <w:pStyle w:val="ParaNum"/>
        <w:rPr>
          <w:szCs w:val="22"/>
        </w:rPr>
      </w:pPr>
      <w:r w:rsidRPr="0059512C">
        <w:rPr>
          <w:szCs w:val="22"/>
        </w:rPr>
        <w:t>We propo</w:t>
      </w:r>
      <w:r w:rsidRPr="0059512C">
        <w:rPr>
          <w:szCs w:val="22"/>
        </w:rPr>
        <w:t xml:space="preserve">se and seek comment on adopting the following cost-based fees for these applications—and we give as an example the current fees for one type of personal license, </w:t>
      </w:r>
      <w:r w:rsidRPr="0059512C" w:rsidR="00E87309">
        <w:rPr>
          <w:szCs w:val="22"/>
        </w:rPr>
        <w:t>General Mobile Radio Service, or GMRS</w:t>
      </w:r>
      <w:r w:rsidRPr="0059512C">
        <w:rPr>
          <w:szCs w:val="22"/>
        </w:rPr>
        <w:t>.  All fees are per call sign unless otherwise noted.</w:t>
      </w:r>
    </w:p>
    <w:tbl>
      <w:tblPr>
        <w:tblStyle w:val="TableGrid"/>
        <w:tblW w:w="8640" w:type="dxa"/>
        <w:tblInd w:w="175" w:type="dxa"/>
        <w:tblLook w:val="04A0"/>
      </w:tblPr>
      <w:tblGrid>
        <w:gridCol w:w="2880"/>
        <w:gridCol w:w="2880"/>
        <w:gridCol w:w="2880"/>
      </w:tblGrid>
      <w:tr w:rsidTr="00354699">
        <w:tblPrEx>
          <w:tblW w:w="8640" w:type="dxa"/>
          <w:tblInd w:w="175" w:type="dxa"/>
          <w:tblLook w:val="04A0"/>
        </w:tblPrEx>
        <w:tc>
          <w:tcPr>
            <w:tcW w:w="2880" w:type="dxa"/>
          </w:tcPr>
          <w:p w:rsidR="00354699" w:rsidRPr="0059512C" w:rsidP="00354699">
            <w:pPr>
              <w:pStyle w:val="ParaNum"/>
              <w:numPr>
                <w:ilvl w:val="0"/>
                <w:numId w:val="0"/>
              </w:numPr>
              <w:rPr>
                <w:b/>
                <w:szCs w:val="22"/>
              </w:rPr>
            </w:pPr>
            <w:r w:rsidRPr="0059512C">
              <w:rPr>
                <w:b/>
                <w:szCs w:val="22"/>
              </w:rPr>
              <w:t>Typ</w:t>
            </w:r>
            <w:r w:rsidRPr="0059512C">
              <w:rPr>
                <w:b/>
                <w:szCs w:val="22"/>
              </w:rPr>
              <w:t>e of Personal Licensing Application</w:t>
            </w:r>
          </w:p>
        </w:tc>
        <w:tc>
          <w:tcPr>
            <w:tcW w:w="2880" w:type="dxa"/>
          </w:tcPr>
          <w:p w:rsidR="00354699" w:rsidRPr="0059512C" w:rsidP="00354699">
            <w:pPr>
              <w:pStyle w:val="ParaNum"/>
              <w:numPr>
                <w:ilvl w:val="0"/>
                <w:numId w:val="0"/>
              </w:numPr>
              <w:rPr>
                <w:b/>
                <w:szCs w:val="22"/>
              </w:rPr>
            </w:pPr>
            <w:r w:rsidRPr="0059512C">
              <w:rPr>
                <w:b/>
                <w:szCs w:val="22"/>
              </w:rPr>
              <w:t xml:space="preserve">Current Fee for </w:t>
            </w:r>
            <w:r w:rsidRPr="0059512C" w:rsidR="008F3311">
              <w:rPr>
                <w:b/>
                <w:szCs w:val="22"/>
              </w:rPr>
              <w:t>General Mobile Radio Service</w:t>
            </w:r>
          </w:p>
        </w:tc>
        <w:tc>
          <w:tcPr>
            <w:tcW w:w="2880" w:type="dxa"/>
          </w:tcPr>
          <w:p w:rsidR="00354699" w:rsidRPr="0059512C" w:rsidP="00354699">
            <w:pPr>
              <w:pStyle w:val="ParaNum"/>
              <w:numPr>
                <w:ilvl w:val="0"/>
                <w:numId w:val="0"/>
              </w:numPr>
              <w:rPr>
                <w:b/>
                <w:szCs w:val="22"/>
              </w:rPr>
            </w:pPr>
            <w:r w:rsidRPr="0059512C">
              <w:rPr>
                <w:b/>
                <w:szCs w:val="22"/>
              </w:rPr>
              <w:t>Cost-based Fee</w:t>
            </w:r>
          </w:p>
        </w:tc>
      </w:tr>
      <w:tr w:rsidTr="00354699">
        <w:tblPrEx>
          <w:tblW w:w="8640" w:type="dxa"/>
          <w:tblInd w:w="175" w:type="dxa"/>
          <w:tblLook w:val="04A0"/>
        </w:tblPrEx>
        <w:tc>
          <w:tcPr>
            <w:tcW w:w="2880" w:type="dxa"/>
          </w:tcPr>
          <w:p w:rsidR="00B3094B" w:rsidRPr="0059512C" w:rsidP="004B401B">
            <w:pPr>
              <w:pStyle w:val="ParaNum"/>
              <w:numPr>
                <w:ilvl w:val="0"/>
                <w:numId w:val="0"/>
              </w:numPr>
              <w:rPr>
                <w:szCs w:val="22"/>
              </w:rPr>
            </w:pPr>
            <w:r w:rsidRPr="0059512C">
              <w:rPr>
                <w:szCs w:val="22"/>
              </w:rPr>
              <w:t>New license,</w:t>
            </w:r>
            <w:r w:rsidRPr="0059512C" w:rsidR="00BA41AF">
              <w:rPr>
                <w:szCs w:val="22"/>
              </w:rPr>
              <w:t xml:space="preserve"> </w:t>
            </w:r>
            <w:r w:rsidRPr="0059512C">
              <w:rPr>
                <w:szCs w:val="22"/>
              </w:rPr>
              <w:t>modification</w:t>
            </w:r>
          </w:p>
        </w:tc>
        <w:tc>
          <w:tcPr>
            <w:tcW w:w="2880" w:type="dxa"/>
          </w:tcPr>
          <w:p w:rsidR="00B3094B" w:rsidRPr="0059512C" w:rsidP="004B401B">
            <w:pPr>
              <w:pStyle w:val="ParaNum"/>
              <w:numPr>
                <w:ilvl w:val="0"/>
                <w:numId w:val="0"/>
              </w:numPr>
              <w:rPr>
                <w:szCs w:val="22"/>
              </w:rPr>
            </w:pPr>
            <w:r w:rsidRPr="0059512C">
              <w:rPr>
                <w:szCs w:val="22"/>
              </w:rPr>
              <w:t>$</w:t>
            </w:r>
            <w:r w:rsidRPr="0059512C" w:rsidR="00BA41AF">
              <w:rPr>
                <w:szCs w:val="22"/>
              </w:rPr>
              <w:t>70</w:t>
            </w:r>
          </w:p>
        </w:tc>
        <w:tc>
          <w:tcPr>
            <w:tcW w:w="2880" w:type="dxa"/>
          </w:tcPr>
          <w:p w:rsidR="00B3094B" w:rsidRPr="0059512C" w:rsidP="004B401B">
            <w:pPr>
              <w:pStyle w:val="ParaNum"/>
              <w:numPr>
                <w:ilvl w:val="0"/>
                <w:numId w:val="0"/>
              </w:numPr>
              <w:rPr>
                <w:szCs w:val="22"/>
              </w:rPr>
            </w:pPr>
            <w:r w:rsidRPr="0059512C">
              <w:rPr>
                <w:szCs w:val="22"/>
              </w:rPr>
              <w:t>$</w:t>
            </w:r>
            <w:r w:rsidR="00FB3250">
              <w:rPr>
                <w:szCs w:val="22"/>
              </w:rPr>
              <w:t>5</w:t>
            </w:r>
            <w:r w:rsidRPr="0059512C">
              <w:rPr>
                <w:szCs w:val="22"/>
              </w:rPr>
              <w:t>0</w:t>
            </w:r>
          </w:p>
        </w:tc>
      </w:tr>
      <w:tr w:rsidTr="00354699">
        <w:tblPrEx>
          <w:tblW w:w="8640" w:type="dxa"/>
          <w:tblInd w:w="175" w:type="dxa"/>
          <w:tblLook w:val="04A0"/>
        </w:tblPrEx>
        <w:tc>
          <w:tcPr>
            <w:tcW w:w="2880" w:type="dxa"/>
          </w:tcPr>
          <w:p w:rsidR="00B3094B" w:rsidRPr="0059512C" w:rsidP="004B401B">
            <w:pPr>
              <w:pStyle w:val="ParaNum"/>
              <w:numPr>
                <w:ilvl w:val="0"/>
                <w:numId w:val="0"/>
              </w:numPr>
              <w:rPr>
                <w:szCs w:val="22"/>
              </w:rPr>
            </w:pPr>
            <w:r w:rsidRPr="0059512C">
              <w:rPr>
                <w:szCs w:val="22"/>
              </w:rPr>
              <w:t>Minor modification</w:t>
            </w:r>
          </w:p>
        </w:tc>
        <w:tc>
          <w:tcPr>
            <w:tcW w:w="2880" w:type="dxa"/>
          </w:tcPr>
          <w:p w:rsidR="00B3094B" w:rsidRPr="0059512C" w:rsidP="004B401B">
            <w:pPr>
              <w:pStyle w:val="ParaNum"/>
              <w:numPr>
                <w:ilvl w:val="0"/>
                <w:numId w:val="0"/>
              </w:numPr>
              <w:rPr>
                <w:szCs w:val="22"/>
              </w:rPr>
            </w:pPr>
            <w:r w:rsidRPr="0059512C">
              <w:rPr>
                <w:szCs w:val="22"/>
              </w:rPr>
              <w:t>n/a</w:t>
            </w:r>
          </w:p>
        </w:tc>
        <w:tc>
          <w:tcPr>
            <w:tcW w:w="2880" w:type="dxa"/>
          </w:tcPr>
          <w:p w:rsidR="00B3094B" w:rsidRPr="0059512C" w:rsidP="004B401B">
            <w:pPr>
              <w:pStyle w:val="ParaNum"/>
              <w:numPr>
                <w:ilvl w:val="0"/>
                <w:numId w:val="0"/>
              </w:numPr>
              <w:rPr>
                <w:szCs w:val="22"/>
              </w:rPr>
            </w:pPr>
            <w:r w:rsidRPr="0059512C">
              <w:rPr>
                <w:szCs w:val="22"/>
              </w:rPr>
              <w:t>$</w:t>
            </w:r>
            <w:r w:rsidR="00FB3250">
              <w:rPr>
                <w:szCs w:val="22"/>
              </w:rPr>
              <w:t>5</w:t>
            </w:r>
            <w:r w:rsidRPr="0059512C">
              <w:rPr>
                <w:szCs w:val="22"/>
              </w:rPr>
              <w:t>0</w:t>
            </w:r>
          </w:p>
        </w:tc>
      </w:tr>
      <w:tr w:rsidTr="00354699">
        <w:tblPrEx>
          <w:tblW w:w="8640" w:type="dxa"/>
          <w:tblInd w:w="175" w:type="dxa"/>
          <w:tblLook w:val="04A0"/>
        </w:tblPrEx>
        <w:tc>
          <w:tcPr>
            <w:tcW w:w="2880" w:type="dxa"/>
          </w:tcPr>
          <w:p w:rsidR="00B3094B" w:rsidRPr="0059512C" w:rsidP="004B401B">
            <w:pPr>
              <w:pStyle w:val="ParaNum"/>
              <w:numPr>
                <w:ilvl w:val="0"/>
                <w:numId w:val="0"/>
              </w:numPr>
              <w:rPr>
                <w:szCs w:val="22"/>
              </w:rPr>
            </w:pPr>
            <w:r w:rsidRPr="0059512C">
              <w:rPr>
                <w:szCs w:val="22"/>
              </w:rPr>
              <w:t>Special temporary authority</w:t>
            </w:r>
          </w:p>
        </w:tc>
        <w:tc>
          <w:tcPr>
            <w:tcW w:w="2880" w:type="dxa"/>
          </w:tcPr>
          <w:p w:rsidR="00B3094B" w:rsidRPr="0059512C" w:rsidP="004B401B">
            <w:pPr>
              <w:pStyle w:val="ParaNum"/>
              <w:numPr>
                <w:ilvl w:val="0"/>
                <w:numId w:val="0"/>
              </w:numPr>
              <w:rPr>
                <w:szCs w:val="22"/>
              </w:rPr>
            </w:pPr>
            <w:r w:rsidRPr="0059512C">
              <w:rPr>
                <w:szCs w:val="22"/>
              </w:rPr>
              <w:t>$</w:t>
            </w:r>
            <w:r w:rsidRPr="0059512C" w:rsidR="00BA41AF">
              <w:rPr>
                <w:szCs w:val="22"/>
              </w:rPr>
              <w:t>70</w:t>
            </w:r>
          </w:p>
        </w:tc>
        <w:tc>
          <w:tcPr>
            <w:tcW w:w="2880" w:type="dxa"/>
          </w:tcPr>
          <w:p w:rsidR="00B3094B" w:rsidRPr="0059512C" w:rsidP="004B401B">
            <w:pPr>
              <w:pStyle w:val="ParaNum"/>
              <w:numPr>
                <w:ilvl w:val="0"/>
                <w:numId w:val="0"/>
              </w:numPr>
              <w:rPr>
                <w:szCs w:val="22"/>
              </w:rPr>
            </w:pPr>
            <w:r w:rsidRPr="0059512C">
              <w:rPr>
                <w:szCs w:val="22"/>
              </w:rPr>
              <w:t>$1</w:t>
            </w:r>
            <w:r w:rsidRPr="0059512C" w:rsidR="004371B1">
              <w:rPr>
                <w:szCs w:val="22"/>
              </w:rPr>
              <w:t>35</w:t>
            </w:r>
            <w:r w:rsidRPr="0059512C">
              <w:rPr>
                <w:szCs w:val="22"/>
              </w:rPr>
              <w:t xml:space="preserve"> </w:t>
            </w:r>
          </w:p>
        </w:tc>
      </w:tr>
      <w:tr w:rsidTr="00354699">
        <w:tblPrEx>
          <w:tblW w:w="8640" w:type="dxa"/>
          <w:tblInd w:w="175" w:type="dxa"/>
          <w:tblLook w:val="04A0"/>
        </w:tblPrEx>
        <w:tc>
          <w:tcPr>
            <w:tcW w:w="2880" w:type="dxa"/>
          </w:tcPr>
          <w:p w:rsidR="00B3094B" w:rsidRPr="0059512C" w:rsidP="004B401B">
            <w:pPr>
              <w:pStyle w:val="ParaNum"/>
              <w:numPr>
                <w:ilvl w:val="0"/>
                <w:numId w:val="0"/>
              </w:numPr>
              <w:rPr>
                <w:szCs w:val="22"/>
              </w:rPr>
            </w:pPr>
            <w:r w:rsidRPr="0059512C">
              <w:rPr>
                <w:szCs w:val="22"/>
              </w:rPr>
              <w:t>Rule waiver</w:t>
            </w:r>
          </w:p>
        </w:tc>
        <w:tc>
          <w:tcPr>
            <w:tcW w:w="2880" w:type="dxa"/>
          </w:tcPr>
          <w:p w:rsidR="00B3094B" w:rsidRPr="0059512C" w:rsidP="004B401B">
            <w:pPr>
              <w:pStyle w:val="ParaNum"/>
              <w:numPr>
                <w:ilvl w:val="0"/>
                <w:numId w:val="0"/>
              </w:numPr>
              <w:rPr>
                <w:szCs w:val="22"/>
              </w:rPr>
            </w:pPr>
            <w:r w:rsidRPr="0059512C">
              <w:rPr>
                <w:szCs w:val="22"/>
              </w:rPr>
              <w:t>$</w:t>
            </w:r>
            <w:r w:rsidRPr="0059512C" w:rsidR="00BA41AF">
              <w:rPr>
                <w:szCs w:val="22"/>
              </w:rPr>
              <w:t>210</w:t>
            </w:r>
          </w:p>
        </w:tc>
        <w:tc>
          <w:tcPr>
            <w:tcW w:w="2880" w:type="dxa"/>
          </w:tcPr>
          <w:p w:rsidR="00B3094B" w:rsidRPr="0059512C" w:rsidP="004B401B">
            <w:pPr>
              <w:pStyle w:val="ParaNum"/>
              <w:numPr>
                <w:ilvl w:val="0"/>
                <w:numId w:val="0"/>
              </w:numPr>
              <w:rPr>
                <w:szCs w:val="22"/>
              </w:rPr>
            </w:pPr>
            <w:r w:rsidRPr="0059512C">
              <w:rPr>
                <w:szCs w:val="22"/>
              </w:rPr>
              <w:t>$</w:t>
            </w:r>
            <w:r w:rsidR="00FB3250">
              <w:rPr>
                <w:szCs w:val="22"/>
              </w:rPr>
              <w:t>5</w:t>
            </w:r>
            <w:r w:rsidRPr="0059512C">
              <w:rPr>
                <w:szCs w:val="22"/>
              </w:rPr>
              <w:t>0</w:t>
            </w:r>
          </w:p>
        </w:tc>
      </w:tr>
      <w:tr w:rsidTr="00354699">
        <w:tblPrEx>
          <w:tblW w:w="8640" w:type="dxa"/>
          <w:tblInd w:w="175" w:type="dxa"/>
          <w:tblLook w:val="04A0"/>
        </w:tblPrEx>
        <w:tc>
          <w:tcPr>
            <w:tcW w:w="2880" w:type="dxa"/>
          </w:tcPr>
          <w:p w:rsidR="00B3094B" w:rsidRPr="0059512C" w:rsidP="004B401B">
            <w:pPr>
              <w:pStyle w:val="ParaNum"/>
              <w:numPr>
                <w:ilvl w:val="0"/>
                <w:numId w:val="0"/>
              </w:numPr>
              <w:rPr>
                <w:szCs w:val="22"/>
              </w:rPr>
            </w:pPr>
            <w:r w:rsidRPr="0059512C">
              <w:rPr>
                <w:szCs w:val="22"/>
              </w:rPr>
              <w:t>Renewal</w:t>
            </w:r>
          </w:p>
        </w:tc>
        <w:tc>
          <w:tcPr>
            <w:tcW w:w="2880" w:type="dxa"/>
          </w:tcPr>
          <w:p w:rsidR="00B3094B" w:rsidRPr="0059512C" w:rsidP="004B401B">
            <w:pPr>
              <w:pStyle w:val="ParaNum"/>
              <w:numPr>
                <w:ilvl w:val="0"/>
                <w:numId w:val="0"/>
              </w:numPr>
              <w:rPr>
                <w:szCs w:val="22"/>
              </w:rPr>
            </w:pPr>
            <w:r w:rsidRPr="0059512C">
              <w:rPr>
                <w:szCs w:val="22"/>
              </w:rPr>
              <w:t>$</w:t>
            </w:r>
            <w:r w:rsidRPr="0059512C" w:rsidR="00BA41AF">
              <w:rPr>
                <w:szCs w:val="22"/>
              </w:rPr>
              <w:t>70</w:t>
            </w:r>
          </w:p>
        </w:tc>
        <w:tc>
          <w:tcPr>
            <w:tcW w:w="2880" w:type="dxa"/>
          </w:tcPr>
          <w:p w:rsidR="00B3094B" w:rsidRPr="0059512C" w:rsidP="004B401B">
            <w:pPr>
              <w:pStyle w:val="ParaNum"/>
              <w:numPr>
                <w:ilvl w:val="0"/>
                <w:numId w:val="0"/>
              </w:numPr>
              <w:rPr>
                <w:szCs w:val="22"/>
              </w:rPr>
            </w:pPr>
            <w:r w:rsidRPr="0059512C">
              <w:rPr>
                <w:szCs w:val="22"/>
              </w:rPr>
              <w:t>$</w:t>
            </w:r>
            <w:r w:rsidR="00FB3250">
              <w:rPr>
                <w:szCs w:val="22"/>
              </w:rPr>
              <w:t>5</w:t>
            </w:r>
            <w:r w:rsidRPr="0059512C">
              <w:rPr>
                <w:szCs w:val="22"/>
              </w:rPr>
              <w:t>0</w:t>
            </w:r>
          </w:p>
        </w:tc>
      </w:tr>
    </w:tbl>
    <w:p w:rsidR="00B3094B" w:rsidRPr="0059512C" w:rsidP="00B3094B">
      <w:pPr>
        <w:pStyle w:val="ParaNum"/>
        <w:numPr>
          <w:ilvl w:val="0"/>
          <w:numId w:val="0"/>
        </w:numPr>
        <w:ind w:left="720"/>
        <w:rPr>
          <w:szCs w:val="22"/>
        </w:rPr>
      </w:pPr>
    </w:p>
    <w:p w:rsidR="00354699" w:rsidRPr="0059512C" w:rsidP="00354699">
      <w:pPr>
        <w:pStyle w:val="ParaNum"/>
        <w:rPr>
          <w:szCs w:val="22"/>
        </w:rPr>
      </w:pPr>
      <w:r w:rsidRPr="0059512C">
        <w:rPr>
          <w:szCs w:val="22"/>
        </w:rPr>
        <w:t xml:space="preserve">We </w:t>
      </w:r>
      <w:r w:rsidRPr="0059512C">
        <w:rPr>
          <w:szCs w:val="22"/>
        </w:rPr>
        <w:t>estimate that the Commission’s resources in processing an application for STA consist of program analyst review and processing, engineer technical review, and supervisor coordinate action with management.  Our estimate is that this process involves $1</w:t>
      </w:r>
      <w:r w:rsidRPr="0059512C" w:rsidR="00EC09EC">
        <w:rPr>
          <w:szCs w:val="22"/>
        </w:rPr>
        <w:t>35</w:t>
      </w:r>
      <w:r w:rsidRPr="0059512C">
        <w:rPr>
          <w:szCs w:val="22"/>
        </w:rPr>
        <w:t xml:space="preserve"> in</w:t>
      </w:r>
      <w:r w:rsidRPr="0059512C">
        <w:rPr>
          <w:szCs w:val="22"/>
        </w:rPr>
        <w:t xml:space="preserve"> costs.  We estimate that the Commission’s resources in processing an application for rule waiver consist of program analyst review and processing.  Our estimate is that this process involves $</w:t>
      </w:r>
      <w:r w:rsidR="00FB3250">
        <w:rPr>
          <w:szCs w:val="22"/>
        </w:rPr>
        <w:t>5</w:t>
      </w:r>
      <w:r w:rsidRPr="0059512C">
        <w:rPr>
          <w:szCs w:val="22"/>
        </w:rPr>
        <w:t>0 in costs.</w:t>
      </w:r>
    </w:p>
    <w:p w:rsidR="00354699" w:rsidRPr="0059512C" w:rsidP="00354699">
      <w:pPr>
        <w:pStyle w:val="ParaNum"/>
        <w:rPr>
          <w:szCs w:val="22"/>
        </w:rPr>
      </w:pPr>
      <w:r w:rsidRPr="0059512C">
        <w:rPr>
          <w:szCs w:val="22"/>
        </w:rPr>
        <w:t>Other applications for personal licenses are mostl</w:t>
      </w:r>
      <w:r w:rsidRPr="0059512C">
        <w:rPr>
          <w:szCs w:val="22"/>
        </w:rPr>
        <w:t>y automated and do not have individualized staff costs for data input or review.  For these automated processes—new/major modifications, renewal, and minor modifications—we propose a nominal application fee of $</w:t>
      </w:r>
      <w:r w:rsidR="00FB3250">
        <w:rPr>
          <w:szCs w:val="22"/>
        </w:rPr>
        <w:t>5</w:t>
      </w:r>
      <w:r w:rsidRPr="0059512C">
        <w:rPr>
          <w:szCs w:val="22"/>
        </w:rPr>
        <w:t>0 due to automating the processes, routine U</w:t>
      </w:r>
      <w:r w:rsidRPr="0059512C">
        <w:rPr>
          <w:szCs w:val="22"/>
        </w:rPr>
        <w:t>LS maintenance, and limited instances where staff input is required.  Although there is currently no fee for vanity call signs</w:t>
      </w:r>
      <w:r w:rsidR="003E62D7">
        <w:rPr>
          <w:szCs w:val="22"/>
        </w:rPr>
        <w:t xml:space="preserve"> in the Amateur Radio Service</w:t>
      </w:r>
      <w:r w:rsidRPr="0059512C">
        <w:rPr>
          <w:szCs w:val="22"/>
        </w:rPr>
        <w:t xml:space="preserve">, we find that such </w:t>
      </w:r>
      <w:r w:rsidRPr="0059512C" w:rsidR="009E3678">
        <w:rPr>
          <w:szCs w:val="22"/>
        </w:rPr>
        <w:t>applications impose similar costs in aggregate on Commission resources as new applications</w:t>
      </w:r>
      <w:r w:rsidRPr="003E62D7" w:rsidR="003E62D7">
        <w:rPr>
          <w:szCs w:val="22"/>
        </w:rPr>
        <w:t xml:space="preserve"> </w:t>
      </w:r>
      <w:r w:rsidR="003E62D7">
        <w:rPr>
          <w:szCs w:val="22"/>
        </w:rPr>
        <w:t>and therefore propose a $50 fee</w:t>
      </w:r>
      <w:r w:rsidRPr="0059512C" w:rsidR="009E3678">
        <w:rPr>
          <w:szCs w:val="22"/>
        </w:rPr>
        <w:t>.</w:t>
      </w:r>
    </w:p>
    <w:p w:rsidR="00354699" w:rsidRPr="0059512C" w:rsidP="004D34C3">
      <w:pPr>
        <w:pStyle w:val="ParaNum"/>
        <w:rPr>
          <w:szCs w:val="22"/>
        </w:rPr>
      </w:pPr>
      <w:r w:rsidRPr="0059512C">
        <w:rPr>
          <w:szCs w:val="22"/>
        </w:rPr>
        <w:t>For administrative updates modifications</w:t>
      </w:r>
      <w:r w:rsidR="0060706A">
        <w:rPr>
          <w:szCs w:val="22"/>
        </w:rPr>
        <w:t>, which also are highly automated,</w:t>
      </w:r>
      <w:r w:rsidRPr="0059512C">
        <w:rPr>
          <w:szCs w:val="22"/>
        </w:rPr>
        <w:t xml:space="preserve"> we find that it is in the public interest to encourage licensees to update their information without a charge.  We thus propose no applica</w:t>
      </w:r>
      <w:r w:rsidRPr="0059512C">
        <w:rPr>
          <w:szCs w:val="22"/>
        </w:rPr>
        <w:t xml:space="preserve">tion fee for administrative updates modifications.  </w:t>
      </w:r>
    </w:p>
    <w:p w:rsidR="009E3678" w:rsidRPr="0059512C" w:rsidP="009E3678">
      <w:pPr>
        <w:pStyle w:val="ParaNum"/>
        <w:rPr>
          <w:szCs w:val="22"/>
        </w:rPr>
      </w:pPr>
      <w:r w:rsidRPr="0059512C">
        <w:rPr>
          <w:szCs w:val="22"/>
        </w:rPr>
        <w:t>In instances where an applicant elects to receive a physical license by mail</w:t>
      </w:r>
      <w:r w:rsidRPr="0059512C" w:rsidR="004D34C3">
        <w:rPr>
          <w:szCs w:val="22"/>
        </w:rPr>
        <w:t xml:space="preserve"> (including requests for a duplicate license)</w:t>
      </w:r>
      <w:r w:rsidRPr="0059512C">
        <w:rPr>
          <w:szCs w:val="22"/>
        </w:rPr>
        <w:t>, the Commission incurs costs for printing and mailing the duplicate authorization</w:t>
      </w:r>
      <w:r w:rsidRPr="0059512C">
        <w:rPr>
          <w:szCs w:val="22"/>
        </w:rPr>
        <w:t>.  The Commission has proposed to eliminate these services</w:t>
      </w:r>
      <w:r>
        <w:rPr>
          <w:rStyle w:val="FootnoteReference"/>
        </w:rPr>
        <w:footnoteReference w:id="33"/>
      </w:r>
      <w:r w:rsidRPr="0059512C">
        <w:rPr>
          <w:szCs w:val="22"/>
        </w:rPr>
        <w:t>—but to the extent the Commission does not do so, we propose a fee of $</w:t>
      </w:r>
      <w:r w:rsidR="00FB3250">
        <w:rPr>
          <w:szCs w:val="22"/>
        </w:rPr>
        <w:t>5</w:t>
      </w:r>
      <w:r w:rsidRPr="0059512C" w:rsidR="003B6819">
        <w:rPr>
          <w:szCs w:val="22"/>
        </w:rPr>
        <w:t>0</w:t>
      </w:r>
      <w:r w:rsidRPr="0059512C">
        <w:rPr>
          <w:szCs w:val="22"/>
        </w:rPr>
        <w:t xml:space="preserve"> to cover the costs of these services.</w:t>
      </w:r>
    </w:p>
    <w:p w:rsidR="00B3094B" w:rsidRPr="0059512C" w:rsidP="00B3094B">
      <w:pPr>
        <w:pStyle w:val="ParaNum"/>
        <w:rPr>
          <w:szCs w:val="22"/>
        </w:rPr>
      </w:pPr>
      <w:r w:rsidRPr="0059512C">
        <w:rPr>
          <w:szCs w:val="22"/>
        </w:rPr>
        <w:t xml:space="preserve">We seek comment on </w:t>
      </w:r>
      <w:r w:rsidRPr="0059512C" w:rsidR="009E3678">
        <w:rPr>
          <w:szCs w:val="22"/>
        </w:rPr>
        <w:t>these proposals</w:t>
      </w:r>
      <w:r w:rsidRPr="0059512C">
        <w:rPr>
          <w:szCs w:val="22"/>
        </w:rPr>
        <w:t xml:space="preserve">.  </w:t>
      </w:r>
    </w:p>
    <w:p w:rsidR="00B3094B" w:rsidRPr="0059512C" w:rsidP="00020760">
      <w:pPr>
        <w:pStyle w:val="Heading4"/>
        <w:rPr>
          <w:szCs w:val="22"/>
        </w:rPr>
      </w:pPr>
      <w:bookmarkStart w:id="124" w:name="_Toc18066907"/>
      <w:bookmarkStart w:id="125" w:name="_Toc18939769"/>
      <w:bookmarkStart w:id="126" w:name="_Toc19795069"/>
      <w:bookmarkStart w:id="127" w:name="_Toc19796434"/>
      <w:bookmarkStart w:id="128" w:name="_Toc19796791"/>
      <w:bookmarkStart w:id="129" w:name="_Toc28005088"/>
      <w:bookmarkStart w:id="130" w:name="_Toc29557386"/>
      <w:bookmarkStart w:id="131" w:name="_Toc35268561"/>
      <w:r w:rsidRPr="0059512C">
        <w:rPr>
          <w:szCs w:val="22"/>
        </w:rPr>
        <w:t>Geographic-Based Licenses</w:t>
      </w:r>
      <w:bookmarkEnd w:id="124"/>
      <w:bookmarkEnd w:id="125"/>
      <w:bookmarkEnd w:id="126"/>
      <w:bookmarkEnd w:id="127"/>
      <w:bookmarkEnd w:id="128"/>
      <w:bookmarkEnd w:id="129"/>
      <w:bookmarkEnd w:id="130"/>
      <w:bookmarkEnd w:id="131"/>
    </w:p>
    <w:p w:rsidR="009E3678" w:rsidRPr="0059512C" w:rsidP="00006244">
      <w:pPr>
        <w:pStyle w:val="ParaNum"/>
        <w:rPr>
          <w:szCs w:val="22"/>
        </w:rPr>
      </w:pPr>
      <w:r w:rsidRPr="0059512C">
        <w:rPr>
          <w:szCs w:val="22"/>
        </w:rPr>
        <w:t>Geographic-based licenses authorize an applicant to construct anywhere within a particular geographic area’s boundary (subject to certain technical requirements, including interference protection) and generally do not require applicants to submit additiona</w:t>
      </w:r>
      <w:r w:rsidRPr="0059512C">
        <w:rPr>
          <w:szCs w:val="22"/>
        </w:rPr>
        <w:t>l applications for prior Commission approval of specific transmitter locations.  Geographic-based licensing services that currently have fees include the 220-222 MHz Service (used for flexible wireless services over narrowband frequencies), 24 GHz and 39 G</w:t>
      </w:r>
      <w:r w:rsidRPr="0059512C">
        <w:rPr>
          <w:szCs w:val="22"/>
        </w:rPr>
        <w:t xml:space="preserve">Hz </w:t>
      </w:r>
      <w:r w:rsidR="00DD2434">
        <w:rPr>
          <w:szCs w:val="22"/>
        </w:rPr>
        <w:t xml:space="preserve">Service </w:t>
      </w:r>
      <w:r w:rsidRPr="0059512C">
        <w:rPr>
          <w:szCs w:val="22"/>
        </w:rPr>
        <w:t xml:space="preserve">(used for a variety of data services), Location and Monitoring Service (used to locate and monitor remote radio units), Multiple Address Service (used for supervisory control and data acquisition services), Multichannel Video Distribution and Data Service </w:t>
      </w:r>
      <w:r w:rsidRPr="0059512C">
        <w:rPr>
          <w:szCs w:val="22"/>
        </w:rPr>
        <w:t xml:space="preserve">(used for TV programming and Internet connectivity), </w:t>
      </w:r>
      <w:bookmarkStart w:id="132" w:name="_Hlk31107013"/>
      <w:r w:rsidRPr="0059512C">
        <w:rPr>
          <w:szCs w:val="22"/>
        </w:rPr>
        <w:t xml:space="preserve">Paging and Radiotelephone Service (used for narrowband one-way and two-way land mobile communications), Public Coast Service (used as a maritime mobile service to address the distress, navigational, and </w:t>
      </w:r>
      <w:r w:rsidRPr="0059512C">
        <w:rPr>
          <w:szCs w:val="22"/>
        </w:rPr>
        <w:t>business communications needs of vessels</w:t>
      </w:r>
      <w:bookmarkEnd w:id="132"/>
      <w:r w:rsidRPr="0059512C">
        <w:rPr>
          <w:szCs w:val="22"/>
        </w:rPr>
        <w:t>), and Specialized Mobile Radio Service (used for flexible wireless services to businesses and consumers).  Examples of geographic-based services that do not have fees include the Advanced Wireless Service, Broadband</w:t>
      </w:r>
      <w:r w:rsidRPr="0059512C">
        <w:rPr>
          <w:szCs w:val="22"/>
        </w:rPr>
        <w:t xml:space="preserve"> Personal Communications Service, </w:t>
      </w:r>
      <w:r w:rsidR="00DD2434">
        <w:rPr>
          <w:szCs w:val="22"/>
        </w:rPr>
        <w:t xml:space="preserve">and the </w:t>
      </w:r>
      <w:r w:rsidRPr="0059512C">
        <w:rPr>
          <w:szCs w:val="22"/>
        </w:rPr>
        <w:t>600 MHz, 700 MHz, 3.5 GHz, and 3.7-4.2 GHz Services (all of which may be used to provide a wide range of flexible wireless services to consumers and businesses).  With these services, an applicant’s initial applica</w:t>
      </w:r>
      <w:r w:rsidRPr="0059512C">
        <w:rPr>
          <w:szCs w:val="22"/>
        </w:rPr>
        <w:t>tion is generally accepted as a result of an auction and focuses on the area and spectrum of interest, as well as the applicant’s eligibility and qualifications.  The applicant’s construction notification often provides detailed information about the scope</w:t>
      </w:r>
      <w:r w:rsidRPr="0059512C">
        <w:rPr>
          <w:szCs w:val="22"/>
        </w:rPr>
        <w:t xml:space="preserve"> and nature of deployment, including maps and supporting technical showings.  At the end of the license term, the renewal application either confirms service over the license term pursuant to certain Commission-defined safe harbors, or provides a detailed </w:t>
      </w:r>
      <w:r w:rsidRPr="0059512C">
        <w:rPr>
          <w:szCs w:val="22"/>
        </w:rPr>
        <w:t>narrative showing.  As such, applications in these services require detailed eligibility review prior to initial authorization, detailed technical review of construction filings, and detailed service review at renewal in some circumstances.  Due to the com</w:t>
      </w:r>
      <w:r w:rsidRPr="0059512C">
        <w:rPr>
          <w:szCs w:val="22"/>
        </w:rPr>
        <w:t xml:space="preserve">mon features of these filings, geographic-based radio systems warrant consistent treatment in assessing fees. </w:t>
      </w:r>
      <w:r w:rsidR="006F34EA">
        <w:rPr>
          <w:szCs w:val="22"/>
        </w:rPr>
        <w:t xml:space="preserve"> </w:t>
      </w:r>
      <w:r w:rsidRPr="0059512C">
        <w:rPr>
          <w:szCs w:val="22"/>
        </w:rPr>
        <w:t>We note that, while the statute previously limited the Commission’s authority to charge fees only for specific services listed in the Act, the RA</w:t>
      </w:r>
      <w:r w:rsidRPr="0059512C">
        <w:rPr>
          <w:szCs w:val="22"/>
        </w:rPr>
        <w:t xml:space="preserve">Y BAUM’S Act now requires the Commission to collect fees from several previously uncharged services.  As such, several services in the geographic-based licenses category </w:t>
      </w:r>
      <w:r w:rsidR="007D535B">
        <w:rPr>
          <w:szCs w:val="22"/>
        </w:rPr>
        <w:t>will</w:t>
      </w:r>
      <w:r w:rsidRPr="0059512C" w:rsidR="007D535B">
        <w:rPr>
          <w:szCs w:val="22"/>
        </w:rPr>
        <w:t xml:space="preserve"> </w:t>
      </w:r>
      <w:r w:rsidRPr="0059512C">
        <w:rPr>
          <w:szCs w:val="22"/>
        </w:rPr>
        <w:t>be subject to new fees</w:t>
      </w:r>
      <w:r w:rsidRPr="0059512C" w:rsidR="00DB5597">
        <w:rPr>
          <w:szCs w:val="22"/>
        </w:rPr>
        <w:t>.</w:t>
      </w:r>
    </w:p>
    <w:p w:rsidR="00EA2C78" w:rsidRPr="0059512C" w:rsidP="00B3094B">
      <w:pPr>
        <w:pStyle w:val="ParaNum"/>
        <w:rPr>
          <w:szCs w:val="22"/>
        </w:rPr>
      </w:pPr>
      <w:r w:rsidRPr="0059512C">
        <w:rPr>
          <w:szCs w:val="22"/>
        </w:rPr>
        <w:t>In 2019, the Commission received over 12,000 geographic-b</w:t>
      </w:r>
      <w:r w:rsidRPr="0059512C">
        <w:rPr>
          <w:szCs w:val="22"/>
        </w:rPr>
        <w:t>ased license applications.  Due to the limits of the statute, we could not assess application fees for the geographic-based radio services designated after 1987</w:t>
      </w:r>
      <w:r w:rsidRPr="0059512C" w:rsidR="000D1DB7">
        <w:rPr>
          <w:szCs w:val="22"/>
        </w:rPr>
        <w:t>.</w:t>
      </w:r>
      <w:r>
        <w:rPr>
          <w:rStyle w:val="FootnoteReference"/>
          <w:sz w:val="22"/>
        </w:rPr>
        <w:footnoteReference w:id="34"/>
      </w:r>
      <w:r w:rsidRPr="0059512C">
        <w:rPr>
          <w:szCs w:val="22"/>
        </w:rPr>
        <w:t xml:space="preserve">.  </w:t>
      </w:r>
    </w:p>
    <w:p w:rsidR="009E3678" w:rsidRPr="0059512C" w:rsidP="009E3678">
      <w:pPr>
        <w:pStyle w:val="ParaNum"/>
        <w:rPr>
          <w:szCs w:val="22"/>
        </w:rPr>
      </w:pPr>
      <w:r w:rsidRPr="0059512C">
        <w:rPr>
          <w:szCs w:val="22"/>
        </w:rPr>
        <w:t>We propose and seek comment on adopting the following cost-based fees for these applicati</w:t>
      </w:r>
      <w:r w:rsidRPr="0059512C">
        <w:rPr>
          <w:szCs w:val="22"/>
        </w:rPr>
        <w:t xml:space="preserve">ons—and we give as an example the current fees for one type of geographic-based license, </w:t>
      </w:r>
      <w:r w:rsidRPr="0059512C" w:rsidR="005B6E2D">
        <w:rPr>
          <w:szCs w:val="22"/>
        </w:rPr>
        <w:t>Paging and Radiotelephone</w:t>
      </w:r>
      <w:r w:rsidRPr="0059512C">
        <w:rPr>
          <w:szCs w:val="22"/>
        </w:rPr>
        <w:t>.  All fees are per call sign unless otherwise noted.</w:t>
      </w:r>
    </w:p>
    <w:tbl>
      <w:tblPr>
        <w:tblStyle w:val="TableGrid"/>
        <w:tblW w:w="8640" w:type="dxa"/>
        <w:tblLook w:val="04A0"/>
      </w:tblPr>
      <w:tblGrid>
        <w:gridCol w:w="2880"/>
        <w:gridCol w:w="2880"/>
        <w:gridCol w:w="2880"/>
      </w:tblGrid>
      <w:tr w:rsidTr="009E3678">
        <w:tblPrEx>
          <w:tblW w:w="8640" w:type="dxa"/>
          <w:tblLook w:val="04A0"/>
        </w:tblPrEx>
        <w:tc>
          <w:tcPr>
            <w:tcW w:w="2880" w:type="dxa"/>
          </w:tcPr>
          <w:p w:rsidR="009E3678" w:rsidRPr="0059512C" w:rsidP="009E3678">
            <w:pPr>
              <w:pStyle w:val="ParaNum"/>
              <w:numPr>
                <w:ilvl w:val="0"/>
                <w:numId w:val="0"/>
              </w:numPr>
              <w:rPr>
                <w:b/>
                <w:szCs w:val="22"/>
              </w:rPr>
            </w:pPr>
            <w:r w:rsidRPr="0059512C">
              <w:rPr>
                <w:b/>
                <w:szCs w:val="22"/>
              </w:rPr>
              <w:t>Type of Geographic-Based Licensing Application</w:t>
            </w:r>
          </w:p>
        </w:tc>
        <w:tc>
          <w:tcPr>
            <w:tcW w:w="2880" w:type="dxa"/>
          </w:tcPr>
          <w:p w:rsidR="009E3678" w:rsidRPr="0059512C" w:rsidP="009E3678">
            <w:pPr>
              <w:pStyle w:val="ParaNum"/>
              <w:numPr>
                <w:ilvl w:val="0"/>
                <w:numId w:val="0"/>
              </w:numPr>
              <w:rPr>
                <w:b/>
                <w:szCs w:val="22"/>
              </w:rPr>
            </w:pPr>
            <w:r w:rsidRPr="0059512C">
              <w:rPr>
                <w:b/>
                <w:szCs w:val="22"/>
              </w:rPr>
              <w:t>Current Fee</w:t>
            </w:r>
            <w:r w:rsidRPr="0059512C" w:rsidR="003B42B3">
              <w:rPr>
                <w:b/>
                <w:szCs w:val="22"/>
              </w:rPr>
              <w:t xml:space="preserve"> for Paging and Radiotelephone</w:t>
            </w:r>
          </w:p>
        </w:tc>
        <w:tc>
          <w:tcPr>
            <w:tcW w:w="2880" w:type="dxa"/>
          </w:tcPr>
          <w:p w:rsidR="009E3678" w:rsidRPr="0059512C" w:rsidP="009E3678">
            <w:pPr>
              <w:pStyle w:val="ParaNum"/>
              <w:numPr>
                <w:ilvl w:val="0"/>
                <w:numId w:val="0"/>
              </w:numPr>
              <w:rPr>
                <w:b/>
                <w:szCs w:val="22"/>
              </w:rPr>
            </w:pPr>
            <w:r w:rsidRPr="0059512C">
              <w:rPr>
                <w:b/>
                <w:szCs w:val="22"/>
              </w:rPr>
              <w:t>Cost-based Fee</w:t>
            </w:r>
          </w:p>
        </w:tc>
      </w:tr>
      <w:tr w:rsidTr="009E3678">
        <w:tblPrEx>
          <w:tblW w:w="8640" w:type="dxa"/>
          <w:tblLook w:val="04A0"/>
        </w:tblPrEx>
        <w:tc>
          <w:tcPr>
            <w:tcW w:w="2880" w:type="dxa"/>
          </w:tcPr>
          <w:p w:rsidR="009E3678" w:rsidRPr="0059512C" w:rsidP="009E3678">
            <w:pPr>
              <w:pStyle w:val="ParaNum"/>
              <w:numPr>
                <w:ilvl w:val="0"/>
                <w:numId w:val="0"/>
              </w:numPr>
              <w:rPr>
                <w:szCs w:val="22"/>
              </w:rPr>
            </w:pPr>
            <w:r w:rsidRPr="0059512C">
              <w:rPr>
                <w:szCs w:val="22"/>
              </w:rPr>
              <w:t>New License (other than Post-Auction Long Form Application), Major Modification</w:t>
            </w:r>
          </w:p>
        </w:tc>
        <w:tc>
          <w:tcPr>
            <w:tcW w:w="2880" w:type="dxa"/>
          </w:tcPr>
          <w:p w:rsidR="009E3678" w:rsidRPr="0059512C" w:rsidP="009E3678">
            <w:pPr>
              <w:pStyle w:val="ParaNum"/>
              <w:numPr>
                <w:ilvl w:val="0"/>
                <w:numId w:val="0"/>
              </w:numPr>
              <w:rPr>
                <w:szCs w:val="22"/>
              </w:rPr>
            </w:pPr>
            <w:r w:rsidRPr="0059512C">
              <w:rPr>
                <w:szCs w:val="22"/>
              </w:rPr>
              <w:t>$</w:t>
            </w:r>
            <w:r w:rsidRPr="0059512C" w:rsidR="005B6E2D">
              <w:rPr>
                <w:szCs w:val="22"/>
              </w:rPr>
              <w:t>450</w:t>
            </w:r>
          </w:p>
        </w:tc>
        <w:tc>
          <w:tcPr>
            <w:tcW w:w="2880" w:type="dxa"/>
          </w:tcPr>
          <w:p w:rsidR="009E3678" w:rsidRPr="0059512C" w:rsidP="009E3678">
            <w:pPr>
              <w:pStyle w:val="ParaNum"/>
              <w:numPr>
                <w:ilvl w:val="0"/>
                <w:numId w:val="0"/>
              </w:numPr>
              <w:rPr>
                <w:szCs w:val="22"/>
              </w:rPr>
            </w:pPr>
            <w:r w:rsidRPr="0059512C">
              <w:rPr>
                <w:szCs w:val="22"/>
              </w:rPr>
              <w:t>$</w:t>
            </w:r>
            <w:r w:rsidRPr="0059512C" w:rsidR="004371B1">
              <w:rPr>
                <w:szCs w:val="22"/>
              </w:rPr>
              <w:t>30</w:t>
            </w:r>
            <w:r w:rsidRPr="0059512C">
              <w:rPr>
                <w:szCs w:val="22"/>
              </w:rPr>
              <w:t xml:space="preserve">5 </w:t>
            </w:r>
          </w:p>
        </w:tc>
      </w:tr>
      <w:tr w:rsidTr="009B0FDA">
        <w:tblPrEx>
          <w:tblW w:w="8640" w:type="dxa"/>
          <w:tblLook w:val="04A0"/>
        </w:tblPrEx>
        <w:tc>
          <w:tcPr>
            <w:tcW w:w="2880" w:type="dxa"/>
          </w:tcPr>
          <w:p w:rsidR="00BF14F1" w:rsidP="009B0FDA">
            <w:pPr>
              <w:pStyle w:val="ParaNum"/>
              <w:keepNext/>
              <w:widowControl/>
              <w:numPr>
                <w:ilvl w:val="0"/>
                <w:numId w:val="0"/>
              </w:numPr>
            </w:pPr>
            <w:r>
              <w:t>New License (Pre-Auction Short Form Application) (per application; NOT per call sign)</w:t>
            </w:r>
          </w:p>
        </w:tc>
        <w:tc>
          <w:tcPr>
            <w:tcW w:w="2880" w:type="dxa"/>
          </w:tcPr>
          <w:p w:rsidR="00BF14F1" w:rsidP="009B0FDA">
            <w:pPr>
              <w:pStyle w:val="ParaNum"/>
              <w:keepNext/>
              <w:widowControl/>
              <w:numPr>
                <w:ilvl w:val="0"/>
                <w:numId w:val="0"/>
              </w:numPr>
            </w:pPr>
            <w:r>
              <w:t>n/a</w:t>
            </w:r>
          </w:p>
        </w:tc>
        <w:tc>
          <w:tcPr>
            <w:tcW w:w="2880" w:type="dxa"/>
          </w:tcPr>
          <w:p w:rsidR="00BF14F1" w:rsidP="009B0FDA">
            <w:pPr>
              <w:pStyle w:val="ParaNum"/>
              <w:keepNext/>
              <w:widowControl/>
              <w:numPr>
                <w:ilvl w:val="0"/>
                <w:numId w:val="0"/>
              </w:numPr>
            </w:pPr>
            <w:r>
              <w:t>$575</w:t>
            </w:r>
          </w:p>
        </w:tc>
      </w:tr>
      <w:tr w:rsidTr="009E3678">
        <w:tblPrEx>
          <w:tblW w:w="8640" w:type="dxa"/>
          <w:tblLook w:val="04A0"/>
        </w:tblPrEx>
        <w:tc>
          <w:tcPr>
            <w:tcW w:w="2880" w:type="dxa"/>
          </w:tcPr>
          <w:p w:rsidR="00A42228" w:rsidP="00A42228">
            <w:pPr>
              <w:pStyle w:val="ParaNum"/>
              <w:keepNext/>
              <w:widowControl/>
              <w:numPr>
                <w:ilvl w:val="0"/>
                <w:numId w:val="0"/>
              </w:numPr>
            </w:pPr>
            <w:r>
              <w:t xml:space="preserve">New License (Post-Auction Long Form </w:t>
            </w:r>
            <w:r>
              <w:t>Application) (per application; NOT per call sign)</w:t>
            </w:r>
          </w:p>
        </w:tc>
        <w:tc>
          <w:tcPr>
            <w:tcW w:w="2880" w:type="dxa"/>
          </w:tcPr>
          <w:p w:rsidR="00A42228" w:rsidP="00A42228">
            <w:pPr>
              <w:pStyle w:val="ParaNum"/>
              <w:keepNext/>
              <w:widowControl/>
              <w:numPr>
                <w:ilvl w:val="0"/>
                <w:numId w:val="0"/>
              </w:numPr>
            </w:pPr>
            <w:r>
              <w:t>n/a</w:t>
            </w:r>
          </w:p>
        </w:tc>
        <w:tc>
          <w:tcPr>
            <w:tcW w:w="2880" w:type="dxa"/>
          </w:tcPr>
          <w:p w:rsidR="00A42228" w:rsidP="00A42228">
            <w:pPr>
              <w:pStyle w:val="ParaNum"/>
              <w:keepNext/>
              <w:widowControl/>
              <w:numPr>
                <w:ilvl w:val="0"/>
                <w:numId w:val="0"/>
              </w:numPr>
            </w:pPr>
            <w:r>
              <w:t>$2,</w:t>
            </w:r>
            <w:r w:rsidR="004371B1">
              <w:t>600</w:t>
            </w:r>
          </w:p>
        </w:tc>
      </w:tr>
      <w:tr w:rsidTr="009E3678">
        <w:tblPrEx>
          <w:tblW w:w="8640" w:type="dxa"/>
          <w:tblLook w:val="04A0"/>
        </w:tblPrEx>
        <w:tc>
          <w:tcPr>
            <w:tcW w:w="2880" w:type="dxa"/>
          </w:tcPr>
          <w:p w:rsidR="00A42228" w:rsidRPr="0059512C" w:rsidP="00A42228">
            <w:pPr>
              <w:pStyle w:val="ParaNum"/>
              <w:numPr>
                <w:ilvl w:val="0"/>
                <w:numId w:val="0"/>
              </w:numPr>
              <w:rPr>
                <w:szCs w:val="22"/>
              </w:rPr>
            </w:pPr>
            <w:r w:rsidRPr="0059512C">
              <w:rPr>
                <w:szCs w:val="22"/>
              </w:rPr>
              <w:t>Renewal</w:t>
            </w:r>
          </w:p>
        </w:tc>
        <w:tc>
          <w:tcPr>
            <w:tcW w:w="2880" w:type="dxa"/>
          </w:tcPr>
          <w:p w:rsidR="00A42228" w:rsidRPr="0059512C" w:rsidP="00A42228">
            <w:pPr>
              <w:pStyle w:val="ParaNum"/>
              <w:numPr>
                <w:ilvl w:val="0"/>
                <w:numId w:val="0"/>
              </w:numPr>
              <w:rPr>
                <w:szCs w:val="22"/>
              </w:rPr>
            </w:pPr>
            <w:r w:rsidRPr="0059512C">
              <w:rPr>
                <w:szCs w:val="22"/>
              </w:rPr>
              <w:t>$</w:t>
            </w:r>
            <w:r w:rsidRPr="0059512C" w:rsidR="005B6E2D">
              <w:rPr>
                <w:szCs w:val="22"/>
              </w:rPr>
              <w:t>70</w:t>
            </w:r>
          </w:p>
        </w:tc>
        <w:tc>
          <w:tcPr>
            <w:tcW w:w="2880" w:type="dxa"/>
          </w:tcPr>
          <w:p w:rsidR="00A42228" w:rsidRPr="0059512C" w:rsidP="00A42228">
            <w:pPr>
              <w:pStyle w:val="ParaNum"/>
              <w:numPr>
                <w:ilvl w:val="0"/>
                <w:numId w:val="0"/>
              </w:numPr>
              <w:rPr>
                <w:szCs w:val="22"/>
              </w:rPr>
            </w:pPr>
            <w:r w:rsidRPr="0059512C">
              <w:rPr>
                <w:szCs w:val="22"/>
              </w:rPr>
              <w:t>$</w:t>
            </w:r>
            <w:r w:rsidR="00FB3250">
              <w:rPr>
                <w:szCs w:val="22"/>
              </w:rPr>
              <w:t>5</w:t>
            </w:r>
            <w:r w:rsidRPr="0059512C">
              <w:rPr>
                <w:szCs w:val="22"/>
              </w:rPr>
              <w:t>0</w:t>
            </w:r>
          </w:p>
        </w:tc>
      </w:tr>
      <w:tr w:rsidTr="009E3678">
        <w:tblPrEx>
          <w:tblW w:w="8640" w:type="dxa"/>
          <w:tblLook w:val="04A0"/>
        </w:tblPrEx>
        <w:tc>
          <w:tcPr>
            <w:tcW w:w="2880" w:type="dxa"/>
          </w:tcPr>
          <w:p w:rsidR="00A42228" w:rsidRPr="0059512C" w:rsidP="00A42228">
            <w:pPr>
              <w:pStyle w:val="ParaNum"/>
              <w:numPr>
                <w:ilvl w:val="0"/>
                <w:numId w:val="0"/>
              </w:numPr>
              <w:rPr>
                <w:szCs w:val="22"/>
              </w:rPr>
            </w:pPr>
            <w:r w:rsidRPr="0059512C">
              <w:rPr>
                <w:szCs w:val="22"/>
              </w:rPr>
              <w:t>Minor Modification</w:t>
            </w:r>
          </w:p>
        </w:tc>
        <w:tc>
          <w:tcPr>
            <w:tcW w:w="2880" w:type="dxa"/>
          </w:tcPr>
          <w:p w:rsidR="00A42228" w:rsidRPr="0059512C" w:rsidP="00A42228">
            <w:pPr>
              <w:pStyle w:val="ParaNum"/>
              <w:numPr>
                <w:ilvl w:val="0"/>
                <w:numId w:val="0"/>
              </w:numPr>
              <w:rPr>
                <w:szCs w:val="22"/>
              </w:rPr>
            </w:pPr>
            <w:r w:rsidRPr="0059512C">
              <w:rPr>
                <w:szCs w:val="22"/>
              </w:rPr>
              <w:t>$</w:t>
            </w:r>
            <w:r w:rsidRPr="0059512C" w:rsidR="005B6E2D">
              <w:rPr>
                <w:szCs w:val="22"/>
              </w:rPr>
              <w:t>70</w:t>
            </w:r>
          </w:p>
        </w:tc>
        <w:tc>
          <w:tcPr>
            <w:tcW w:w="2880" w:type="dxa"/>
          </w:tcPr>
          <w:p w:rsidR="00A42228" w:rsidRPr="0059512C" w:rsidP="00A42228">
            <w:pPr>
              <w:pStyle w:val="ParaNum"/>
              <w:numPr>
                <w:ilvl w:val="0"/>
                <w:numId w:val="0"/>
              </w:numPr>
              <w:rPr>
                <w:szCs w:val="22"/>
              </w:rPr>
            </w:pPr>
            <w:r w:rsidRPr="0059512C">
              <w:rPr>
                <w:szCs w:val="22"/>
              </w:rPr>
              <w:t>$</w:t>
            </w:r>
            <w:r w:rsidRPr="0059512C" w:rsidR="004371B1">
              <w:rPr>
                <w:szCs w:val="22"/>
              </w:rPr>
              <w:t>200</w:t>
            </w:r>
          </w:p>
        </w:tc>
      </w:tr>
      <w:tr w:rsidTr="009E3678">
        <w:tblPrEx>
          <w:tblW w:w="8640" w:type="dxa"/>
          <w:tblLook w:val="04A0"/>
        </w:tblPrEx>
        <w:tc>
          <w:tcPr>
            <w:tcW w:w="2880" w:type="dxa"/>
          </w:tcPr>
          <w:p w:rsidR="00A42228" w:rsidRPr="0059512C" w:rsidP="00A42228">
            <w:pPr>
              <w:pStyle w:val="ParaNum"/>
              <w:numPr>
                <w:ilvl w:val="0"/>
                <w:numId w:val="0"/>
              </w:numPr>
              <w:rPr>
                <w:szCs w:val="22"/>
              </w:rPr>
            </w:pPr>
            <w:r w:rsidRPr="0059512C">
              <w:rPr>
                <w:szCs w:val="22"/>
              </w:rPr>
              <w:t>Construction Notification/Extensions</w:t>
            </w:r>
          </w:p>
        </w:tc>
        <w:tc>
          <w:tcPr>
            <w:tcW w:w="2880" w:type="dxa"/>
          </w:tcPr>
          <w:p w:rsidR="00A42228" w:rsidRPr="0059512C" w:rsidP="00A42228">
            <w:pPr>
              <w:pStyle w:val="ParaNum"/>
              <w:numPr>
                <w:ilvl w:val="0"/>
                <w:numId w:val="0"/>
              </w:numPr>
              <w:rPr>
                <w:szCs w:val="22"/>
              </w:rPr>
            </w:pPr>
            <w:r w:rsidRPr="0059512C">
              <w:rPr>
                <w:szCs w:val="22"/>
              </w:rPr>
              <w:t>$</w:t>
            </w:r>
            <w:r w:rsidRPr="0059512C" w:rsidR="005B6E2D">
              <w:rPr>
                <w:szCs w:val="22"/>
              </w:rPr>
              <w:t>70</w:t>
            </w:r>
          </w:p>
        </w:tc>
        <w:tc>
          <w:tcPr>
            <w:tcW w:w="2880" w:type="dxa"/>
          </w:tcPr>
          <w:p w:rsidR="00A42228" w:rsidRPr="0059512C" w:rsidP="00A42228">
            <w:pPr>
              <w:pStyle w:val="ParaNum"/>
              <w:numPr>
                <w:ilvl w:val="0"/>
                <w:numId w:val="0"/>
              </w:numPr>
              <w:rPr>
                <w:szCs w:val="22"/>
              </w:rPr>
            </w:pPr>
            <w:r w:rsidRPr="0059512C">
              <w:rPr>
                <w:szCs w:val="22"/>
              </w:rPr>
              <w:t>$2</w:t>
            </w:r>
            <w:r w:rsidRPr="0059512C" w:rsidR="004371B1">
              <w:rPr>
                <w:szCs w:val="22"/>
              </w:rPr>
              <w:t>90</w:t>
            </w:r>
            <w:r w:rsidRPr="0059512C">
              <w:rPr>
                <w:szCs w:val="22"/>
              </w:rPr>
              <w:t xml:space="preserve"> </w:t>
            </w:r>
          </w:p>
        </w:tc>
      </w:tr>
      <w:tr w:rsidTr="009E3678">
        <w:tblPrEx>
          <w:tblW w:w="8640" w:type="dxa"/>
          <w:tblLook w:val="04A0"/>
        </w:tblPrEx>
        <w:tc>
          <w:tcPr>
            <w:tcW w:w="2880" w:type="dxa"/>
          </w:tcPr>
          <w:p w:rsidR="00A42228" w:rsidRPr="0059512C" w:rsidP="00A42228">
            <w:pPr>
              <w:pStyle w:val="ParaNum"/>
              <w:numPr>
                <w:ilvl w:val="0"/>
                <w:numId w:val="0"/>
              </w:numPr>
              <w:rPr>
                <w:szCs w:val="22"/>
              </w:rPr>
            </w:pPr>
            <w:r w:rsidRPr="0059512C">
              <w:rPr>
                <w:szCs w:val="22"/>
              </w:rPr>
              <w:t>Special Temporary Authority</w:t>
            </w:r>
          </w:p>
        </w:tc>
        <w:tc>
          <w:tcPr>
            <w:tcW w:w="2880" w:type="dxa"/>
          </w:tcPr>
          <w:p w:rsidR="00A42228" w:rsidRPr="0059512C" w:rsidP="00A42228">
            <w:pPr>
              <w:pStyle w:val="ParaNum"/>
              <w:numPr>
                <w:ilvl w:val="0"/>
                <w:numId w:val="0"/>
              </w:numPr>
              <w:rPr>
                <w:szCs w:val="22"/>
              </w:rPr>
            </w:pPr>
            <w:r w:rsidRPr="0059512C">
              <w:rPr>
                <w:szCs w:val="22"/>
              </w:rPr>
              <w:t>$</w:t>
            </w:r>
            <w:r w:rsidRPr="0059512C" w:rsidR="005B6E2D">
              <w:rPr>
                <w:szCs w:val="22"/>
              </w:rPr>
              <w:t>395</w:t>
            </w:r>
          </w:p>
        </w:tc>
        <w:tc>
          <w:tcPr>
            <w:tcW w:w="2880" w:type="dxa"/>
          </w:tcPr>
          <w:p w:rsidR="00A42228" w:rsidRPr="0059512C" w:rsidP="00A42228">
            <w:pPr>
              <w:pStyle w:val="ParaNum"/>
              <w:numPr>
                <w:ilvl w:val="0"/>
                <w:numId w:val="0"/>
              </w:numPr>
              <w:rPr>
                <w:szCs w:val="22"/>
              </w:rPr>
            </w:pPr>
            <w:r w:rsidRPr="0059512C">
              <w:rPr>
                <w:szCs w:val="22"/>
              </w:rPr>
              <w:t>$3</w:t>
            </w:r>
            <w:r w:rsidRPr="0059512C" w:rsidR="004371B1">
              <w:rPr>
                <w:szCs w:val="22"/>
              </w:rPr>
              <w:t>35</w:t>
            </w:r>
            <w:r w:rsidRPr="0059512C">
              <w:rPr>
                <w:szCs w:val="22"/>
              </w:rPr>
              <w:t xml:space="preserve"> </w:t>
            </w:r>
          </w:p>
        </w:tc>
      </w:tr>
      <w:tr w:rsidTr="009E3678">
        <w:tblPrEx>
          <w:tblW w:w="8640" w:type="dxa"/>
          <w:tblLook w:val="04A0"/>
        </w:tblPrEx>
        <w:tc>
          <w:tcPr>
            <w:tcW w:w="2880" w:type="dxa"/>
          </w:tcPr>
          <w:p w:rsidR="00A42228" w:rsidRPr="0059512C" w:rsidP="00A42228">
            <w:pPr>
              <w:pStyle w:val="ParaNum"/>
              <w:numPr>
                <w:ilvl w:val="0"/>
                <w:numId w:val="0"/>
              </w:numPr>
              <w:rPr>
                <w:szCs w:val="22"/>
              </w:rPr>
            </w:pPr>
            <w:r w:rsidRPr="0059512C">
              <w:rPr>
                <w:szCs w:val="22"/>
              </w:rPr>
              <w:t>Assignment/Transfer of Control</w:t>
            </w:r>
          </w:p>
        </w:tc>
        <w:tc>
          <w:tcPr>
            <w:tcW w:w="2880" w:type="dxa"/>
          </w:tcPr>
          <w:p w:rsidR="00A42228" w:rsidRPr="0059512C" w:rsidP="00A42228">
            <w:pPr>
              <w:pStyle w:val="ParaNum"/>
              <w:numPr>
                <w:ilvl w:val="0"/>
                <w:numId w:val="0"/>
              </w:numPr>
              <w:rPr>
                <w:szCs w:val="22"/>
              </w:rPr>
            </w:pPr>
            <w:r w:rsidRPr="0059512C">
              <w:rPr>
                <w:szCs w:val="22"/>
              </w:rPr>
              <w:t>$</w:t>
            </w:r>
            <w:r w:rsidRPr="0059512C" w:rsidR="005B6E2D">
              <w:rPr>
                <w:szCs w:val="22"/>
              </w:rPr>
              <w:t>450</w:t>
            </w:r>
          </w:p>
        </w:tc>
        <w:tc>
          <w:tcPr>
            <w:tcW w:w="2880" w:type="dxa"/>
          </w:tcPr>
          <w:p w:rsidR="00A42228" w:rsidRPr="0059512C" w:rsidP="00A42228">
            <w:pPr>
              <w:pStyle w:val="ParaNum"/>
              <w:numPr>
                <w:ilvl w:val="0"/>
                <w:numId w:val="0"/>
              </w:numPr>
              <w:rPr>
                <w:szCs w:val="22"/>
              </w:rPr>
            </w:pPr>
            <w:r w:rsidRPr="0059512C">
              <w:rPr>
                <w:szCs w:val="22"/>
              </w:rPr>
              <w:t>$19</w:t>
            </w:r>
            <w:r w:rsidRPr="0059512C" w:rsidR="004371B1">
              <w:rPr>
                <w:szCs w:val="22"/>
              </w:rPr>
              <w:t>5</w:t>
            </w:r>
            <w:r w:rsidRPr="0059512C">
              <w:rPr>
                <w:szCs w:val="22"/>
              </w:rPr>
              <w:t xml:space="preserve"> </w:t>
            </w:r>
          </w:p>
        </w:tc>
      </w:tr>
      <w:tr w:rsidTr="009E3678">
        <w:tblPrEx>
          <w:tblW w:w="8640" w:type="dxa"/>
          <w:tblLook w:val="04A0"/>
        </w:tblPrEx>
        <w:tc>
          <w:tcPr>
            <w:tcW w:w="2880" w:type="dxa"/>
          </w:tcPr>
          <w:p w:rsidR="00A42228" w:rsidRPr="0059512C" w:rsidP="00A42228">
            <w:pPr>
              <w:pStyle w:val="ParaNum"/>
              <w:numPr>
                <w:ilvl w:val="0"/>
                <w:numId w:val="0"/>
              </w:numPr>
              <w:rPr>
                <w:szCs w:val="22"/>
              </w:rPr>
            </w:pPr>
            <w:r w:rsidRPr="0059512C">
              <w:rPr>
                <w:szCs w:val="22"/>
              </w:rPr>
              <w:t xml:space="preserve">Spectrum </w:t>
            </w:r>
            <w:r w:rsidRPr="0059512C">
              <w:rPr>
                <w:szCs w:val="22"/>
              </w:rPr>
              <w:t>Leasing</w:t>
            </w:r>
          </w:p>
        </w:tc>
        <w:tc>
          <w:tcPr>
            <w:tcW w:w="2880" w:type="dxa"/>
          </w:tcPr>
          <w:p w:rsidR="00A42228" w:rsidRPr="0059512C" w:rsidP="00A42228">
            <w:pPr>
              <w:pStyle w:val="ParaNum"/>
              <w:numPr>
                <w:ilvl w:val="0"/>
                <w:numId w:val="0"/>
              </w:numPr>
              <w:rPr>
                <w:szCs w:val="22"/>
              </w:rPr>
            </w:pPr>
            <w:r w:rsidRPr="0059512C">
              <w:rPr>
                <w:szCs w:val="22"/>
              </w:rPr>
              <w:t>$</w:t>
            </w:r>
            <w:r w:rsidRPr="0059512C" w:rsidR="005B6E2D">
              <w:rPr>
                <w:szCs w:val="22"/>
              </w:rPr>
              <w:t>450</w:t>
            </w:r>
          </w:p>
        </w:tc>
        <w:tc>
          <w:tcPr>
            <w:tcW w:w="2880" w:type="dxa"/>
          </w:tcPr>
          <w:p w:rsidR="00A42228" w:rsidRPr="0059512C" w:rsidP="00A42228">
            <w:pPr>
              <w:pStyle w:val="ParaNum"/>
              <w:numPr>
                <w:ilvl w:val="0"/>
                <w:numId w:val="0"/>
              </w:numPr>
              <w:rPr>
                <w:szCs w:val="22"/>
              </w:rPr>
            </w:pPr>
            <w:r w:rsidRPr="0059512C">
              <w:rPr>
                <w:szCs w:val="22"/>
              </w:rPr>
              <w:t>$1</w:t>
            </w:r>
            <w:r w:rsidRPr="0059512C" w:rsidR="004371B1">
              <w:rPr>
                <w:szCs w:val="22"/>
              </w:rPr>
              <w:t>65</w:t>
            </w:r>
            <w:r w:rsidRPr="0059512C">
              <w:rPr>
                <w:szCs w:val="22"/>
              </w:rPr>
              <w:t xml:space="preserve"> </w:t>
            </w:r>
          </w:p>
        </w:tc>
      </w:tr>
      <w:tr w:rsidTr="009E3678">
        <w:tblPrEx>
          <w:tblW w:w="8640" w:type="dxa"/>
          <w:tblLook w:val="04A0"/>
        </w:tblPrEx>
        <w:tc>
          <w:tcPr>
            <w:tcW w:w="2880" w:type="dxa"/>
          </w:tcPr>
          <w:p w:rsidR="00A42228" w:rsidRPr="0059512C" w:rsidP="00A42228">
            <w:pPr>
              <w:pStyle w:val="ParaNum"/>
              <w:numPr>
                <w:ilvl w:val="0"/>
                <w:numId w:val="0"/>
              </w:numPr>
              <w:rPr>
                <w:szCs w:val="22"/>
              </w:rPr>
            </w:pPr>
            <w:r w:rsidRPr="0059512C">
              <w:rPr>
                <w:szCs w:val="22"/>
              </w:rPr>
              <w:t>Rule Waiver</w:t>
            </w:r>
          </w:p>
        </w:tc>
        <w:tc>
          <w:tcPr>
            <w:tcW w:w="2880" w:type="dxa"/>
          </w:tcPr>
          <w:p w:rsidR="00A42228" w:rsidRPr="0059512C" w:rsidP="00A42228">
            <w:pPr>
              <w:pStyle w:val="ParaNum"/>
              <w:numPr>
                <w:ilvl w:val="0"/>
                <w:numId w:val="0"/>
              </w:numPr>
              <w:rPr>
                <w:szCs w:val="22"/>
              </w:rPr>
            </w:pPr>
            <w:r w:rsidRPr="0059512C">
              <w:rPr>
                <w:szCs w:val="22"/>
              </w:rPr>
              <w:t>n/a</w:t>
            </w:r>
          </w:p>
        </w:tc>
        <w:tc>
          <w:tcPr>
            <w:tcW w:w="2880" w:type="dxa"/>
          </w:tcPr>
          <w:p w:rsidR="00A42228" w:rsidRPr="0059512C" w:rsidP="00A42228">
            <w:pPr>
              <w:pStyle w:val="ParaNum"/>
              <w:numPr>
                <w:ilvl w:val="0"/>
                <w:numId w:val="0"/>
              </w:numPr>
              <w:rPr>
                <w:szCs w:val="22"/>
              </w:rPr>
            </w:pPr>
            <w:r w:rsidRPr="0059512C">
              <w:rPr>
                <w:szCs w:val="22"/>
              </w:rPr>
              <w:t>$3</w:t>
            </w:r>
            <w:r w:rsidRPr="0059512C" w:rsidR="004371B1">
              <w:rPr>
                <w:szCs w:val="22"/>
              </w:rPr>
              <w:t>80</w:t>
            </w:r>
            <w:r w:rsidRPr="0059512C">
              <w:rPr>
                <w:szCs w:val="22"/>
              </w:rPr>
              <w:t xml:space="preserve"> </w:t>
            </w:r>
          </w:p>
        </w:tc>
      </w:tr>
      <w:tr w:rsidTr="009E3678">
        <w:tblPrEx>
          <w:tblW w:w="8640" w:type="dxa"/>
          <w:tblLook w:val="04A0"/>
        </w:tblPrEx>
        <w:tc>
          <w:tcPr>
            <w:tcW w:w="2880" w:type="dxa"/>
          </w:tcPr>
          <w:p w:rsidR="00A42228" w:rsidRPr="0059512C" w:rsidP="00A42228">
            <w:pPr>
              <w:pStyle w:val="ParaNum"/>
              <w:numPr>
                <w:ilvl w:val="0"/>
                <w:numId w:val="0"/>
              </w:numPr>
              <w:rPr>
                <w:szCs w:val="22"/>
              </w:rPr>
            </w:pPr>
            <w:r w:rsidRPr="0059512C">
              <w:rPr>
                <w:szCs w:val="22"/>
              </w:rPr>
              <w:t>Designated Entity Licensee Reportable Eligibility Event</w:t>
            </w:r>
          </w:p>
        </w:tc>
        <w:tc>
          <w:tcPr>
            <w:tcW w:w="2880" w:type="dxa"/>
          </w:tcPr>
          <w:p w:rsidR="00A42228" w:rsidRPr="0059512C" w:rsidP="00A42228">
            <w:pPr>
              <w:pStyle w:val="ParaNum"/>
              <w:numPr>
                <w:ilvl w:val="0"/>
                <w:numId w:val="0"/>
              </w:numPr>
              <w:rPr>
                <w:szCs w:val="22"/>
                <w:highlight w:val="yellow"/>
              </w:rPr>
            </w:pPr>
            <w:r w:rsidRPr="0059512C">
              <w:rPr>
                <w:szCs w:val="22"/>
              </w:rPr>
              <w:t>n/a</w:t>
            </w:r>
          </w:p>
        </w:tc>
        <w:tc>
          <w:tcPr>
            <w:tcW w:w="2880" w:type="dxa"/>
          </w:tcPr>
          <w:p w:rsidR="00A42228" w:rsidRPr="0059512C" w:rsidP="00A42228">
            <w:pPr>
              <w:pStyle w:val="ParaNum"/>
              <w:numPr>
                <w:ilvl w:val="0"/>
                <w:numId w:val="0"/>
              </w:numPr>
              <w:rPr>
                <w:szCs w:val="22"/>
              </w:rPr>
            </w:pPr>
            <w:r w:rsidRPr="0059512C">
              <w:rPr>
                <w:szCs w:val="22"/>
              </w:rPr>
              <w:t>$</w:t>
            </w:r>
            <w:r w:rsidR="00FB3250">
              <w:rPr>
                <w:szCs w:val="22"/>
              </w:rPr>
              <w:t>5</w:t>
            </w:r>
            <w:r w:rsidRPr="0059512C">
              <w:rPr>
                <w:szCs w:val="22"/>
              </w:rPr>
              <w:t>0</w:t>
            </w:r>
          </w:p>
        </w:tc>
      </w:tr>
    </w:tbl>
    <w:p w:rsidR="009E3678" w:rsidRPr="0059512C" w:rsidP="009E3678">
      <w:pPr>
        <w:pStyle w:val="ParaNum"/>
        <w:numPr>
          <w:ilvl w:val="0"/>
          <w:numId w:val="0"/>
        </w:numPr>
        <w:rPr>
          <w:szCs w:val="22"/>
        </w:rPr>
      </w:pPr>
    </w:p>
    <w:p w:rsidR="009E3678" w:rsidRPr="0059512C" w:rsidP="00A42228">
      <w:pPr>
        <w:pStyle w:val="ParaNum"/>
        <w:rPr>
          <w:szCs w:val="22"/>
        </w:rPr>
      </w:pPr>
      <w:r w:rsidRPr="0059512C">
        <w:rPr>
          <w:szCs w:val="22"/>
        </w:rPr>
        <w:t xml:space="preserve">We estimate that the Commission’s resources in processing an application for a new license or a major modification consist of program </w:t>
      </w:r>
      <w:r w:rsidRPr="0059512C">
        <w:rPr>
          <w:szCs w:val="22"/>
        </w:rPr>
        <w:t>analyst review and processing, engineer technical review, map review, and attorney supervisor legal review.  Our estimate is that this process involves $</w:t>
      </w:r>
      <w:r w:rsidRPr="0059512C" w:rsidR="003D6BCA">
        <w:rPr>
          <w:szCs w:val="22"/>
        </w:rPr>
        <w:t>305</w:t>
      </w:r>
      <w:r w:rsidRPr="0059512C">
        <w:rPr>
          <w:szCs w:val="22"/>
        </w:rPr>
        <w:t xml:space="preserve"> in costs.</w:t>
      </w:r>
      <w:r w:rsidRPr="0059512C" w:rsidR="00A42228">
        <w:rPr>
          <w:szCs w:val="22"/>
        </w:rPr>
        <w:t xml:space="preserve">  We estimate that the Commission’s resources in processing an application for a renewal consist of analyst review and engineer technical review, exhibit review.  Our estimate is that this process involves $</w:t>
      </w:r>
      <w:r w:rsidR="00FB3250">
        <w:rPr>
          <w:szCs w:val="22"/>
        </w:rPr>
        <w:t>5</w:t>
      </w:r>
      <w:r w:rsidRPr="0059512C" w:rsidR="00A42228">
        <w:rPr>
          <w:szCs w:val="22"/>
        </w:rPr>
        <w:t>0 in costs.  We estimate that the Commission’s resources in processing an application for a minor modification consist of engineer technical review</w:t>
      </w:r>
      <w:r w:rsidR="00E263F9">
        <w:rPr>
          <w:szCs w:val="22"/>
        </w:rPr>
        <w:t xml:space="preserve"> and</w:t>
      </w:r>
      <w:r w:rsidRPr="0059512C" w:rsidR="00A42228">
        <w:rPr>
          <w:szCs w:val="22"/>
        </w:rPr>
        <w:t xml:space="preserve"> map review.  Our estimate is that this process involves $</w:t>
      </w:r>
      <w:r w:rsidRPr="0059512C" w:rsidR="003D6BCA">
        <w:rPr>
          <w:szCs w:val="22"/>
        </w:rPr>
        <w:t>200</w:t>
      </w:r>
      <w:r w:rsidRPr="0059512C" w:rsidR="00A42228">
        <w:rPr>
          <w:szCs w:val="22"/>
        </w:rPr>
        <w:t xml:space="preserve"> in costs.  We estimate that the Commission’s resources in processing an application for construction notification or extension consist of program analyst review and processing, engineer technical review, analysis, validation of coverage, attorney legal review, and supervisor coordination with management.  Our estimate is that this process involves $2</w:t>
      </w:r>
      <w:r w:rsidRPr="0059512C" w:rsidR="003D6BCA">
        <w:rPr>
          <w:szCs w:val="22"/>
        </w:rPr>
        <w:t>9</w:t>
      </w:r>
      <w:r w:rsidRPr="0059512C" w:rsidR="00A42228">
        <w:rPr>
          <w:szCs w:val="22"/>
        </w:rPr>
        <w:t xml:space="preserve">0 in costs.  We estimate that the Commission’s resources in processing an application for STA consist of </w:t>
      </w:r>
      <w:r w:rsidR="00E263F9">
        <w:rPr>
          <w:szCs w:val="22"/>
        </w:rPr>
        <w:t xml:space="preserve">a </w:t>
      </w:r>
      <w:r w:rsidRPr="0059512C" w:rsidR="00A42228">
        <w:rPr>
          <w:szCs w:val="22"/>
        </w:rPr>
        <w:t xml:space="preserve">contractor entering data in the </w:t>
      </w:r>
      <w:r w:rsidR="00B33628">
        <w:rPr>
          <w:szCs w:val="22"/>
        </w:rPr>
        <w:t xml:space="preserve">ULS </w:t>
      </w:r>
      <w:r w:rsidRPr="0059512C" w:rsidR="00A42228">
        <w:rPr>
          <w:szCs w:val="22"/>
        </w:rPr>
        <w:t xml:space="preserve">, </w:t>
      </w:r>
      <w:r w:rsidR="00E263F9">
        <w:rPr>
          <w:szCs w:val="22"/>
        </w:rPr>
        <w:t xml:space="preserve">a </w:t>
      </w:r>
      <w:r w:rsidRPr="0059512C" w:rsidR="00A42228">
        <w:rPr>
          <w:szCs w:val="22"/>
        </w:rPr>
        <w:t>program analyst prepar</w:t>
      </w:r>
      <w:r w:rsidR="00E263F9">
        <w:rPr>
          <w:szCs w:val="22"/>
        </w:rPr>
        <w:t>ing</w:t>
      </w:r>
      <w:r w:rsidRPr="0059512C" w:rsidR="00A42228">
        <w:rPr>
          <w:szCs w:val="22"/>
        </w:rPr>
        <w:t xml:space="preserve"> public notice</w:t>
      </w:r>
      <w:r w:rsidR="00E263F9">
        <w:rPr>
          <w:szCs w:val="22"/>
        </w:rPr>
        <w:t xml:space="preserve"> accepting the application for filing</w:t>
      </w:r>
      <w:r w:rsidRPr="0059512C" w:rsidR="00A42228">
        <w:rPr>
          <w:szCs w:val="22"/>
        </w:rPr>
        <w:t>, program analyst review, supervisor coordinat</w:t>
      </w:r>
      <w:r w:rsidR="00E263F9">
        <w:rPr>
          <w:szCs w:val="22"/>
        </w:rPr>
        <w:t>ion</w:t>
      </w:r>
      <w:r w:rsidRPr="0059512C" w:rsidR="00A42228">
        <w:rPr>
          <w:szCs w:val="22"/>
        </w:rPr>
        <w:t xml:space="preserve"> with management, and </w:t>
      </w:r>
      <w:r w:rsidR="00E263F9">
        <w:rPr>
          <w:szCs w:val="22"/>
        </w:rPr>
        <w:t xml:space="preserve">a </w:t>
      </w:r>
      <w:r w:rsidRPr="0059512C" w:rsidR="00A42228">
        <w:rPr>
          <w:szCs w:val="22"/>
        </w:rPr>
        <w:t>program analyst prepar</w:t>
      </w:r>
      <w:r w:rsidR="00E263F9">
        <w:rPr>
          <w:szCs w:val="22"/>
        </w:rPr>
        <w:t>ing</w:t>
      </w:r>
      <w:r w:rsidRPr="0059512C" w:rsidR="00A42228">
        <w:rPr>
          <w:szCs w:val="22"/>
        </w:rPr>
        <w:t xml:space="preserve"> </w:t>
      </w:r>
      <w:r w:rsidR="00E263F9">
        <w:rPr>
          <w:szCs w:val="22"/>
        </w:rPr>
        <w:t xml:space="preserve">the </w:t>
      </w:r>
      <w:r w:rsidRPr="0059512C" w:rsidR="00A42228">
        <w:rPr>
          <w:szCs w:val="22"/>
        </w:rPr>
        <w:t>public notice</w:t>
      </w:r>
      <w:r w:rsidR="00E263F9">
        <w:rPr>
          <w:szCs w:val="22"/>
        </w:rPr>
        <w:t xml:space="preserve"> granting or denying the application</w:t>
      </w:r>
      <w:r w:rsidRPr="0059512C" w:rsidR="00A42228">
        <w:rPr>
          <w:szCs w:val="22"/>
        </w:rPr>
        <w:t>.  Our estimate is that this process involves $3</w:t>
      </w:r>
      <w:r w:rsidRPr="0059512C" w:rsidR="003D6BCA">
        <w:rPr>
          <w:szCs w:val="22"/>
        </w:rPr>
        <w:t>35</w:t>
      </w:r>
      <w:r w:rsidRPr="0059512C" w:rsidR="00A42228">
        <w:rPr>
          <w:szCs w:val="22"/>
        </w:rPr>
        <w:t xml:space="preserve"> in costs.  </w:t>
      </w:r>
    </w:p>
    <w:p w:rsidR="00BF14F1" w:rsidP="00BF14F1">
      <w:pPr>
        <w:pStyle w:val="ParaNum"/>
      </w:pPr>
      <w:r>
        <w:t xml:space="preserve">To apply for a license in a spectrum auction, a party must first submit an application to </w:t>
      </w:r>
      <w:r>
        <w:t>demonstrate its qualifications in order to participate in competitive bidding.</w:t>
      </w:r>
      <w:r>
        <w:rPr>
          <w:rStyle w:val="FootnoteReference"/>
        </w:rPr>
        <w:footnoteReference w:id="35"/>
      </w:r>
      <w:r>
        <w:t xml:space="preserve">  Such an application is commonly referred to as a short-form application.  While the </w:t>
      </w:r>
      <w:r>
        <w:t xml:space="preserve">specific information required from each short-form applicant </w:t>
      </w:r>
      <w:r w:rsidR="008D4137">
        <w:t>may</w:t>
      </w:r>
      <w:r>
        <w:t xml:space="preserve"> vary on an auction-by-auction basis, each applicant must disclose detailed ownership information as set forth in section 1.2112 and make various certifications.</w:t>
      </w:r>
      <w:r>
        <w:rPr>
          <w:rStyle w:val="FootnoteReference"/>
        </w:rPr>
        <w:footnoteReference w:id="36"/>
      </w:r>
      <w:r>
        <w:t xml:space="preserve">  </w:t>
      </w:r>
      <w:r w:rsidRPr="00BA7BC6">
        <w:t>We estimate that the Commis</w:t>
      </w:r>
      <w:r w:rsidRPr="00BA7BC6">
        <w:t>sion’s costs in processing</w:t>
      </w:r>
      <w:r>
        <w:t xml:space="preserve"> a short-form application to participate in an auction for spectrum licenses consist of attorney review and attorney supervisor legal review.  Our estimate is that this process involves $575 in costs.  We estimate that the Commiss</w:t>
      </w:r>
      <w:r>
        <w:t>ion’s resources in processing a post-auction long-form application consist of program analyst review; initial attorney review; secondary attorney review; supervisor legal review.  Our estimate is that this process involves $2,600 in costs.  We note that ea</w:t>
      </w:r>
      <w:r>
        <w:t>ch applicant would be charged one fee per short-form application and one fee per long-form application, regardless of the number of licenses involved.</w:t>
      </w:r>
    </w:p>
    <w:p w:rsidR="009E3678" w:rsidRPr="00234EFA" w:rsidP="00234EFA">
      <w:pPr>
        <w:pStyle w:val="ParaNum"/>
        <w:rPr>
          <w:szCs w:val="22"/>
        </w:rPr>
      </w:pPr>
      <w:r w:rsidRPr="00234EFA">
        <w:rPr>
          <w:szCs w:val="22"/>
        </w:rPr>
        <w:t>We estimate that the Commission’s resources in processing an application for assignment/transfer of contr</w:t>
      </w:r>
      <w:r w:rsidRPr="00234EFA">
        <w:rPr>
          <w:szCs w:val="22"/>
        </w:rPr>
        <w:t>ol consist of program analyst review, engineer technical and map review, and supervisor legal review.  Our estimate is that this process involves $19</w:t>
      </w:r>
      <w:r w:rsidRPr="00234EFA" w:rsidR="003D6BCA">
        <w:rPr>
          <w:szCs w:val="22"/>
        </w:rPr>
        <w:t>5</w:t>
      </w:r>
      <w:r w:rsidRPr="00234EFA">
        <w:rPr>
          <w:szCs w:val="22"/>
        </w:rPr>
        <w:t xml:space="preserve"> in costs.  We estimate that the Commission’s costs in processing an application for spectrum leasing cons</w:t>
      </w:r>
      <w:r w:rsidRPr="00234EFA">
        <w:rPr>
          <w:szCs w:val="22"/>
        </w:rPr>
        <w:t>ist of program analyst review and processing, engineer technical review and map review, and attorney supervisor legal review.  Our estimate is that this process involves $1</w:t>
      </w:r>
      <w:r w:rsidRPr="00234EFA" w:rsidR="003D6BCA">
        <w:rPr>
          <w:szCs w:val="22"/>
        </w:rPr>
        <w:t>65</w:t>
      </w:r>
      <w:r w:rsidRPr="00234EFA">
        <w:rPr>
          <w:szCs w:val="22"/>
        </w:rPr>
        <w:t xml:space="preserve"> in costs.</w:t>
      </w:r>
    </w:p>
    <w:p w:rsidR="00B3094B" w:rsidP="00A42228">
      <w:pPr>
        <w:pStyle w:val="ParaNum"/>
        <w:rPr>
          <w:szCs w:val="22"/>
        </w:rPr>
      </w:pPr>
      <w:r w:rsidRPr="0059512C">
        <w:rPr>
          <w:szCs w:val="22"/>
        </w:rPr>
        <w:t>We estimate that the Commission’s resources in processing an applicatio</w:t>
      </w:r>
      <w:r w:rsidRPr="0059512C">
        <w:rPr>
          <w:szCs w:val="22"/>
        </w:rPr>
        <w:t>n for waiver consist of program analyst review and processing, engineer technical review, attorney review, and supervisor coordinate with management.  Our estimate is that this process involves $3</w:t>
      </w:r>
      <w:r w:rsidRPr="0059512C" w:rsidR="003D6BCA">
        <w:rPr>
          <w:szCs w:val="22"/>
        </w:rPr>
        <w:t>80</w:t>
      </w:r>
      <w:r w:rsidRPr="0059512C">
        <w:rPr>
          <w:szCs w:val="22"/>
        </w:rPr>
        <w:t xml:space="preserve"> in costs.  We estimate that the Commission’s resources in</w:t>
      </w:r>
      <w:r w:rsidRPr="0059512C">
        <w:rPr>
          <w:szCs w:val="22"/>
        </w:rPr>
        <w:t xml:space="preserve"> processing an application for a designated entity reportable eligibility event consist of attorney-supervisor legal review.  Our estimate is that this process involves $</w:t>
      </w:r>
      <w:r w:rsidR="00FB3250">
        <w:rPr>
          <w:szCs w:val="22"/>
        </w:rPr>
        <w:t>5</w:t>
      </w:r>
      <w:r w:rsidRPr="0059512C">
        <w:rPr>
          <w:szCs w:val="22"/>
        </w:rPr>
        <w:t>0 in costs.</w:t>
      </w:r>
      <w:r w:rsidRPr="00456C62" w:rsidR="00456C62">
        <w:rPr>
          <w:szCs w:val="22"/>
        </w:rPr>
        <w:t xml:space="preserve"> </w:t>
      </w:r>
      <w:r w:rsidR="00456C62">
        <w:rPr>
          <w:szCs w:val="22"/>
        </w:rPr>
        <w:t xml:space="preserve"> </w:t>
      </w:r>
    </w:p>
    <w:p w:rsidR="00BF14F1" w:rsidRPr="00935A37" w:rsidP="00BF14F1">
      <w:pPr>
        <w:pStyle w:val="ParaNum"/>
      </w:pPr>
      <w:r>
        <w:t xml:space="preserve">We seek comment on these proposals.  We also seek comment on </w:t>
      </w:r>
      <w:r>
        <w:t xml:space="preserve">whether we should consolidate the short-form and long-form application fees so that only winning bidders would be required to pay a combined application fee of $3,175.  Would a consolidated fee be consistent with amended section 8?  Would such an approach </w:t>
      </w:r>
      <w:r>
        <w:t>alleviate the possibility that establishing a fee for filing an auction application—regardless of whether licenses are ultimately won—might discourage auction participation, particularly by small businesses, rural telephone companies, and minority-owned bu</w:t>
      </w:r>
      <w:r>
        <w:t>sinesses.  Fewer applications may result in reduced competition in an auction</w:t>
      </w:r>
      <w:r w:rsidR="00D8249D">
        <w:t>,</w:t>
      </w:r>
      <w:r>
        <w:t xml:space="preserve"> </w:t>
      </w:r>
      <w:r w:rsidRPr="00034649">
        <w:t>undermining the Commission’s ability to promote the various objectives of spectrum auctions enumerated in section 309(j)</w:t>
      </w:r>
      <w:r w:rsidRPr="00935A37">
        <w:t>.</w:t>
      </w:r>
      <w:r>
        <w:rPr>
          <w:rStyle w:val="FootnoteReference"/>
        </w:rPr>
        <w:footnoteReference w:id="37"/>
      </w:r>
      <w:r w:rsidRPr="00935A37">
        <w:t xml:space="preserve">  Would a consolidated fee mitigate such potential har</w:t>
      </w:r>
      <w:r w:rsidRPr="00935A37">
        <w:t>m?</w:t>
      </w:r>
    </w:p>
    <w:p w:rsidR="00BF14F1" w:rsidP="00BF14F1">
      <w:pPr>
        <w:pStyle w:val="ParaNum"/>
      </w:pPr>
      <w:r>
        <w:t>Under such a consolidation there would be no short-form application fee at the time of filing; the fee would be due when the long-form application fee is due.</w:t>
      </w:r>
      <w:r>
        <w:rPr>
          <w:rStyle w:val="FootnoteReference"/>
          <w:szCs w:val="22"/>
        </w:rPr>
        <w:footnoteReference w:id="38"/>
      </w:r>
      <w:r>
        <w:t xml:space="preserve">  Commenters should discuss </w:t>
      </w:r>
      <w:r>
        <w:t>whether this process, in which no fees would be assessed for shor</w:t>
      </w:r>
      <w:r>
        <w:t>t-form applications when the applicant is not a winning bidder, would be consistent with the requirement in section 8(a) that the fees “recover the costs of the Commission to process applications.”</w:t>
      </w:r>
      <w:r>
        <w:rPr>
          <w:rStyle w:val="FootnoteReference"/>
        </w:rPr>
        <w:footnoteReference w:id="39"/>
      </w:r>
      <w:r>
        <w:t xml:space="preserve">  </w:t>
      </w:r>
    </w:p>
    <w:p w:rsidR="0036492D" w:rsidRPr="0059512C" w:rsidP="0036492D">
      <w:pPr>
        <w:pStyle w:val="Heading4"/>
        <w:rPr>
          <w:szCs w:val="22"/>
        </w:rPr>
      </w:pPr>
      <w:bookmarkStart w:id="133" w:name="_Toc35268562"/>
      <w:r w:rsidRPr="0059512C">
        <w:rPr>
          <w:szCs w:val="22"/>
        </w:rPr>
        <w:t>Experimental Radio Services</w:t>
      </w:r>
      <w:bookmarkEnd w:id="133"/>
    </w:p>
    <w:p w:rsidR="0036492D" w:rsidRPr="0059512C" w:rsidP="0036492D">
      <w:pPr>
        <w:pStyle w:val="ParaNum"/>
        <w:rPr>
          <w:szCs w:val="22"/>
        </w:rPr>
      </w:pPr>
      <w:r w:rsidRPr="0059512C">
        <w:rPr>
          <w:szCs w:val="22"/>
        </w:rPr>
        <w:t xml:space="preserve">The </w:t>
      </w:r>
      <w:r w:rsidRPr="0059512C" w:rsidR="008B2A37">
        <w:rPr>
          <w:szCs w:val="22"/>
        </w:rPr>
        <w:t>e</w:t>
      </w:r>
      <w:r w:rsidRPr="0059512C">
        <w:rPr>
          <w:szCs w:val="22"/>
        </w:rPr>
        <w:t xml:space="preserve">xperimental </w:t>
      </w:r>
      <w:r w:rsidRPr="0059512C" w:rsidR="008B2A37">
        <w:rPr>
          <w:szCs w:val="22"/>
        </w:rPr>
        <w:t>r</w:t>
      </w:r>
      <w:r w:rsidRPr="0059512C">
        <w:rPr>
          <w:szCs w:val="22"/>
        </w:rPr>
        <w:t xml:space="preserve">adio </w:t>
      </w:r>
      <w:r w:rsidRPr="0059512C" w:rsidR="008B2A37">
        <w:rPr>
          <w:szCs w:val="22"/>
        </w:rPr>
        <w:t>s</w:t>
      </w:r>
      <w:r w:rsidRPr="0059512C">
        <w:rPr>
          <w:szCs w:val="22"/>
        </w:rPr>
        <w:t>er</w:t>
      </w:r>
      <w:r w:rsidRPr="0059512C">
        <w:rPr>
          <w:szCs w:val="22"/>
        </w:rPr>
        <w:t xml:space="preserve">vice permits broad experimentation, including assessing equipment intended to operate in existing </w:t>
      </w:r>
      <w:r w:rsidR="006A3256">
        <w:rPr>
          <w:szCs w:val="22"/>
        </w:rPr>
        <w:t xml:space="preserve">Commission </w:t>
      </w:r>
      <w:r w:rsidRPr="0059512C">
        <w:rPr>
          <w:szCs w:val="22"/>
        </w:rPr>
        <w:t xml:space="preserve">services, proof of concept testing and evaluation of </w:t>
      </w:r>
      <w:r w:rsidRPr="0059512C">
        <w:rPr>
          <w:rFonts w:eastAsia="Batang"/>
          <w:szCs w:val="22"/>
          <w:lang w:eastAsia="ko-KR"/>
        </w:rPr>
        <w:t>new radio technologies, equipment designs, radio wave propagation characteristics, and service</w:t>
      </w:r>
      <w:r w:rsidRPr="0059512C">
        <w:rPr>
          <w:rFonts w:eastAsia="Batang"/>
          <w:szCs w:val="22"/>
          <w:lang w:eastAsia="ko-KR"/>
        </w:rPr>
        <w:t xml:space="preserve"> concepts related to the use of the radio spectrum.</w:t>
      </w:r>
      <w:r>
        <w:rPr>
          <w:sz w:val="20"/>
          <w:vertAlign w:val="superscript"/>
        </w:rPr>
        <w:footnoteReference w:id="40"/>
      </w:r>
      <w:r w:rsidRPr="0059512C">
        <w:rPr>
          <w:szCs w:val="22"/>
        </w:rPr>
        <w:t xml:space="preserve">  Experimental operations include scientific or technical radio research, technical demonstrations of equipment or techniques, and product development and market trials, among other things.</w:t>
      </w:r>
      <w:r>
        <w:rPr>
          <w:rStyle w:val="FootnoteReference"/>
        </w:rPr>
        <w:footnoteReference w:id="41"/>
      </w:r>
      <w:r w:rsidRPr="0059512C">
        <w:rPr>
          <w:szCs w:val="22"/>
        </w:rPr>
        <w:t xml:space="preserve">  The </w:t>
      </w:r>
      <w:r w:rsidRPr="0059512C" w:rsidR="008B2A37">
        <w:rPr>
          <w:szCs w:val="22"/>
        </w:rPr>
        <w:t>e</w:t>
      </w:r>
      <w:r w:rsidRPr="0059512C">
        <w:rPr>
          <w:szCs w:val="22"/>
        </w:rPr>
        <w:t>xperi</w:t>
      </w:r>
      <w:r w:rsidRPr="0059512C">
        <w:rPr>
          <w:szCs w:val="22"/>
        </w:rPr>
        <w:t xml:space="preserve">mental </w:t>
      </w:r>
      <w:r w:rsidRPr="0059512C" w:rsidR="008B2A37">
        <w:rPr>
          <w:szCs w:val="22"/>
        </w:rPr>
        <w:t>r</w:t>
      </w:r>
      <w:r w:rsidRPr="0059512C">
        <w:rPr>
          <w:szCs w:val="22"/>
        </w:rPr>
        <w:t xml:space="preserve">adio </w:t>
      </w:r>
      <w:r w:rsidRPr="0059512C" w:rsidR="008B2A37">
        <w:rPr>
          <w:szCs w:val="22"/>
        </w:rPr>
        <w:t>s</w:t>
      </w:r>
      <w:r w:rsidRPr="0059512C">
        <w:rPr>
          <w:szCs w:val="22"/>
        </w:rPr>
        <w:t xml:space="preserve">ervice rules </w:t>
      </w:r>
      <w:r w:rsidRPr="0059512C">
        <w:rPr>
          <w:rFonts w:eastAsia="Batang"/>
          <w:szCs w:val="22"/>
          <w:lang w:eastAsia="ko-KR"/>
        </w:rPr>
        <w:t xml:space="preserve">prescribe flexible rules to encourage manufacturers, inventors, entrepreneurs, and students to experiment across </w:t>
      </w:r>
      <w:r w:rsidRPr="0059512C">
        <w:rPr>
          <w:szCs w:val="22"/>
        </w:rPr>
        <w:t xml:space="preserve">a wide range of </w:t>
      </w:r>
      <w:r w:rsidRPr="0059512C">
        <w:rPr>
          <w:szCs w:val="22"/>
          <w:lang w:eastAsia="ko-KR"/>
        </w:rPr>
        <w:t>frequencies, power, emissions, and applications.</w:t>
      </w:r>
    </w:p>
    <w:p w:rsidR="00517EE7" w:rsidRPr="0059512C" w:rsidP="00517EE7">
      <w:pPr>
        <w:pStyle w:val="ParaNum"/>
        <w:rPr>
          <w:szCs w:val="22"/>
        </w:rPr>
      </w:pPr>
      <w:r w:rsidRPr="0059512C">
        <w:rPr>
          <w:szCs w:val="22"/>
        </w:rPr>
        <w:t>There are two distinct paths for obtaining an exper</w:t>
      </w:r>
      <w:r w:rsidRPr="0059512C">
        <w:rPr>
          <w:szCs w:val="22"/>
        </w:rPr>
        <w:t xml:space="preserve">imental radio license.  Traditionally, applicants were required to file a </w:t>
      </w:r>
      <w:r w:rsidRPr="0059512C" w:rsidR="008B2A37">
        <w:rPr>
          <w:szCs w:val="22"/>
        </w:rPr>
        <w:t>c</w:t>
      </w:r>
      <w:r w:rsidRPr="0059512C">
        <w:rPr>
          <w:szCs w:val="22"/>
        </w:rPr>
        <w:t xml:space="preserve">onventional </w:t>
      </w:r>
      <w:r w:rsidRPr="0059512C" w:rsidR="008B2A37">
        <w:rPr>
          <w:szCs w:val="22"/>
        </w:rPr>
        <w:t>e</w:t>
      </w:r>
      <w:r w:rsidRPr="0059512C">
        <w:rPr>
          <w:szCs w:val="22"/>
        </w:rPr>
        <w:t xml:space="preserve">xperimental </w:t>
      </w:r>
      <w:r w:rsidRPr="0059512C" w:rsidR="008B2A37">
        <w:rPr>
          <w:szCs w:val="22"/>
        </w:rPr>
        <w:t>l</w:t>
      </w:r>
      <w:r w:rsidRPr="0059512C">
        <w:rPr>
          <w:szCs w:val="22"/>
        </w:rPr>
        <w:t>icense application and receive a license grant prior to operating.  These licenses were generally limited to a single type of experiment.  Conventional app</w:t>
      </w:r>
      <w:r w:rsidRPr="0059512C">
        <w:rPr>
          <w:szCs w:val="22"/>
        </w:rPr>
        <w:t>lications vary in the types of services requested, number of transmit sites needed, and technical complexity.  For example, Cubesat experiments widely differ in their size and scope and can be extremely complex.</w:t>
      </w:r>
      <w:r>
        <w:rPr>
          <w:rStyle w:val="FootnoteReference"/>
        </w:rPr>
        <w:footnoteReference w:id="42"/>
      </w:r>
      <w:r w:rsidRPr="0059512C">
        <w:rPr>
          <w:szCs w:val="22"/>
        </w:rPr>
        <w:t xml:space="preserve">  Other applications</w:t>
      </w:r>
      <w:r w:rsidR="006A3256">
        <w:rPr>
          <w:szCs w:val="22"/>
        </w:rPr>
        <w:t>,</w:t>
      </w:r>
      <w:r w:rsidRPr="0059512C">
        <w:rPr>
          <w:szCs w:val="22"/>
        </w:rPr>
        <w:t xml:space="preserve"> such as for new 3650 MHz Citizens Broadband Radio Service (CBRS) Experiments and sporting event </w:t>
      </w:r>
      <w:r w:rsidRPr="0059512C" w:rsidR="00846507">
        <w:rPr>
          <w:szCs w:val="22"/>
        </w:rPr>
        <w:t xml:space="preserve">STA </w:t>
      </w:r>
      <w:r w:rsidRPr="0059512C">
        <w:rPr>
          <w:szCs w:val="22"/>
        </w:rPr>
        <w:t>applications</w:t>
      </w:r>
      <w:r w:rsidR="006A3256">
        <w:rPr>
          <w:szCs w:val="22"/>
        </w:rPr>
        <w:t>,</w:t>
      </w:r>
      <w:r w:rsidRPr="0059512C">
        <w:rPr>
          <w:szCs w:val="22"/>
        </w:rPr>
        <w:t xml:space="preserve"> are more straightforward.  Applicants for conventional experimental licenses are required to file administrative and technical characteristic</w:t>
      </w:r>
      <w:r w:rsidRPr="0059512C">
        <w:rPr>
          <w:szCs w:val="22"/>
        </w:rPr>
        <w:t>s of their proposed experimental operation online in the Experimental Licensing system.  Commission staff review and manage the data, correspond with applicants, and manage frequency coordination workflow.</w:t>
      </w:r>
    </w:p>
    <w:p w:rsidR="0036492D" w:rsidRPr="0059512C" w:rsidP="0036492D">
      <w:pPr>
        <w:pStyle w:val="ParaNum"/>
        <w:rPr>
          <w:szCs w:val="22"/>
        </w:rPr>
      </w:pPr>
      <w:r w:rsidRPr="0059512C">
        <w:rPr>
          <w:szCs w:val="22"/>
        </w:rPr>
        <w:t xml:space="preserve">The Commission also offers three additional types </w:t>
      </w:r>
      <w:r w:rsidRPr="0059512C">
        <w:rPr>
          <w:szCs w:val="22"/>
        </w:rPr>
        <w:t>of licenses—the program license, the medical testing license, and the compliance testing license—collectively referred to as program licenses.</w:t>
      </w:r>
      <w:r>
        <w:rPr>
          <w:rStyle w:val="FootnoteReference"/>
        </w:rPr>
        <w:footnoteReference w:id="43"/>
      </w:r>
      <w:r w:rsidRPr="0059512C">
        <w:rPr>
          <w:szCs w:val="22"/>
        </w:rPr>
        <w:t xml:space="preserve">  These licenses offer an alternative streamlined process to the conventional experimental license procedures fo</w:t>
      </w:r>
      <w:r w:rsidRPr="0059512C">
        <w:rPr>
          <w:szCs w:val="22"/>
        </w:rPr>
        <w:t>r entities that meet certain eligibility criteria.</w:t>
      </w:r>
      <w:r>
        <w:rPr>
          <w:rStyle w:val="FootnoteReference"/>
        </w:rPr>
        <w:footnoteReference w:id="44"/>
      </w:r>
      <w:r w:rsidRPr="0059512C">
        <w:rPr>
          <w:szCs w:val="22"/>
        </w:rPr>
        <w:t xml:space="preserve">  Rather than applying for a specific course of experimentation, qualified entities apply for and </w:t>
      </w:r>
      <w:r w:rsidR="006A3256">
        <w:rPr>
          <w:szCs w:val="22"/>
        </w:rPr>
        <w:t xml:space="preserve">are </w:t>
      </w:r>
      <w:r w:rsidRPr="0059512C">
        <w:rPr>
          <w:szCs w:val="22"/>
        </w:rPr>
        <w:t xml:space="preserve">approved to conduct a broad range of experiments within an area under their direct control, such as a </w:t>
      </w:r>
      <w:r w:rsidRPr="0059512C">
        <w:rPr>
          <w:szCs w:val="22"/>
        </w:rPr>
        <w:t>university campus or manufacturing plant.  Because licensees are not approved for specific experiments, they are required to post a description of each experiment along with the technical data to the Commission’s Experimental Notification System webpage.</w:t>
      </w:r>
      <w:r>
        <w:rPr>
          <w:rStyle w:val="FootnoteReference"/>
        </w:rPr>
        <w:footnoteReference w:id="45"/>
      </w:r>
      <w:r w:rsidRPr="0059512C">
        <w:rPr>
          <w:szCs w:val="22"/>
        </w:rPr>
        <w:t xml:space="preserve">  Once posted, licensees must wait ten days when using non-federally allocated spectrum or </w:t>
      </w:r>
      <w:r w:rsidR="00F058BC">
        <w:rPr>
          <w:szCs w:val="22"/>
        </w:rPr>
        <w:t>15</w:t>
      </w:r>
      <w:r w:rsidRPr="0059512C">
        <w:rPr>
          <w:szCs w:val="22"/>
        </w:rPr>
        <w:t xml:space="preserve"> days for federally allocated spectrum to allow any potentially affected user to comment and raise any concerns.  If there are no objections, the licensee may proc</w:t>
      </w:r>
      <w:r w:rsidRPr="0059512C">
        <w:rPr>
          <w:szCs w:val="22"/>
        </w:rPr>
        <w:t>eed with their experiment.</w:t>
      </w:r>
    </w:p>
    <w:p w:rsidR="008B2A37" w:rsidRPr="0059512C" w:rsidP="0036492D">
      <w:pPr>
        <w:pStyle w:val="ParaNum"/>
        <w:rPr>
          <w:szCs w:val="22"/>
        </w:rPr>
      </w:pPr>
      <w:r w:rsidRPr="0059512C">
        <w:rPr>
          <w:szCs w:val="22"/>
        </w:rPr>
        <w:t>Conventional applications have grown steadily over the last five years from just under 2,000 applications per year to over 3,</w:t>
      </w:r>
      <w:r w:rsidRPr="0059512C" w:rsidR="000026C1">
        <w:rPr>
          <w:szCs w:val="22"/>
        </w:rPr>
        <w:t>6</w:t>
      </w:r>
      <w:r w:rsidRPr="0059512C">
        <w:rPr>
          <w:szCs w:val="22"/>
        </w:rPr>
        <w:t>00 applications in 201</w:t>
      </w:r>
      <w:r w:rsidRPr="0059512C" w:rsidR="000026C1">
        <w:rPr>
          <w:szCs w:val="22"/>
        </w:rPr>
        <w:t>9</w:t>
      </w:r>
      <w:r w:rsidRPr="0059512C">
        <w:rPr>
          <w:szCs w:val="22"/>
        </w:rPr>
        <w:t>.  This growth can be attributed to an increased pace of innovation and rising i</w:t>
      </w:r>
      <w:r w:rsidRPr="0059512C">
        <w:rPr>
          <w:szCs w:val="22"/>
        </w:rPr>
        <w:t xml:space="preserve">nterest in new areas of wireless technology as well as an increasing interest in new applications such as unmanned aerial systems usage and space research and exploration.  </w:t>
      </w:r>
    </w:p>
    <w:p w:rsidR="001F7A6B" w:rsidP="00FA02B6">
      <w:pPr>
        <w:pStyle w:val="ParaNum"/>
        <w:rPr>
          <w:szCs w:val="22"/>
        </w:rPr>
      </w:pPr>
      <w:r w:rsidRPr="0059512C">
        <w:rPr>
          <w:szCs w:val="22"/>
        </w:rPr>
        <w:t>R</w:t>
      </w:r>
      <w:r w:rsidRPr="0059512C" w:rsidR="0036492D">
        <w:rPr>
          <w:szCs w:val="22"/>
        </w:rPr>
        <w:t xml:space="preserve">egardless of the complexity of any application, each must undergo a similar review process to determine if all required information is provided, to review the experimental description and analyze the technical data to ensure it is consistent with that description and to determine </w:t>
      </w:r>
      <w:r w:rsidRPr="0059512C" w:rsidR="00517EE7">
        <w:rPr>
          <w:szCs w:val="22"/>
        </w:rPr>
        <w:t>what coordination, if any,</w:t>
      </w:r>
      <w:r w:rsidRPr="0059512C" w:rsidR="0036492D">
        <w:rPr>
          <w:szCs w:val="22"/>
        </w:rPr>
        <w:t xml:space="preserve"> is required.</w:t>
      </w:r>
      <w:r w:rsidRPr="0059512C" w:rsidR="00517EE7">
        <w:rPr>
          <w:szCs w:val="22"/>
        </w:rPr>
        <w:t xml:space="preserve">  The same process must also be followed for program experimental licenses.  Although this process is similar across all application types, the amount of time needed to complete the application review differs based on complexity.</w:t>
      </w:r>
      <w:r w:rsidRPr="001F7A6B">
        <w:rPr>
          <w:szCs w:val="22"/>
        </w:rPr>
        <w:t xml:space="preserve"> </w:t>
      </w:r>
    </w:p>
    <w:p w:rsidR="008B2A37" w:rsidRPr="0059512C" w:rsidP="00FA02B6">
      <w:pPr>
        <w:pStyle w:val="ParaNum"/>
        <w:rPr>
          <w:szCs w:val="22"/>
        </w:rPr>
      </w:pPr>
      <w:r>
        <w:rPr>
          <w:szCs w:val="22"/>
        </w:rPr>
        <w:t>Additional</w:t>
      </w:r>
      <w:r w:rsidR="0076023D">
        <w:rPr>
          <w:szCs w:val="22"/>
        </w:rPr>
        <w:t>l</w:t>
      </w:r>
      <w:r>
        <w:rPr>
          <w:szCs w:val="22"/>
        </w:rPr>
        <w:t xml:space="preserve">y, </w:t>
      </w:r>
      <w:r w:rsidR="008B176B">
        <w:rPr>
          <w:szCs w:val="22"/>
        </w:rPr>
        <w:t>a</w:t>
      </w:r>
      <w:r w:rsidRPr="0059512C">
        <w:rPr>
          <w:szCs w:val="22"/>
        </w:rPr>
        <w:t>pplicants seeking confident</w:t>
      </w:r>
      <w:r w:rsidRPr="0059512C">
        <w:rPr>
          <w:szCs w:val="22"/>
        </w:rPr>
        <w:t xml:space="preserve">ial treatment can </w:t>
      </w:r>
      <w:r w:rsidR="007602FD">
        <w:rPr>
          <w:szCs w:val="22"/>
        </w:rPr>
        <w:t>request that</w:t>
      </w:r>
      <w:r w:rsidRPr="0059512C">
        <w:rPr>
          <w:szCs w:val="22"/>
        </w:rPr>
        <w:t xml:space="preserve"> designated information </w:t>
      </w:r>
      <w:r w:rsidR="007602FD">
        <w:rPr>
          <w:szCs w:val="22"/>
        </w:rPr>
        <w:t xml:space="preserve">be </w:t>
      </w:r>
      <w:r w:rsidRPr="0059512C">
        <w:rPr>
          <w:szCs w:val="22"/>
        </w:rPr>
        <w:t>considered confidential</w:t>
      </w:r>
      <w:r w:rsidR="007602FD">
        <w:rPr>
          <w:szCs w:val="22"/>
        </w:rPr>
        <w:t xml:space="preserve"> and such request is reviewed and processed by staff.</w:t>
      </w:r>
      <w:r>
        <w:rPr>
          <w:rStyle w:val="FootnoteReference"/>
          <w:szCs w:val="22"/>
        </w:rPr>
        <w:footnoteReference w:id="46"/>
      </w:r>
      <w:r w:rsidR="007602FD">
        <w:rPr>
          <w:szCs w:val="22"/>
        </w:rPr>
        <w:t xml:space="preserve">  </w:t>
      </w:r>
      <w:r w:rsidR="00F925BE">
        <w:rPr>
          <w:szCs w:val="22"/>
        </w:rPr>
        <w:t xml:space="preserve">  </w:t>
      </w:r>
      <w:r>
        <w:rPr>
          <w:szCs w:val="22"/>
        </w:rPr>
        <w:t xml:space="preserve">  </w:t>
      </w:r>
    </w:p>
    <w:p w:rsidR="00517EE7" w:rsidP="00FA02B6">
      <w:pPr>
        <w:pStyle w:val="ParaNum"/>
        <w:rPr>
          <w:szCs w:val="22"/>
        </w:rPr>
      </w:pPr>
      <w:r w:rsidRPr="0059512C">
        <w:rPr>
          <w:szCs w:val="22"/>
        </w:rPr>
        <w:t>We propose and seek comment on adopting the following cost-based fee for these applications</w:t>
      </w:r>
      <w:r w:rsidRPr="0059512C" w:rsidR="00624EAC">
        <w:rPr>
          <w:szCs w:val="22"/>
        </w:rPr>
        <w:t>—and we give as an example the current fee for these services</w:t>
      </w:r>
      <w:r w:rsidRPr="0059512C">
        <w:rPr>
          <w:szCs w:val="22"/>
        </w:rPr>
        <w:t>.  All fees are per call sign unless otherwise noted.</w:t>
      </w:r>
    </w:p>
    <w:p w:rsidR="006A7BF5" w:rsidP="006A7BF5">
      <w:pPr>
        <w:pStyle w:val="ParaNum"/>
        <w:numPr>
          <w:ilvl w:val="0"/>
          <w:numId w:val="0"/>
        </w:numPr>
        <w:ind w:firstLine="720"/>
        <w:rPr>
          <w:szCs w:val="22"/>
        </w:rPr>
      </w:pPr>
    </w:p>
    <w:tbl>
      <w:tblPr>
        <w:tblStyle w:val="TableGrid"/>
        <w:tblW w:w="8640" w:type="dxa"/>
        <w:tblLook w:val="04A0"/>
      </w:tblPr>
      <w:tblGrid>
        <w:gridCol w:w="3775"/>
        <w:gridCol w:w="1985"/>
        <w:gridCol w:w="2880"/>
      </w:tblGrid>
      <w:tr w:rsidTr="0060706A">
        <w:tblPrEx>
          <w:tblW w:w="8640" w:type="dxa"/>
          <w:tblLook w:val="04A0"/>
        </w:tblPrEx>
        <w:tc>
          <w:tcPr>
            <w:tcW w:w="3775" w:type="dxa"/>
          </w:tcPr>
          <w:p w:rsidR="006A7BF5" w:rsidRPr="005306C5" w:rsidP="003972E0">
            <w:pPr>
              <w:pStyle w:val="ParaNum"/>
              <w:keepNext/>
              <w:widowControl/>
              <w:numPr>
                <w:ilvl w:val="0"/>
                <w:numId w:val="0"/>
              </w:numPr>
              <w:rPr>
                <w:b/>
              </w:rPr>
            </w:pPr>
            <w:r>
              <w:rPr>
                <w:b/>
              </w:rPr>
              <w:t>Experimental Licensing A</w:t>
            </w:r>
            <w:r w:rsidRPr="005306C5">
              <w:rPr>
                <w:b/>
              </w:rPr>
              <w:t>pplication</w:t>
            </w:r>
          </w:p>
        </w:tc>
        <w:tc>
          <w:tcPr>
            <w:tcW w:w="1985" w:type="dxa"/>
          </w:tcPr>
          <w:p w:rsidR="006A7BF5" w:rsidRPr="005306C5" w:rsidP="0060706A">
            <w:pPr>
              <w:pStyle w:val="ParaNum"/>
              <w:keepNext/>
              <w:widowControl/>
              <w:numPr>
                <w:ilvl w:val="0"/>
                <w:numId w:val="0"/>
              </w:numPr>
              <w:jc w:val="center"/>
              <w:rPr>
                <w:b/>
              </w:rPr>
            </w:pPr>
            <w:r>
              <w:rPr>
                <w:b/>
              </w:rPr>
              <w:t>Current Fee</w:t>
            </w:r>
          </w:p>
        </w:tc>
        <w:tc>
          <w:tcPr>
            <w:tcW w:w="2880" w:type="dxa"/>
          </w:tcPr>
          <w:p w:rsidR="006A7BF5" w:rsidRPr="005306C5" w:rsidP="0060706A">
            <w:pPr>
              <w:pStyle w:val="ParaNum"/>
              <w:keepNext/>
              <w:widowControl/>
              <w:numPr>
                <w:ilvl w:val="0"/>
                <w:numId w:val="0"/>
              </w:numPr>
              <w:jc w:val="center"/>
              <w:rPr>
                <w:b/>
              </w:rPr>
            </w:pPr>
            <w:r>
              <w:rPr>
                <w:b/>
              </w:rPr>
              <w:t>Cost-based Fee</w:t>
            </w:r>
          </w:p>
        </w:tc>
      </w:tr>
      <w:tr w:rsidTr="0060706A">
        <w:tblPrEx>
          <w:tblW w:w="8640" w:type="dxa"/>
          <w:tblLook w:val="04A0"/>
        </w:tblPrEx>
        <w:tc>
          <w:tcPr>
            <w:tcW w:w="3775" w:type="dxa"/>
          </w:tcPr>
          <w:p w:rsidR="006A7BF5" w:rsidP="00CE4C9A">
            <w:pPr>
              <w:pStyle w:val="ParaNum"/>
              <w:numPr>
                <w:ilvl w:val="0"/>
                <w:numId w:val="29"/>
              </w:numPr>
            </w:pPr>
            <w:r>
              <w:t>New Station Authorization</w:t>
            </w:r>
          </w:p>
        </w:tc>
        <w:tc>
          <w:tcPr>
            <w:tcW w:w="1985" w:type="dxa"/>
          </w:tcPr>
          <w:p w:rsidR="006A7BF5" w:rsidP="0060706A">
            <w:pPr>
              <w:pStyle w:val="ParaNum"/>
              <w:numPr>
                <w:ilvl w:val="0"/>
                <w:numId w:val="0"/>
              </w:numPr>
              <w:jc w:val="center"/>
            </w:pPr>
            <w:r>
              <w:t>$70</w:t>
            </w:r>
          </w:p>
        </w:tc>
        <w:tc>
          <w:tcPr>
            <w:tcW w:w="2880" w:type="dxa"/>
          </w:tcPr>
          <w:p w:rsidR="006A7BF5" w:rsidP="0060706A">
            <w:pPr>
              <w:pStyle w:val="ParaNum"/>
              <w:numPr>
                <w:ilvl w:val="0"/>
                <w:numId w:val="0"/>
              </w:numPr>
              <w:jc w:val="center"/>
            </w:pPr>
            <w:r>
              <w:t>$125</w:t>
            </w:r>
          </w:p>
        </w:tc>
      </w:tr>
      <w:tr w:rsidTr="002E374F">
        <w:tblPrEx>
          <w:tblW w:w="8640" w:type="dxa"/>
          <w:tblLook w:val="04A0"/>
        </w:tblPrEx>
        <w:tc>
          <w:tcPr>
            <w:tcW w:w="3775" w:type="dxa"/>
          </w:tcPr>
          <w:p w:rsidR="006A7BF5" w:rsidP="00CE4C9A">
            <w:pPr>
              <w:pStyle w:val="ParaNum"/>
              <w:numPr>
                <w:ilvl w:val="0"/>
                <w:numId w:val="29"/>
              </w:numPr>
            </w:pPr>
            <w:r>
              <w:t>Modification of Authorization</w:t>
            </w:r>
          </w:p>
        </w:tc>
        <w:tc>
          <w:tcPr>
            <w:tcW w:w="1985" w:type="dxa"/>
          </w:tcPr>
          <w:p w:rsidR="006A7BF5" w:rsidP="002E374F">
            <w:pPr>
              <w:pStyle w:val="ParaNum"/>
              <w:numPr>
                <w:ilvl w:val="0"/>
                <w:numId w:val="0"/>
              </w:numPr>
              <w:jc w:val="center"/>
            </w:pPr>
            <w:r>
              <w:t>$70</w:t>
            </w:r>
          </w:p>
        </w:tc>
        <w:tc>
          <w:tcPr>
            <w:tcW w:w="2880" w:type="dxa"/>
          </w:tcPr>
          <w:p w:rsidR="006A7BF5" w:rsidP="002E374F">
            <w:pPr>
              <w:pStyle w:val="ParaNum"/>
              <w:numPr>
                <w:ilvl w:val="0"/>
                <w:numId w:val="0"/>
              </w:numPr>
              <w:jc w:val="center"/>
            </w:pPr>
            <w:r>
              <w:t>$125</w:t>
            </w:r>
          </w:p>
        </w:tc>
      </w:tr>
      <w:tr w:rsidTr="002E374F">
        <w:tblPrEx>
          <w:tblW w:w="8640" w:type="dxa"/>
          <w:tblLook w:val="04A0"/>
        </w:tblPrEx>
        <w:tc>
          <w:tcPr>
            <w:tcW w:w="3775" w:type="dxa"/>
          </w:tcPr>
          <w:p w:rsidR="006A7BF5" w:rsidP="00CE4C9A">
            <w:pPr>
              <w:pStyle w:val="ParaNum"/>
              <w:numPr>
                <w:ilvl w:val="0"/>
                <w:numId w:val="29"/>
              </w:numPr>
            </w:pPr>
            <w:r>
              <w:t xml:space="preserve">Renewal of </w:t>
            </w:r>
            <w:r>
              <w:t>Station Authorization</w:t>
            </w:r>
          </w:p>
        </w:tc>
        <w:tc>
          <w:tcPr>
            <w:tcW w:w="1985" w:type="dxa"/>
          </w:tcPr>
          <w:p w:rsidR="006A7BF5" w:rsidP="002E374F">
            <w:pPr>
              <w:pStyle w:val="ParaNum"/>
              <w:numPr>
                <w:ilvl w:val="0"/>
                <w:numId w:val="0"/>
              </w:numPr>
              <w:jc w:val="center"/>
            </w:pPr>
            <w:r>
              <w:t>$70</w:t>
            </w:r>
          </w:p>
        </w:tc>
        <w:tc>
          <w:tcPr>
            <w:tcW w:w="2880" w:type="dxa"/>
          </w:tcPr>
          <w:p w:rsidR="006A7BF5" w:rsidP="002E374F">
            <w:pPr>
              <w:pStyle w:val="ParaNum"/>
              <w:numPr>
                <w:ilvl w:val="0"/>
                <w:numId w:val="0"/>
              </w:numPr>
              <w:jc w:val="center"/>
            </w:pPr>
            <w:r>
              <w:t>$125</w:t>
            </w:r>
          </w:p>
        </w:tc>
      </w:tr>
      <w:tr w:rsidTr="002E374F">
        <w:tblPrEx>
          <w:tblW w:w="8640" w:type="dxa"/>
          <w:tblLook w:val="04A0"/>
        </w:tblPrEx>
        <w:tc>
          <w:tcPr>
            <w:tcW w:w="3775" w:type="dxa"/>
          </w:tcPr>
          <w:p w:rsidR="006A7BF5" w:rsidP="00CE4C9A">
            <w:pPr>
              <w:pStyle w:val="ParaNum"/>
              <w:numPr>
                <w:ilvl w:val="0"/>
                <w:numId w:val="29"/>
              </w:numPr>
            </w:pPr>
            <w:r>
              <w:t>Assignment of License or Transfer of Control</w:t>
            </w:r>
          </w:p>
        </w:tc>
        <w:tc>
          <w:tcPr>
            <w:tcW w:w="1985" w:type="dxa"/>
          </w:tcPr>
          <w:p w:rsidR="006A7BF5" w:rsidP="002E374F">
            <w:pPr>
              <w:pStyle w:val="ParaNum"/>
              <w:numPr>
                <w:ilvl w:val="0"/>
                <w:numId w:val="0"/>
              </w:numPr>
              <w:jc w:val="center"/>
            </w:pPr>
            <w:r>
              <w:t>$70</w:t>
            </w:r>
          </w:p>
        </w:tc>
        <w:tc>
          <w:tcPr>
            <w:tcW w:w="2880" w:type="dxa"/>
          </w:tcPr>
          <w:p w:rsidR="006A7BF5" w:rsidP="002E374F">
            <w:pPr>
              <w:pStyle w:val="ParaNum"/>
              <w:numPr>
                <w:ilvl w:val="0"/>
                <w:numId w:val="0"/>
              </w:numPr>
              <w:jc w:val="center"/>
            </w:pPr>
            <w:r>
              <w:t>$125</w:t>
            </w:r>
          </w:p>
        </w:tc>
      </w:tr>
      <w:tr w:rsidTr="002E374F">
        <w:tblPrEx>
          <w:tblW w:w="8640" w:type="dxa"/>
          <w:tblLook w:val="04A0"/>
        </w:tblPrEx>
        <w:tc>
          <w:tcPr>
            <w:tcW w:w="3775" w:type="dxa"/>
          </w:tcPr>
          <w:p w:rsidR="006A7BF5" w:rsidP="00CE4C9A">
            <w:pPr>
              <w:pStyle w:val="ParaNum"/>
              <w:numPr>
                <w:ilvl w:val="0"/>
                <w:numId w:val="29"/>
              </w:numPr>
            </w:pPr>
            <w:r>
              <w:t>Special Temporary Authority</w:t>
            </w:r>
          </w:p>
        </w:tc>
        <w:tc>
          <w:tcPr>
            <w:tcW w:w="1985" w:type="dxa"/>
          </w:tcPr>
          <w:p w:rsidR="006A7BF5" w:rsidP="002E374F">
            <w:pPr>
              <w:pStyle w:val="ParaNum"/>
              <w:numPr>
                <w:ilvl w:val="0"/>
                <w:numId w:val="0"/>
              </w:numPr>
              <w:jc w:val="center"/>
            </w:pPr>
            <w:r>
              <w:t>$70</w:t>
            </w:r>
          </w:p>
        </w:tc>
        <w:tc>
          <w:tcPr>
            <w:tcW w:w="2880" w:type="dxa"/>
          </w:tcPr>
          <w:p w:rsidR="006A7BF5" w:rsidP="002E374F">
            <w:pPr>
              <w:pStyle w:val="ParaNum"/>
              <w:numPr>
                <w:ilvl w:val="0"/>
                <w:numId w:val="0"/>
              </w:numPr>
              <w:jc w:val="center"/>
            </w:pPr>
            <w:r>
              <w:t>$125</w:t>
            </w:r>
          </w:p>
        </w:tc>
      </w:tr>
      <w:tr w:rsidTr="002E374F">
        <w:tblPrEx>
          <w:tblW w:w="8640" w:type="dxa"/>
          <w:tblLook w:val="04A0"/>
        </w:tblPrEx>
        <w:tc>
          <w:tcPr>
            <w:tcW w:w="3775" w:type="dxa"/>
          </w:tcPr>
          <w:p w:rsidR="006A7BF5" w:rsidP="00CE4C9A">
            <w:pPr>
              <w:pStyle w:val="ParaNum"/>
              <w:numPr>
                <w:ilvl w:val="0"/>
                <w:numId w:val="29"/>
              </w:numPr>
            </w:pPr>
            <w:r>
              <w:t>Confidentiality</w:t>
            </w:r>
          </w:p>
        </w:tc>
        <w:tc>
          <w:tcPr>
            <w:tcW w:w="1985" w:type="dxa"/>
          </w:tcPr>
          <w:p w:rsidR="006A7BF5" w:rsidP="002E374F">
            <w:pPr>
              <w:pStyle w:val="ParaNum"/>
              <w:numPr>
                <w:ilvl w:val="0"/>
                <w:numId w:val="0"/>
              </w:numPr>
              <w:jc w:val="center"/>
            </w:pPr>
            <w:r>
              <w:t>$70</w:t>
            </w:r>
          </w:p>
        </w:tc>
        <w:tc>
          <w:tcPr>
            <w:tcW w:w="2880" w:type="dxa"/>
          </w:tcPr>
          <w:p w:rsidR="006A7BF5" w:rsidP="002E374F">
            <w:pPr>
              <w:pStyle w:val="ParaNum"/>
              <w:numPr>
                <w:ilvl w:val="0"/>
                <w:numId w:val="0"/>
              </w:numPr>
              <w:jc w:val="center"/>
            </w:pPr>
            <w:r>
              <w:t>$50</w:t>
            </w:r>
          </w:p>
        </w:tc>
      </w:tr>
    </w:tbl>
    <w:p w:rsidR="006A7BF5" w:rsidP="002E374F">
      <w:pPr>
        <w:pStyle w:val="ParaNum"/>
        <w:numPr>
          <w:ilvl w:val="0"/>
          <w:numId w:val="0"/>
        </w:numPr>
        <w:rPr>
          <w:szCs w:val="22"/>
        </w:rPr>
      </w:pPr>
    </w:p>
    <w:p w:rsidR="00517EE7" w:rsidRPr="0059512C" w:rsidP="00517EE7">
      <w:pPr>
        <w:pStyle w:val="ParaNum"/>
        <w:rPr>
          <w:szCs w:val="22"/>
        </w:rPr>
      </w:pPr>
      <w:r w:rsidRPr="0059512C">
        <w:rPr>
          <w:szCs w:val="22"/>
        </w:rPr>
        <w:t xml:space="preserve">The Experimental Radio Service application fee is currently $70 for all applications, including new station authorizations, modifications, renewals, transfers of control and assignments, </w:t>
      </w:r>
      <w:r w:rsidRPr="0059512C" w:rsidR="00521F56">
        <w:rPr>
          <w:szCs w:val="22"/>
        </w:rPr>
        <w:t>STA</w:t>
      </w:r>
      <w:r w:rsidRPr="0059512C" w:rsidR="00846507">
        <w:rPr>
          <w:szCs w:val="22"/>
        </w:rPr>
        <w:t xml:space="preserve"> </w:t>
      </w:r>
      <w:r w:rsidRPr="0059512C">
        <w:rPr>
          <w:szCs w:val="22"/>
        </w:rPr>
        <w:t xml:space="preserve">requests, and program licenses.  Applicants </w:t>
      </w:r>
      <w:r w:rsidR="007602FD">
        <w:rPr>
          <w:szCs w:val="22"/>
        </w:rPr>
        <w:t>requesti</w:t>
      </w:r>
      <w:r w:rsidR="000F36A9">
        <w:rPr>
          <w:szCs w:val="22"/>
        </w:rPr>
        <w:t>ng</w:t>
      </w:r>
      <w:r w:rsidRPr="0059512C" w:rsidR="007602FD">
        <w:rPr>
          <w:szCs w:val="22"/>
        </w:rPr>
        <w:t xml:space="preserve"> </w:t>
      </w:r>
      <w:r w:rsidRPr="0059512C">
        <w:rPr>
          <w:szCs w:val="22"/>
        </w:rPr>
        <w:t>confidenti</w:t>
      </w:r>
      <w:r w:rsidRPr="0059512C">
        <w:rPr>
          <w:szCs w:val="22"/>
        </w:rPr>
        <w:t xml:space="preserve">al treatment </w:t>
      </w:r>
      <w:r w:rsidR="000F36A9">
        <w:rPr>
          <w:szCs w:val="22"/>
        </w:rPr>
        <w:t xml:space="preserve">currently </w:t>
      </w:r>
      <w:r w:rsidRPr="0059512C">
        <w:rPr>
          <w:szCs w:val="22"/>
        </w:rPr>
        <w:t>pay an additional $70 fee.</w:t>
      </w:r>
    </w:p>
    <w:p w:rsidR="0036492D" w:rsidRPr="000F36A9" w:rsidP="000F36A9">
      <w:pPr>
        <w:pStyle w:val="ParaNum"/>
        <w:rPr>
          <w:szCs w:val="22"/>
        </w:rPr>
      </w:pPr>
      <w:r w:rsidRPr="0059512C">
        <w:rPr>
          <w:szCs w:val="22"/>
        </w:rPr>
        <w:t>The Commission’s costs in processing</w:t>
      </w:r>
      <w:r w:rsidR="001F7A6B">
        <w:rPr>
          <w:szCs w:val="22"/>
        </w:rPr>
        <w:t xml:space="preserve"> all</w:t>
      </w:r>
      <w:r w:rsidRPr="0059512C">
        <w:rPr>
          <w:szCs w:val="22"/>
        </w:rPr>
        <w:t xml:space="preserve"> Experimental Radio Service applications</w:t>
      </w:r>
      <w:r w:rsidR="001F7A6B">
        <w:t>,</w:t>
      </w:r>
      <w:r w:rsidRPr="00C51B35" w:rsidR="001F7A6B">
        <w:t xml:space="preserve"> </w:t>
      </w:r>
      <w:r w:rsidRPr="00255556" w:rsidR="001F7A6B">
        <w:t xml:space="preserve">including new station authorizations, modifications, renewals, transfers of control and assignments, </w:t>
      </w:r>
      <w:r w:rsidR="001F7A6B">
        <w:t xml:space="preserve">STA </w:t>
      </w:r>
      <w:r w:rsidRPr="00255556" w:rsidR="001F7A6B">
        <w:t>requests</w:t>
      </w:r>
      <w:r w:rsidR="001F7A6B">
        <w:t>,</w:t>
      </w:r>
      <w:r w:rsidRPr="00255556" w:rsidR="001F7A6B">
        <w:t xml:space="preserve"> and program licenses</w:t>
      </w:r>
      <w:r w:rsidR="001F7A6B">
        <w:t>,</w:t>
      </w:r>
      <w:r w:rsidRPr="0059512C">
        <w:rPr>
          <w:szCs w:val="22"/>
        </w:rPr>
        <w:t xml:space="preserve"> consist of program analyst review, engineer technical review, and engineer supervisory review.  We estimate the cost of</w:t>
      </w:r>
      <w:r w:rsidRPr="0059512C">
        <w:rPr>
          <w:szCs w:val="22"/>
        </w:rPr>
        <w:t xml:space="preserve"> this process is $12</w:t>
      </w:r>
      <w:r w:rsidRPr="0059512C" w:rsidR="00B47987">
        <w:rPr>
          <w:szCs w:val="22"/>
        </w:rPr>
        <w:t>5</w:t>
      </w:r>
      <w:r w:rsidRPr="001F7A6B" w:rsidR="001F7A6B">
        <w:t xml:space="preserve"> </w:t>
      </w:r>
      <w:r w:rsidR="001F7A6B">
        <w:t>for all such applications</w:t>
      </w:r>
      <w:r w:rsidRPr="0059512C">
        <w:rPr>
          <w:szCs w:val="22"/>
        </w:rPr>
        <w:t>.</w:t>
      </w:r>
      <w:r w:rsidR="007602FD">
        <w:rPr>
          <w:szCs w:val="22"/>
        </w:rPr>
        <w:t xml:space="preserve">  </w:t>
      </w:r>
      <w:r w:rsidRPr="0059512C" w:rsidR="007602FD">
        <w:rPr>
          <w:szCs w:val="22"/>
        </w:rPr>
        <w:t xml:space="preserve">We estimate that the Commission’s resources in processing </w:t>
      </w:r>
      <w:r w:rsidR="007602FD">
        <w:rPr>
          <w:szCs w:val="22"/>
        </w:rPr>
        <w:t>quests for confidential treatment</w:t>
      </w:r>
      <w:r w:rsidRPr="0059512C" w:rsidR="007602FD">
        <w:rPr>
          <w:szCs w:val="22"/>
        </w:rPr>
        <w:t xml:space="preserve"> consist of program analyst review and processing.  </w:t>
      </w:r>
      <w:r w:rsidR="007602FD">
        <w:rPr>
          <w:szCs w:val="22"/>
        </w:rPr>
        <w:t>We</w:t>
      </w:r>
      <w:r w:rsidRPr="0059512C" w:rsidR="007602FD">
        <w:rPr>
          <w:szCs w:val="22"/>
        </w:rPr>
        <w:t xml:space="preserve"> estimate this process involves $</w:t>
      </w:r>
      <w:r w:rsidR="007602FD">
        <w:rPr>
          <w:szCs w:val="22"/>
        </w:rPr>
        <w:t>5</w:t>
      </w:r>
      <w:r w:rsidRPr="0059512C" w:rsidR="007602FD">
        <w:rPr>
          <w:szCs w:val="22"/>
        </w:rPr>
        <w:t>0 in costs.</w:t>
      </w:r>
      <w:r w:rsidR="000F36A9">
        <w:rPr>
          <w:szCs w:val="22"/>
        </w:rPr>
        <w:t xml:space="preserve">  </w:t>
      </w:r>
      <w:r w:rsidRPr="000F36A9">
        <w:rPr>
          <w:szCs w:val="22"/>
        </w:rPr>
        <w:t xml:space="preserve">We </w:t>
      </w:r>
      <w:r w:rsidRPr="000F36A9" w:rsidR="00517EE7">
        <w:rPr>
          <w:szCs w:val="22"/>
        </w:rPr>
        <w:t>seek comment on these propos</w:t>
      </w:r>
      <w:bookmarkStart w:id="134" w:name="_Toc16611318"/>
      <w:bookmarkStart w:id="135" w:name="_Toc17709349"/>
      <w:bookmarkStart w:id="136" w:name="_Toc17972528"/>
      <w:bookmarkStart w:id="137" w:name="_Toc18066914"/>
      <w:bookmarkStart w:id="138" w:name="_Toc18939775"/>
      <w:bookmarkStart w:id="139" w:name="_Toc19795075"/>
      <w:bookmarkStart w:id="140" w:name="_Toc19796440"/>
      <w:bookmarkStart w:id="141" w:name="_Toc19796797"/>
      <w:bookmarkStart w:id="142" w:name="_Toc22299865"/>
      <w:bookmarkStart w:id="143" w:name="_Toc24453217"/>
      <w:bookmarkStart w:id="144" w:name="_Toc28005095"/>
      <w:bookmarkStart w:id="145" w:name="_Toc29557393"/>
      <w:bookmarkStart w:id="146" w:name="_Toc30085370"/>
      <w:bookmarkStart w:id="147" w:name="_Toc31033136"/>
      <w:bookmarkStart w:id="148" w:name="_Toc31288148"/>
      <w:bookmarkStart w:id="149" w:name="_Toc31980682"/>
      <w:bookmarkStart w:id="150" w:name="_Toc31288145"/>
      <w:bookmarkStart w:id="151" w:name="_Toc31980679"/>
      <w:r w:rsidR="000F36A9">
        <w:rPr>
          <w:szCs w:val="22"/>
        </w:rPr>
        <w:t>ed cost-based fees</w:t>
      </w:r>
      <w:r w:rsidRPr="000F36A9" w:rsidR="001A085C">
        <w:rPr>
          <w:szCs w:val="22"/>
        </w:rPr>
        <w:t>.</w:t>
      </w:r>
    </w:p>
    <w:p w:rsidR="00E443C3" w:rsidRPr="0059512C" w:rsidP="00E443C3">
      <w:pPr>
        <w:pStyle w:val="Heading4"/>
        <w:rPr>
          <w:szCs w:val="22"/>
        </w:rPr>
      </w:pPr>
      <w:bookmarkStart w:id="152" w:name="_Toc28005090"/>
      <w:bookmarkStart w:id="153" w:name="_Toc29557388"/>
      <w:r w:rsidRPr="0059512C">
        <w:rPr>
          <w:szCs w:val="22"/>
        </w:rPr>
        <w:t xml:space="preserve">Amendments to </w:t>
      </w:r>
      <w:bookmarkEnd w:id="152"/>
      <w:bookmarkEnd w:id="153"/>
      <w:r w:rsidRPr="0059512C">
        <w:rPr>
          <w:szCs w:val="22"/>
        </w:rPr>
        <w:t>pending applications</w:t>
      </w:r>
    </w:p>
    <w:p w:rsidR="00FA02B6" w:rsidRPr="0059512C" w:rsidP="00E443C3">
      <w:pPr>
        <w:pStyle w:val="ParaNum"/>
        <w:rPr>
          <w:szCs w:val="22"/>
        </w:rPr>
      </w:pPr>
      <w:r w:rsidRPr="0059512C">
        <w:rPr>
          <w:szCs w:val="22"/>
        </w:rPr>
        <w:t>Applicants often seek to amend pending applications in order to correct errors, provide additional information requested by the Commission’s staff, expand the scope of the request (e.g</w:t>
      </w:r>
      <w:r w:rsidRPr="0059512C">
        <w:rPr>
          <w:szCs w:val="22"/>
        </w:rPr>
        <w:t>.,</w:t>
      </w:r>
      <w:r w:rsidRPr="0059512C" w:rsidR="002D5CF0">
        <w:rPr>
          <w:szCs w:val="22"/>
        </w:rPr>
        <w:t xml:space="preserve"> </w:t>
      </w:r>
      <w:r w:rsidRPr="0059512C">
        <w:rPr>
          <w:szCs w:val="22"/>
        </w:rPr>
        <w:t>to include new licenses, spectrum, geographic areas), or narrow the scope of the request.  Particularly in cases where the scope of the request is increased, Commission staff may need to completely re-review the application because of new licenses, spec</w:t>
      </w:r>
      <w:r w:rsidRPr="0059512C">
        <w:rPr>
          <w:szCs w:val="22"/>
        </w:rPr>
        <w:t>trum, geography, or technical issues that were not in the original application.  In that light, we seek comment on whether to charge a fee for amendments to applications that require staff to re-review those applications.  Currently, our rules charge a fee</w:t>
      </w:r>
      <w:r w:rsidRPr="0059512C">
        <w:rPr>
          <w:szCs w:val="22"/>
        </w:rPr>
        <w:t xml:space="preserve"> for certain types of major amendments (e.g., Part 22 Services), and specific changes for certain site-based services (e.g., adding call signs, requesting waivers).  We seek comment on whether and in what instances we should charge an additional fee for am</w:t>
      </w:r>
      <w:r w:rsidRPr="0059512C">
        <w:rPr>
          <w:szCs w:val="22"/>
        </w:rPr>
        <w:t>endments to</w:t>
      </w:r>
      <w:r w:rsidR="00877C7F">
        <w:rPr>
          <w:szCs w:val="22"/>
        </w:rPr>
        <w:t xml:space="preserve"> pending</w:t>
      </w:r>
      <w:r w:rsidRPr="0059512C">
        <w:rPr>
          <w:szCs w:val="22"/>
        </w:rPr>
        <w:t xml:space="preserve"> applications and how to structure that fee.</w:t>
      </w:r>
    </w:p>
    <w:p w:rsidR="001C615E" w:rsidRPr="0059512C" w:rsidP="00020760">
      <w:pPr>
        <w:pStyle w:val="Heading3"/>
        <w:rPr>
          <w:szCs w:val="22"/>
        </w:rPr>
      </w:pPr>
      <w:bookmarkStart w:id="154" w:name="_Toc35268564"/>
      <w:bookmarkStart w:id="155" w:name="_Toc42256286"/>
      <w:bookmarkStart w:id="156" w:name="_Toc4458165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59512C">
        <w:rPr>
          <w:szCs w:val="22"/>
        </w:rPr>
        <w:t>Media Service Fees</w:t>
      </w:r>
      <w:bookmarkEnd w:id="154"/>
      <w:bookmarkEnd w:id="155"/>
      <w:bookmarkEnd w:id="156"/>
    </w:p>
    <w:p w:rsidR="00AA36F3" w:rsidP="009B64D9">
      <w:pPr>
        <w:pStyle w:val="ParaNum"/>
        <w:rPr>
          <w:szCs w:val="22"/>
        </w:rPr>
      </w:pPr>
      <w:r w:rsidRPr="0059512C">
        <w:rPr>
          <w:szCs w:val="22"/>
        </w:rPr>
        <w:t xml:space="preserve">The Media Bureau </w:t>
      </w:r>
      <w:r w:rsidRPr="0059512C" w:rsidR="00312007">
        <w:rPr>
          <w:szCs w:val="22"/>
        </w:rPr>
        <w:t xml:space="preserve">processes applications for </w:t>
      </w:r>
      <w:r w:rsidRPr="0059512C">
        <w:rPr>
          <w:szCs w:val="22"/>
        </w:rPr>
        <w:t xml:space="preserve">licensing broadcast television and radio spectrum for commercial and noncommercial users, and </w:t>
      </w:r>
      <w:r w:rsidRPr="0059512C" w:rsidR="00312007">
        <w:rPr>
          <w:szCs w:val="22"/>
        </w:rPr>
        <w:t>those</w:t>
      </w:r>
      <w:r w:rsidRPr="0059512C">
        <w:rPr>
          <w:szCs w:val="22"/>
        </w:rPr>
        <w:t xml:space="preserve"> related to the provision of cable service.</w:t>
      </w:r>
      <w:r>
        <w:rPr>
          <w:rStyle w:val="FootnoteReference"/>
        </w:rPr>
        <w:footnoteReference w:id="47"/>
      </w:r>
      <w:r w:rsidRPr="0059512C">
        <w:rPr>
          <w:szCs w:val="22"/>
        </w:rPr>
        <w:t xml:space="preserve">  </w:t>
      </w:r>
      <w:bookmarkStart w:id="157" w:name="_Toc18066915"/>
      <w:bookmarkStart w:id="158" w:name="_Toc18939776"/>
      <w:bookmarkStart w:id="159" w:name="_Toc19795076"/>
      <w:bookmarkStart w:id="160" w:name="_Toc19796441"/>
      <w:bookmarkStart w:id="161" w:name="_Toc19796799"/>
      <w:r w:rsidR="002C1FF7">
        <w:t xml:space="preserve">Certain construction permits issued by the Media Bureau are assigned through competitive bidding.  </w:t>
      </w:r>
      <w:r w:rsidRPr="0059512C" w:rsidR="008D4A68">
        <w:rPr>
          <w:szCs w:val="22"/>
        </w:rPr>
        <w:t xml:space="preserve">Application fees </w:t>
      </w:r>
      <w:r w:rsidRPr="0059512C" w:rsidR="00881E5F">
        <w:rPr>
          <w:szCs w:val="22"/>
        </w:rPr>
        <w:t>for services are currently organized according to whether they</w:t>
      </w:r>
      <w:r w:rsidR="0078102A">
        <w:rPr>
          <w:szCs w:val="22"/>
        </w:rPr>
        <w:t xml:space="preserve"> are</w:t>
      </w:r>
      <w:r w:rsidRPr="0059512C" w:rsidR="00881E5F">
        <w:rPr>
          <w:szCs w:val="22"/>
        </w:rPr>
        <w:t xml:space="preserve"> for TV service or AM and FM</w:t>
      </w:r>
      <w:r w:rsidRPr="0078102A" w:rsidR="0078102A">
        <w:rPr>
          <w:szCs w:val="22"/>
        </w:rPr>
        <w:t xml:space="preserve"> </w:t>
      </w:r>
      <w:r w:rsidRPr="0059512C" w:rsidR="0078102A">
        <w:rPr>
          <w:szCs w:val="22"/>
        </w:rPr>
        <w:t xml:space="preserve">radio </w:t>
      </w:r>
      <w:r w:rsidR="0078102A">
        <w:rPr>
          <w:szCs w:val="22"/>
        </w:rPr>
        <w:t>service</w:t>
      </w:r>
      <w:r w:rsidRPr="0059512C" w:rsidR="00881E5F">
        <w:rPr>
          <w:szCs w:val="22"/>
        </w:rPr>
        <w:t xml:space="preserve">.  </w:t>
      </w:r>
      <w:r w:rsidRPr="0059512C" w:rsidR="004E2993">
        <w:rPr>
          <w:szCs w:val="22"/>
        </w:rPr>
        <w:t xml:space="preserve">We propose to retain this organization, keep all fees except those associated </w:t>
      </w:r>
      <w:r w:rsidR="00CD5A1B">
        <w:rPr>
          <w:szCs w:val="22"/>
        </w:rPr>
        <w:t xml:space="preserve">with </w:t>
      </w:r>
      <w:r w:rsidRPr="0059512C" w:rsidR="003058D8">
        <w:rPr>
          <w:szCs w:val="22"/>
        </w:rPr>
        <w:t>requirements</w:t>
      </w:r>
      <w:r w:rsidRPr="0059512C" w:rsidR="004E2993">
        <w:rPr>
          <w:szCs w:val="22"/>
        </w:rPr>
        <w:t xml:space="preserve"> that the Commission has previously eliminated, and </w:t>
      </w:r>
      <w:r w:rsidRPr="0059512C" w:rsidR="003058D8">
        <w:rPr>
          <w:szCs w:val="22"/>
        </w:rPr>
        <w:t xml:space="preserve">add fees for services, as now required, that are not covered by the current fee schedule.  </w:t>
      </w:r>
      <w:r w:rsidRPr="0059512C" w:rsidR="009049F4">
        <w:rPr>
          <w:szCs w:val="22"/>
        </w:rPr>
        <w:t>In accordance with the new law, we propose new cost-based fees for all services for which the Media Bureau processes applications.</w:t>
      </w:r>
    </w:p>
    <w:p w:rsidR="001C615E" w:rsidRPr="0059512C" w:rsidP="00312007">
      <w:pPr>
        <w:pStyle w:val="Heading4"/>
        <w:rPr>
          <w:szCs w:val="22"/>
        </w:rPr>
      </w:pPr>
      <w:bookmarkStart w:id="162" w:name="_Toc35268565"/>
      <w:r w:rsidRPr="0059512C">
        <w:rPr>
          <w:szCs w:val="22"/>
        </w:rPr>
        <w:t xml:space="preserve">Commercial Full </w:t>
      </w:r>
      <w:r w:rsidRPr="0059512C" w:rsidR="004937B1">
        <w:rPr>
          <w:szCs w:val="22"/>
        </w:rPr>
        <w:t xml:space="preserve">Power </w:t>
      </w:r>
      <w:r w:rsidRPr="0059512C">
        <w:rPr>
          <w:szCs w:val="22"/>
        </w:rPr>
        <w:t>TV S</w:t>
      </w:r>
      <w:r w:rsidRPr="0059512C">
        <w:rPr>
          <w:szCs w:val="22"/>
        </w:rPr>
        <w:t>ervices</w:t>
      </w:r>
      <w:bookmarkEnd w:id="157"/>
      <w:bookmarkEnd w:id="158"/>
      <w:bookmarkEnd w:id="159"/>
      <w:bookmarkEnd w:id="160"/>
      <w:bookmarkEnd w:id="161"/>
      <w:r w:rsidRPr="0059512C">
        <w:rPr>
          <w:szCs w:val="22"/>
        </w:rPr>
        <w:t xml:space="preserve"> and Class A TV </w:t>
      </w:r>
      <w:r w:rsidRPr="0059512C" w:rsidR="00312007">
        <w:rPr>
          <w:szCs w:val="22"/>
        </w:rPr>
        <w:t>S</w:t>
      </w:r>
      <w:r w:rsidRPr="0059512C">
        <w:rPr>
          <w:szCs w:val="22"/>
        </w:rPr>
        <w:t>tations</w:t>
      </w:r>
      <w:bookmarkEnd w:id="162"/>
    </w:p>
    <w:p w:rsidR="00F16FF1" w:rsidRPr="0059512C" w:rsidP="001C615E">
      <w:pPr>
        <w:pStyle w:val="ParaNum"/>
        <w:rPr>
          <w:szCs w:val="22"/>
        </w:rPr>
      </w:pPr>
      <w:r w:rsidRPr="0059512C">
        <w:rPr>
          <w:szCs w:val="22"/>
        </w:rPr>
        <w:t>Full Power TV station</w:t>
      </w:r>
      <w:r w:rsidRPr="0059512C" w:rsidR="00E17F17">
        <w:rPr>
          <w:szCs w:val="22"/>
        </w:rPr>
        <w:t>s include all stations in the television broadcast band transmitting</w:t>
      </w:r>
      <w:r w:rsidRPr="0059512C" w:rsidR="00DD3A01">
        <w:rPr>
          <w:szCs w:val="22"/>
        </w:rPr>
        <w:t xml:space="preserve"> a vestigial sideband</w:t>
      </w:r>
      <w:r w:rsidRPr="0059512C" w:rsidR="00E17F17">
        <w:rPr>
          <w:szCs w:val="22"/>
        </w:rPr>
        <w:t xml:space="preserve"> signal intended to be received by the general public, except for low power TV and TV translator stations.</w:t>
      </w:r>
      <w:r w:rsidRPr="0059512C" w:rsidR="00DD3A01">
        <w:rPr>
          <w:szCs w:val="22"/>
        </w:rPr>
        <w:t xml:space="preserve">  </w:t>
      </w:r>
      <w:r w:rsidRPr="0059512C">
        <w:rPr>
          <w:szCs w:val="22"/>
        </w:rPr>
        <w:t xml:space="preserve">Class </w:t>
      </w:r>
      <w:r w:rsidRPr="0059512C">
        <w:rPr>
          <w:szCs w:val="22"/>
        </w:rPr>
        <w:t>A TV stations are low power television stations that meet the programming and operational standards set forth in the Community Broadcasters Protection Act of 1999 and are broadcasting a minimum of 18 hours per week and an average of at least three hours pe</w:t>
      </w:r>
      <w:r w:rsidRPr="0059512C">
        <w:rPr>
          <w:szCs w:val="22"/>
        </w:rPr>
        <w:t xml:space="preserve">r week of locally produced programming each quarter.  </w:t>
      </w:r>
    </w:p>
    <w:p w:rsidR="001C615E" w:rsidRPr="0059512C" w:rsidP="001C615E">
      <w:pPr>
        <w:pStyle w:val="ParaNum"/>
        <w:rPr>
          <w:szCs w:val="22"/>
        </w:rPr>
      </w:pPr>
      <w:r w:rsidRPr="0059512C">
        <w:rPr>
          <w:szCs w:val="22"/>
        </w:rPr>
        <w:t>The Media Bureau staff tasks involved in processing Full Power TV applications and Class A TV Station applications are the same.  A party must apply for a construction permit before building a new TV s</w:t>
      </w:r>
      <w:r w:rsidRPr="0059512C">
        <w:rPr>
          <w:szCs w:val="22"/>
        </w:rPr>
        <w:t xml:space="preserve">tation.  The applicant must demonstrate that it is </w:t>
      </w:r>
      <w:r w:rsidRPr="0059512C" w:rsidR="00835020">
        <w:rPr>
          <w:szCs w:val="22"/>
        </w:rPr>
        <w:t xml:space="preserve">legally, technically, and financially </w:t>
      </w:r>
      <w:r w:rsidRPr="0059512C">
        <w:rPr>
          <w:szCs w:val="22"/>
        </w:rPr>
        <w:t>qualified to construct and operate the station and that its proposed facility will not cause objectionable interference to any other station.  Once its application has</w:t>
      </w:r>
      <w:r w:rsidRPr="0059512C">
        <w:rPr>
          <w:szCs w:val="22"/>
        </w:rPr>
        <w:t xml:space="preserve"> been granted, the applicant is issued a construction permit authoriz</w:t>
      </w:r>
      <w:r w:rsidR="004F264A">
        <w:rPr>
          <w:szCs w:val="22"/>
        </w:rPr>
        <w:t>ing</w:t>
      </w:r>
      <w:r w:rsidRPr="0059512C">
        <w:rPr>
          <w:szCs w:val="22"/>
        </w:rPr>
        <w:t xml:space="preserve"> it to build the station within a specified period, usually three years.  After the applicant, or permittee, builds the station, it must file a license application, in which it certifies that it has constructed the station consistent with the technical and</w:t>
      </w:r>
      <w:r w:rsidRPr="0059512C">
        <w:rPr>
          <w:szCs w:val="22"/>
        </w:rPr>
        <w:t xml:space="preserve"> other terms specified in its construction permit.  Upon grant of that license application, the Commission issues the new license to operate to the permittee, now considered a licensee, which authorizes the new licensee to operate for a stated period, up t</w:t>
      </w:r>
      <w:r w:rsidRPr="0059512C">
        <w:rPr>
          <w:szCs w:val="22"/>
        </w:rPr>
        <w:t xml:space="preserve">o eight years.  At the close of this period, the licensee must seek renewal of its station license.  </w:t>
      </w:r>
      <w:r w:rsidRPr="0059512C" w:rsidR="00835020">
        <w:rPr>
          <w:szCs w:val="22"/>
        </w:rPr>
        <w:t>A licensee must file an application to the Commission for approval of an assignment, transfer, or technical modification of an existing license.</w:t>
      </w:r>
    </w:p>
    <w:p w:rsidR="001C615E" w:rsidRPr="0059512C" w:rsidP="00251979">
      <w:pPr>
        <w:pStyle w:val="ParaNum"/>
        <w:rPr>
          <w:szCs w:val="22"/>
        </w:rPr>
      </w:pPr>
      <w:r w:rsidRPr="0059512C">
        <w:rPr>
          <w:szCs w:val="22"/>
        </w:rPr>
        <w:t>Because th</w:t>
      </w:r>
      <w:r w:rsidRPr="0059512C">
        <w:rPr>
          <w:szCs w:val="22"/>
        </w:rPr>
        <w:t xml:space="preserve">e </w:t>
      </w:r>
      <w:r w:rsidRPr="0059512C" w:rsidR="00251979">
        <w:rPr>
          <w:szCs w:val="22"/>
        </w:rPr>
        <w:t xml:space="preserve">processing </w:t>
      </w:r>
      <w:r w:rsidRPr="0059512C">
        <w:rPr>
          <w:szCs w:val="22"/>
        </w:rPr>
        <w:t xml:space="preserve">of </w:t>
      </w:r>
      <w:r w:rsidRPr="0059512C" w:rsidR="00251979">
        <w:rPr>
          <w:szCs w:val="22"/>
        </w:rPr>
        <w:t>Full Power TV applications and Class A TV Station applications are the same</w:t>
      </w:r>
      <w:r w:rsidRPr="0059512C">
        <w:rPr>
          <w:szCs w:val="22"/>
        </w:rPr>
        <w:t xml:space="preserve">, </w:t>
      </w:r>
      <w:r w:rsidRPr="0059512C" w:rsidR="00251979">
        <w:rPr>
          <w:szCs w:val="22"/>
        </w:rPr>
        <w:t xml:space="preserve">we propose to adopt identical </w:t>
      </w:r>
      <w:r w:rsidR="000769FB">
        <w:rPr>
          <w:szCs w:val="22"/>
        </w:rPr>
        <w:t xml:space="preserve">cost-based </w:t>
      </w:r>
      <w:r w:rsidRPr="0059512C" w:rsidR="00251979">
        <w:rPr>
          <w:szCs w:val="22"/>
        </w:rPr>
        <w:t xml:space="preserve">fees for Full Power TV and Class A TV applications.  </w:t>
      </w:r>
      <w:r w:rsidRPr="0059512C">
        <w:rPr>
          <w:szCs w:val="22"/>
        </w:rPr>
        <w:t>Below is a table showing the current application fees and the propose</w:t>
      </w:r>
      <w:r w:rsidRPr="0059512C">
        <w:rPr>
          <w:szCs w:val="22"/>
        </w:rPr>
        <w:t xml:space="preserve">d cost-based fee estimates for </w:t>
      </w:r>
      <w:r w:rsidR="00CD5A1B">
        <w:rPr>
          <w:szCs w:val="22"/>
        </w:rPr>
        <w:t>typical F</w:t>
      </w:r>
      <w:r w:rsidRPr="0059512C">
        <w:rPr>
          <w:szCs w:val="22"/>
        </w:rPr>
        <w:t xml:space="preserve">ull </w:t>
      </w:r>
      <w:r w:rsidR="00CD5A1B">
        <w:rPr>
          <w:szCs w:val="22"/>
        </w:rPr>
        <w:t>Power</w:t>
      </w:r>
      <w:r w:rsidRPr="0059512C">
        <w:rPr>
          <w:szCs w:val="22"/>
        </w:rPr>
        <w:t xml:space="preserve"> and Class A television applications</w:t>
      </w:r>
      <w:r w:rsidRPr="0059512C" w:rsidR="00E65F25">
        <w:rPr>
          <w:szCs w:val="22"/>
        </w:rPr>
        <w:t xml:space="preserve">.  </w:t>
      </w:r>
    </w:p>
    <w:p w:rsidR="00624EAC" w:rsidRPr="0059512C" w:rsidP="00251979">
      <w:pPr>
        <w:pStyle w:val="ParaNum"/>
        <w:rPr>
          <w:szCs w:val="22"/>
        </w:rPr>
      </w:pPr>
      <w:r w:rsidRPr="0059512C">
        <w:rPr>
          <w:szCs w:val="22"/>
        </w:rPr>
        <w:t xml:space="preserve">We propose and seek comment on adopting the following cost-based fees for these applications—and we give as an example the current fees for these services.  </w:t>
      </w:r>
    </w:p>
    <w:tbl>
      <w:tblPr>
        <w:tblStyle w:val="TableGrid"/>
        <w:tblW w:w="0" w:type="auto"/>
        <w:tblInd w:w="990" w:type="dxa"/>
        <w:tblLook w:val="04A0"/>
      </w:tblPr>
      <w:tblGrid>
        <w:gridCol w:w="2832"/>
        <w:gridCol w:w="2763"/>
        <w:gridCol w:w="2765"/>
      </w:tblGrid>
      <w:tr w:rsidTr="00FD3FC3">
        <w:tblPrEx>
          <w:tblW w:w="0" w:type="auto"/>
          <w:tblInd w:w="990" w:type="dxa"/>
          <w:tblLook w:val="04A0"/>
        </w:tblPrEx>
        <w:tc>
          <w:tcPr>
            <w:tcW w:w="2832" w:type="dxa"/>
          </w:tcPr>
          <w:p w:rsidR="001C615E" w:rsidRPr="0059512C" w:rsidP="004B401B">
            <w:pPr>
              <w:pStyle w:val="ParaNum"/>
              <w:numPr>
                <w:ilvl w:val="0"/>
                <w:numId w:val="0"/>
              </w:numPr>
              <w:rPr>
                <w:b/>
                <w:szCs w:val="22"/>
              </w:rPr>
            </w:pPr>
            <w:r w:rsidRPr="0059512C">
              <w:rPr>
                <w:b/>
                <w:szCs w:val="22"/>
              </w:rPr>
              <w:t>Applicati</w:t>
            </w:r>
            <w:r w:rsidRPr="0059512C">
              <w:rPr>
                <w:b/>
                <w:szCs w:val="22"/>
              </w:rPr>
              <w:t>on</w:t>
            </w:r>
          </w:p>
        </w:tc>
        <w:tc>
          <w:tcPr>
            <w:tcW w:w="2763" w:type="dxa"/>
          </w:tcPr>
          <w:p w:rsidR="001C615E" w:rsidRPr="0059512C" w:rsidP="004B401B">
            <w:pPr>
              <w:pStyle w:val="ParaNum"/>
              <w:numPr>
                <w:ilvl w:val="0"/>
                <w:numId w:val="0"/>
              </w:numPr>
              <w:rPr>
                <w:b/>
                <w:szCs w:val="22"/>
              </w:rPr>
            </w:pPr>
            <w:r w:rsidRPr="0059512C">
              <w:rPr>
                <w:b/>
                <w:szCs w:val="22"/>
              </w:rPr>
              <w:t xml:space="preserve">Current </w:t>
            </w:r>
            <w:r w:rsidRPr="0059512C" w:rsidR="00F16FF1">
              <w:rPr>
                <w:b/>
                <w:szCs w:val="22"/>
              </w:rPr>
              <w:t>F</w:t>
            </w:r>
            <w:r w:rsidRPr="0059512C">
              <w:rPr>
                <w:b/>
                <w:szCs w:val="22"/>
              </w:rPr>
              <w:t>ee</w:t>
            </w:r>
          </w:p>
        </w:tc>
        <w:tc>
          <w:tcPr>
            <w:tcW w:w="2765" w:type="dxa"/>
          </w:tcPr>
          <w:p w:rsidR="001C615E" w:rsidRPr="0059512C" w:rsidP="004B401B">
            <w:pPr>
              <w:pStyle w:val="ParaNum"/>
              <w:numPr>
                <w:ilvl w:val="0"/>
                <w:numId w:val="0"/>
              </w:numPr>
              <w:rPr>
                <w:b/>
                <w:szCs w:val="22"/>
              </w:rPr>
            </w:pPr>
            <w:r w:rsidRPr="0059512C">
              <w:rPr>
                <w:b/>
                <w:szCs w:val="22"/>
              </w:rPr>
              <w:t>Cost-based</w:t>
            </w:r>
            <w:r w:rsidRPr="0059512C" w:rsidR="00111C89">
              <w:rPr>
                <w:b/>
                <w:szCs w:val="22"/>
              </w:rPr>
              <w:t xml:space="preserve"> Fee</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 xml:space="preserve">Full </w:t>
            </w:r>
            <w:r w:rsidR="00CD5A1B">
              <w:rPr>
                <w:szCs w:val="22"/>
              </w:rPr>
              <w:t>P</w:t>
            </w:r>
            <w:r w:rsidRPr="0059512C">
              <w:rPr>
                <w:szCs w:val="22"/>
              </w:rPr>
              <w:t>ower TV, Class A TV, new and major change construction permit</w:t>
            </w:r>
            <w:r w:rsidRPr="0059512C" w:rsidR="00DD3A01">
              <w:rPr>
                <w:szCs w:val="22"/>
              </w:rPr>
              <w:t xml:space="preserve"> </w:t>
            </w:r>
            <w:r w:rsidR="00DD3A01">
              <w:t>(including Post-Auction Long Form Application)</w:t>
            </w:r>
          </w:p>
        </w:tc>
        <w:tc>
          <w:tcPr>
            <w:tcW w:w="2763" w:type="dxa"/>
          </w:tcPr>
          <w:p w:rsidR="001C615E" w:rsidRPr="0059512C" w:rsidP="004B401B">
            <w:pPr>
              <w:pStyle w:val="ParaNum"/>
              <w:numPr>
                <w:ilvl w:val="0"/>
                <w:numId w:val="0"/>
              </w:numPr>
              <w:rPr>
                <w:szCs w:val="22"/>
              </w:rPr>
            </w:pPr>
            <w:r w:rsidRPr="0059512C">
              <w:rPr>
                <w:szCs w:val="22"/>
              </w:rPr>
              <w:t>$4,960</w:t>
            </w:r>
          </w:p>
        </w:tc>
        <w:tc>
          <w:tcPr>
            <w:tcW w:w="2765" w:type="dxa"/>
          </w:tcPr>
          <w:p w:rsidR="001C615E" w:rsidRPr="0059512C" w:rsidP="004B401B">
            <w:pPr>
              <w:pStyle w:val="ParaNum"/>
              <w:numPr>
                <w:ilvl w:val="0"/>
                <w:numId w:val="0"/>
              </w:numPr>
              <w:rPr>
                <w:szCs w:val="22"/>
              </w:rPr>
            </w:pPr>
            <w:r w:rsidRPr="0059512C">
              <w:rPr>
                <w:szCs w:val="22"/>
              </w:rPr>
              <w:t>$4,</w:t>
            </w:r>
            <w:r w:rsidRPr="0059512C" w:rsidR="0003549C">
              <w:rPr>
                <w:szCs w:val="22"/>
              </w:rPr>
              <w:t>260</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 xml:space="preserve">Full </w:t>
            </w:r>
            <w:r w:rsidR="00CD5A1B">
              <w:rPr>
                <w:szCs w:val="22"/>
              </w:rPr>
              <w:t>P</w:t>
            </w:r>
            <w:r w:rsidRPr="0059512C">
              <w:rPr>
                <w:szCs w:val="22"/>
              </w:rPr>
              <w:t>ower TV, minor modification</w:t>
            </w:r>
          </w:p>
        </w:tc>
        <w:tc>
          <w:tcPr>
            <w:tcW w:w="2763" w:type="dxa"/>
          </w:tcPr>
          <w:p w:rsidR="001C615E" w:rsidRPr="0059512C" w:rsidP="004B401B">
            <w:pPr>
              <w:pStyle w:val="ParaNum"/>
              <w:numPr>
                <w:ilvl w:val="0"/>
                <w:numId w:val="0"/>
              </w:numPr>
              <w:rPr>
                <w:szCs w:val="22"/>
              </w:rPr>
            </w:pPr>
            <w:r w:rsidRPr="0059512C">
              <w:rPr>
                <w:szCs w:val="22"/>
              </w:rPr>
              <w:t>$1,110</w:t>
            </w:r>
          </w:p>
        </w:tc>
        <w:tc>
          <w:tcPr>
            <w:tcW w:w="2765" w:type="dxa"/>
          </w:tcPr>
          <w:p w:rsidR="001C615E" w:rsidRPr="0059512C" w:rsidP="004B401B">
            <w:pPr>
              <w:pStyle w:val="ParaNum"/>
              <w:numPr>
                <w:ilvl w:val="0"/>
                <w:numId w:val="0"/>
              </w:numPr>
              <w:rPr>
                <w:szCs w:val="22"/>
              </w:rPr>
            </w:pPr>
            <w:r w:rsidRPr="0059512C">
              <w:rPr>
                <w:szCs w:val="22"/>
              </w:rPr>
              <w:t>$1,</w:t>
            </w:r>
            <w:r w:rsidRPr="0059512C" w:rsidR="0003549C">
              <w:rPr>
                <w:szCs w:val="22"/>
              </w:rPr>
              <w:t>335</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Main Studio Request</w:t>
            </w:r>
            <w:r>
              <w:rPr>
                <w:rStyle w:val="FootnoteReference"/>
                <w:sz w:val="22"/>
              </w:rPr>
              <w:footnoteReference w:id="48"/>
            </w:r>
          </w:p>
        </w:tc>
        <w:tc>
          <w:tcPr>
            <w:tcW w:w="2763" w:type="dxa"/>
          </w:tcPr>
          <w:p w:rsidR="001C615E" w:rsidRPr="0059512C" w:rsidP="004B401B">
            <w:pPr>
              <w:pStyle w:val="ParaNum"/>
              <w:numPr>
                <w:ilvl w:val="0"/>
                <w:numId w:val="0"/>
              </w:numPr>
              <w:rPr>
                <w:szCs w:val="22"/>
              </w:rPr>
            </w:pPr>
            <w:r w:rsidRPr="0059512C">
              <w:rPr>
                <w:szCs w:val="22"/>
              </w:rPr>
              <w:t>$1,110</w:t>
            </w:r>
          </w:p>
        </w:tc>
        <w:tc>
          <w:tcPr>
            <w:tcW w:w="2765" w:type="dxa"/>
          </w:tcPr>
          <w:p w:rsidR="001C615E" w:rsidRPr="0059512C" w:rsidP="004B401B">
            <w:pPr>
              <w:pStyle w:val="ParaNum"/>
              <w:numPr>
                <w:ilvl w:val="0"/>
                <w:numId w:val="0"/>
              </w:numPr>
              <w:rPr>
                <w:szCs w:val="22"/>
              </w:rPr>
            </w:pPr>
            <w:r w:rsidRPr="0059512C">
              <w:rPr>
                <w:szCs w:val="22"/>
              </w:rPr>
              <w:t>Remove</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 xml:space="preserve">Full </w:t>
            </w:r>
            <w:r w:rsidR="00CD5A1B">
              <w:rPr>
                <w:szCs w:val="22"/>
              </w:rPr>
              <w:t>P</w:t>
            </w:r>
            <w:r w:rsidRPr="0059512C">
              <w:rPr>
                <w:szCs w:val="22"/>
              </w:rPr>
              <w:t>ower TV, Class A TV, new license</w:t>
            </w:r>
          </w:p>
        </w:tc>
        <w:tc>
          <w:tcPr>
            <w:tcW w:w="2763" w:type="dxa"/>
          </w:tcPr>
          <w:p w:rsidR="001C615E" w:rsidRPr="0059512C" w:rsidP="004B401B">
            <w:pPr>
              <w:pStyle w:val="ParaNum"/>
              <w:numPr>
                <w:ilvl w:val="0"/>
                <w:numId w:val="0"/>
              </w:numPr>
              <w:rPr>
                <w:szCs w:val="22"/>
              </w:rPr>
            </w:pPr>
            <w:r w:rsidRPr="0059512C">
              <w:rPr>
                <w:szCs w:val="22"/>
              </w:rPr>
              <w:t>$355</w:t>
            </w:r>
          </w:p>
        </w:tc>
        <w:tc>
          <w:tcPr>
            <w:tcW w:w="2765" w:type="dxa"/>
          </w:tcPr>
          <w:p w:rsidR="001C615E" w:rsidRPr="0059512C" w:rsidP="004B401B">
            <w:pPr>
              <w:pStyle w:val="ParaNum"/>
              <w:numPr>
                <w:ilvl w:val="0"/>
                <w:numId w:val="0"/>
              </w:numPr>
              <w:rPr>
                <w:szCs w:val="22"/>
              </w:rPr>
            </w:pPr>
            <w:r w:rsidRPr="0059512C">
              <w:rPr>
                <w:szCs w:val="22"/>
              </w:rPr>
              <w:t>$3</w:t>
            </w:r>
            <w:r w:rsidRPr="0059512C" w:rsidR="0003549C">
              <w:rPr>
                <w:szCs w:val="22"/>
              </w:rPr>
              <w:t>80</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 xml:space="preserve">Full </w:t>
            </w:r>
            <w:r w:rsidR="00CD5A1B">
              <w:rPr>
                <w:szCs w:val="22"/>
              </w:rPr>
              <w:t>P</w:t>
            </w:r>
            <w:r w:rsidRPr="0059512C">
              <w:rPr>
                <w:szCs w:val="22"/>
              </w:rPr>
              <w:t>ower TV, Class A TV, license renewal</w:t>
            </w:r>
          </w:p>
        </w:tc>
        <w:tc>
          <w:tcPr>
            <w:tcW w:w="2763" w:type="dxa"/>
          </w:tcPr>
          <w:p w:rsidR="001C615E" w:rsidRPr="0059512C" w:rsidP="004B401B">
            <w:pPr>
              <w:pStyle w:val="ParaNum"/>
              <w:numPr>
                <w:ilvl w:val="0"/>
                <w:numId w:val="0"/>
              </w:numPr>
              <w:rPr>
                <w:szCs w:val="22"/>
              </w:rPr>
            </w:pPr>
            <w:r w:rsidRPr="0059512C">
              <w:rPr>
                <w:szCs w:val="22"/>
              </w:rPr>
              <w:t>$200</w:t>
            </w:r>
          </w:p>
        </w:tc>
        <w:tc>
          <w:tcPr>
            <w:tcW w:w="2765" w:type="dxa"/>
          </w:tcPr>
          <w:p w:rsidR="001C615E" w:rsidRPr="0059512C" w:rsidP="004B401B">
            <w:pPr>
              <w:pStyle w:val="ParaNum"/>
              <w:numPr>
                <w:ilvl w:val="0"/>
                <w:numId w:val="0"/>
              </w:numPr>
              <w:rPr>
                <w:b/>
                <w:szCs w:val="22"/>
              </w:rPr>
            </w:pPr>
            <w:r w:rsidRPr="0059512C">
              <w:rPr>
                <w:szCs w:val="22"/>
              </w:rPr>
              <w:t>$</w:t>
            </w:r>
            <w:r w:rsidR="004976C1">
              <w:rPr>
                <w:szCs w:val="22"/>
              </w:rPr>
              <w:t>330</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 xml:space="preserve">Full </w:t>
            </w:r>
            <w:r w:rsidR="00CD5A1B">
              <w:rPr>
                <w:szCs w:val="22"/>
              </w:rPr>
              <w:t>P</w:t>
            </w:r>
            <w:r w:rsidRPr="0059512C">
              <w:rPr>
                <w:szCs w:val="22"/>
              </w:rPr>
              <w:t>ower TV, Class A TV, license assignment, long form</w:t>
            </w:r>
          </w:p>
        </w:tc>
        <w:tc>
          <w:tcPr>
            <w:tcW w:w="2763" w:type="dxa"/>
          </w:tcPr>
          <w:p w:rsidR="001C615E" w:rsidRPr="0059512C" w:rsidP="004B401B">
            <w:pPr>
              <w:pStyle w:val="ParaNum"/>
              <w:numPr>
                <w:ilvl w:val="0"/>
                <w:numId w:val="0"/>
              </w:numPr>
              <w:rPr>
                <w:szCs w:val="22"/>
              </w:rPr>
            </w:pPr>
            <w:r w:rsidRPr="0059512C">
              <w:rPr>
                <w:szCs w:val="22"/>
              </w:rPr>
              <w:t>$1,110</w:t>
            </w:r>
          </w:p>
        </w:tc>
        <w:tc>
          <w:tcPr>
            <w:tcW w:w="2765" w:type="dxa"/>
          </w:tcPr>
          <w:p w:rsidR="001C615E" w:rsidRPr="0059512C" w:rsidP="004B401B">
            <w:pPr>
              <w:pStyle w:val="ParaNum"/>
              <w:numPr>
                <w:ilvl w:val="0"/>
                <w:numId w:val="0"/>
              </w:numPr>
              <w:rPr>
                <w:szCs w:val="22"/>
              </w:rPr>
            </w:pPr>
            <w:r w:rsidRPr="0059512C">
              <w:rPr>
                <w:szCs w:val="22"/>
              </w:rPr>
              <w:t>$1,2</w:t>
            </w:r>
            <w:r w:rsidRPr="0059512C" w:rsidR="0003549C">
              <w:rPr>
                <w:szCs w:val="22"/>
              </w:rPr>
              <w:t>45</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 xml:space="preserve">Full </w:t>
            </w:r>
            <w:r w:rsidR="00CD5A1B">
              <w:rPr>
                <w:szCs w:val="22"/>
              </w:rPr>
              <w:t>P</w:t>
            </w:r>
            <w:r w:rsidRPr="0059512C">
              <w:rPr>
                <w:szCs w:val="22"/>
              </w:rPr>
              <w:t>ower TV, Class A TV, license assignment, short form</w:t>
            </w:r>
          </w:p>
        </w:tc>
        <w:tc>
          <w:tcPr>
            <w:tcW w:w="2763" w:type="dxa"/>
          </w:tcPr>
          <w:p w:rsidR="001C615E" w:rsidRPr="0059512C" w:rsidP="004B401B">
            <w:pPr>
              <w:pStyle w:val="ParaNum"/>
              <w:numPr>
                <w:ilvl w:val="0"/>
                <w:numId w:val="0"/>
              </w:numPr>
              <w:rPr>
                <w:szCs w:val="22"/>
              </w:rPr>
            </w:pPr>
            <w:r w:rsidRPr="0059512C">
              <w:rPr>
                <w:szCs w:val="22"/>
              </w:rPr>
              <w:t>$160</w:t>
            </w:r>
          </w:p>
        </w:tc>
        <w:tc>
          <w:tcPr>
            <w:tcW w:w="2765" w:type="dxa"/>
          </w:tcPr>
          <w:p w:rsidR="001C615E" w:rsidRPr="0059512C" w:rsidP="004B401B">
            <w:pPr>
              <w:pStyle w:val="ParaNum"/>
              <w:numPr>
                <w:ilvl w:val="0"/>
                <w:numId w:val="0"/>
              </w:numPr>
              <w:rPr>
                <w:szCs w:val="22"/>
              </w:rPr>
            </w:pPr>
            <w:r w:rsidRPr="0059512C">
              <w:rPr>
                <w:szCs w:val="22"/>
              </w:rPr>
              <w:t>$</w:t>
            </w:r>
            <w:r w:rsidRPr="0059512C" w:rsidR="0003549C">
              <w:rPr>
                <w:szCs w:val="22"/>
              </w:rPr>
              <w:t>405</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 xml:space="preserve">Full </w:t>
            </w:r>
            <w:r w:rsidR="00CD5A1B">
              <w:rPr>
                <w:szCs w:val="22"/>
              </w:rPr>
              <w:t>P</w:t>
            </w:r>
            <w:r w:rsidRPr="0059512C">
              <w:rPr>
                <w:szCs w:val="22"/>
              </w:rPr>
              <w:t>ower TV, Class A TV, transfer of control, long form</w:t>
            </w:r>
          </w:p>
        </w:tc>
        <w:tc>
          <w:tcPr>
            <w:tcW w:w="2763" w:type="dxa"/>
          </w:tcPr>
          <w:p w:rsidR="001C615E" w:rsidRPr="0059512C" w:rsidP="004B401B">
            <w:pPr>
              <w:pStyle w:val="ParaNum"/>
              <w:numPr>
                <w:ilvl w:val="0"/>
                <w:numId w:val="0"/>
              </w:numPr>
              <w:rPr>
                <w:szCs w:val="22"/>
              </w:rPr>
            </w:pPr>
            <w:r w:rsidRPr="0059512C">
              <w:rPr>
                <w:szCs w:val="22"/>
              </w:rPr>
              <w:t>$1,110</w:t>
            </w:r>
          </w:p>
        </w:tc>
        <w:tc>
          <w:tcPr>
            <w:tcW w:w="2765" w:type="dxa"/>
          </w:tcPr>
          <w:p w:rsidR="001C615E" w:rsidRPr="0059512C" w:rsidP="004B401B">
            <w:pPr>
              <w:pStyle w:val="ParaNum"/>
              <w:numPr>
                <w:ilvl w:val="0"/>
                <w:numId w:val="0"/>
              </w:numPr>
              <w:rPr>
                <w:szCs w:val="22"/>
              </w:rPr>
            </w:pPr>
            <w:r w:rsidRPr="0059512C">
              <w:rPr>
                <w:szCs w:val="22"/>
              </w:rPr>
              <w:t>$1,2</w:t>
            </w:r>
            <w:r w:rsidRPr="0059512C" w:rsidR="0003549C">
              <w:rPr>
                <w:szCs w:val="22"/>
              </w:rPr>
              <w:t>45</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 xml:space="preserve">Full </w:t>
            </w:r>
            <w:r w:rsidR="00CD5A1B">
              <w:rPr>
                <w:szCs w:val="22"/>
              </w:rPr>
              <w:t>P</w:t>
            </w:r>
            <w:r w:rsidRPr="0059512C">
              <w:rPr>
                <w:szCs w:val="22"/>
              </w:rPr>
              <w:t>ower TV, Class A TV, transfer of control, short form</w:t>
            </w:r>
          </w:p>
        </w:tc>
        <w:tc>
          <w:tcPr>
            <w:tcW w:w="2763" w:type="dxa"/>
          </w:tcPr>
          <w:p w:rsidR="001C615E" w:rsidRPr="0059512C" w:rsidP="004B401B">
            <w:pPr>
              <w:pStyle w:val="ParaNum"/>
              <w:numPr>
                <w:ilvl w:val="0"/>
                <w:numId w:val="0"/>
              </w:numPr>
              <w:rPr>
                <w:szCs w:val="22"/>
              </w:rPr>
            </w:pPr>
            <w:r w:rsidRPr="0059512C">
              <w:rPr>
                <w:szCs w:val="22"/>
              </w:rPr>
              <w:t>$160</w:t>
            </w:r>
          </w:p>
        </w:tc>
        <w:tc>
          <w:tcPr>
            <w:tcW w:w="2765" w:type="dxa"/>
          </w:tcPr>
          <w:p w:rsidR="001C615E" w:rsidRPr="0059512C" w:rsidP="004B401B">
            <w:pPr>
              <w:pStyle w:val="ParaNum"/>
              <w:numPr>
                <w:ilvl w:val="0"/>
                <w:numId w:val="0"/>
              </w:numPr>
              <w:rPr>
                <w:szCs w:val="22"/>
              </w:rPr>
            </w:pPr>
            <w:r w:rsidRPr="0059512C">
              <w:rPr>
                <w:szCs w:val="22"/>
              </w:rPr>
              <w:t>$</w:t>
            </w:r>
            <w:r w:rsidRPr="0059512C" w:rsidR="0003549C">
              <w:rPr>
                <w:szCs w:val="22"/>
              </w:rPr>
              <w:t>405</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 xml:space="preserve">Full </w:t>
            </w:r>
            <w:r w:rsidR="00CD5A1B">
              <w:rPr>
                <w:szCs w:val="22"/>
              </w:rPr>
              <w:t>P</w:t>
            </w:r>
            <w:r w:rsidRPr="0059512C">
              <w:rPr>
                <w:szCs w:val="22"/>
              </w:rPr>
              <w:t>ower TV, Class A TV,  call sign</w:t>
            </w:r>
          </w:p>
        </w:tc>
        <w:tc>
          <w:tcPr>
            <w:tcW w:w="2763" w:type="dxa"/>
          </w:tcPr>
          <w:p w:rsidR="001C615E" w:rsidRPr="0059512C" w:rsidP="004B401B">
            <w:pPr>
              <w:pStyle w:val="ParaNum"/>
              <w:numPr>
                <w:ilvl w:val="0"/>
                <w:numId w:val="0"/>
              </w:numPr>
              <w:rPr>
                <w:szCs w:val="22"/>
              </w:rPr>
            </w:pPr>
            <w:r w:rsidRPr="0059512C">
              <w:rPr>
                <w:szCs w:val="22"/>
              </w:rPr>
              <w:t>$110</w:t>
            </w:r>
          </w:p>
        </w:tc>
        <w:tc>
          <w:tcPr>
            <w:tcW w:w="2765" w:type="dxa"/>
          </w:tcPr>
          <w:p w:rsidR="001C615E" w:rsidRPr="0059512C" w:rsidP="004B401B">
            <w:pPr>
              <w:pStyle w:val="ParaNum"/>
              <w:numPr>
                <w:ilvl w:val="0"/>
                <w:numId w:val="0"/>
              </w:numPr>
              <w:rPr>
                <w:b/>
                <w:szCs w:val="22"/>
              </w:rPr>
            </w:pPr>
            <w:r w:rsidRPr="0059512C">
              <w:rPr>
                <w:szCs w:val="22"/>
              </w:rPr>
              <w:t>$1</w:t>
            </w:r>
            <w:r w:rsidRPr="0059512C" w:rsidR="0003549C">
              <w:rPr>
                <w:szCs w:val="22"/>
              </w:rPr>
              <w:t>70</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 xml:space="preserve">Full </w:t>
            </w:r>
            <w:r w:rsidR="00CD5A1B">
              <w:rPr>
                <w:szCs w:val="22"/>
              </w:rPr>
              <w:t>P</w:t>
            </w:r>
            <w:r w:rsidRPr="0059512C">
              <w:rPr>
                <w:szCs w:val="22"/>
              </w:rPr>
              <w:t>ower TV, Class A TV, STA</w:t>
            </w:r>
          </w:p>
        </w:tc>
        <w:tc>
          <w:tcPr>
            <w:tcW w:w="2763" w:type="dxa"/>
          </w:tcPr>
          <w:p w:rsidR="001C615E" w:rsidRPr="0059512C" w:rsidP="004B401B">
            <w:pPr>
              <w:pStyle w:val="ParaNum"/>
              <w:numPr>
                <w:ilvl w:val="0"/>
                <w:numId w:val="0"/>
              </w:numPr>
              <w:rPr>
                <w:szCs w:val="22"/>
              </w:rPr>
            </w:pPr>
            <w:r w:rsidRPr="0059512C">
              <w:rPr>
                <w:szCs w:val="22"/>
              </w:rPr>
              <w:t>$200</w:t>
            </w:r>
          </w:p>
        </w:tc>
        <w:tc>
          <w:tcPr>
            <w:tcW w:w="2765" w:type="dxa"/>
          </w:tcPr>
          <w:p w:rsidR="001C615E" w:rsidRPr="0059512C" w:rsidP="004B401B">
            <w:pPr>
              <w:pStyle w:val="ParaNum"/>
              <w:numPr>
                <w:ilvl w:val="0"/>
                <w:numId w:val="0"/>
              </w:numPr>
              <w:rPr>
                <w:szCs w:val="22"/>
              </w:rPr>
            </w:pPr>
            <w:r w:rsidRPr="0059512C">
              <w:rPr>
                <w:szCs w:val="22"/>
              </w:rPr>
              <w:t>$2</w:t>
            </w:r>
            <w:r w:rsidRPr="0059512C" w:rsidR="0003549C">
              <w:rPr>
                <w:szCs w:val="22"/>
              </w:rPr>
              <w:t>70</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 xml:space="preserve">Full </w:t>
            </w:r>
            <w:r w:rsidR="00CD5A1B">
              <w:rPr>
                <w:szCs w:val="22"/>
              </w:rPr>
              <w:t>P</w:t>
            </w:r>
            <w:r w:rsidRPr="0059512C">
              <w:rPr>
                <w:szCs w:val="22"/>
              </w:rPr>
              <w:t xml:space="preserve">ower TV, </w:t>
            </w:r>
            <w:r w:rsidRPr="0059512C">
              <w:rPr>
                <w:szCs w:val="22"/>
              </w:rPr>
              <w:t>petition for rulemaking</w:t>
            </w:r>
          </w:p>
        </w:tc>
        <w:tc>
          <w:tcPr>
            <w:tcW w:w="2763" w:type="dxa"/>
          </w:tcPr>
          <w:p w:rsidR="001C615E" w:rsidRPr="0059512C" w:rsidP="004B401B">
            <w:pPr>
              <w:pStyle w:val="ParaNum"/>
              <w:numPr>
                <w:ilvl w:val="0"/>
                <w:numId w:val="0"/>
              </w:numPr>
              <w:rPr>
                <w:szCs w:val="22"/>
              </w:rPr>
            </w:pPr>
            <w:r w:rsidRPr="0059512C">
              <w:rPr>
                <w:szCs w:val="22"/>
              </w:rPr>
              <w:t>$3,065</w:t>
            </w:r>
          </w:p>
        </w:tc>
        <w:tc>
          <w:tcPr>
            <w:tcW w:w="2765" w:type="dxa"/>
          </w:tcPr>
          <w:p w:rsidR="001C615E" w:rsidRPr="0059512C" w:rsidP="004B401B">
            <w:pPr>
              <w:pStyle w:val="ParaNum"/>
              <w:numPr>
                <w:ilvl w:val="0"/>
                <w:numId w:val="0"/>
              </w:numPr>
              <w:rPr>
                <w:b/>
                <w:szCs w:val="22"/>
              </w:rPr>
            </w:pPr>
            <w:r w:rsidRPr="0059512C">
              <w:rPr>
                <w:szCs w:val="22"/>
              </w:rPr>
              <w:t>$3,</w:t>
            </w:r>
            <w:r w:rsidRPr="0059512C" w:rsidR="0003549C">
              <w:rPr>
                <w:szCs w:val="22"/>
              </w:rPr>
              <w:t>395</w:t>
            </w:r>
          </w:p>
        </w:tc>
      </w:tr>
      <w:tr w:rsidTr="00FD3FC3">
        <w:tblPrEx>
          <w:tblW w:w="0" w:type="auto"/>
          <w:tblInd w:w="990" w:type="dxa"/>
          <w:tblLook w:val="04A0"/>
        </w:tblPrEx>
        <w:tc>
          <w:tcPr>
            <w:tcW w:w="2832" w:type="dxa"/>
          </w:tcPr>
          <w:p w:rsidR="001C615E" w:rsidRPr="0059512C" w:rsidP="004B401B">
            <w:pPr>
              <w:pStyle w:val="ParaNum"/>
              <w:numPr>
                <w:ilvl w:val="0"/>
                <w:numId w:val="0"/>
              </w:numPr>
              <w:rPr>
                <w:szCs w:val="22"/>
              </w:rPr>
            </w:pPr>
            <w:r w:rsidRPr="0059512C">
              <w:rPr>
                <w:szCs w:val="22"/>
              </w:rPr>
              <w:t xml:space="preserve">Full </w:t>
            </w:r>
            <w:r w:rsidR="00CD5A1B">
              <w:rPr>
                <w:szCs w:val="22"/>
              </w:rPr>
              <w:t>P</w:t>
            </w:r>
            <w:r w:rsidRPr="0059512C">
              <w:rPr>
                <w:szCs w:val="22"/>
              </w:rPr>
              <w:t>ower TV, ownership report</w:t>
            </w:r>
          </w:p>
        </w:tc>
        <w:tc>
          <w:tcPr>
            <w:tcW w:w="2763" w:type="dxa"/>
          </w:tcPr>
          <w:p w:rsidR="001C615E" w:rsidRPr="0059512C" w:rsidP="004B401B">
            <w:pPr>
              <w:pStyle w:val="ParaNum"/>
              <w:numPr>
                <w:ilvl w:val="0"/>
                <w:numId w:val="0"/>
              </w:numPr>
              <w:rPr>
                <w:szCs w:val="22"/>
              </w:rPr>
            </w:pPr>
            <w:r w:rsidRPr="0059512C">
              <w:rPr>
                <w:szCs w:val="22"/>
              </w:rPr>
              <w:t>$70</w:t>
            </w:r>
          </w:p>
        </w:tc>
        <w:tc>
          <w:tcPr>
            <w:tcW w:w="2765" w:type="dxa"/>
          </w:tcPr>
          <w:p w:rsidR="001C615E" w:rsidRPr="0059512C" w:rsidP="004B401B">
            <w:pPr>
              <w:pStyle w:val="ParaNum"/>
              <w:numPr>
                <w:ilvl w:val="0"/>
                <w:numId w:val="0"/>
              </w:numPr>
              <w:rPr>
                <w:b/>
                <w:szCs w:val="22"/>
              </w:rPr>
            </w:pPr>
            <w:r w:rsidRPr="0059512C">
              <w:rPr>
                <w:szCs w:val="22"/>
              </w:rPr>
              <w:t>$8</w:t>
            </w:r>
            <w:r w:rsidRPr="0059512C" w:rsidR="0003549C">
              <w:rPr>
                <w:szCs w:val="22"/>
              </w:rPr>
              <w:t>5</w:t>
            </w:r>
          </w:p>
        </w:tc>
      </w:tr>
    </w:tbl>
    <w:p w:rsidR="00FD3FC3" w:rsidRPr="0059512C" w:rsidP="00FD3FC3">
      <w:pPr>
        <w:pStyle w:val="ParaNum"/>
        <w:numPr>
          <w:ilvl w:val="0"/>
          <w:numId w:val="0"/>
        </w:numPr>
        <w:rPr>
          <w:szCs w:val="22"/>
        </w:rPr>
      </w:pPr>
    </w:p>
    <w:p w:rsidR="003C1B37" w:rsidRPr="0059512C" w:rsidP="003C1B37">
      <w:pPr>
        <w:pStyle w:val="ParaNum"/>
        <w:rPr>
          <w:szCs w:val="22"/>
        </w:rPr>
      </w:pPr>
      <w:r w:rsidRPr="0059512C">
        <w:rPr>
          <w:szCs w:val="22"/>
        </w:rPr>
        <w:t xml:space="preserve">We estimate that the Commission’s resources in processing applications for new and major change construction permits </w:t>
      </w:r>
      <w:r w:rsidRPr="0059512C" w:rsidR="00DE5D77">
        <w:rPr>
          <w:szCs w:val="22"/>
        </w:rPr>
        <w:t>consist of</w:t>
      </w:r>
      <w:r w:rsidRPr="0059512C">
        <w:rPr>
          <w:szCs w:val="22"/>
        </w:rPr>
        <w:t xml:space="preserve"> significant engineering and legal analysis, as </w:t>
      </w:r>
      <w:r w:rsidRPr="0059512C">
        <w:rPr>
          <w:szCs w:val="22"/>
        </w:rPr>
        <w:t xml:space="preserve">the applications </w:t>
      </w:r>
      <w:r w:rsidRPr="0059512C" w:rsidR="00DE5D77">
        <w:rPr>
          <w:szCs w:val="22"/>
        </w:rPr>
        <w:t xml:space="preserve">tend to be </w:t>
      </w:r>
      <w:r w:rsidRPr="0059512C">
        <w:rPr>
          <w:szCs w:val="22"/>
        </w:rPr>
        <w:t>high</w:t>
      </w:r>
      <w:r w:rsidRPr="0059512C" w:rsidR="00DE5D77">
        <w:rPr>
          <w:szCs w:val="22"/>
        </w:rPr>
        <w:t xml:space="preserve">ly </w:t>
      </w:r>
      <w:r w:rsidRPr="0059512C">
        <w:rPr>
          <w:szCs w:val="22"/>
        </w:rPr>
        <w:t xml:space="preserve">complex.  We estimate that the Commission’s cost </w:t>
      </w:r>
      <w:r w:rsidRPr="0059512C" w:rsidR="00DE5D77">
        <w:rPr>
          <w:szCs w:val="22"/>
        </w:rPr>
        <w:t>of</w:t>
      </w:r>
      <w:r w:rsidRPr="0059512C">
        <w:rPr>
          <w:szCs w:val="22"/>
        </w:rPr>
        <w:t xml:space="preserve"> processing</w:t>
      </w:r>
      <w:r w:rsidRPr="0059512C" w:rsidR="00DE5D77">
        <w:rPr>
          <w:szCs w:val="22"/>
        </w:rPr>
        <w:t xml:space="preserve"> applications for permits, encompassing </w:t>
      </w:r>
      <w:r w:rsidRPr="0059512C">
        <w:rPr>
          <w:szCs w:val="22"/>
        </w:rPr>
        <w:t xml:space="preserve">engineer technical review, engineer supervisory review, attorney legal review, attorney pleadings review, and attorney </w:t>
      </w:r>
      <w:r w:rsidRPr="0059512C">
        <w:rPr>
          <w:szCs w:val="22"/>
        </w:rPr>
        <w:t>written disposition review is $4,</w:t>
      </w:r>
      <w:r w:rsidRPr="0059512C" w:rsidR="00B47987">
        <w:rPr>
          <w:szCs w:val="22"/>
        </w:rPr>
        <w:t>260</w:t>
      </w:r>
      <w:r w:rsidRPr="0059512C">
        <w:rPr>
          <w:szCs w:val="22"/>
        </w:rPr>
        <w:t>.</w:t>
      </w:r>
    </w:p>
    <w:p w:rsidR="00C967A6" w:rsidRPr="0059512C" w:rsidP="00111C89">
      <w:pPr>
        <w:pStyle w:val="ParaNum"/>
        <w:rPr>
          <w:szCs w:val="22"/>
        </w:rPr>
      </w:pPr>
      <w:r>
        <w:rPr>
          <w:szCs w:val="22"/>
        </w:rPr>
        <w:t>A</w:t>
      </w:r>
      <w:r w:rsidRPr="0059512C" w:rsidR="00DE5D77">
        <w:rPr>
          <w:szCs w:val="22"/>
        </w:rPr>
        <w:t xml:space="preserve">pplications for new licenses, </w:t>
      </w:r>
      <w:r w:rsidRPr="0059512C" w:rsidR="00137514">
        <w:rPr>
          <w:szCs w:val="22"/>
        </w:rPr>
        <w:t>long</w:t>
      </w:r>
      <w:r w:rsidR="000769FB">
        <w:rPr>
          <w:szCs w:val="22"/>
        </w:rPr>
        <w:t>-</w:t>
      </w:r>
      <w:r w:rsidRPr="0059512C" w:rsidR="00137514">
        <w:rPr>
          <w:szCs w:val="22"/>
        </w:rPr>
        <w:t xml:space="preserve">form </w:t>
      </w:r>
      <w:r w:rsidRPr="0059512C" w:rsidR="00DE5D77">
        <w:rPr>
          <w:szCs w:val="22"/>
        </w:rPr>
        <w:t xml:space="preserve">license assignments, </w:t>
      </w:r>
      <w:r w:rsidRPr="0059512C" w:rsidR="00137514">
        <w:rPr>
          <w:szCs w:val="22"/>
        </w:rPr>
        <w:t>long</w:t>
      </w:r>
      <w:r w:rsidR="000769FB">
        <w:rPr>
          <w:szCs w:val="22"/>
        </w:rPr>
        <w:t>-</w:t>
      </w:r>
      <w:r w:rsidRPr="0059512C" w:rsidR="00137514">
        <w:rPr>
          <w:szCs w:val="22"/>
        </w:rPr>
        <w:t xml:space="preserve">form </w:t>
      </w:r>
      <w:r w:rsidRPr="0059512C" w:rsidR="00DE5D77">
        <w:rPr>
          <w:szCs w:val="22"/>
        </w:rPr>
        <w:t xml:space="preserve">transfers of control, and Full Power TV minor modifications </w:t>
      </w:r>
      <w:r w:rsidRPr="0059512C" w:rsidR="00F76850">
        <w:rPr>
          <w:szCs w:val="22"/>
        </w:rPr>
        <w:t xml:space="preserve">are complex matters that require </w:t>
      </w:r>
      <w:r>
        <w:rPr>
          <w:szCs w:val="22"/>
        </w:rPr>
        <w:t xml:space="preserve">significant </w:t>
      </w:r>
      <w:r w:rsidRPr="0059512C" w:rsidR="00F76850">
        <w:rPr>
          <w:szCs w:val="22"/>
        </w:rPr>
        <w:t xml:space="preserve">engineering </w:t>
      </w:r>
      <w:r w:rsidRPr="0059512C" w:rsidR="00F76850">
        <w:rPr>
          <w:szCs w:val="22"/>
        </w:rPr>
        <w:t xml:space="preserve">review and legal analysis.  </w:t>
      </w:r>
      <w:r w:rsidR="008B6742">
        <w:rPr>
          <w:szCs w:val="22"/>
        </w:rPr>
        <w:t>W</w:t>
      </w:r>
      <w:r w:rsidRPr="0059512C" w:rsidR="00CC4CAC">
        <w:rPr>
          <w:szCs w:val="22"/>
        </w:rPr>
        <w:t>e estimate that the Commission’s cost in processing a</w:t>
      </w:r>
      <w:r w:rsidRPr="0059512C" w:rsidR="001C09D2">
        <w:rPr>
          <w:szCs w:val="22"/>
        </w:rPr>
        <w:t xml:space="preserve">n </w:t>
      </w:r>
      <w:r w:rsidRPr="0059512C" w:rsidR="00CC4CAC">
        <w:rPr>
          <w:szCs w:val="22"/>
        </w:rPr>
        <w:t>application for a new license, which consist of engineer application review, engineer supervisory review, attorney pleading review, and attorney written disposition review, is  $3</w:t>
      </w:r>
      <w:r w:rsidRPr="0059512C" w:rsidR="00B47987">
        <w:rPr>
          <w:szCs w:val="22"/>
        </w:rPr>
        <w:t>80</w:t>
      </w:r>
      <w:r w:rsidRPr="0059512C" w:rsidR="00CC4CAC">
        <w:rPr>
          <w:szCs w:val="22"/>
        </w:rPr>
        <w:t>.  A</w:t>
      </w:r>
      <w:r w:rsidRPr="0059512C">
        <w:rPr>
          <w:szCs w:val="22"/>
        </w:rPr>
        <w:t xml:space="preserve">pplications </w:t>
      </w:r>
      <w:r w:rsidRPr="0059512C" w:rsidR="001C09D2">
        <w:rPr>
          <w:szCs w:val="22"/>
        </w:rPr>
        <w:t xml:space="preserve">for </w:t>
      </w:r>
      <w:r w:rsidRPr="0059512C" w:rsidR="00CC4CAC">
        <w:rPr>
          <w:szCs w:val="22"/>
        </w:rPr>
        <w:t>long</w:t>
      </w:r>
      <w:r w:rsidR="000769FB">
        <w:rPr>
          <w:szCs w:val="22"/>
        </w:rPr>
        <w:t>-</w:t>
      </w:r>
      <w:r w:rsidRPr="0059512C" w:rsidR="00CC4CAC">
        <w:rPr>
          <w:szCs w:val="22"/>
        </w:rPr>
        <w:t xml:space="preserve">form license assignment </w:t>
      </w:r>
      <w:r w:rsidRPr="0059512C">
        <w:rPr>
          <w:szCs w:val="22"/>
        </w:rPr>
        <w:t>and long</w:t>
      </w:r>
      <w:r w:rsidR="000769FB">
        <w:rPr>
          <w:szCs w:val="22"/>
        </w:rPr>
        <w:t>-</w:t>
      </w:r>
      <w:r w:rsidRPr="0059512C">
        <w:rPr>
          <w:szCs w:val="22"/>
        </w:rPr>
        <w:t xml:space="preserve">form </w:t>
      </w:r>
      <w:r w:rsidRPr="0059512C" w:rsidR="001C09D2">
        <w:rPr>
          <w:szCs w:val="22"/>
        </w:rPr>
        <w:t xml:space="preserve">transfers of control </w:t>
      </w:r>
      <w:r w:rsidRPr="0059512C" w:rsidR="002F40F8">
        <w:rPr>
          <w:szCs w:val="22"/>
        </w:rPr>
        <w:t xml:space="preserve">often </w:t>
      </w:r>
      <w:r w:rsidRPr="0059512C" w:rsidR="00CC4CAC">
        <w:rPr>
          <w:szCs w:val="22"/>
        </w:rPr>
        <w:t xml:space="preserve">involve petitions or objections after the application is filed.  We estimate that the Commission’s </w:t>
      </w:r>
      <w:r w:rsidR="008B6742">
        <w:rPr>
          <w:szCs w:val="22"/>
        </w:rPr>
        <w:t xml:space="preserve">cost of </w:t>
      </w:r>
      <w:r w:rsidRPr="0059512C" w:rsidR="00CC4CAC">
        <w:rPr>
          <w:szCs w:val="22"/>
        </w:rPr>
        <w:t xml:space="preserve">processing </w:t>
      </w:r>
      <w:r w:rsidRPr="0059512C" w:rsidR="001C09D2">
        <w:rPr>
          <w:szCs w:val="22"/>
        </w:rPr>
        <w:t>long</w:t>
      </w:r>
      <w:r w:rsidR="000769FB">
        <w:rPr>
          <w:szCs w:val="22"/>
        </w:rPr>
        <w:t>-</w:t>
      </w:r>
      <w:r w:rsidRPr="0059512C" w:rsidR="001C09D2">
        <w:rPr>
          <w:szCs w:val="22"/>
        </w:rPr>
        <w:t xml:space="preserve">form </w:t>
      </w:r>
      <w:r w:rsidRPr="0059512C" w:rsidR="00CC4CAC">
        <w:rPr>
          <w:szCs w:val="22"/>
        </w:rPr>
        <w:t>license assignment</w:t>
      </w:r>
      <w:r w:rsidRPr="0059512C" w:rsidR="001C09D2">
        <w:rPr>
          <w:szCs w:val="22"/>
        </w:rPr>
        <w:t xml:space="preserve"> and transfers of control</w:t>
      </w:r>
      <w:r w:rsidRPr="0059512C" w:rsidR="00CC4CAC">
        <w:rPr>
          <w:szCs w:val="22"/>
        </w:rPr>
        <w:t>, including attorney application review, attorney supervisory review, attorney pleading review, and attorney written disposition review is $1,2</w:t>
      </w:r>
      <w:r w:rsidRPr="0059512C" w:rsidR="00B47987">
        <w:rPr>
          <w:szCs w:val="22"/>
        </w:rPr>
        <w:t>45</w:t>
      </w:r>
      <w:r w:rsidRPr="0059512C" w:rsidR="00CC4CAC">
        <w:rPr>
          <w:szCs w:val="22"/>
        </w:rPr>
        <w:t>.</w:t>
      </w:r>
      <w:r w:rsidRPr="0059512C">
        <w:rPr>
          <w:szCs w:val="22"/>
        </w:rPr>
        <w:t xml:space="preserve">  Commission review of minor modification construction permit applications for Full Power TV inv</w:t>
      </w:r>
      <w:r w:rsidRPr="0059512C">
        <w:rPr>
          <w:szCs w:val="22"/>
        </w:rPr>
        <w:t>olve</w:t>
      </w:r>
      <w:r w:rsidR="008B6742">
        <w:rPr>
          <w:szCs w:val="22"/>
        </w:rPr>
        <w:t>s</w:t>
      </w:r>
      <w:r w:rsidRPr="0059512C">
        <w:rPr>
          <w:szCs w:val="22"/>
        </w:rPr>
        <w:t xml:space="preserve"> engineer application review, engineer supervisory review, attorney pleading review, and attorney written disposition review at an estimated cost of $1,</w:t>
      </w:r>
      <w:r w:rsidRPr="0059512C" w:rsidR="00B47987">
        <w:rPr>
          <w:szCs w:val="22"/>
        </w:rPr>
        <w:t>335</w:t>
      </w:r>
      <w:r w:rsidRPr="0059512C">
        <w:rPr>
          <w:szCs w:val="22"/>
        </w:rPr>
        <w:t>.</w:t>
      </w:r>
    </w:p>
    <w:p w:rsidR="00B81BA6" w:rsidRPr="0059512C" w:rsidP="00B81BA6">
      <w:pPr>
        <w:pStyle w:val="ParaNum"/>
        <w:rPr>
          <w:szCs w:val="22"/>
        </w:rPr>
      </w:pPr>
      <w:r w:rsidRPr="0059512C">
        <w:rPr>
          <w:szCs w:val="22"/>
        </w:rPr>
        <w:t>Other applications are of lesser complexity and therefore impose fewer costs on the Commission</w:t>
      </w:r>
      <w:r w:rsidRPr="0059512C">
        <w:rPr>
          <w:szCs w:val="22"/>
        </w:rPr>
        <w:t xml:space="preserve"> staff, including license renewals, short</w:t>
      </w:r>
      <w:r w:rsidR="000769FB">
        <w:rPr>
          <w:szCs w:val="22"/>
        </w:rPr>
        <w:t>-</w:t>
      </w:r>
      <w:r w:rsidRPr="0059512C">
        <w:rPr>
          <w:szCs w:val="22"/>
        </w:rPr>
        <w:t>form license assignments,</w:t>
      </w:r>
      <w:r w:rsidRPr="0059512C" w:rsidR="00D662B2">
        <w:rPr>
          <w:szCs w:val="22"/>
        </w:rPr>
        <w:t xml:space="preserve"> </w:t>
      </w:r>
      <w:r w:rsidRPr="0059512C">
        <w:rPr>
          <w:szCs w:val="22"/>
        </w:rPr>
        <w:t>short</w:t>
      </w:r>
      <w:r w:rsidR="000769FB">
        <w:rPr>
          <w:szCs w:val="22"/>
        </w:rPr>
        <w:t>-</w:t>
      </w:r>
      <w:r w:rsidRPr="0059512C">
        <w:rPr>
          <w:szCs w:val="22"/>
        </w:rPr>
        <w:t>form transfers of control and</w:t>
      </w:r>
      <w:r w:rsidRPr="0059512C" w:rsidR="00521F56">
        <w:rPr>
          <w:szCs w:val="22"/>
        </w:rPr>
        <w:t xml:space="preserve"> STA</w:t>
      </w:r>
      <w:r w:rsidRPr="0059512C" w:rsidR="00D662B2">
        <w:rPr>
          <w:szCs w:val="22"/>
        </w:rPr>
        <w:t xml:space="preserve">.  The processing of these applications may involve petitions or objections after the application is filed and typically involve attorney application review, attorney supervisory review, attorney pleading review, and attorney written disposition review.  We estimate that the Commission’s </w:t>
      </w:r>
      <w:r w:rsidR="008B6742">
        <w:rPr>
          <w:szCs w:val="22"/>
        </w:rPr>
        <w:t xml:space="preserve">cost of </w:t>
      </w:r>
      <w:r w:rsidRPr="0059512C" w:rsidR="00D662B2">
        <w:rPr>
          <w:szCs w:val="22"/>
        </w:rPr>
        <w:t>processing a</w:t>
      </w:r>
      <w:r w:rsidRPr="0059512C">
        <w:rPr>
          <w:szCs w:val="22"/>
        </w:rPr>
        <w:t>n</w:t>
      </w:r>
      <w:r w:rsidRPr="0059512C" w:rsidR="00D662B2">
        <w:rPr>
          <w:szCs w:val="22"/>
        </w:rPr>
        <w:t xml:space="preserve"> application for license renewal</w:t>
      </w:r>
      <w:r w:rsidRPr="0059512C">
        <w:rPr>
          <w:szCs w:val="22"/>
        </w:rPr>
        <w:t xml:space="preserve"> </w:t>
      </w:r>
      <w:r w:rsidRPr="0059512C" w:rsidR="00D662B2">
        <w:rPr>
          <w:szCs w:val="22"/>
        </w:rPr>
        <w:t>is $</w:t>
      </w:r>
      <w:r w:rsidR="004976C1">
        <w:rPr>
          <w:szCs w:val="22"/>
        </w:rPr>
        <w:t>330</w:t>
      </w:r>
      <w:r w:rsidRPr="0059512C" w:rsidR="00D662B2">
        <w:rPr>
          <w:szCs w:val="22"/>
        </w:rPr>
        <w:t xml:space="preserve">.  </w:t>
      </w:r>
      <w:r w:rsidRPr="0059512C">
        <w:rPr>
          <w:szCs w:val="22"/>
        </w:rPr>
        <w:t>For short</w:t>
      </w:r>
      <w:r w:rsidR="000769FB">
        <w:rPr>
          <w:szCs w:val="22"/>
        </w:rPr>
        <w:t>-</w:t>
      </w:r>
      <w:r w:rsidRPr="0059512C">
        <w:rPr>
          <w:szCs w:val="22"/>
        </w:rPr>
        <w:t xml:space="preserve">form license assignments and transfers of control, we estimate that the </w:t>
      </w:r>
      <w:r w:rsidR="008B6742">
        <w:rPr>
          <w:szCs w:val="22"/>
        </w:rPr>
        <w:t xml:space="preserve">cost of </w:t>
      </w:r>
      <w:r w:rsidRPr="0059512C">
        <w:rPr>
          <w:szCs w:val="22"/>
        </w:rPr>
        <w:t>processing is $</w:t>
      </w:r>
      <w:r w:rsidRPr="0059512C" w:rsidR="00321E28">
        <w:rPr>
          <w:szCs w:val="22"/>
        </w:rPr>
        <w:t>405</w:t>
      </w:r>
      <w:r w:rsidRPr="0059512C">
        <w:rPr>
          <w:szCs w:val="22"/>
        </w:rPr>
        <w:t xml:space="preserve">.  We estimate that the Commission’s cost </w:t>
      </w:r>
      <w:r w:rsidR="008B6742">
        <w:rPr>
          <w:szCs w:val="22"/>
        </w:rPr>
        <w:t xml:space="preserve">of </w:t>
      </w:r>
      <w:r w:rsidRPr="0059512C">
        <w:rPr>
          <w:szCs w:val="22"/>
        </w:rPr>
        <w:t>processing a</w:t>
      </w:r>
      <w:r w:rsidR="008B6742">
        <w:rPr>
          <w:szCs w:val="22"/>
        </w:rPr>
        <w:t>n</w:t>
      </w:r>
      <w:r w:rsidRPr="0059512C">
        <w:rPr>
          <w:szCs w:val="22"/>
        </w:rPr>
        <w:t xml:space="preserve"> </w:t>
      </w:r>
      <w:r w:rsidRPr="0059512C" w:rsidR="00521F56">
        <w:rPr>
          <w:szCs w:val="22"/>
        </w:rPr>
        <w:t>STA</w:t>
      </w:r>
      <w:r w:rsidRPr="0059512C">
        <w:rPr>
          <w:szCs w:val="22"/>
        </w:rPr>
        <w:t xml:space="preserve"> application </w:t>
      </w:r>
      <w:r w:rsidR="008B6742">
        <w:rPr>
          <w:szCs w:val="22"/>
        </w:rPr>
        <w:t>is</w:t>
      </w:r>
      <w:r w:rsidRPr="0059512C">
        <w:rPr>
          <w:szCs w:val="22"/>
        </w:rPr>
        <w:t xml:space="preserve"> $2</w:t>
      </w:r>
      <w:r w:rsidRPr="0059512C" w:rsidR="00321E28">
        <w:rPr>
          <w:szCs w:val="22"/>
        </w:rPr>
        <w:t>70</w:t>
      </w:r>
      <w:r w:rsidRPr="0059512C">
        <w:rPr>
          <w:szCs w:val="22"/>
        </w:rPr>
        <w:t>.</w:t>
      </w:r>
    </w:p>
    <w:p w:rsidR="00B81BA6" w:rsidRPr="0059512C" w:rsidP="00B81BA6">
      <w:pPr>
        <w:pStyle w:val="ParaNum"/>
        <w:rPr>
          <w:szCs w:val="22"/>
        </w:rPr>
      </w:pPr>
      <w:r w:rsidRPr="0059512C">
        <w:rPr>
          <w:szCs w:val="22"/>
        </w:rPr>
        <w:t xml:space="preserve">For applications for </w:t>
      </w:r>
      <w:r w:rsidRPr="0059512C" w:rsidR="00D662B2">
        <w:rPr>
          <w:szCs w:val="22"/>
        </w:rPr>
        <w:t>call signs</w:t>
      </w:r>
      <w:r w:rsidRPr="0059512C">
        <w:rPr>
          <w:szCs w:val="22"/>
        </w:rPr>
        <w:t>, which involves some legal analysis, we es</w:t>
      </w:r>
      <w:r w:rsidRPr="0059512C">
        <w:rPr>
          <w:szCs w:val="22"/>
        </w:rPr>
        <w:t xml:space="preserve">timate that the Commission’s resources in processing a TV call sign consist of analyst application review at </w:t>
      </w:r>
      <w:r w:rsidR="000769FB">
        <w:rPr>
          <w:szCs w:val="22"/>
        </w:rPr>
        <w:t xml:space="preserve">the </w:t>
      </w:r>
      <w:r w:rsidRPr="0059512C">
        <w:rPr>
          <w:szCs w:val="22"/>
        </w:rPr>
        <w:t>cost of $1</w:t>
      </w:r>
      <w:r w:rsidRPr="0059512C" w:rsidR="00321E28">
        <w:rPr>
          <w:szCs w:val="22"/>
        </w:rPr>
        <w:t>70</w:t>
      </w:r>
      <w:r w:rsidRPr="0059512C">
        <w:rPr>
          <w:szCs w:val="22"/>
        </w:rPr>
        <w:t xml:space="preserve">.  </w:t>
      </w:r>
      <w:r w:rsidRPr="0059512C" w:rsidR="007732E4">
        <w:rPr>
          <w:szCs w:val="22"/>
        </w:rPr>
        <w:t>For o</w:t>
      </w:r>
      <w:r w:rsidRPr="0059512C">
        <w:rPr>
          <w:szCs w:val="22"/>
        </w:rPr>
        <w:t>wnership report applications</w:t>
      </w:r>
      <w:r w:rsidRPr="0059512C" w:rsidR="007732E4">
        <w:rPr>
          <w:szCs w:val="22"/>
        </w:rPr>
        <w:t>, which</w:t>
      </w:r>
      <w:r w:rsidRPr="0059512C">
        <w:rPr>
          <w:szCs w:val="22"/>
        </w:rPr>
        <w:t xml:space="preserve"> involve minimal review by Commission staff</w:t>
      </w:r>
      <w:r w:rsidRPr="0059512C" w:rsidR="007732E4">
        <w:rPr>
          <w:szCs w:val="22"/>
        </w:rPr>
        <w:t>, we</w:t>
      </w:r>
      <w:r w:rsidRPr="0059512C">
        <w:rPr>
          <w:szCs w:val="22"/>
        </w:rPr>
        <w:t xml:space="preserve"> estimate that the Commission’s </w:t>
      </w:r>
      <w:r w:rsidRPr="0059512C" w:rsidR="007732E4">
        <w:rPr>
          <w:szCs w:val="22"/>
        </w:rPr>
        <w:t>resources</w:t>
      </w:r>
      <w:r w:rsidRPr="0059512C">
        <w:rPr>
          <w:szCs w:val="22"/>
        </w:rPr>
        <w:t xml:space="preserve"> in processing a TV Ownership Report consist of analyst application review</w:t>
      </w:r>
      <w:r w:rsidR="008B6742">
        <w:rPr>
          <w:szCs w:val="22"/>
        </w:rPr>
        <w:t xml:space="preserve"> and</w:t>
      </w:r>
      <w:r w:rsidRPr="0059512C">
        <w:rPr>
          <w:szCs w:val="22"/>
        </w:rPr>
        <w:t xml:space="preserve"> that the cost of this process is $8</w:t>
      </w:r>
      <w:r w:rsidRPr="0059512C" w:rsidR="00321E28">
        <w:rPr>
          <w:szCs w:val="22"/>
        </w:rPr>
        <w:t>5</w:t>
      </w:r>
      <w:r w:rsidRPr="0059512C">
        <w:rPr>
          <w:szCs w:val="22"/>
        </w:rPr>
        <w:t>.</w:t>
      </w:r>
    </w:p>
    <w:p w:rsidR="00FD3FC3" w:rsidRPr="0059512C" w:rsidP="00FD3FC3">
      <w:pPr>
        <w:pStyle w:val="ParaNum"/>
        <w:rPr>
          <w:szCs w:val="22"/>
        </w:rPr>
      </w:pPr>
      <w:r w:rsidRPr="0059512C">
        <w:rPr>
          <w:szCs w:val="22"/>
        </w:rPr>
        <w:t xml:space="preserve">A petition for </w:t>
      </w:r>
      <w:r w:rsidRPr="0059512C" w:rsidR="007732E4">
        <w:rPr>
          <w:szCs w:val="22"/>
        </w:rPr>
        <w:t xml:space="preserve">a </w:t>
      </w:r>
      <w:r w:rsidRPr="0059512C">
        <w:rPr>
          <w:szCs w:val="22"/>
        </w:rPr>
        <w:t xml:space="preserve">rulemaking </w:t>
      </w:r>
      <w:r w:rsidRPr="00461F90" w:rsidR="00C20FCF">
        <w:t>to amend the DTV Table of Allotments</w:t>
      </w:r>
      <w:r w:rsidR="00C20FCF">
        <w:t xml:space="preserve"> </w:t>
      </w:r>
      <w:r w:rsidRPr="0059512C">
        <w:rPr>
          <w:szCs w:val="22"/>
        </w:rPr>
        <w:t xml:space="preserve">for </w:t>
      </w:r>
      <w:r w:rsidR="008B6742">
        <w:rPr>
          <w:szCs w:val="22"/>
        </w:rPr>
        <w:t xml:space="preserve">a </w:t>
      </w:r>
      <w:r w:rsidRPr="0059512C">
        <w:rPr>
          <w:szCs w:val="22"/>
        </w:rPr>
        <w:t>new community of license has a high level of complexity and involves</w:t>
      </w:r>
      <w:r w:rsidRPr="0059512C">
        <w:rPr>
          <w:szCs w:val="22"/>
        </w:rPr>
        <w:t xml:space="preserve"> significant legal analysis and engineering review.</w:t>
      </w:r>
      <w:r>
        <w:rPr>
          <w:rStyle w:val="FootnoteReference"/>
          <w:szCs w:val="22"/>
        </w:rPr>
        <w:footnoteReference w:id="49"/>
      </w:r>
      <w:r w:rsidRPr="0059512C">
        <w:rPr>
          <w:szCs w:val="22"/>
        </w:rPr>
        <w:t xml:space="preserve">  We estimate that the Commission’s </w:t>
      </w:r>
      <w:r w:rsidRPr="0059512C" w:rsidR="007732E4">
        <w:rPr>
          <w:szCs w:val="22"/>
        </w:rPr>
        <w:t xml:space="preserve">resources </w:t>
      </w:r>
      <w:r w:rsidRPr="0059512C">
        <w:rPr>
          <w:szCs w:val="22"/>
        </w:rPr>
        <w:t xml:space="preserve">in processing a Full Power TV </w:t>
      </w:r>
      <w:r w:rsidR="008B6742">
        <w:rPr>
          <w:szCs w:val="22"/>
        </w:rPr>
        <w:t>p</w:t>
      </w:r>
      <w:r w:rsidRPr="0059512C">
        <w:rPr>
          <w:szCs w:val="22"/>
        </w:rPr>
        <w:t xml:space="preserve">etition for </w:t>
      </w:r>
      <w:r w:rsidR="008B6742">
        <w:rPr>
          <w:szCs w:val="22"/>
        </w:rPr>
        <w:t>r</w:t>
      </w:r>
      <w:r w:rsidRPr="0059512C">
        <w:rPr>
          <w:szCs w:val="22"/>
        </w:rPr>
        <w:t xml:space="preserve">ulemaking consist of engineer application review, engineer supervisory review, attorney legal review, </w:t>
      </w:r>
      <w:r w:rsidRPr="0059512C">
        <w:rPr>
          <w:szCs w:val="22"/>
        </w:rPr>
        <w:t>attorney pleading review, and attorney written disposition review.  Our estimate is that the cost of this process is $3,</w:t>
      </w:r>
      <w:r w:rsidRPr="0059512C" w:rsidR="00321E28">
        <w:rPr>
          <w:szCs w:val="22"/>
        </w:rPr>
        <w:t>395</w:t>
      </w:r>
      <w:r w:rsidRPr="0059512C">
        <w:rPr>
          <w:szCs w:val="22"/>
        </w:rPr>
        <w:t xml:space="preserve">.  </w:t>
      </w:r>
    </w:p>
    <w:p w:rsidR="00FD3FC3" w:rsidRPr="0059512C" w:rsidP="00FD3FC3">
      <w:pPr>
        <w:pStyle w:val="ParaNum"/>
        <w:rPr>
          <w:szCs w:val="22"/>
        </w:rPr>
      </w:pPr>
      <w:r w:rsidRPr="0059512C">
        <w:rPr>
          <w:iCs/>
          <w:szCs w:val="22"/>
        </w:rPr>
        <w:t>We seek comment on these propos</w:t>
      </w:r>
      <w:r w:rsidR="000769FB">
        <w:rPr>
          <w:iCs/>
          <w:szCs w:val="22"/>
        </w:rPr>
        <w:t>ed cost-based fees</w:t>
      </w:r>
      <w:r w:rsidRPr="0059512C">
        <w:rPr>
          <w:iCs/>
          <w:szCs w:val="22"/>
        </w:rPr>
        <w:t>.</w:t>
      </w:r>
      <w:r w:rsidR="00491AAC">
        <w:rPr>
          <w:iCs/>
          <w:szCs w:val="22"/>
        </w:rPr>
        <w:t xml:space="preserve">  We also seek comment on </w:t>
      </w:r>
      <w:r w:rsidR="009838EB">
        <w:rPr>
          <w:iCs/>
          <w:szCs w:val="22"/>
        </w:rPr>
        <w:t>whether we should consolidate and streamline these proposed fees to ease the burden of administration and simplify compliance.</w:t>
      </w:r>
    </w:p>
    <w:p w:rsidR="001C615E" w:rsidRPr="0059512C" w:rsidP="0060706A">
      <w:pPr>
        <w:pStyle w:val="Heading4"/>
      </w:pPr>
      <w:bookmarkStart w:id="163" w:name="_Toc18066917"/>
      <w:bookmarkStart w:id="164" w:name="_Toc18939778"/>
      <w:bookmarkStart w:id="165" w:name="_Toc19795081"/>
      <w:bookmarkStart w:id="166" w:name="_Toc19796442"/>
      <w:bookmarkStart w:id="167" w:name="_Toc19796800"/>
      <w:bookmarkStart w:id="168" w:name="_Toc35268566"/>
      <w:r w:rsidRPr="0059512C">
        <w:t>TV Translators and Low Power Television (LPTV) Stations</w:t>
      </w:r>
      <w:bookmarkEnd w:id="163"/>
      <w:bookmarkEnd w:id="164"/>
      <w:bookmarkEnd w:id="165"/>
      <w:bookmarkEnd w:id="166"/>
      <w:bookmarkEnd w:id="167"/>
      <w:bookmarkEnd w:id="168"/>
    </w:p>
    <w:p w:rsidR="001C615E" w:rsidRPr="0059512C" w:rsidP="006B26EA">
      <w:pPr>
        <w:pStyle w:val="ParaNum"/>
        <w:rPr>
          <w:szCs w:val="22"/>
        </w:rPr>
      </w:pPr>
      <w:r w:rsidRPr="0059512C">
        <w:rPr>
          <w:szCs w:val="22"/>
        </w:rPr>
        <w:t xml:space="preserve">A TV translator is a transmitter device which repeats, or transponds, the signal of the television station </w:t>
      </w:r>
      <w:r w:rsidRPr="0059512C">
        <w:rPr>
          <w:szCs w:val="22"/>
        </w:rPr>
        <w:t xml:space="preserve">to an area not covered by the signal of the originating station. The translator may expand the broadcast range beyond the primary signal’s original coverage area or may improve service in a part of the original coverage area. A LPTV station </w:t>
      </w:r>
      <w:r w:rsidRPr="0059512C">
        <w:rPr>
          <w:spacing w:val="-2"/>
          <w:szCs w:val="22"/>
        </w:rPr>
        <w:t xml:space="preserve">may retransmit </w:t>
      </w:r>
      <w:r w:rsidRPr="0059512C">
        <w:rPr>
          <w:spacing w:val="-2"/>
          <w:szCs w:val="22"/>
        </w:rPr>
        <w:t xml:space="preserve">the programs and signals of a TV broadcast station and may originate programming.  </w:t>
      </w:r>
      <w:r w:rsidRPr="0059512C">
        <w:rPr>
          <w:szCs w:val="22"/>
        </w:rPr>
        <w:t xml:space="preserve">The following table summarizes the current application fees and the </w:t>
      </w:r>
      <w:r w:rsidRPr="0059512C" w:rsidR="00A24425">
        <w:rPr>
          <w:szCs w:val="22"/>
        </w:rPr>
        <w:t xml:space="preserve">proposed </w:t>
      </w:r>
      <w:r w:rsidRPr="0059512C">
        <w:rPr>
          <w:szCs w:val="22"/>
        </w:rPr>
        <w:t xml:space="preserve">cost-based fees.  </w:t>
      </w:r>
      <w:r w:rsidRPr="0059512C" w:rsidR="006B26EA">
        <w:rPr>
          <w:szCs w:val="22"/>
        </w:rPr>
        <w:t xml:space="preserve">We propose and seek comment on adopting the following cost-based fees for these applications—and we give as an example the current fees for these services.  </w:t>
      </w:r>
      <w:r w:rsidRPr="0059512C">
        <w:rPr>
          <w:b/>
          <w:szCs w:val="22"/>
        </w:rPr>
        <w:t xml:space="preserve"> </w:t>
      </w:r>
    </w:p>
    <w:tbl>
      <w:tblPr>
        <w:tblStyle w:val="TableGrid"/>
        <w:tblW w:w="0" w:type="auto"/>
        <w:tblInd w:w="990" w:type="dxa"/>
        <w:tblLook w:val="04A0"/>
      </w:tblPr>
      <w:tblGrid>
        <w:gridCol w:w="2834"/>
        <w:gridCol w:w="2767"/>
        <w:gridCol w:w="2759"/>
      </w:tblGrid>
      <w:tr w:rsidTr="00F364EF">
        <w:tblPrEx>
          <w:tblW w:w="0" w:type="auto"/>
          <w:tblInd w:w="990" w:type="dxa"/>
          <w:tblLook w:val="04A0"/>
        </w:tblPrEx>
        <w:tc>
          <w:tcPr>
            <w:tcW w:w="2834" w:type="dxa"/>
          </w:tcPr>
          <w:p w:rsidR="001C615E" w:rsidRPr="0059512C" w:rsidP="004B401B">
            <w:pPr>
              <w:pStyle w:val="ParaNum"/>
              <w:numPr>
                <w:ilvl w:val="0"/>
                <w:numId w:val="0"/>
              </w:numPr>
              <w:rPr>
                <w:b/>
                <w:szCs w:val="22"/>
              </w:rPr>
            </w:pPr>
            <w:r w:rsidRPr="0059512C">
              <w:rPr>
                <w:b/>
                <w:szCs w:val="22"/>
              </w:rPr>
              <w:t>Application</w:t>
            </w:r>
          </w:p>
        </w:tc>
        <w:tc>
          <w:tcPr>
            <w:tcW w:w="2767" w:type="dxa"/>
          </w:tcPr>
          <w:p w:rsidR="001C615E" w:rsidRPr="0059512C" w:rsidP="004B401B">
            <w:pPr>
              <w:pStyle w:val="ParaNum"/>
              <w:numPr>
                <w:ilvl w:val="0"/>
                <w:numId w:val="0"/>
              </w:numPr>
              <w:rPr>
                <w:b/>
                <w:szCs w:val="22"/>
              </w:rPr>
            </w:pPr>
            <w:r w:rsidRPr="0059512C">
              <w:rPr>
                <w:b/>
                <w:szCs w:val="22"/>
              </w:rPr>
              <w:t xml:space="preserve">Current </w:t>
            </w:r>
            <w:r w:rsidRPr="0059512C" w:rsidR="00111C89">
              <w:rPr>
                <w:b/>
                <w:szCs w:val="22"/>
              </w:rPr>
              <w:t>Fee</w:t>
            </w:r>
          </w:p>
        </w:tc>
        <w:tc>
          <w:tcPr>
            <w:tcW w:w="2759" w:type="dxa"/>
          </w:tcPr>
          <w:p w:rsidR="001C615E" w:rsidRPr="0059512C" w:rsidP="004B401B">
            <w:pPr>
              <w:pStyle w:val="ParaNum"/>
              <w:numPr>
                <w:ilvl w:val="0"/>
                <w:numId w:val="0"/>
              </w:numPr>
              <w:rPr>
                <w:b/>
                <w:szCs w:val="22"/>
              </w:rPr>
            </w:pPr>
            <w:r w:rsidRPr="0059512C">
              <w:rPr>
                <w:b/>
                <w:szCs w:val="22"/>
              </w:rPr>
              <w:t xml:space="preserve">Cost-based </w:t>
            </w:r>
            <w:r w:rsidRPr="0059512C" w:rsidR="00111C89">
              <w:rPr>
                <w:b/>
                <w:szCs w:val="22"/>
              </w:rPr>
              <w:t>Fee</w:t>
            </w:r>
          </w:p>
        </w:tc>
      </w:tr>
      <w:tr w:rsidTr="00F364EF">
        <w:tblPrEx>
          <w:tblW w:w="0" w:type="auto"/>
          <w:tblInd w:w="990" w:type="dxa"/>
          <w:tblLook w:val="04A0"/>
        </w:tblPrEx>
        <w:tc>
          <w:tcPr>
            <w:tcW w:w="2834" w:type="dxa"/>
          </w:tcPr>
          <w:p w:rsidR="001C615E" w:rsidRPr="0059512C" w:rsidP="004B401B">
            <w:pPr>
              <w:pStyle w:val="ParaNum"/>
              <w:numPr>
                <w:ilvl w:val="0"/>
                <w:numId w:val="0"/>
              </w:numPr>
              <w:rPr>
                <w:szCs w:val="22"/>
              </w:rPr>
            </w:pPr>
            <w:r w:rsidRPr="0059512C">
              <w:rPr>
                <w:szCs w:val="22"/>
              </w:rPr>
              <w:t>TV translator and LPTV, new or major change construction permit</w:t>
            </w:r>
            <w:r w:rsidRPr="0059512C" w:rsidR="00DD3A01">
              <w:rPr>
                <w:szCs w:val="22"/>
              </w:rPr>
              <w:t xml:space="preserve"> </w:t>
            </w:r>
            <w:r w:rsidR="00DD3A01">
              <w:t>(including Post-Auction Long Form Application)</w:t>
            </w:r>
          </w:p>
        </w:tc>
        <w:tc>
          <w:tcPr>
            <w:tcW w:w="2767" w:type="dxa"/>
          </w:tcPr>
          <w:p w:rsidR="001C615E" w:rsidRPr="0059512C" w:rsidP="004B401B">
            <w:pPr>
              <w:pStyle w:val="ParaNum"/>
              <w:numPr>
                <w:ilvl w:val="0"/>
                <w:numId w:val="0"/>
              </w:numPr>
              <w:rPr>
                <w:szCs w:val="22"/>
              </w:rPr>
            </w:pPr>
            <w:r w:rsidRPr="0059512C">
              <w:rPr>
                <w:szCs w:val="22"/>
              </w:rPr>
              <w:t>$835</w:t>
            </w:r>
          </w:p>
        </w:tc>
        <w:tc>
          <w:tcPr>
            <w:tcW w:w="2759" w:type="dxa"/>
          </w:tcPr>
          <w:p w:rsidR="001C615E" w:rsidRPr="0059512C" w:rsidP="004B401B">
            <w:pPr>
              <w:pStyle w:val="ParaNum"/>
              <w:numPr>
                <w:ilvl w:val="0"/>
                <w:numId w:val="0"/>
              </w:numPr>
              <w:rPr>
                <w:szCs w:val="22"/>
              </w:rPr>
            </w:pPr>
            <w:r w:rsidRPr="0059512C">
              <w:rPr>
                <w:szCs w:val="22"/>
              </w:rPr>
              <w:t>$</w:t>
            </w:r>
            <w:r w:rsidRPr="0059512C" w:rsidR="005940F9">
              <w:rPr>
                <w:szCs w:val="22"/>
              </w:rPr>
              <w:t>775</w:t>
            </w:r>
          </w:p>
        </w:tc>
      </w:tr>
      <w:tr w:rsidTr="00F364EF">
        <w:tblPrEx>
          <w:tblW w:w="0" w:type="auto"/>
          <w:tblInd w:w="990" w:type="dxa"/>
          <w:tblLook w:val="04A0"/>
        </w:tblPrEx>
        <w:tc>
          <w:tcPr>
            <w:tcW w:w="2834" w:type="dxa"/>
          </w:tcPr>
          <w:p w:rsidR="001C615E" w:rsidRPr="0059512C" w:rsidP="004B401B">
            <w:pPr>
              <w:pStyle w:val="ParaNum"/>
              <w:numPr>
                <w:ilvl w:val="0"/>
                <w:numId w:val="0"/>
              </w:numPr>
              <w:rPr>
                <w:szCs w:val="22"/>
              </w:rPr>
            </w:pPr>
            <w:r w:rsidRPr="0059512C">
              <w:rPr>
                <w:szCs w:val="22"/>
              </w:rPr>
              <w:t>TV translator</w:t>
            </w:r>
            <w:r w:rsidRPr="0059512C">
              <w:rPr>
                <w:szCs w:val="22"/>
              </w:rPr>
              <w:t xml:space="preserve"> and LPTV, new license</w:t>
            </w:r>
          </w:p>
        </w:tc>
        <w:tc>
          <w:tcPr>
            <w:tcW w:w="2767" w:type="dxa"/>
          </w:tcPr>
          <w:p w:rsidR="001C615E" w:rsidRPr="0059512C" w:rsidP="004B401B">
            <w:pPr>
              <w:pStyle w:val="ParaNum"/>
              <w:numPr>
                <w:ilvl w:val="0"/>
                <w:numId w:val="0"/>
              </w:numPr>
              <w:rPr>
                <w:szCs w:val="22"/>
              </w:rPr>
            </w:pPr>
            <w:r w:rsidRPr="0059512C">
              <w:rPr>
                <w:szCs w:val="22"/>
              </w:rPr>
              <w:t>$170</w:t>
            </w:r>
          </w:p>
        </w:tc>
        <w:tc>
          <w:tcPr>
            <w:tcW w:w="2759" w:type="dxa"/>
          </w:tcPr>
          <w:p w:rsidR="001C615E" w:rsidRPr="0059512C" w:rsidP="004B401B">
            <w:pPr>
              <w:pStyle w:val="ParaNum"/>
              <w:numPr>
                <w:ilvl w:val="0"/>
                <w:numId w:val="0"/>
              </w:numPr>
              <w:rPr>
                <w:szCs w:val="22"/>
              </w:rPr>
            </w:pPr>
            <w:r w:rsidRPr="0059512C">
              <w:rPr>
                <w:szCs w:val="22"/>
              </w:rPr>
              <w:t>$2</w:t>
            </w:r>
            <w:r w:rsidRPr="0059512C" w:rsidR="005940F9">
              <w:rPr>
                <w:szCs w:val="22"/>
              </w:rPr>
              <w:t>15</w:t>
            </w:r>
          </w:p>
        </w:tc>
      </w:tr>
      <w:tr w:rsidTr="00F364EF">
        <w:tblPrEx>
          <w:tblW w:w="0" w:type="auto"/>
          <w:tblInd w:w="990" w:type="dxa"/>
          <w:tblLook w:val="04A0"/>
        </w:tblPrEx>
        <w:tc>
          <w:tcPr>
            <w:tcW w:w="2834" w:type="dxa"/>
          </w:tcPr>
          <w:p w:rsidR="001C615E" w:rsidRPr="0059512C" w:rsidP="004B401B">
            <w:pPr>
              <w:pStyle w:val="ParaNum"/>
              <w:numPr>
                <w:ilvl w:val="0"/>
                <w:numId w:val="0"/>
              </w:numPr>
              <w:rPr>
                <w:szCs w:val="22"/>
              </w:rPr>
            </w:pPr>
            <w:r w:rsidRPr="0059512C">
              <w:rPr>
                <w:szCs w:val="22"/>
              </w:rPr>
              <w:t>TV translator and LPTV, license renewal</w:t>
            </w:r>
          </w:p>
        </w:tc>
        <w:tc>
          <w:tcPr>
            <w:tcW w:w="2767" w:type="dxa"/>
          </w:tcPr>
          <w:p w:rsidR="001C615E" w:rsidRPr="0059512C" w:rsidP="004B401B">
            <w:pPr>
              <w:pStyle w:val="ParaNum"/>
              <w:numPr>
                <w:ilvl w:val="0"/>
                <w:numId w:val="0"/>
              </w:numPr>
              <w:rPr>
                <w:szCs w:val="22"/>
              </w:rPr>
            </w:pPr>
            <w:r w:rsidRPr="0059512C">
              <w:rPr>
                <w:szCs w:val="22"/>
              </w:rPr>
              <w:t>$70</w:t>
            </w:r>
          </w:p>
        </w:tc>
        <w:tc>
          <w:tcPr>
            <w:tcW w:w="2759" w:type="dxa"/>
          </w:tcPr>
          <w:p w:rsidR="001C615E" w:rsidRPr="0059512C" w:rsidP="004B401B">
            <w:pPr>
              <w:pStyle w:val="ParaNum"/>
              <w:numPr>
                <w:ilvl w:val="0"/>
                <w:numId w:val="0"/>
              </w:numPr>
              <w:rPr>
                <w:b/>
                <w:szCs w:val="22"/>
              </w:rPr>
            </w:pPr>
            <w:r w:rsidRPr="0059512C">
              <w:rPr>
                <w:szCs w:val="22"/>
              </w:rPr>
              <w:t>$14</w:t>
            </w:r>
            <w:r w:rsidRPr="0059512C" w:rsidR="005940F9">
              <w:rPr>
                <w:szCs w:val="22"/>
              </w:rPr>
              <w:t>5</w:t>
            </w:r>
          </w:p>
        </w:tc>
      </w:tr>
      <w:tr w:rsidTr="00F364EF">
        <w:tblPrEx>
          <w:tblW w:w="0" w:type="auto"/>
          <w:tblInd w:w="990" w:type="dxa"/>
          <w:tblLook w:val="04A0"/>
        </w:tblPrEx>
        <w:tc>
          <w:tcPr>
            <w:tcW w:w="2834" w:type="dxa"/>
          </w:tcPr>
          <w:p w:rsidR="001C615E" w:rsidRPr="0059512C" w:rsidP="004B401B">
            <w:pPr>
              <w:pStyle w:val="ParaNum"/>
              <w:numPr>
                <w:ilvl w:val="0"/>
                <w:numId w:val="0"/>
              </w:numPr>
              <w:rPr>
                <w:szCs w:val="22"/>
              </w:rPr>
            </w:pPr>
            <w:r w:rsidRPr="0059512C">
              <w:rPr>
                <w:szCs w:val="22"/>
              </w:rPr>
              <w:t>TV translator and LPTV, STA</w:t>
            </w:r>
          </w:p>
        </w:tc>
        <w:tc>
          <w:tcPr>
            <w:tcW w:w="2767" w:type="dxa"/>
          </w:tcPr>
          <w:p w:rsidR="001C615E" w:rsidRPr="0059512C" w:rsidP="004B401B">
            <w:pPr>
              <w:pStyle w:val="ParaNum"/>
              <w:numPr>
                <w:ilvl w:val="0"/>
                <w:numId w:val="0"/>
              </w:numPr>
              <w:rPr>
                <w:szCs w:val="22"/>
              </w:rPr>
            </w:pPr>
            <w:r w:rsidRPr="0059512C">
              <w:rPr>
                <w:szCs w:val="22"/>
              </w:rPr>
              <w:t>$200</w:t>
            </w:r>
          </w:p>
        </w:tc>
        <w:tc>
          <w:tcPr>
            <w:tcW w:w="2759" w:type="dxa"/>
          </w:tcPr>
          <w:p w:rsidR="001C615E" w:rsidRPr="0059512C" w:rsidP="004B401B">
            <w:pPr>
              <w:pStyle w:val="ParaNum"/>
              <w:numPr>
                <w:ilvl w:val="0"/>
                <w:numId w:val="0"/>
              </w:numPr>
              <w:rPr>
                <w:szCs w:val="22"/>
              </w:rPr>
            </w:pPr>
            <w:r w:rsidRPr="0059512C">
              <w:rPr>
                <w:szCs w:val="22"/>
              </w:rPr>
              <w:t>$2</w:t>
            </w:r>
            <w:r w:rsidRPr="0059512C" w:rsidR="005940F9">
              <w:rPr>
                <w:szCs w:val="22"/>
              </w:rPr>
              <w:t>70</w:t>
            </w:r>
          </w:p>
        </w:tc>
      </w:tr>
      <w:tr w:rsidTr="00F364EF">
        <w:tblPrEx>
          <w:tblW w:w="0" w:type="auto"/>
          <w:tblInd w:w="990" w:type="dxa"/>
          <w:tblLook w:val="04A0"/>
        </w:tblPrEx>
        <w:tc>
          <w:tcPr>
            <w:tcW w:w="2834" w:type="dxa"/>
          </w:tcPr>
          <w:p w:rsidR="001C615E" w:rsidRPr="0059512C" w:rsidP="004B401B">
            <w:pPr>
              <w:pStyle w:val="ParaNum"/>
              <w:numPr>
                <w:ilvl w:val="0"/>
                <w:numId w:val="0"/>
              </w:numPr>
              <w:rPr>
                <w:szCs w:val="22"/>
              </w:rPr>
            </w:pPr>
            <w:r w:rsidRPr="0059512C">
              <w:rPr>
                <w:szCs w:val="22"/>
              </w:rPr>
              <w:t>TV translator and LPTV, license assignment</w:t>
            </w:r>
          </w:p>
        </w:tc>
        <w:tc>
          <w:tcPr>
            <w:tcW w:w="2767" w:type="dxa"/>
          </w:tcPr>
          <w:p w:rsidR="001C615E" w:rsidRPr="0059512C" w:rsidP="004B401B">
            <w:pPr>
              <w:pStyle w:val="ParaNum"/>
              <w:numPr>
                <w:ilvl w:val="0"/>
                <w:numId w:val="0"/>
              </w:numPr>
              <w:rPr>
                <w:szCs w:val="22"/>
              </w:rPr>
            </w:pPr>
            <w:r w:rsidRPr="0059512C">
              <w:rPr>
                <w:szCs w:val="22"/>
              </w:rPr>
              <w:t>$160</w:t>
            </w:r>
          </w:p>
        </w:tc>
        <w:tc>
          <w:tcPr>
            <w:tcW w:w="2759" w:type="dxa"/>
          </w:tcPr>
          <w:p w:rsidR="001C615E" w:rsidRPr="0059512C" w:rsidP="004B401B">
            <w:pPr>
              <w:pStyle w:val="ParaNum"/>
              <w:numPr>
                <w:ilvl w:val="0"/>
                <w:numId w:val="0"/>
              </w:numPr>
              <w:rPr>
                <w:szCs w:val="22"/>
              </w:rPr>
            </w:pPr>
            <w:r w:rsidRPr="0059512C">
              <w:rPr>
                <w:szCs w:val="22"/>
              </w:rPr>
              <w:t>$3</w:t>
            </w:r>
            <w:r w:rsidRPr="0059512C" w:rsidR="005940F9">
              <w:rPr>
                <w:szCs w:val="22"/>
              </w:rPr>
              <w:t>35</w:t>
            </w:r>
          </w:p>
        </w:tc>
      </w:tr>
      <w:tr w:rsidTr="00F364EF">
        <w:tblPrEx>
          <w:tblW w:w="0" w:type="auto"/>
          <w:tblInd w:w="990" w:type="dxa"/>
          <w:tblLook w:val="04A0"/>
        </w:tblPrEx>
        <w:tc>
          <w:tcPr>
            <w:tcW w:w="2834" w:type="dxa"/>
          </w:tcPr>
          <w:p w:rsidR="001C615E" w:rsidRPr="0059512C" w:rsidP="004B401B">
            <w:pPr>
              <w:pStyle w:val="ParaNum"/>
              <w:numPr>
                <w:ilvl w:val="0"/>
                <w:numId w:val="0"/>
              </w:numPr>
              <w:rPr>
                <w:szCs w:val="22"/>
              </w:rPr>
            </w:pPr>
            <w:r w:rsidRPr="0059512C">
              <w:rPr>
                <w:szCs w:val="22"/>
              </w:rPr>
              <w:t>TV translator and LPTV, transfer of control</w:t>
            </w:r>
          </w:p>
        </w:tc>
        <w:tc>
          <w:tcPr>
            <w:tcW w:w="2767" w:type="dxa"/>
          </w:tcPr>
          <w:p w:rsidR="001C615E" w:rsidRPr="0059512C" w:rsidP="004B401B">
            <w:pPr>
              <w:pStyle w:val="ParaNum"/>
              <w:numPr>
                <w:ilvl w:val="0"/>
                <w:numId w:val="0"/>
              </w:numPr>
              <w:rPr>
                <w:szCs w:val="22"/>
              </w:rPr>
            </w:pPr>
            <w:r w:rsidRPr="0059512C">
              <w:rPr>
                <w:szCs w:val="22"/>
              </w:rPr>
              <w:t>$160</w:t>
            </w:r>
          </w:p>
        </w:tc>
        <w:tc>
          <w:tcPr>
            <w:tcW w:w="2759" w:type="dxa"/>
          </w:tcPr>
          <w:p w:rsidR="001C615E" w:rsidRPr="0059512C" w:rsidP="004B401B">
            <w:pPr>
              <w:pStyle w:val="ParaNum"/>
              <w:numPr>
                <w:ilvl w:val="0"/>
                <w:numId w:val="0"/>
              </w:numPr>
              <w:rPr>
                <w:szCs w:val="22"/>
              </w:rPr>
            </w:pPr>
            <w:r w:rsidRPr="0059512C">
              <w:rPr>
                <w:szCs w:val="22"/>
              </w:rPr>
              <w:t>$3</w:t>
            </w:r>
            <w:r w:rsidRPr="0059512C" w:rsidR="005940F9">
              <w:rPr>
                <w:szCs w:val="22"/>
              </w:rPr>
              <w:t>35</w:t>
            </w:r>
          </w:p>
        </w:tc>
      </w:tr>
      <w:tr w:rsidTr="00F364EF">
        <w:tblPrEx>
          <w:tblW w:w="0" w:type="auto"/>
          <w:tblInd w:w="990" w:type="dxa"/>
          <w:tblLook w:val="04A0"/>
        </w:tblPrEx>
        <w:tc>
          <w:tcPr>
            <w:tcW w:w="2834" w:type="dxa"/>
          </w:tcPr>
          <w:p w:rsidR="001C615E" w:rsidRPr="0059512C" w:rsidP="004B401B">
            <w:pPr>
              <w:pStyle w:val="ParaNum"/>
              <w:numPr>
                <w:ilvl w:val="0"/>
                <w:numId w:val="0"/>
              </w:numPr>
              <w:rPr>
                <w:szCs w:val="22"/>
              </w:rPr>
            </w:pPr>
            <w:r w:rsidRPr="0059512C">
              <w:rPr>
                <w:szCs w:val="22"/>
              </w:rPr>
              <w:t xml:space="preserve">TV translator and </w:t>
            </w:r>
            <w:r w:rsidRPr="0059512C">
              <w:rPr>
                <w:szCs w:val="22"/>
              </w:rPr>
              <w:t>LPTV, call sign</w:t>
            </w:r>
          </w:p>
        </w:tc>
        <w:tc>
          <w:tcPr>
            <w:tcW w:w="2767" w:type="dxa"/>
          </w:tcPr>
          <w:p w:rsidR="001C615E" w:rsidRPr="0059512C" w:rsidP="004B401B">
            <w:pPr>
              <w:pStyle w:val="ParaNum"/>
              <w:numPr>
                <w:ilvl w:val="0"/>
                <w:numId w:val="0"/>
              </w:numPr>
              <w:rPr>
                <w:szCs w:val="22"/>
              </w:rPr>
            </w:pPr>
            <w:r w:rsidRPr="0059512C">
              <w:rPr>
                <w:szCs w:val="22"/>
              </w:rPr>
              <w:t>$110</w:t>
            </w:r>
          </w:p>
        </w:tc>
        <w:tc>
          <w:tcPr>
            <w:tcW w:w="2759" w:type="dxa"/>
          </w:tcPr>
          <w:p w:rsidR="001C615E" w:rsidRPr="0059512C" w:rsidP="004B401B">
            <w:pPr>
              <w:pStyle w:val="ParaNum"/>
              <w:numPr>
                <w:ilvl w:val="0"/>
                <w:numId w:val="0"/>
              </w:numPr>
              <w:rPr>
                <w:b/>
                <w:szCs w:val="22"/>
              </w:rPr>
            </w:pPr>
            <w:r w:rsidRPr="0059512C">
              <w:rPr>
                <w:szCs w:val="22"/>
              </w:rPr>
              <w:t>$1</w:t>
            </w:r>
            <w:r w:rsidRPr="0059512C" w:rsidR="005940F9">
              <w:rPr>
                <w:szCs w:val="22"/>
              </w:rPr>
              <w:t>70</w:t>
            </w:r>
          </w:p>
        </w:tc>
      </w:tr>
    </w:tbl>
    <w:p w:rsidR="001C615E" w:rsidRPr="0059512C" w:rsidP="001C615E">
      <w:pPr>
        <w:pStyle w:val="ParaNum"/>
        <w:numPr>
          <w:ilvl w:val="0"/>
          <w:numId w:val="0"/>
        </w:numPr>
        <w:ind w:left="990"/>
        <w:rPr>
          <w:szCs w:val="22"/>
        </w:rPr>
      </w:pPr>
    </w:p>
    <w:p w:rsidR="0022500F" w:rsidRPr="0059512C" w:rsidP="0022500F">
      <w:pPr>
        <w:pStyle w:val="ParaNum"/>
        <w:rPr>
          <w:szCs w:val="22"/>
        </w:rPr>
      </w:pPr>
      <w:r w:rsidRPr="0059512C">
        <w:rPr>
          <w:szCs w:val="22"/>
        </w:rPr>
        <w:t>TV translator and LPTV applications for new and major change construction</w:t>
      </w:r>
      <w:r w:rsidRPr="0059512C" w:rsidR="00502B98">
        <w:rPr>
          <w:szCs w:val="22"/>
        </w:rPr>
        <w:t xml:space="preserve"> </w:t>
      </w:r>
      <w:r w:rsidRPr="0059512C">
        <w:rPr>
          <w:szCs w:val="22"/>
        </w:rPr>
        <w:t xml:space="preserve">permits have the highest level of complexity and significant engineering and legal analysis is needed in processing these applications.  We estimate that </w:t>
      </w:r>
      <w:r w:rsidRPr="0059512C">
        <w:rPr>
          <w:szCs w:val="22"/>
        </w:rPr>
        <w:t>the Commission’s resources in processing these applications consist of engineer technical review, engineer supervisory review, attorney pleadings review, and attorney written disposition review.  Our estimate is that the cost of this process is $7</w:t>
      </w:r>
      <w:r w:rsidRPr="0059512C" w:rsidR="00321E28">
        <w:rPr>
          <w:szCs w:val="22"/>
        </w:rPr>
        <w:t>75</w:t>
      </w:r>
      <w:r w:rsidRPr="0059512C">
        <w:rPr>
          <w:szCs w:val="22"/>
        </w:rPr>
        <w:t xml:space="preserve">.  </w:t>
      </w:r>
      <w:r w:rsidRPr="0059512C" w:rsidR="00FD3FC3">
        <w:rPr>
          <w:szCs w:val="22"/>
        </w:rPr>
        <w:t xml:space="preserve">We estimate that the Commission’s </w:t>
      </w:r>
      <w:r w:rsidRPr="0059512C">
        <w:rPr>
          <w:szCs w:val="22"/>
        </w:rPr>
        <w:t>resource</w:t>
      </w:r>
      <w:r w:rsidRPr="0059512C" w:rsidR="00FD3FC3">
        <w:rPr>
          <w:szCs w:val="22"/>
        </w:rPr>
        <w:t>s in processing a TV Translator and LPTV application for a new license</w:t>
      </w:r>
      <w:r w:rsidRPr="0059512C">
        <w:rPr>
          <w:szCs w:val="22"/>
        </w:rPr>
        <w:t xml:space="preserve">, which involves some legal analysis and significant engineering review, </w:t>
      </w:r>
      <w:r w:rsidRPr="0059512C" w:rsidR="00FD3FC3">
        <w:rPr>
          <w:szCs w:val="22"/>
        </w:rPr>
        <w:t>consist of engineer application review, engineer supervisory review, attorney pleading review, and attorney written disposition review.  Our estimate is that the cost of this process is $2</w:t>
      </w:r>
      <w:r w:rsidRPr="0059512C" w:rsidR="00321E28">
        <w:rPr>
          <w:szCs w:val="22"/>
        </w:rPr>
        <w:t>15</w:t>
      </w:r>
      <w:r w:rsidRPr="0059512C" w:rsidR="00FD3FC3">
        <w:rPr>
          <w:szCs w:val="22"/>
        </w:rPr>
        <w:t>.</w:t>
      </w:r>
      <w:r w:rsidRPr="0059512C">
        <w:rPr>
          <w:szCs w:val="22"/>
        </w:rPr>
        <w:t xml:space="preserve">  License assignments, which require significant legal analysis, may involve petitions or objections, after the application is filed.  We es</w:t>
      </w:r>
      <w:r w:rsidRPr="0059512C">
        <w:rPr>
          <w:szCs w:val="22"/>
        </w:rPr>
        <w:t xml:space="preserve">timate that the Commission’s resources in processing a TV </w:t>
      </w:r>
      <w:r w:rsidR="00AA4467">
        <w:rPr>
          <w:szCs w:val="22"/>
        </w:rPr>
        <w:t>t</w:t>
      </w:r>
      <w:r w:rsidRPr="0059512C">
        <w:rPr>
          <w:szCs w:val="22"/>
        </w:rPr>
        <w:t xml:space="preserve">ranslator and LPTV </w:t>
      </w:r>
      <w:r w:rsidR="00AA4467">
        <w:rPr>
          <w:szCs w:val="22"/>
        </w:rPr>
        <w:t>l</w:t>
      </w:r>
      <w:r w:rsidRPr="0059512C">
        <w:rPr>
          <w:szCs w:val="22"/>
        </w:rPr>
        <w:t xml:space="preserve">icense </w:t>
      </w:r>
      <w:r w:rsidR="00AA4467">
        <w:rPr>
          <w:szCs w:val="22"/>
        </w:rPr>
        <w:t>a</w:t>
      </w:r>
      <w:r w:rsidRPr="0059512C">
        <w:rPr>
          <w:szCs w:val="22"/>
        </w:rPr>
        <w:t xml:space="preserve">ssignment </w:t>
      </w:r>
      <w:r w:rsidR="00AA4467">
        <w:rPr>
          <w:szCs w:val="22"/>
        </w:rPr>
        <w:t xml:space="preserve">application </w:t>
      </w:r>
      <w:r w:rsidRPr="0059512C">
        <w:rPr>
          <w:szCs w:val="22"/>
        </w:rPr>
        <w:t>consist of attorney application review, attorney supervisory review, attorney pleading review, and attorney written disposition review.  Our estima</w:t>
      </w:r>
      <w:r w:rsidRPr="0059512C">
        <w:rPr>
          <w:szCs w:val="22"/>
        </w:rPr>
        <w:t>te is that the cost of this process is $3</w:t>
      </w:r>
      <w:r w:rsidRPr="0059512C" w:rsidR="00321E28">
        <w:rPr>
          <w:szCs w:val="22"/>
        </w:rPr>
        <w:t>35</w:t>
      </w:r>
      <w:r w:rsidRPr="0059512C">
        <w:rPr>
          <w:szCs w:val="22"/>
        </w:rPr>
        <w:t>.</w:t>
      </w:r>
    </w:p>
    <w:p w:rsidR="00764ED4" w:rsidRPr="0059512C" w:rsidP="00764ED4">
      <w:pPr>
        <w:pStyle w:val="ParaNum"/>
        <w:rPr>
          <w:szCs w:val="22"/>
        </w:rPr>
      </w:pPr>
      <w:r w:rsidRPr="0059512C">
        <w:rPr>
          <w:szCs w:val="22"/>
        </w:rPr>
        <w:t>Other applications require only some legal or engineering analysis</w:t>
      </w:r>
      <w:r w:rsidRPr="0059512C" w:rsidR="00502B98">
        <w:rPr>
          <w:szCs w:val="22"/>
        </w:rPr>
        <w:t>.  License renewals and transfers of control each involve attorney application review, application supervisory review, attorney pleading review, and attorney written disposition review.  Some applications for transfer of control subsequently involve petitions or objections after the application is filed.  For license renewals, our estimate is that the cost of this process is $14</w:t>
      </w:r>
      <w:r w:rsidRPr="0059512C" w:rsidR="00321E28">
        <w:rPr>
          <w:szCs w:val="22"/>
        </w:rPr>
        <w:t>5</w:t>
      </w:r>
      <w:r w:rsidRPr="0059512C" w:rsidR="00502B98">
        <w:rPr>
          <w:szCs w:val="22"/>
        </w:rPr>
        <w:t>.</w:t>
      </w:r>
      <w:r w:rsidRPr="0059512C">
        <w:rPr>
          <w:szCs w:val="22"/>
        </w:rPr>
        <w:t xml:space="preserve">  For tran</w:t>
      </w:r>
      <w:r w:rsidRPr="0059512C">
        <w:rPr>
          <w:szCs w:val="22"/>
        </w:rPr>
        <w:t>sfers of control, our estimate is that the cost of this process is $3</w:t>
      </w:r>
      <w:r w:rsidRPr="0059512C" w:rsidR="00321E28">
        <w:rPr>
          <w:szCs w:val="22"/>
        </w:rPr>
        <w:t>35</w:t>
      </w:r>
      <w:r w:rsidRPr="0059512C">
        <w:rPr>
          <w:szCs w:val="22"/>
        </w:rPr>
        <w:t>.</w:t>
      </w:r>
    </w:p>
    <w:p w:rsidR="00FD3FC3" w:rsidRPr="0059512C" w:rsidP="00764ED4">
      <w:pPr>
        <w:pStyle w:val="ParaNum"/>
        <w:rPr>
          <w:szCs w:val="22"/>
        </w:rPr>
      </w:pPr>
      <w:r w:rsidRPr="0059512C">
        <w:rPr>
          <w:szCs w:val="22"/>
        </w:rPr>
        <w:t xml:space="preserve">Applications for STA are less complex and involve some engineering and legal analysis.  We estimate that the Commission’s resources in processing a TV </w:t>
      </w:r>
      <w:r w:rsidR="00AA4467">
        <w:rPr>
          <w:szCs w:val="22"/>
        </w:rPr>
        <w:t>t</w:t>
      </w:r>
      <w:r w:rsidRPr="0059512C">
        <w:rPr>
          <w:szCs w:val="22"/>
        </w:rPr>
        <w:t xml:space="preserve">ranslator and LPTV STA </w:t>
      </w:r>
      <w:r w:rsidRPr="0059512C">
        <w:rPr>
          <w:szCs w:val="22"/>
        </w:rPr>
        <w:t>consist of engineer application review, engineer supervisory review, attorney pleading review, and attorney written disposition review.  Our estimate is that the cost of this process is $2</w:t>
      </w:r>
      <w:r w:rsidRPr="0059512C" w:rsidR="00321E28">
        <w:rPr>
          <w:szCs w:val="22"/>
        </w:rPr>
        <w:t>70</w:t>
      </w:r>
      <w:r w:rsidRPr="0059512C">
        <w:rPr>
          <w:szCs w:val="22"/>
        </w:rPr>
        <w:t>.  Call sign applications have a low level of complexity and invol</w:t>
      </w:r>
      <w:r w:rsidRPr="0059512C">
        <w:rPr>
          <w:szCs w:val="22"/>
        </w:rPr>
        <w:t xml:space="preserve">ve some legal analysis.  We estimate that the Commission’s resources in processing a TV </w:t>
      </w:r>
      <w:r w:rsidR="00AA4467">
        <w:rPr>
          <w:szCs w:val="22"/>
        </w:rPr>
        <w:t>t</w:t>
      </w:r>
      <w:r w:rsidRPr="0059512C">
        <w:rPr>
          <w:szCs w:val="22"/>
        </w:rPr>
        <w:t xml:space="preserve">ranslator and LPTV </w:t>
      </w:r>
      <w:r w:rsidR="00AA4467">
        <w:rPr>
          <w:szCs w:val="22"/>
        </w:rPr>
        <w:t>c</w:t>
      </w:r>
      <w:r w:rsidRPr="0059512C">
        <w:rPr>
          <w:szCs w:val="22"/>
        </w:rPr>
        <w:t xml:space="preserve">all </w:t>
      </w:r>
      <w:r w:rsidR="00AA4467">
        <w:rPr>
          <w:szCs w:val="22"/>
        </w:rPr>
        <w:t>s</w:t>
      </w:r>
      <w:r w:rsidRPr="0059512C">
        <w:rPr>
          <w:szCs w:val="22"/>
        </w:rPr>
        <w:t>ign consist of analyst application review.  Our estimate is that the cost of this process is $1</w:t>
      </w:r>
      <w:r w:rsidRPr="0059512C" w:rsidR="00321E28">
        <w:rPr>
          <w:szCs w:val="22"/>
        </w:rPr>
        <w:t>70</w:t>
      </w:r>
      <w:r w:rsidRPr="0059512C">
        <w:rPr>
          <w:szCs w:val="22"/>
        </w:rPr>
        <w:t>.</w:t>
      </w:r>
    </w:p>
    <w:p w:rsidR="00764ED4" w:rsidRPr="0059512C" w:rsidP="00764ED4">
      <w:pPr>
        <w:pStyle w:val="ParaNum"/>
        <w:rPr>
          <w:szCs w:val="22"/>
        </w:rPr>
      </w:pPr>
      <w:r w:rsidRPr="0059512C">
        <w:rPr>
          <w:szCs w:val="22"/>
        </w:rPr>
        <w:t>We seek comment on these propos</w:t>
      </w:r>
      <w:r w:rsidR="00363745">
        <w:rPr>
          <w:szCs w:val="22"/>
        </w:rPr>
        <w:t>ed cost-based fees</w:t>
      </w:r>
      <w:r w:rsidRPr="0059512C">
        <w:rPr>
          <w:szCs w:val="22"/>
        </w:rPr>
        <w:t>.</w:t>
      </w:r>
      <w:r w:rsidRPr="003505A6" w:rsidR="003505A6">
        <w:rPr>
          <w:iCs/>
          <w:szCs w:val="22"/>
        </w:rPr>
        <w:t xml:space="preserve"> </w:t>
      </w:r>
      <w:r w:rsidR="003505A6">
        <w:rPr>
          <w:iCs/>
          <w:szCs w:val="22"/>
        </w:rPr>
        <w:t xml:space="preserve"> We also seek comment on whether we should consolidate and streamline these proposed fees to ease the burden of administration and simplify compliance.</w:t>
      </w:r>
    </w:p>
    <w:p w:rsidR="001C615E" w:rsidRPr="0059512C" w:rsidP="0060706A">
      <w:pPr>
        <w:pStyle w:val="Heading4"/>
      </w:pPr>
      <w:bookmarkStart w:id="169" w:name="_Toc18066918"/>
      <w:bookmarkStart w:id="170" w:name="_Toc18939779"/>
      <w:bookmarkStart w:id="171" w:name="_Toc19795082"/>
      <w:bookmarkStart w:id="172" w:name="_Toc19796443"/>
      <w:bookmarkStart w:id="173" w:name="_Toc19796801"/>
      <w:bookmarkStart w:id="174" w:name="_Toc35268567"/>
      <w:r w:rsidRPr="0059512C">
        <w:t>TV Booster Stations</w:t>
      </w:r>
      <w:bookmarkEnd w:id="169"/>
      <w:bookmarkEnd w:id="170"/>
      <w:bookmarkEnd w:id="171"/>
      <w:bookmarkEnd w:id="172"/>
      <w:bookmarkEnd w:id="173"/>
      <w:bookmarkEnd w:id="174"/>
    </w:p>
    <w:p w:rsidR="001C615E" w:rsidRPr="00363745" w:rsidP="00363745">
      <w:pPr>
        <w:pStyle w:val="ParaNum"/>
        <w:rPr>
          <w:szCs w:val="22"/>
        </w:rPr>
      </w:pPr>
      <w:r w:rsidRPr="0059512C">
        <w:rPr>
          <w:szCs w:val="22"/>
        </w:rPr>
        <w:t>We propose removing TV Booster Stations from the application fee schedule be</w:t>
      </w:r>
      <w:r w:rsidRPr="0059512C">
        <w:rPr>
          <w:szCs w:val="22"/>
        </w:rPr>
        <w:t xml:space="preserve">cause we no longer have applications for this analog service as a result of the digital television transition.  </w:t>
      </w:r>
      <w:r w:rsidRPr="00363745">
        <w:rPr>
          <w:szCs w:val="22"/>
        </w:rPr>
        <w:t xml:space="preserve">We seek comment on this proposal.  </w:t>
      </w:r>
    </w:p>
    <w:p w:rsidR="001C615E" w:rsidRPr="0059512C" w:rsidP="0060706A">
      <w:pPr>
        <w:pStyle w:val="Heading4"/>
      </w:pPr>
      <w:bookmarkStart w:id="175" w:name="_Toc18066920"/>
      <w:bookmarkStart w:id="176" w:name="_Toc18939781"/>
      <w:bookmarkStart w:id="177" w:name="_Toc19795084"/>
      <w:bookmarkStart w:id="178" w:name="_Toc19796445"/>
      <w:bookmarkStart w:id="179" w:name="_Toc19796803"/>
      <w:bookmarkStart w:id="180" w:name="_Toc35268568"/>
      <w:r w:rsidRPr="0059512C">
        <w:t>Cable Television Services</w:t>
      </w:r>
      <w:bookmarkEnd w:id="175"/>
      <w:bookmarkEnd w:id="176"/>
      <w:bookmarkEnd w:id="177"/>
      <w:bookmarkEnd w:id="178"/>
      <w:bookmarkEnd w:id="179"/>
      <w:bookmarkEnd w:id="180"/>
    </w:p>
    <w:p w:rsidR="006B26EA" w:rsidRPr="0059512C" w:rsidP="006B26EA">
      <w:pPr>
        <w:pStyle w:val="ParaNum"/>
        <w:rPr>
          <w:szCs w:val="22"/>
        </w:rPr>
      </w:pPr>
      <w:r w:rsidRPr="0059512C">
        <w:rPr>
          <w:szCs w:val="22"/>
        </w:rPr>
        <w:t>Cable television is a system of delivering television programming to consumers via</w:t>
      </w:r>
      <w:r w:rsidRPr="0059512C">
        <w:rPr>
          <w:szCs w:val="22"/>
        </w:rPr>
        <w:t xml:space="preserve"> radio frequency signals transmitted through coaxial or fiber-optic cables. </w:t>
      </w:r>
      <w:r w:rsidRPr="0059512C" w:rsidR="00CB6FBC">
        <w:rPr>
          <w:szCs w:val="22"/>
        </w:rPr>
        <w:t xml:space="preserve"> </w:t>
      </w:r>
      <w:r w:rsidRPr="0059512C">
        <w:rPr>
          <w:szCs w:val="22"/>
        </w:rPr>
        <w:t>The Media Bureau processes cable system registration, cable television relay service (CARS) applications, special relief and show cause petitions involving technical matters, requ</w:t>
      </w:r>
      <w:r w:rsidRPr="0059512C">
        <w:rPr>
          <w:szCs w:val="22"/>
        </w:rPr>
        <w:t xml:space="preserve">ests for rulings on technical matters, and requests for waivers of the rules. </w:t>
      </w:r>
      <w:r w:rsidRPr="0059512C" w:rsidR="004900FB">
        <w:rPr>
          <w:szCs w:val="22"/>
        </w:rPr>
        <w:t xml:space="preserve"> </w:t>
      </w:r>
      <w:r w:rsidRPr="0059512C">
        <w:rPr>
          <w:szCs w:val="22"/>
        </w:rPr>
        <w:t xml:space="preserve">The </w:t>
      </w:r>
      <w:r w:rsidRPr="0059512C" w:rsidR="0036403D">
        <w:rPr>
          <w:szCs w:val="22"/>
        </w:rPr>
        <w:t>Media Bureau</w:t>
      </w:r>
      <w:r w:rsidRPr="0059512C">
        <w:rPr>
          <w:szCs w:val="22"/>
        </w:rPr>
        <w:t xml:space="preserve"> also processes signal leakage performance reports filed by cable system operators, analyzes aeronautical frequency usage data, and takes appropriate action to e</w:t>
      </w:r>
      <w:r w:rsidRPr="0059512C">
        <w:rPr>
          <w:szCs w:val="22"/>
        </w:rPr>
        <w:t>nsure compliance with Commission requirements.</w:t>
      </w:r>
      <w:r w:rsidRPr="0059512C" w:rsidR="00C7124F">
        <w:rPr>
          <w:szCs w:val="22"/>
        </w:rPr>
        <w:t xml:space="preserve">  The below table summarizes the current application fees and the</w:t>
      </w:r>
      <w:r w:rsidRPr="0059512C" w:rsidR="00A24425">
        <w:rPr>
          <w:szCs w:val="22"/>
        </w:rPr>
        <w:t xml:space="preserve"> proposed</w:t>
      </w:r>
      <w:r w:rsidRPr="0059512C" w:rsidR="00C7124F">
        <w:rPr>
          <w:szCs w:val="22"/>
        </w:rPr>
        <w:t xml:space="preserve"> cost-based fees.  </w:t>
      </w:r>
    </w:p>
    <w:p w:rsidR="001C615E" w:rsidRPr="0059512C" w:rsidP="006B26EA">
      <w:pPr>
        <w:pStyle w:val="ParaNum"/>
        <w:rPr>
          <w:szCs w:val="22"/>
        </w:rPr>
      </w:pPr>
      <w:r w:rsidRPr="0059512C">
        <w:rPr>
          <w:szCs w:val="22"/>
        </w:rPr>
        <w:t>We propose and seek comment on adopting the following cost-based fees for these applications—and we give as an examp</w:t>
      </w:r>
      <w:r w:rsidRPr="0059512C">
        <w:rPr>
          <w:szCs w:val="22"/>
        </w:rPr>
        <w:t xml:space="preserve">le the current fees for these services.  </w:t>
      </w:r>
      <w:r w:rsidR="003505A6">
        <w:rPr>
          <w:iCs/>
          <w:szCs w:val="22"/>
        </w:rPr>
        <w:t>We also seek comment on whether we should consolidate and streamline these proposed fees to ease the burden of administration and simplify compliance.</w:t>
      </w:r>
    </w:p>
    <w:tbl>
      <w:tblPr>
        <w:tblStyle w:val="TableGrid"/>
        <w:tblW w:w="0" w:type="auto"/>
        <w:tblInd w:w="355" w:type="dxa"/>
        <w:tblLook w:val="04A0"/>
      </w:tblPr>
      <w:tblGrid>
        <w:gridCol w:w="2970"/>
        <w:gridCol w:w="2430"/>
        <w:gridCol w:w="3595"/>
      </w:tblGrid>
      <w:tr w:rsidTr="004B401B">
        <w:tblPrEx>
          <w:tblW w:w="0" w:type="auto"/>
          <w:tblInd w:w="355" w:type="dxa"/>
          <w:tblLook w:val="04A0"/>
        </w:tblPrEx>
        <w:tc>
          <w:tcPr>
            <w:tcW w:w="2970" w:type="dxa"/>
          </w:tcPr>
          <w:p w:rsidR="001C615E" w:rsidRPr="0059512C" w:rsidP="004B401B">
            <w:pPr>
              <w:pStyle w:val="ParaNum"/>
              <w:numPr>
                <w:ilvl w:val="0"/>
                <w:numId w:val="0"/>
              </w:numPr>
              <w:rPr>
                <w:b/>
                <w:szCs w:val="22"/>
              </w:rPr>
            </w:pPr>
            <w:r w:rsidRPr="0059512C">
              <w:rPr>
                <w:b/>
                <w:szCs w:val="22"/>
              </w:rPr>
              <w:t>Application</w:t>
            </w:r>
          </w:p>
        </w:tc>
        <w:tc>
          <w:tcPr>
            <w:tcW w:w="2430" w:type="dxa"/>
          </w:tcPr>
          <w:p w:rsidR="001C615E" w:rsidRPr="0059512C" w:rsidP="004B401B">
            <w:pPr>
              <w:pStyle w:val="ParaNum"/>
              <w:numPr>
                <w:ilvl w:val="0"/>
                <w:numId w:val="0"/>
              </w:numPr>
              <w:rPr>
                <w:b/>
                <w:szCs w:val="22"/>
              </w:rPr>
            </w:pPr>
            <w:r w:rsidRPr="0059512C">
              <w:rPr>
                <w:b/>
                <w:szCs w:val="22"/>
              </w:rPr>
              <w:t xml:space="preserve">Current </w:t>
            </w:r>
            <w:r w:rsidRPr="0059512C" w:rsidR="00111C89">
              <w:rPr>
                <w:b/>
                <w:szCs w:val="22"/>
              </w:rPr>
              <w:t>F</w:t>
            </w:r>
            <w:r w:rsidRPr="0059512C">
              <w:rPr>
                <w:b/>
                <w:szCs w:val="22"/>
              </w:rPr>
              <w:t>ee</w:t>
            </w:r>
          </w:p>
        </w:tc>
        <w:tc>
          <w:tcPr>
            <w:tcW w:w="3595" w:type="dxa"/>
          </w:tcPr>
          <w:p w:rsidR="001C615E" w:rsidRPr="0059512C" w:rsidP="004B401B">
            <w:pPr>
              <w:pStyle w:val="ParaNum"/>
              <w:numPr>
                <w:ilvl w:val="0"/>
                <w:numId w:val="0"/>
              </w:numPr>
              <w:rPr>
                <w:b/>
                <w:szCs w:val="22"/>
              </w:rPr>
            </w:pPr>
            <w:r w:rsidRPr="0059512C">
              <w:rPr>
                <w:b/>
                <w:szCs w:val="22"/>
              </w:rPr>
              <w:t xml:space="preserve">Cost-based </w:t>
            </w:r>
            <w:r w:rsidRPr="0059512C" w:rsidR="00111C89">
              <w:rPr>
                <w:b/>
                <w:szCs w:val="22"/>
              </w:rPr>
              <w:t>Fee</w:t>
            </w:r>
          </w:p>
        </w:tc>
      </w:tr>
      <w:tr w:rsidTr="004B401B">
        <w:tblPrEx>
          <w:tblW w:w="0" w:type="auto"/>
          <w:tblInd w:w="355" w:type="dxa"/>
          <w:tblLook w:val="04A0"/>
        </w:tblPrEx>
        <w:tc>
          <w:tcPr>
            <w:tcW w:w="2970" w:type="dxa"/>
          </w:tcPr>
          <w:p w:rsidR="001C615E" w:rsidRPr="0059512C" w:rsidP="004B401B">
            <w:pPr>
              <w:pStyle w:val="ParaNum"/>
              <w:numPr>
                <w:ilvl w:val="0"/>
                <w:numId w:val="0"/>
              </w:numPr>
              <w:rPr>
                <w:szCs w:val="22"/>
              </w:rPr>
            </w:pPr>
            <w:r w:rsidRPr="0059512C">
              <w:rPr>
                <w:szCs w:val="22"/>
              </w:rPr>
              <w:t xml:space="preserve">Cable </w:t>
            </w:r>
            <w:r w:rsidRPr="0059512C">
              <w:rPr>
                <w:szCs w:val="22"/>
              </w:rPr>
              <w:t>television, CARS license</w:t>
            </w:r>
          </w:p>
        </w:tc>
        <w:tc>
          <w:tcPr>
            <w:tcW w:w="2430" w:type="dxa"/>
          </w:tcPr>
          <w:p w:rsidR="001C615E" w:rsidRPr="0059512C" w:rsidP="004B401B">
            <w:pPr>
              <w:pStyle w:val="ParaNum"/>
              <w:numPr>
                <w:ilvl w:val="0"/>
                <w:numId w:val="0"/>
              </w:numPr>
              <w:rPr>
                <w:szCs w:val="22"/>
              </w:rPr>
            </w:pPr>
            <w:r w:rsidRPr="0059512C">
              <w:rPr>
                <w:szCs w:val="22"/>
              </w:rPr>
              <w:t>$305</w:t>
            </w:r>
          </w:p>
        </w:tc>
        <w:tc>
          <w:tcPr>
            <w:tcW w:w="3595" w:type="dxa"/>
          </w:tcPr>
          <w:p w:rsidR="001C615E" w:rsidRPr="0059512C" w:rsidP="004B401B">
            <w:pPr>
              <w:pStyle w:val="ParaNum"/>
              <w:numPr>
                <w:ilvl w:val="0"/>
                <w:numId w:val="0"/>
              </w:numPr>
              <w:rPr>
                <w:szCs w:val="22"/>
              </w:rPr>
            </w:pPr>
            <w:r w:rsidRPr="0059512C">
              <w:rPr>
                <w:szCs w:val="22"/>
              </w:rPr>
              <w:t>$4</w:t>
            </w:r>
            <w:r w:rsidRPr="0059512C" w:rsidR="005940F9">
              <w:rPr>
                <w:szCs w:val="22"/>
              </w:rPr>
              <w:t>50</w:t>
            </w:r>
          </w:p>
        </w:tc>
      </w:tr>
      <w:tr w:rsidTr="004B401B">
        <w:tblPrEx>
          <w:tblW w:w="0" w:type="auto"/>
          <w:tblInd w:w="355" w:type="dxa"/>
          <w:tblLook w:val="04A0"/>
        </w:tblPrEx>
        <w:tc>
          <w:tcPr>
            <w:tcW w:w="2970" w:type="dxa"/>
          </w:tcPr>
          <w:p w:rsidR="001C615E" w:rsidRPr="0059512C" w:rsidP="004B401B">
            <w:pPr>
              <w:pStyle w:val="ParaNum"/>
              <w:numPr>
                <w:ilvl w:val="0"/>
                <w:numId w:val="0"/>
              </w:numPr>
              <w:rPr>
                <w:szCs w:val="22"/>
              </w:rPr>
            </w:pPr>
            <w:r w:rsidRPr="0059512C">
              <w:rPr>
                <w:szCs w:val="22"/>
              </w:rPr>
              <w:t>Cable television, CARS license modification, major</w:t>
            </w:r>
          </w:p>
        </w:tc>
        <w:tc>
          <w:tcPr>
            <w:tcW w:w="2430" w:type="dxa"/>
          </w:tcPr>
          <w:p w:rsidR="001C615E" w:rsidRPr="0059512C" w:rsidP="004B401B">
            <w:pPr>
              <w:pStyle w:val="ParaNum"/>
              <w:numPr>
                <w:ilvl w:val="0"/>
                <w:numId w:val="0"/>
              </w:numPr>
              <w:rPr>
                <w:szCs w:val="22"/>
              </w:rPr>
            </w:pPr>
            <w:r w:rsidRPr="0059512C">
              <w:rPr>
                <w:szCs w:val="22"/>
              </w:rPr>
              <w:t>$305</w:t>
            </w:r>
          </w:p>
        </w:tc>
        <w:tc>
          <w:tcPr>
            <w:tcW w:w="3595" w:type="dxa"/>
          </w:tcPr>
          <w:p w:rsidR="001C615E" w:rsidRPr="0059512C" w:rsidP="004B401B">
            <w:pPr>
              <w:pStyle w:val="ParaNum"/>
              <w:numPr>
                <w:ilvl w:val="0"/>
                <w:numId w:val="0"/>
              </w:numPr>
              <w:rPr>
                <w:szCs w:val="22"/>
              </w:rPr>
            </w:pPr>
            <w:r w:rsidRPr="0059512C">
              <w:rPr>
                <w:szCs w:val="22"/>
              </w:rPr>
              <w:t>$3</w:t>
            </w:r>
            <w:r w:rsidRPr="0059512C" w:rsidR="005940F9">
              <w:rPr>
                <w:szCs w:val="22"/>
              </w:rPr>
              <w:t>45</w:t>
            </w:r>
          </w:p>
        </w:tc>
      </w:tr>
      <w:tr w:rsidTr="004B401B">
        <w:tblPrEx>
          <w:tblW w:w="0" w:type="auto"/>
          <w:tblInd w:w="355" w:type="dxa"/>
          <w:tblLook w:val="04A0"/>
        </w:tblPrEx>
        <w:tc>
          <w:tcPr>
            <w:tcW w:w="2970" w:type="dxa"/>
          </w:tcPr>
          <w:p w:rsidR="001C615E" w:rsidRPr="0059512C" w:rsidP="004B401B">
            <w:pPr>
              <w:pStyle w:val="ParaNum"/>
              <w:numPr>
                <w:ilvl w:val="0"/>
                <w:numId w:val="0"/>
              </w:numPr>
              <w:rPr>
                <w:szCs w:val="22"/>
              </w:rPr>
            </w:pPr>
            <w:r w:rsidRPr="0059512C">
              <w:rPr>
                <w:szCs w:val="22"/>
              </w:rPr>
              <w:t>Cable television, CARS license modification, minor</w:t>
            </w:r>
          </w:p>
        </w:tc>
        <w:tc>
          <w:tcPr>
            <w:tcW w:w="2430" w:type="dxa"/>
          </w:tcPr>
          <w:p w:rsidR="001C615E" w:rsidRPr="0059512C" w:rsidP="004B401B">
            <w:pPr>
              <w:pStyle w:val="ParaNum"/>
              <w:numPr>
                <w:ilvl w:val="0"/>
                <w:numId w:val="0"/>
              </w:numPr>
              <w:rPr>
                <w:szCs w:val="22"/>
              </w:rPr>
            </w:pPr>
            <w:r w:rsidRPr="0059512C">
              <w:rPr>
                <w:szCs w:val="22"/>
              </w:rPr>
              <w:t>n/a</w:t>
            </w:r>
          </w:p>
        </w:tc>
        <w:tc>
          <w:tcPr>
            <w:tcW w:w="3595" w:type="dxa"/>
          </w:tcPr>
          <w:p w:rsidR="001C615E" w:rsidRPr="0059512C" w:rsidP="004B401B">
            <w:pPr>
              <w:pStyle w:val="ParaNum"/>
              <w:numPr>
                <w:ilvl w:val="0"/>
                <w:numId w:val="0"/>
              </w:numPr>
              <w:rPr>
                <w:szCs w:val="22"/>
              </w:rPr>
            </w:pPr>
            <w:r w:rsidRPr="0059512C">
              <w:rPr>
                <w:szCs w:val="22"/>
              </w:rPr>
              <w:t>$</w:t>
            </w:r>
            <w:r w:rsidRPr="0059512C" w:rsidR="005940F9">
              <w:rPr>
                <w:szCs w:val="22"/>
              </w:rPr>
              <w:t>50</w:t>
            </w:r>
          </w:p>
        </w:tc>
      </w:tr>
      <w:tr w:rsidTr="004B401B">
        <w:tblPrEx>
          <w:tblW w:w="0" w:type="auto"/>
          <w:tblInd w:w="355" w:type="dxa"/>
          <w:tblLook w:val="04A0"/>
        </w:tblPrEx>
        <w:tc>
          <w:tcPr>
            <w:tcW w:w="2970" w:type="dxa"/>
          </w:tcPr>
          <w:p w:rsidR="001C615E" w:rsidRPr="0059512C" w:rsidP="004B401B">
            <w:pPr>
              <w:pStyle w:val="ParaNum"/>
              <w:numPr>
                <w:ilvl w:val="0"/>
                <w:numId w:val="0"/>
              </w:numPr>
              <w:rPr>
                <w:szCs w:val="22"/>
              </w:rPr>
            </w:pPr>
            <w:r w:rsidRPr="0059512C">
              <w:rPr>
                <w:szCs w:val="22"/>
              </w:rPr>
              <w:t>Cable television, CARS license renewal</w:t>
            </w:r>
          </w:p>
        </w:tc>
        <w:tc>
          <w:tcPr>
            <w:tcW w:w="2430" w:type="dxa"/>
          </w:tcPr>
          <w:p w:rsidR="001C615E" w:rsidRPr="0059512C" w:rsidP="004B401B">
            <w:pPr>
              <w:pStyle w:val="ParaNum"/>
              <w:numPr>
                <w:ilvl w:val="0"/>
                <w:numId w:val="0"/>
              </w:numPr>
              <w:rPr>
                <w:szCs w:val="22"/>
              </w:rPr>
            </w:pPr>
            <w:r w:rsidRPr="0059512C">
              <w:rPr>
                <w:szCs w:val="22"/>
              </w:rPr>
              <w:t>$305</w:t>
            </w:r>
          </w:p>
        </w:tc>
        <w:tc>
          <w:tcPr>
            <w:tcW w:w="3595" w:type="dxa"/>
          </w:tcPr>
          <w:p w:rsidR="001C615E" w:rsidRPr="0059512C" w:rsidP="004B401B">
            <w:pPr>
              <w:pStyle w:val="ParaNum"/>
              <w:numPr>
                <w:ilvl w:val="0"/>
                <w:numId w:val="0"/>
              </w:numPr>
              <w:rPr>
                <w:szCs w:val="22"/>
              </w:rPr>
            </w:pPr>
            <w:r w:rsidRPr="0059512C">
              <w:rPr>
                <w:szCs w:val="22"/>
              </w:rPr>
              <w:t>$2</w:t>
            </w:r>
            <w:r w:rsidRPr="0059512C" w:rsidR="005940F9">
              <w:rPr>
                <w:szCs w:val="22"/>
              </w:rPr>
              <w:t>60</w:t>
            </w:r>
          </w:p>
        </w:tc>
      </w:tr>
      <w:tr w:rsidTr="004B401B">
        <w:tblPrEx>
          <w:tblW w:w="0" w:type="auto"/>
          <w:tblInd w:w="355" w:type="dxa"/>
          <w:tblLook w:val="04A0"/>
        </w:tblPrEx>
        <w:tc>
          <w:tcPr>
            <w:tcW w:w="2970" w:type="dxa"/>
          </w:tcPr>
          <w:p w:rsidR="001C615E" w:rsidRPr="0059512C" w:rsidP="004B401B">
            <w:pPr>
              <w:pStyle w:val="ParaNum"/>
              <w:numPr>
                <w:ilvl w:val="0"/>
                <w:numId w:val="0"/>
              </w:numPr>
              <w:rPr>
                <w:szCs w:val="22"/>
              </w:rPr>
            </w:pPr>
            <w:r w:rsidRPr="0059512C">
              <w:rPr>
                <w:szCs w:val="22"/>
              </w:rPr>
              <w:t xml:space="preserve">Cable television, CARS, license </w:t>
            </w:r>
            <w:r w:rsidRPr="0059512C">
              <w:rPr>
                <w:szCs w:val="22"/>
              </w:rPr>
              <w:t>assignment</w:t>
            </w:r>
          </w:p>
        </w:tc>
        <w:tc>
          <w:tcPr>
            <w:tcW w:w="2430" w:type="dxa"/>
          </w:tcPr>
          <w:p w:rsidR="001C615E" w:rsidRPr="0059512C" w:rsidP="004B401B">
            <w:pPr>
              <w:pStyle w:val="ParaNum"/>
              <w:numPr>
                <w:ilvl w:val="0"/>
                <w:numId w:val="0"/>
              </w:numPr>
              <w:rPr>
                <w:szCs w:val="22"/>
              </w:rPr>
            </w:pPr>
            <w:r w:rsidRPr="0059512C">
              <w:rPr>
                <w:szCs w:val="22"/>
              </w:rPr>
              <w:t>$305</w:t>
            </w:r>
          </w:p>
        </w:tc>
        <w:tc>
          <w:tcPr>
            <w:tcW w:w="3595" w:type="dxa"/>
          </w:tcPr>
          <w:p w:rsidR="001C615E" w:rsidRPr="0059512C" w:rsidP="004B401B">
            <w:pPr>
              <w:pStyle w:val="ParaNum"/>
              <w:numPr>
                <w:ilvl w:val="0"/>
                <w:numId w:val="0"/>
              </w:numPr>
              <w:rPr>
                <w:szCs w:val="22"/>
              </w:rPr>
            </w:pPr>
            <w:r w:rsidRPr="0059512C">
              <w:rPr>
                <w:szCs w:val="22"/>
              </w:rPr>
              <w:t>$3</w:t>
            </w:r>
            <w:r w:rsidRPr="0059512C" w:rsidR="005940F9">
              <w:rPr>
                <w:szCs w:val="22"/>
              </w:rPr>
              <w:t>65</w:t>
            </w:r>
          </w:p>
        </w:tc>
      </w:tr>
      <w:tr w:rsidTr="004B401B">
        <w:tblPrEx>
          <w:tblW w:w="0" w:type="auto"/>
          <w:tblInd w:w="355" w:type="dxa"/>
          <w:tblLook w:val="04A0"/>
        </w:tblPrEx>
        <w:tc>
          <w:tcPr>
            <w:tcW w:w="2970" w:type="dxa"/>
          </w:tcPr>
          <w:p w:rsidR="001C615E" w:rsidRPr="0059512C" w:rsidP="004B401B">
            <w:pPr>
              <w:pStyle w:val="ParaNum"/>
              <w:numPr>
                <w:ilvl w:val="0"/>
                <w:numId w:val="0"/>
              </w:numPr>
              <w:rPr>
                <w:szCs w:val="22"/>
              </w:rPr>
            </w:pPr>
            <w:r w:rsidRPr="0059512C">
              <w:rPr>
                <w:szCs w:val="22"/>
              </w:rPr>
              <w:t>Cable television, CARS, transfer of control</w:t>
            </w:r>
          </w:p>
        </w:tc>
        <w:tc>
          <w:tcPr>
            <w:tcW w:w="2430" w:type="dxa"/>
          </w:tcPr>
          <w:p w:rsidR="001C615E" w:rsidRPr="0059512C" w:rsidP="004B401B">
            <w:pPr>
              <w:pStyle w:val="ParaNum"/>
              <w:numPr>
                <w:ilvl w:val="0"/>
                <w:numId w:val="0"/>
              </w:numPr>
              <w:rPr>
                <w:szCs w:val="22"/>
              </w:rPr>
            </w:pPr>
            <w:r w:rsidRPr="0059512C">
              <w:rPr>
                <w:szCs w:val="22"/>
              </w:rPr>
              <w:t>$305</w:t>
            </w:r>
          </w:p>
        </w:tc>
        <w:tc>
          <w:tcPr>
            <w:tcW w:w="3595" w:type="dxa"/>
          </w:tcPr>
          <w:p w:rsidR="001C615E" w:rsidRPr="0059512C" w:rsidP="004B401B">
            <w:pPr>
              <w:pStyle w:val="ParaNum"/>
              <w:numPr>
                <w:ilvl w:val="0"/>
                <w:numId w:val="0"/>
              </w:numPr>
              <w:rPr>
                <w:szCs w:val="22"/>
              </w:rPr>
            </w:pPr>
            <w:r w:rsidRPr="0059512C">
              <w:rPr>
                <w:szCs w:val="22"/>
              </w:rPr>
              <w:t>$4</w:t>
            </w:r>
            <w:r w:rsidRPr="0059512C" w:rsidR="005940F9">
              <w:rPr>
                <w:szCs w:val="22"/>
              </w:rPr>
              <w:t>65</w:t>
            </w:r>
          </w:p>
        </w:tc>
      </w:tr>
      <w:tr w:rsidTr="004B401B">
        <w:tblPrEx>
          <w:tblW w:w="0" w:type="auto"/>
          <w:tblInd w:w="355" w:type="dxa"/>
          <w:tblLook w:val="04A0"/>
        </w:tblPrEx>
        <w:tc>
          <w:tcPr>
            <w:tcW w:w="2970" w:type="dxa"/>
          </w:tcPr>
          <w:p w:rsidR="001C615E" w:rsidRPr="0059512C" w:rsidP="004B401B">
            <w:pPr>
              <w:pStyle w:val="ParaNum"/>
              <w:numPr>
                <w:ilvl w:val="0"/>
                <w:numId w:val="0"/>
              </w:numPr>
              <w:rPr>
                <w:szCs w:val="22"/>
              </w:rPr>
            </w:pPr>
            <w:r w:rsidRPr="0059512C">
              <w:rPr>
                <w:szCs w:val="22"/>
              </w:rPr>
              <w:t>Cable television, CARS, STA</w:t>
            </w:r>
          </w:p>
        </w:tc>
        <w:tc>
          <w:tcPr>
            <w:tcW w:w="2430" w:type="dxa"/>
          </w:tcPr>
          <w:p w:rsidR="001C615E" w:rsidRPr="0059512C" w:rsidP="004B401B">
            <w:pPr>
              <w:pStyle w:val="ParaNum"/>
              <w:numPr>
                <w:ilvl w:val="0"/>
                <w:numId w:val="0"/>
              </w:numPr>
              <w:rPr>
                <w:szCs w:val="22"/>
              </w:rPr>
            </w:pPr>
            <w:r w:rsidRPr="0059512C">
              <w:rPr>
                <w:szCs w:val="22"/>
              </w:rPr>
              <w:t>$200</w:t>
            </w:r>
          </w:p>
        </w:tc>
        <w:tc>
          <w:tcPr>
            <w:tcW w:w="3595" w:type="dxa"/>
          </w:tcPr>
          <w:p w:rsidR="001C615E" w:rsidRPr="0059512C" w:rsidP="004B401B">
            <w:pPr>
              <w:pStyle w:val="ParaNum"/>
              <w:numPr>
                <w:ilvl w:val="0"/>
                <w:numId w:val="0"/>
              </w:numPr>
              <w:rPr>
                <w:szCs w:val="22"/>
              </w:rPr>
            </w:pPr>
            <w:r w:rsidRPr="0059512C">
              <w:rPr>
                <w:szCs w:val="22"/>
              </w:rPr>
              <w:t>$2</w:t>
            </w:r>
            <w:r w:rsidRPr="0059512C" w:rsidR="005940F9">
              <w:rPr>
                <w:szCs w:val="22"/>
              </w:rPr>
              <w:t>25</w:t>
            </w:r>
          </w:p>
        </w:tc>
      </w:tr>
      <w:tr w:rsidTr="004B401B">
        <w:tblPrEx>
          <w:tblW w:w="0" w:type="auto"/>
          <w:tblInd w:w="355" w:type="dxa"/>
          <w:tblLook w:val="04A0"/>
        </w:tblPrEx>
        <w:tc>
          <w:tcPr>
            <w:tcW w:w="2970" w:type="dxa"/>
          </w:tcPr>
          <w:p w:rsidR="001C615E" w:rsidRPr="0059512C" w:rsidP="004B401B">
            <w:pPr>
              <w:pStyle w:val="ParaNum"/>
              <w:numPr>
                <w:ilvl w:val="0"/>
                <w:numId w:val="0"/>
              </w:numPr>
              <w:rPr>
                <w:szCs w:val="22"/>
              </w:rPr>
            </w:pPr>
            <w:r w:rsidRPr="0059512C">
              <w:rPr>
                <w:szCs w:val="22"/>
              </w:rPr>
              <w:t>Cable television, special relief petition</w:t>
            </w:r>
          </w:p>
        </w:tc>
        <w:tc>
          <w:tcPr>
            <w:tcW w:w="2430" w:type="dxa"/>
          </w:tcPr>
          <w:p w:rsidR="001C615E" w:rsidRPr="0059512C" w:rsidP="004B401B">
            <w:pPr>
              <w:pStyle w:val="ParaNum"/>
              <w:numPr>
                <w:ilvl w:val="0"/>
                <w:numId w:val="0"/>
              </w:numPr>
              <w:rPr>
                <w:szCs w:val="22"/>
              </w:rPr>
            </w:pPr>
            <w:r w:rsidRPr="0059512C">
              <w:rPr>
                <w:szCs w:val="22"/>
              </w:rPr>
              <w:t>$1,550</w:t>
            </w:r>
          </w:p>
        </w:tc>
        <w:tc>
          <w:tcPr>
            <w:tcW w:w="3595" w:type="dxa"/>
          </w:tcPr>
          <w:p w:rsidR="001C615E" w:rsidRPr="0059512C" w:rsidP="004B401B">
            <w:pPr>
              <w:pStyle w:val="ParaNum"/>
              <w:numPr>
                <w:ilvl w:val="0"/>
                <w:numId w:val="0"/>
              </w:numPr>
              <w:rPr>
                <w:szCs w:val="22"/>
              </w:rPr>
            </w:pPr>
            <w:r w:rsidRPr="0059512C">
              <w:rPr>
                <w:szCs w:val="22"/>
              </w:rPr>
              <w:t>$1,</w:t>
            </w:r>
            <w:r w:rsidRPr="0059512C" w:rsidR="005940F9">
              <w:rPr>
                <w:szCs w:val="22"/>
              </w:rPr>
              <w:t>615</w:t>
            </w:r>
          </w:p>
        </w:tc>
      </w:tr>
      <w:tr w:rsidTr="004B401B">
        <w:tblPrEx>
          <w:tblW w:w="0" w:type="auto"/>
          <w:tblInd w:w="355" w:type="dxa"/>
          <w:tblLook w:val="04A0"/>
        </w:tblPrEx>
        <w:tc>
          <w:tcPr>
            <w:tcW w:w="2970" w:type="dxa"/>
          </w:tcPr>
          <w:p w:rsidR="001C615E" w:rsidRPr="0059512C" w:rsidP="004B401B">
            <w:pPr>
              <w:pStyle w:val="ParaNum"/>
              <w:numPr>
                <w:ilvl w:val="0"/>
                <w:numId w:val="0"/>
              </w:numPr>
              <w:rPr>
                <w:szCs w:val="22"/>
              </w:rPr>
            </w:pPr>
            <w:r w:rsidRPr="0059512C">
              <w:rPr>
                <w:szCs w:val="22"/>
              </w:rPr>
              <w:t>Cable television, CARS license, registration statement</w:t>
            </w:r>
          </w:p>
        </w:tc>
        <w:tc>
          <w:tcPr>
            <w:tcW w:w="2430" w:type="dxa"/>
          </w:tcPr>
          <w:p w:rsidR="001C615E" w:rsidRPr="0059512C" w:rsidP="004B401B">
            <w:pPr>
              <w:pStyle w:val="ParaNum"/>
              <w:numPr>
                <w:ilvl w:val="0"/>
                <w:numId w:val="0"/>
              </w:numPr>
              <w:rPr>
                <w:szCs w:val="22"/>
              </w:rPr>
            </w:pPr>
            <w:r w:rsidRPr="0059512C">
              <w:rPr>
                <w:szCs w:val="22"/>
              </w:rPr>
              <w:t>$70</w:t>
            </w:r>
          </w:p>
        </w:tc>
        <w:tc>
          <w:tcPr>
            <w:tcW w:w="3595" w:type="dxa"/>
          </w:tcPr>
          <w:p w:rsidR="001C615E" w:rsidRPr="0059512C" w:rsidP="004B401B">
            <w:pPr>
              <w:pStyle w:val="ParaNum"/>
              <w:numPr>
                <w:ilvl w:val="0"/>
                <w:numId w:val="0"/>
              </w:numPr>
              <w:rPr>
                <w:szCs w:val="22"/>
              </w:rPr>
            </w:pPr>
            <w:r w:rsidRPr="0059512C">
              <w:rPr>
                <w:szCs w:val="22"/>
              </w:rPr>
              <w:t>$10</w:t>
            </w:r>
            <w:r w:rsidRPr="0059512C" w:rsidR="005940F9">
              <w:rPr>
                <w:szCs w:val="22"/>
              </w:rPr>
              <w:t>5</w:t>
            </w:r>
          </w:p>
        </w:tc>
      </w:tr>
      <w:tr w:rsidTr="004B401B">
        <w:tblPrEx>
          <w:tblW w:w="0" w:type="auto"/>
          <w:tblInd w:w="355" w:type="dxa"/>
          <w:tblLook w:val="04A0"/>
        </w:tblPrEx>
        <w:tc>
          <w:tcPr>
            <w:tcW w:w="2970" w:type="dxa"/>
          </w:tcPr>
          <w:p w:rsidR="001C615E" w:rsidRPr="0059512C" w:rsidP="004B401B">
            <w:pPr>
              <w:pStyle w:val="ParaNum"/>
              <w:numPr>
                <w:ilvl w:val="0"/>
                <w:numId w:val="0"/>
              </w:numPr>
              <w:rPr>
                <w:szCs w:val="22"/>
              </w:rPr>
            </w:pPr>
            <w:r w:rsidRPr="0059512C">
              <w:rPr>
                <w:szCs w:val="22"/>
              </w:rPr>
              <w:t xml:space="preserve">Cable television, </w:t>
            </w:r>
            <w:r w:rsidR="008B176B">
              <w:rPr>
                <w:szCs w:val="22"/>
              </w:rPr>
              <w:t>multichannel video programming distributor (</w:t>
            </w:r>
            <w:r w:rsidRPr="0059512C">
              <w:rPr>
                <w:szCs w:val="22"/>
              </w:rPr>
              <w:t>MVPD</w:t>
            </w:r>
            <w:r w:rsidR="008B176B">
              <w:rPr>
                <w:szCs w:val="22"/>
              </w:rPr>
              <w:t>)</w:t>
            </w:r>
            <w:r w:rsidRPr="0059512C">
              <w:rPr>
                <w:szCs w:val="22"/>
              </w:rPr>
              <w:t xml:space="preserve"> aeronautical frequency usage notification</w:t>
            </w:r>
          </w:p>
        </w:tc>
        <w:tc>
          <w:tcPr>
            <w:tcW w:w="2430" w:type="dxa"/>
          </w:tcPr>
          <w:p w:rsidR="001C615E" w:rsidRPr="0059512C" w:rsidP="004B401B">
            <w:pPr>
              <w:pStyle w:val="ParaNum"/>
              <w:numPr>
                <w:ilvl w:val="0"/>
                <w:numId w:val="0"/>
              </w:numPr>
              <w:rPr>
                <w:szCs w:val="22"/>
              </w:rPr>
            </w:pPr>
            <w:r w:rsidRPr="0059512C">
              <w:rPr>
                <w:szCs w:val="22"/>
              </w:rPr>
              <w:t>$70</w:t>
            </w:r>
          </w:p>
        </w:tc>
        <w:tc>
          <w:tcPr>
            <w:tcW w:w="3595" w:type="dxa"/>
          </w:tcPr>
          <w:p w:rsidR="001C615E" w:rsidRPr="0059512C" w:rsidP="004B401B">
            <w:pPr>
              <w:pStyle w:val="ParaNum"/>
              <w:numPr>
                <w:ilvl w:val="0"/>
                <w:numId w:val="0"/>
              </w:numPr>
              <w:rPr>
                <w:szCs w:val="22"/>
              </w:rPr>
            </w:pPr>
            <w:r w:rsidRPr="0059512C">
              <w:rPr>
                <w:szCs w:val="22"/>
              </w:rPr>
              <w:t>$</w:t>
            </w:r>
            <w:r w:rsidRPr="0059512C" w:rsidR="005940F9">
              <w:rPr>
                <w:szCs w:val="22"/>
              </w:rPr>
              <w:t>90</w:t>
            </w:r>
          </w:p>
        </w:tc>
      </w:tr>
    </w:tbl>
    <w:p w:rsidR="001C615E" w:rsidRPr="0059512C" w:rsidP="001C615E">
      <w:pPr>
        <w:pStyle w:val="ParaNum"/>
        <w:numPr>
          <w:ilvl w:val="0"/>
          <w:numId w:val="0"/>
        </w:numPr>
        <w:ind w:left="990"/>
        <w:rPr>
          <w:szCs w:val="22"/>
        </w:rPr>
      </w:pPr>
    </w:p>
    <w:p w:rsidR="002A5E13" w:rsidRPr="0059512C" w:rsidP="002A5E13">
      <w:pPr>
        <w:pStyle w:val="ParaNum"/>
        <w:rPr>
          <w:szCs w:val="22"/>
        </w:rPr>
      </w:pPr>
      <w:r w:rsidRPr="0059512C">
        <w:rPr>
          <w:szCs w:val="22"/>
        </w:rPr>
        <w:t xml:space="preserve">We estimate that the Commission’s resources in processing an application for a new CARS </w:t>
      </w:r>
      <w:r w:rsidR="001E3FCA">
        <w:rPr>
          <w:szCs w:val="22"/>
        </w:rPr>
        <w:t>l</w:t>
      </w:r>
      <w:r w:rsidRPr="0059512C">
        <w:rPr>
          <w:szCs w:val="22"/>
        </w:rPr>
        <w:t xml:space="preserve">icense consist of </w:t>
      </w:r>
      <w:r w:rsidR="00882A83">
        <w:rPr>
          <w:szCs w:val="22"/>
        </w:rPr>
        <w:t xml:space="preserve"> </w:t>
      </w:r>
      <w:r w:rsidRPr="0059512C">
        <w:rPr>
          <w:szCs w:val="22"/>
        </w:rPr>
        <w:t xml:space="preserve">analyst </w:t>
      </w:r>
      <w:r w:rsidR="00596AD5">
        <w:rPr>
          <w:szCs w:val="22"/>
        </w:rPr>
        <w:t xml:space="preserve">application </w:t>
      </w:r>
      <w:r w:rsidRPr="0059512C">
        <w:rPr>
          <w:szCs w:val="22"/>
        </w:rPr>
        <w:t xml:space="preserve">review, </w:t>
      </w:r>
      <w:r w:rsidRPr="0059512C">
        <w:rPr>
          <w:szCs w:val="22"/>
        </w:rPr>
        <w:t>engineer</w:t>
      </w:r>
      <w:r w:rsidR="00596AD5">
        <w:rPr>
          <w:szCs w:val="22"/>
        </w:rPr>
        <w:t xml:space="preserve"> application</w:t>
      </w:r>
      <w:r w:rsidRPr="0059512C">
        <w:rPr>
          <w:szCs w:val="22"/>
        </w:rPr>
        <w:t xml:space="preserve"> evaluati</w:t>
      </w:r>
      <w:r w:rsidR="00596AD5">
        <w:rPr>
          <w:szCs w:val="22"/>
        </w:rPr>
        <w:t>on</w:t>
      </w:r>
      <w:r w:rsidRPr="0059512C">
        <w:rPr>
          <w:szCs w:val="22"/>
        </w:rPr>
        <w:t xml:space="preserve">, and engineer </w:t>
      </w:r>
      <w:r w:rsidR="00596AD5">
        <w:rPr>
          <w:szCs w:val="22"/>
        </w:rPr>
        <w:t xml:space="preserve">application </w:t>
      </w:r>
      <w:r w:rsidRPr="0059512C">
        <w:rPr>
          <w:szCs w:val="22"/>
        </w:rPr>
        <w:t>approv</w:t>
      </w:r>
      <w:r w:rsidR="00596AD5">
        <w:rPr>
          <w:szCs w:val="22"/>
        </w:rPr>
        <w:t>al</w:t>
      </w:r>
      <w:r w:rsidRPr="0059512C">
        <w:rPr>
          <w:szCs w:val="22"/>
        </w:rPr>
        <w:t>.  Our estimate is that the cost of this process is $4</w:t>
      </w:r>
      <w:r w:rsidRPr="0059512C" w:rsidR="00321E28">
        <w:rPr>
          <w:szCs w:val="22"/>
        </w:rPr>
        <w:t>50</w:t>
      </w:r>
      <w:r w:rsidRPr="0059512C">
        <w:rPr>
          <w:szCs w:val="22"/>
        </w:rPr>
        <w:t xml:space="preserve">.  For major license modifications, we estimate that the Commission’s resources in processing an application consist of analyst </w:t>
      </w:r>
      <w:r w:rsidR="00596AD5">
        <w:rPr>
          <w:szCs w:val="22"/>
        </w:rPr>
        <w:t xml:space="preserve">application </w:t>
      </w:r>
      <w:r w:rsidRPr="0059512C">
        <w:rPr>
          <w:szCs w:val="22"/>
        </w:rPr>
        <w:t xml:space="preserve">review, engineer </w:t>
      </w:r>
      <w:r w:rsidR="00596AD5">
        <w:rPr>
          <w:szCs w:val="22"/>
        </w:rPr>
        <w:t xml:space="preserve">application </w:t>
      </w:r>
      <w:r w:rsidRPr="0059512C">
        <w:rPr>
          <w:szCs w:val="22"/>
        </w:rPr>
        <w:t>evaluati</w:t>
      </w:r>
      <w:r w:rsidR="00596AD5">
        <w:rPr>
          <w:szCs w:val="22"/>
        </w:rPr>
        <w:t>o</w:t>
      </w:r>
      <w:r w:rsidRPr="0059512C">
        <w:rPr>
          <w:szCs w:val="22"/>
        </w:rPr>
        <w:t xml:space="preserve">n, and engineer </w:t>
      </w:r>
      <w:r w:rsidR="00596AD5">
        <w:rPr>
          <w:szCs w:val="22"/>
        </w:rPr>
        <w:t xml:space="preserve">application </w:t>
      </w:r>
      <w:r w:rsidRPr="0059512C">
        <w:rPr>
          <w:szCs w:val="22"/>
        </w:rPr>
        <w:t>approv</w:t>
      </w:r>
      <w:r w:rsidR="00596AD5">
        <w:rPr>
          <w:szCs w:val="22"/>
        </w:rPr>
        <w:t>al</w:t>
      </w:r>
      <w:r w:rsidRPr="0059512C">
        <w:rPr>
          <w:szCs w:val="22"/>
        </w:rPr>
        <w:t>.  Our estimate is that the cost of this process is $3</w:t>
      </w:r>
      <w:r w:rsidRPr="0059512C" w:rsidR="00321E28">
        <w:rPr>
          <w:szCs w:val="22"/>
        </w:rPr>
        <w:t>45</w:t>
      </w:r>
      <w:r w:rsidRPr="0059512C">
        <w:rPr>
          <w:szCs w:val="22"/>
        </w:rPr>
        <w:t xml:space="preserve">.  </w:t>
      </w:r>
      <w:r w:rsidR="001E3FCA">
        <w:rPr>
          <w:szCs w:val="22"/>
        </w:rPr>
        <w:t>W</w:t>
      </w:r>
      <w:r w:rsidRPr="0059512C">
        <w:rPr>
          <w:szCs w:val="22"/>
        </w:rPr>
        <w:t xml:space="preserve">e estimate that the Commission’s processing </w:t>
      </w:r>
      <w:r w:rsidR="001E3FCA">
        <w:rPr>
          <w:szCs w:val="22"/>
        </w:rPr>
        <w:t xml:space="preserve">of </w:t>
      </w:r>
      <w:r w:rsidRPr="0059512C">
        <w:rPr>
          <w:szCs w:val="22"/>
        </w:rPr>
        <w:t xml:space="preserve">an application for a CARS </w:t>
      </w:r>
      <w:r w:rsidR="001E3FCA">
        <w:rPr>
          <w:szCs w:val="22"/>
        </w:rPr>
        <w:t>l</w:t>
      </w:r>
      <w:r w:rsidRPr="0059512C">
        <w:rPr>
          <w:szCs w:val="22"/>
        </w:rPr>
        <w:t xml:space="preserve">icense </w:t>
      </w:r>
      <w:r w:rsidR="001E3FCA">
        <w:rPr>
          <w:szCs w:val="22"/>
        </w:rPr>
        <w:t>m</w:t>
      </w:r>
      <w:r w:rsidRPr="0059512C">
        <w:rPr>
          <w:szCs w:val="22"/>
        </w:rPr>
        <w:t xml:space="preserve">inor </w:t>
      </w:r>
      <w:r w:rsidR="001E3FCA">
        <w:rPr>
          <w:szCs w:val="22"/>
        </w:rPr>
        <w:t>m</w:t>
      </w:r>
      <w:r w:rsidRPr="0059512C">
        <w:rPr>
          <w:szCs w:val="22"/>
        </w:rPr>
        <w:t>odification consist</w:t>
      </w:r>
      <w:r w:rsidR="001E3FCA">
        <w:rPr>
          <w:szCs w:val="22"/>
        </w:rPr>
        <w:t>s</w:t>
      </w:r>
      <w:r w:rsidRPr="0059512C">
        <w:rPr>
          <w:szCs w:val="22"/>
        </w:rPr>
        <w:t xml:space="preserve"> of anal</w:t>
      </w:r>
      <w:r w:rsidRPr="0059512C">
        <w:rPr>
          <w:szCs w:val="22"/>
        </w:rPr>
        <w:t xml:space="preserve">yst </w:t>
      </w:r>
      <w:r w:rsidR="00596AD5">
        <w:rPr>
          <w:szCs w:val="22"/>
        </w:rPr>
        <w:t xml:space="preserve">application </w:t>
      </w:r>
      <w:r w:rsidRPr="0059512C" w:rsidR="001E3FCA">
        <w:rPr>
          <w:szCs w:val="22"/>
        </w:rPr>
        <w:t>review</w:t>
      </w:r>
      <w:r w:rsidRPr="0059512C">
        <w:rPr>
          <w:szCs w:val="22"/>
        </w:rPr>
        <w:t xml:space="preserve">, analyst </w:t>
      </w:r>
      <w:r w:rsidR="00596AD5">
        <w:rPr>
          <w:szCs w:val="22"/>
        </w:rPr>
        <w:t xml:space="preserve">application </w:t>
      </w:r>
      <w:r w:rsidRPr="0059512C">
        <w:rPr>
          <w:szCs w:val="22"/>
        </w:rPr>
        <w:t>evaluati</w:t>
      </w:r>
      <w:r w:rsidR="00596AD5">
        <w:rPr>
          <w:szCs w:val="22"/>
        </w:rPr>
        <w:t>o</w:t>
      </w:r>
      <w:r w:rsidRPr="0059512C">
        <w:rPr>
          <w:szCs w:val="22"/>
        </w:rPr>
        <w:t xml:space="preserve">n, and engineer </w:t>
      </w:r>
      <w:r w:rsidR="00596AD5">
        <w:rPr>
          <w:szCs w:val="22"/>
        </w:rPr>
        <w:t xml:space="preserve">application </w:t>
      </w:r>
      <w:r w:rsidRPr="0059512C">
        <w:rPr>
          <w:szCs w:val="22"/>
        </w:rPr>
        <w:t>approv</w:t>
      </w:r>
      <w:r w:rsidR="001E3FCA">
        <w:rPr>
          <w:szCs w:val="22"/>
        </w:rPr>
        <w:t>al</w:t>
      </w:r>
      <w:r w:rsidRPr="0059512C">
        <w:rPr>
          <w:szCs w:val="22"/>
        </w:rPr>
        <w:t xml:space="preserve">.  Our estimate is that the cost of this process is </w:t>
      </w:r>
      <w:r w:rsidRPr="002E374F" w:rsidR="00F12D1C">
        <w:t>$</w:t>
      </w:r>
      <w:r w:rsidR="00F12D1C">
        <w:rPr>
          <w:szCs w:val="22"/>
        </w:rPr>
        <w:t>50</w:t>
      </w:r>
      <w:r w:rsidRPr="0059512C">
        <w:rPr>
          <w:szCs w:val="22"/>
        </w:rPr>
        <w:t>.</w:t>
      </w:r>
    </w:p>
    <w:p w:rsidR="000A620B" w:rsidRPr="00BA704D" w:rsidP="00BA704D">
      <w:pPr>
        <w:pStyle w:val="ParaNum"/>
        <w:rPr>
          <w:szCs w:val="22"/>
        </w:rPr>
      </w:pPr>
      <w:r w:rsidRPr="0059512C">
        <w:rPr>
          <w:szCs w:val="22"/>
        </w:rPr>
        <w:t>The Commission’s processing of a</w:t>
      </w:r>
      <w:r w:rsidRPr="0059512C" w:rsidR="00FD3FC3">
        <w:rPr>
          <w:szCs w:val="22"/>
        </w:rPr>
        <w:t xml:space="preserve">n application for a CARS </w:t>
      </w:r>
      <w:r w:rsidRPr="0059512C">
        <w:rPr>
          <w:szCs w:val="22"/>
        </w:rPr>
        <w:t>l</w:t>
      </w:r>
      <w:r w:rsidRPr="0059512C" w:rsidR="00FD3FC3">
        <w:rPr>
          <w:szCs w:val="22"/>
        </w:rPr>
        <w:t xml:space="preserve">icense </w:t>
      </w:r>
      <w:r w:rsidRPr="0059512C">
        <w:rPr>
          <w:szCs w:val="22"/>
        </w:rPr>
        <w:t>r</w:t>
      </w:r>
      <w:r w:rsidRPr="0059512C" w:rsidR="00FD3FC3">
        <w:rPr>
          <w:szCs w:val="22"/>
        </w:rPr>
        <w:t>enewal consist</w:t>
      </w:r>
      <w:r w:rsidRPr="0059512C">
        <w:rPr>
          <w:szCs w:val="22"/>
        </w:rPr>
        <w:t>s</w:t>
      </w:r>
      <w:r w:rsidRPr="0059512C" w:rsidR="00FD3FC3">
        <w:rPr>
          <w:szCs w:val="22"/>
        </w:rPr>
        <w:t xml:space="preserve"> of analyst </w:t>
      </w:r>
      <w:r w:rsidR="00596AD5">
        <w:rPr>
          <w:szCs w:val="22"/>
        </w:rPr>
        <w:t xml:space="preserve">application </w:t>
      </w:r>
      <w:r w:rsidRPr="0059512C" w:rsidR="00FD3FC3">
        <w:rPr>
          <w:szCs w:val="22"/>
        </w:rPr>
        <w:t xml:space="preserve">review, engineer </w:t>
      </w:r>
      <w:r w:rsidR="00596AD5">
        <w:rPr>
          <w:szCs w:val="22"/>
        </w:rPr>
        <w:t xml:space="preserve">application </w:t>
      </w:r>
      <w:r w:rsidRPr="0059512C" w:rsidR="00FD3FC3">
        <w:rPr>
          <w:szCs w:val="22"/>
        </w:rPr>
        <w:t>evaluati</w:t>
      </w:r>
      <w:r w:rsidR="00596AD5">
        <w:rPr>
          <w:szCs w:val="22"/>
        </w:rPr>
        <w:t>o</w:t>
      </w:r>
      <w:r w:rsidRPr="0059512C" w:rsidR="00FD3FC3">
        <w:rPr>
          <w:szCs w:val="22"/>
        </w:rPr>
        <w:t xml:space="preserve">n, and engineer </w:t>
      </w:r>
      <w:r w:rsidR="00596AD5">
        <w:rPr>
          <w:szCs w:val="22"/>
        </w:rPr>
        <w:t xml:space="preserve">application </w:t>
      </w:r>
      <w:r w:rsidRPr="0059512C" w:rsidR="00FD3FC3">
        <w:rPr>
          <w:szCs w:val="22"/>
        </w:rPr>
        <w:t>approv</w:t>
      </w:r>
      <w:r w:rsidR="00596AD5">
        <w:rPr>
          <w:szCs w:val="22"/>
        </w:rPr>
        <w:t>al</w:t>
      </w:r>
      <w:r w:rsidRPr="0059512C" w:rsidR="00FD3FC3">
        <w:rPr>
          <w:szCs w:val="22"/>
        </w:rPr>
        <w:t>.  Our estimate is that the cost of this process is $2</w:t>
      </w:r>
      <w:r w:rsidRPr="0059512C" w:rsidR="00321E28">
        <w:rPr>
          <w:szCs w:val="22"/>
        </w:rPr>
        <w:t>60</w:t>
      </w:r>
      <w:r w:rsidRPr="0059512C" w:rsidR="00FD3FC3">
        <w:rPr>
          <w:szCs w:val="22"/>
        </w:rPr>
        <w:t>.</w:t>
      </w:r>
      <w:r w:rsidRPr="0059512C" w:rsidR="00FC783C">
        <w:rPr>
          <w:szCs w:val="22"/>
        </w:rPr>
        <w:t xml:space="preserve">  The processing of license assignments involve</w:t>
      </w:r>
      <w:r w:rsidR="001E3FCA">
        <w:rPr>
          <w:szCs w:val="22"/>
        </w:rPr>
        <w:t>s</w:t>
      </w:r>
      <w:r w:rsidRPr="0059512C" w:rsidR="00FC783C">
        <w:rPr>
          <w:szCs w:val="22"/>
        </w:rPr>
        <w:t xml:space="preserve"> an analyst reviewing </w:t>
      </w:r>
      <w:r w:rsidR="001E3FCA">
        <w:rPr>
          <w:szCs w:val="22"/>
        </w:rPr>
        <w:t xml:space="preserve">the </w:t>
      </w:r>
      <w:r w:rsidRPr="0059512C" w:rsidR="00FC783C">
        <w:rPr>
          <w:szCs w:val="22"/>
        </w:rPr>
        <w:t xml:space="preserve">application, </w:t>
      </w:r>
      <w:r w:rsidR="001E3FCA">
        <w:rPr>
          <w:szCs w:val="22"/>
        </w:rPr>
        <w:t xml:space="preserve">an </w:t>
      </w:r>
      <w:r w:rsidRPr="0059512C" w:rsidR="00FC783C">
        <w:rPr>
          <w:szCs w:val="22"/>
        </w:rPr>
        <w:t xml:space="preserve">engineer evaluating </w:t>
      </w:r>
      <w:r w:rsidR="001E3FCA">
        <w:rPr>
          <w:szCs w:val="22"/>
        </w:rPr>
        <w:t xml:space="preserve">the </w:t>
      </w:r>
      <w:r w:rsidRPr="0059512C" w:rsidR="00FC783C">
        <w:rPr>
          <w:szCs w:val="22"/>
        </w:rPr>
        <w:t xml:space="preserve">application, and </w:t>
      </w:r>
      <w:r w:rsidR="001E3FCA">
        <w:rPr>
          <w:szCs w:val="22"/>
        </w:rPr>
        <w:t xml:space="preserve">an </w:t>
      </w:r>
      <w:r w:rsidRPr="0059512C" w:rsidR="00FC783C">
        <w:rPr>
          <w:szCs w:val="22"/>
        </w:rPr>
        <w:t xml:space="preserve">attorney approving </w:t>
      </w:r>
      <w:r w:rsidR="001E3FCA">
        <w:rPr>
          <w:szCs w:val="22"/>
        </w:rPr>
        <w:t xml:space="preserve">the </w:t>
      </w:r>
      <w:r w:rsidRPr="0059512C" w:rsidR="00FC783C">
        <w:rPr>
          <w:szCs w:val="22"/>
        </w:rPr>
        <w:t>application.  Our estimate is that the cost of this process is $3</w:t>
      </w:r>
      <w:r w:rsidRPr="0059512C" w:rsidR="00321E28">
        <w:rPr>
          <w:szCs w:val="22"/>
        </w:rPr>
        <w:t>65</w:t>
      </w:r>
      <w:r w:rsidRPr="0059512C" w:rsidR="00FC783C">
        <w:rPr>
          <w:szCs w:val="22"/>
        </w:rPr>
        <w:t xml:space="preserve">.  </w:t>
      </w:r>
      <w:r w:rsidR="00882A83">
        <w:rPr>
          <w:szCs w:val="22"/>
        </w:rPr>
        <w:t>T</w:t>
      </w:r>
      <w:r w:rsidRPr="0059512C" w:rsidR="00FC783C">
        <w:rPr>
          <w:szCs w:val="22"/>
        </w:rPr>
        <w:t xml:space="preserve">he Commission’s processing an application for a CARS </w:t>
      </w:r>
      <w:r w:rsidR="001E3FCA">
        <w:rPr>
          <w:szCs w:val="22"/>
        </w:rPr>
        <w:t>t</w:t>
      </w:r>
      <w:r w:rsidRPr="0059512C" w:rsidR="00FC783C">
        <w:rPr>
          <w:szCs w:val="22"/>
        </w:rPr>
        <w:t xml:space="preserve">ransfer of </w:t>
      </w:r>
      <w:r w:rsidR="00882A83">
        <w:rPr>
          <w:szCs w:val="22"/>
        </w:rPr>
        <w:t>c</w:t>
      </w:r>
      <w:r w:rsidRPr="0059512C" w:rsidR="00FC783C">
        <w:rPr>
          <w:szCs w:val="22"/>
        </w:rPr>
        <w:t xml:space="preserve">ontrol </w:t>
      </w:r>
      <w:r w:rsidR="00882A83">
        <w:rPr>
          <w:szCs w:val="22"/>
        </w:rPr>
        <w:t xml:space="preserve">application </w:t>
      </w:r>
      <w:r w:rsidRPr="0059512C" w:rsidR="00FC783C">
        <w:rPr>
          <w:szCs w:val="22"/>
        </w:rPr>
        <w:t>consist</w:t>
      </w:r>
      <w:r w:rsidR="00882A83">
        <w:rPr>
          <w:szCs w:val="22"/>
        </w:rPr>
        <w:t>s</w:t>
      </w:r>
      <w:r w:rsidRPr="0059512C" w:rsidR="00FC783C">
        <w:rPr>
          <w:szCs w:val="22"/>
        </w:rPr>
        <w:t xml:space="preserve"> of </w:t>
      </w:r>
      <w:r w:rsidR="00882A83">
        <w:rPr>
          <w:szCs w:val="22"/>
        </w:rPr>
        <w:t xml:space="preserve">an </w:t>
      </w:r>
      <w:r w:rsidRPr="0059512C" w:rsidR="00FC783C">
        <w:rPr>
          <w:szCs w:val="22"/>
        </w:rPr>
        <w:t xml:space="preserve">analyst reviewing </w:t>
      </w:r>
      <w:r w:rsidR="00882A83">
        <w:rPr>
          <w:szCs w:val="22"/>
        </w:rPr>
        <w:t xml:space="preserve">the </w:t>
      </w:r>
      <w:r w:rsidRPr="0059512C" w:rsidR="00FC783C">
        <w:rPr>
          <w:szCs w:val="22"/>
        </w:rPr>
        <w:t xml:space="preserve">application, </w:t>
      </w:r>
      <w:r w:rsidR="00882A83">
        <w:rPr>
          <w:szCs w:val="22"/>
        </w:rPr>
        <w:t xml:space="preserve">an </w:t>
      </w:r>
      <w:r w:rsidRPr="0059512C" w:rsidR="00FC783C">
        <w:rPr>
          <w:szCs w:val="22"/>
        </w:rPr>
        <w:t xml:space="preserve">engineer evaluating </w:t>
      </w:r>
      <w:r w:rsidR="00882A83">
        <w:rPr>
          <w:szCs w:val="22"/>
        </w:rPr>
        <w:t xml:space="preserve">the </w:t>
      </w:r>
      <w:r w:rsidRPr="0059512C" w:rsidR="00FC783C">
        <w:rPr>
          <w:szCs w:val="22"/>
        </w:rPr>
        <w:t xml:space="preserve">application, and </w:t>
      </w:r>
      <w:r w:rsidR="00882A83">
        <w:rPr>
          <w:szCs w:val="22"/>
        </w:rPr>
        <w:t xml:space="preserve">an </w:t>
      </w:r>
      <w:r w:rsidRPr="0059512C" w:rsidR="00FC783C">
        <w:rPr>
          <w:szCs w:val="22"/>
        </w:rPr>
        <w:t xml:space="preserve">attorney approving </w:t>
      </w:r>
      <w:r w:rsidR="00882A83">
        <w:rPr>
          <w:szCs w:val="22"/>
        </w:rPr>
        <w:t xml:space="preserve">the </w:t>
      </w:r>
      <w:r w:rsidRPr="0059512C" w:rsidR="00FC783C">
        <w:rPr>
          <w:szCs w:val="22"/>
        </w:rPr>
        <w:t>application.  Our estimate is that the cost of this process is $4</w:t>
      </w:r>
      <w:r w:rsidRPr="0059512C" w:rsidR="00321E28">
        <w:rPr>
          <w:szCs w:val="22"/>
        </w:rPr>
        <w:t>65</w:t>
      </w:r>
      <w:r w:rsidRPr="0059512C" w:rsidR="00FC783C">
        <w:rPr>
          <w:szCs w:val="22"/>
        </w:rPr>
        <w:t xml:space="preserve">.  The Commission processes applications for STA by having an </w:t>
      </w:r>
      <w:r w:rsidRPr="0059512C" w:rsidR="00FD3FC3">
        <w:rPr>
          <w:szCs w:val="22"/>
        </w:rPr>
        <w:t>analyst revie</w:t>
      </w:r>
      <w:r w:rsidRPr="0059512C" w:rsidR="00FC783C">
        <w:rPr>
          <w:szCs w:val="22"/>
        </w:rPr>
        <w:t>w the</w:t>
      </w:r>
      <w:r w:rsidRPr="0059512C" w:rsidR="00FD3FC3">
        <w:rPr>
          <w:szCs w:val="22"/>
        </w:rPr>
        <w:t xml:space="preserve"> application </w:t>
      </w:r>
      <w:r w:rsidRPr="0059512C" w:rsidR="00FC783C">
        <w:rPr>
          <w:szCs w:val="22"/>
        </w:rPr>
        <w:t>an</w:t>
      </w:r>
      <w:r w:rsidR="00882A83">
        <w:rPr>
          <w:szCs w:val="22"/>
        </w:rPr>
        <w:t>d an</w:t>
      </w:r>
      <w:r w:rsidRPr="0059512C" w:rsidR="00FC783C">
        <w:rPr>
          <w:szCs w:val="22"/>
        </w:rPr>
        <w:t xml:space="preserve"> </w:t>
      </w:r>
      <w:r w:rsidRPr="0059512C" w:rsidR="00FD3FC3">
        <w:rPr>
          <w:szCs w:val="22"/>
        </w:rPr>
        <w:t>engineer evalua</w:t>
      </w:r>
      <w:r w:rsidRPr="0059512C" w:rsidR="00FC783C">
        <w:rPr>
          <w:szCs w:val="22"/>
        </w:rPr>
        <w:t>te and</w:t>
      </w:r>
      <w:r w:rsidRPr="0059512C" w:rsidR="00FD3FC3">
        <w:rPr>
          <w:szCs w:val="22"/>
        </w:rPr>
        <w:t xml:space="preserve"> approv</w:t>
      </w:r>
      <w:r w:rsidRPr="0059512C" w:rsidR="00FC783C">
        <w:rPr>
          <w:szCs w:val="22"/>
        </w:rPr>
        <w:t>e it</w:t>
      </w:r>
      <w:r w:rsidRPr="0059512C" w:rsidR="00FD3FC3">
        <w:rPr>
          <w:szCs w:val="22"/>
        </w:rPr>
        <w:t>.  Our estimate is that the cost of this process is $2</w:t>
      </w:r>
      <w:r w:rsidRPr="0059512C" w:rsidR="00321E28">
        <w:rPr>
          <w:szCs w:val="22"/>
        </w:rPr>
        <w:t>25</w:t>
      </w:r>
      <w:r w:rsidRPr="0059512C" w:rsidR="00FD3FC3">
        <w:rPr>
          <w:szCs w:val="22"/>
        </w:rPr>
        <w:t xml:space="preserve">.  We estimate that the Commission’s </w:t>
      </w:r>
      <w:r w:rsidRPr="0059512C" w:rsidR="00FB6C51">
        <w:rPr>
          <w:szCs w:val="22"/>
        </w:rPr>
        <w:t>resource</w:t>
      </w:r>
      <w:r w:rsidRPr="0059512C" w:rsidR="00FD3FC3">
        <w:rPr>
          <w:szCs w:val="22"/>
        </w:rPr>
        <w:t xml:space="preserve">s in processing an application for a </w:t>
      </w:r>
      <w:r w:rsidRPr="0059512C" w:rsidR="00FC783C">
        <w:rPr>
          <w:szCs w:val="22"/>
        </w:rPr>
        <w:t>s</w:t>
      </w:r>
      <w:r w:rsidRPr="0059512C" w:rsidR="00FD3FC3">
        <w:rPr>
          <w:szCs w:val="22"/>
        </w:rPr>
        <w:t xml:space="preserve">pecial </w:t>
      </w:r>
      <w:r w:rsidRPr="0059512C" w:rsidR="00FC783C">
        <w:rPr>
          <w:szCs w:val="22"/>
        </w:rPr>
        <w:t>r</w:t>
      </w:r>
      <w:r w:rsidRPr="0059512C" w:rsidR="00FD3FC3">
        <w:rPr>
          <w:szCs w:val="22"/>
        </w:rPr>
        <w:t xml:space="preserve">elief </w:t>
      </w:r>
      <w:r w:rsidRPr="0059512C" w:rsidR="00FC783C">
        <w:rPr>
          <w:szCs w:val="22"/>
        </w:rPr>
        <w:t>p</w:t>
      </w:r>
      <w:r w:rsidRPr="0059512C" w:rsidR="00FD3FC3">
        <w:rPr>
          <w:szCs w:val="22"/>
        </w:rPr>
        <w:t xml:space="preserve">etition consist of </w:t>
      </w:r>
      <w:r w:rsidRPr="0059512C" w:rsidR="00FC783C">
        <w:rPr>
          <w:szCs w:val="22"/>
        </w:rPr>
        <w:t xml:space="preserve">an </w:t>
      </w:r>
      <w:r w:rsidRPr="0059512C" w:rsidR="00FD3FC3">
        <w:rPr>
          <w:szCs w:val="22"/>
        </w:rPr>
        <w:t xml:space="preserve">analyst reviewing </w:t>
      </w:r>
      <w:r w:rsidRPr="0059512C" w:rsidR="00FC783C">
        <w:rPr>
          <w:szCs w:val="22"/>
        </w:rPr>
        <w:t xml:space="preserve">the </w:t>
      </w:r>
      <w:r w:rsidRPr="0059512C" w:rsidR="00FD3FC3">
        <w:rPr>
          <w:szCs w:val="22"/>
        </w:rPr>
        <w:t xml:space="preserve">application, </w:t>
      </w:r>
      <w:r w:rsidRPr="0059512C" w:rsidR="00FC783C">
        <w:rPr>
          <w:szCs w:val="22"/>
        </w:rPr>
        <w:t xml:space="preserve">an </w:t>
      </w:r>
      <w:r w:rsidRPr="0059512C" w:rsidR="00FD3FC3">
        <w:rPr>
          <w:szCs w:val="22"/>
        </w:rPr>
        <w:t xml:space="preserve">engineer evaluating </w:t>
      </w:r>
      <w:r w:rsidRPr="0059512C" w:rsidR="00FC783C">
        <w:rPr>
          <w:szCs w:val="22"/>
        </w:rPr>
        <w:t>it</w:t>
      </w:r>
      <w:r w:rsidRPr="0059512C" w:rsidR="00FD3FC3">
        <w:rPr>
          <w:szCs w:val="22"/>
        </w:rPr>
        <w:t>,</w:t>
      </w:r>
      <w:r w:rsidRPr="0059512C" w:rsidR="00FC783C">
        <w:rPr>
          <w:szCs w:val="22"/>
        </w:rPr>
        <w:t xml:space="preserve"> a</w:t>
      </w:r>
      <w:r w:rsidRPr="0059512C" w:rsidR="00FD3FC3">
        <w:rPr>
          <w:szCs w:val="22"/>
        </w:rPr>
        <w:t xml:space="preserve"> supervisory engineer evaluating </w:t>
      </w:r>
      <w:r w:rsidRPr="0059512C" w:rsidR="00FC783C">
        <w:rPr>
          <w:szCs w:val="22"/>
        </w:rPr>
        <w:t>it</w:t>
      </w:r>
      <w:r w:rsidRPr="0059512C" w:rsidR="00FD3FC3">
        <w:rPr>
          <w:szCs w:val="22"/>
        </w:rPr>
        <w:t xml:space="preserve">, and </w:t>
      </w:r>
      <w:r w:rsidRPr="0059512C" w:rsidR="00FC783C">
        <w:rPr>
          <w:szCs w:val="22"/>
        </w:rPr>
        <w:t xml:space="preserve">an </w:t>
      </w:r>
      <w:r w:rsidRPr="0059512C" w:rsidR="00FD3FC3">
        <w:rPr>
          <w:szCs w:val="22"/>
        </w:rPr>
        <w:t xml:space="preserve">attorney approving </w:t>
      </w:r>
      <w:r w:rsidRPr="0059512C" w:rsidR="00FC783C">
        <w:rPr>
          <w:szCs w:val="22"/>
        </w:rPr>
        <w:t xml:space="preserve">the </w:t>
      </w:r>
      <w:r w:rsidRPr="0059512C" w:rsidR="00FD3FC3">
        <w:rPr>
          <w:szCs w:val="22"/>
        </w:rPr>
        <w:t>application.  Our estimate is that the cost of this process is $1,</w:t>
      </w:r>
      <w:r w:rsidRPr="0059512C" w:rsidR="00321E28">
        <w:rPr>
          <w:szCs w:val="22"/>
        </w:rPr>
        <w:t>615</w:t>
      </w:r>
      <w:r w:rsidRPr="0059512C" w:rsidR="00FD3FC3">
        <w:rPr>
          <w:szCs w:val="22"/>
        </w:rPr>
        <w:t>.</w:t>
      </w:r>
      <w:r w:rsidRPr="0059512C" w:rsidR="00FC783C">
        <w:rPr>
          <w:szCs w:val="22"/>
        </w:rPr>
        <w:t xml:space="preserve">  </w:t>
      </w:r>
      <w:r w:rsidRPr="0059512C" w:rsidR="00FD3FC3">
        <w:rPr>
          <w:szCs w:val="22"/>
        </w:rPr>
        <w:t xml:space="preserve">We estimate that the Commission’s </w:t>
      </w:r>
      <w:r w:rsidRPr="0059512C" w:rsidR="00FC783C">
        <w:rPr>
          <w:szCs w:val="22"/>
        </w:rPr>
        <w:t>resource</w:t>
      </w:r>
      <w:r w:rsidRPr="0059512C" w:rsidR="00FD3FC3">
        <w:rPr>
          <w:szCs w:val="22"/>
        </w:rPr>
        <w:t xml:space="preserve">s in processing an application for a </w:t>
      </w:r>
      <w:r w:rsidRPr="0059512C" w:rsidR="00FC783C">
        <w:rPr>
          <w:szCs w:val="22"/>
        </w:rPr>
        <w:t>registration statement</w:t>
      </w:r>
      <w:r w:rsidRPr="0059512C" w:rsidR="00FD3FC3">
        <w:rPr>
          <w:szCs w:val="22"/>
        </w:rPr>
        <w:t xml:space="preserve"> consist of </w:t>
      </w:r>
      <w:r w:rsidR="00882A83">
        <w:rPr>
          <w:szCs w:val="22"/>
        </w:rPr>
        <w:t xml:space="preserve">an </w:t>
      </w:r>
      <w:r w:rsidRPr="0059512C" w:rsidR="00FD3FC3">
        <w:rPr>
          <w:szCs w:val="22"/>
        </w:rPr>
        <w:t xml:space="preserve">analyst reviewing </w:t>
      </w:r>
      <w:r w:rsidR="00882A83">
        <w:rPr>
          <w:szCs w:val="22"/>
        </w:rPr>
        <w:t xml:space="preserve">the </w:t>
      </w:r>
      <w:r w:rsidRPr="0059512C" w:rsidR="00FD3FC3">
        <w:rPr>
          <w:szCs w:val="22"/>
        </w:rPr>
        <w:t xml:space="preserve">application, </w:t>
      </w:r>
      <w:r w:rsidR="00882A83">
        <w:rPr>
          <w:szCs w:val="22"/>
        </w:rPr>
        <w:t xml:space="preserve">an </w:t>
      </w:r>
      <w:r w:rsidRPr="0059512C" w:rsidR="00FD3FC3">
        <w:rPr>
          <w:szCs w:val="22"/>
        </w:rPr>
        <w:t xml:space="preserve">analyst evaluating </w:t>
      </w:r>
      <w:r w:rsidR="00882A83">
        <w:rPr>
          <w:szCs w:val="22"/>
        </w:rPr>
        <w:t xml:space="preserve">the </w:t>
      </w:r>
      <w:r w:rsidRPr="0059512C" w:rsidR="00FD3FC3">
        <w:rPr>
          <w:szCs w:val="22"/>
        </w:rPr>
        <w:t xml:space="preserve">application, and </w:t>
      </w:r>
      <w:r w:rsidR="00882A83">
        <w:rPr>
          <w:szCs w:val="22"/>
        </w:rPr>
        <w:t xml:space="preserve">an </w:t>
      </w:r>
      <w:r w:rsidRPr="0059512C" w:rsidR="00FD3FC3">
        <w:rPr>
          <w:szCs w:val="22"/>
        </w:rPr>
        <w:t xml:space="preserve">engineer approving </w:t>
      </w:r>
      <w:r w:rsidR="00882A83">
        <w:rPr>
          <w:szCs w:val="22"/>
        </w:rPr>
        <w:t xml:space="preserve">the </w:t>
      </w:r>
      <w:r w:rsidRPr="0059512C" w:rsidR="00FD3FC3">
        <w:rPr>
          <w:szCs w:val="22"/>
        </w:rPr>
        <w:t>application.  Our estimate is that the cost of this process is $10</w:t>
      </w:r>
      <w:r w:rsidRPr="0059512C" w:rsidR="00321E28">
        <w:rPr>
          <w:szCs w:val="22"/>
        </w:rPr>
        <w:t>5</w:t>
      </w:r>
      <w:r w:rsidRPr="0059512C" w:rsidR="00FD3FC3">
        <w:rPr>
          <w:szCs w:val="22"/>
        </w:rPr>
        <w:t xml:space="preserve">. </w:t>
      </w:r>
      <w:r w:rsidR="00BA704D">
        <w:rPr>
          <w:szCs w:val="22"/>
        </w:rPr>
        <w:t xml:space="preserve"> </w:t>
      </w:r>
      <w:r w:rsidRPr="0059512C" w:rsidR="00FD3FC3">
        <w:rPr>
          <w:szCs w:val="22"/>
        </w:rPr>
        <w:t xml:space="preserve">We estimate that the Commission’s </w:t>
      </w:r>
      <w:r w:rsidRPr="0059512C" w:rsidR="00FC783C">
        <w:rPr>
          <w:szCs w:val="22"/>
        </w:rPr>
        <w:t>resources</w:t>
      </w:r>
      <w:r w:rsidRPr="0059512C" w:rsidR="00FD3FC3">
        <w:rPr>
          <w:szCs w:val="22"/>
        </w:rPr>
        <w:t xml:space="preserve"> in processing an application for </w:t>
      </w:r>
      <w:r w:rsidR="00882A83">
        <w:rPr>
          <w:szCs w:val="22"/>
        </w:rPr>
        <w:t xml:space="preserve">an </w:t>
      </w:r>
      <w:r w:rsidRPr="0059512C" w:rsidR="00FD3FC3">
        <w:rPr>
          <w:szCs w:val="22"/>
        </w:rPr>
        <w:t xml:space="preserve">MVPD </w:t>
      </w:r>
      <w:r w:rsidRPr="0059512C" w:rsidR="00FC783C">
        <w:rPr>
          <w:szCs w:val="22"/>
        </w:rPr>
        <w:t>a</w:t>
      </w:r>
      <w:r w:rsidRPr="0059512C" w:rsidR="00FD3FC3">
        <w:rPr>
          <w:szCs w:val="22"/>
        </w:rPr>
        <w:t xml:space="preserve">eronautical </w:t>
      </w:r>
      <w:r w:rsidRPr="0059512C" w:rsidR="00FC783C">
        <w:rPr>
          <w:szCs w:val="22"/>
        </w:rPr>
        <w:t>f</w:t>
      </w:r>
      <w:r w:rsidRPr="0059512C" w:rsidR="00FD3FC3">
        <w:rPr>
          <w:szCs w:val="22"/>
        </w:rPr>
        <w:t xml:space="preserve">requency </w:t>
      </w:r>
      <w:r w:rsidRPr="0059512C" w:rsidR="00FC783C">
        <w:rPr>
          <w:szCs w:val="22"/>
        </w:rPr>
        <w:t>u</w:t>
      </w:r>
      <w:r w:rsidRPr="0059512C" w:rsidR="00FD3FC3">
        <w:rPr>
          <w:szCs w:val="22"/>
        </w:rPr>
        <w:t xml:space="preserve">sage </w:t>
      </w:r>
      <w:r w:rsidRPr="0059512C" w:rsidR="00FC783C">
        <w:rPr>
          <w:szCs w:val="22"/>
        </w:rPr>
        <w:t>n</w:t>
      </w:r>
      <w:r w:rsidRPr="0059512C" w:rsidR="00FD3FC3">
        <w:rPr>
          <w:szCs w:val="22"/>
        </w:rPr>
        <w:t xml:space="preserve">otification consist of </w:t>
      </w:r>
      <w:r w:rsidR="00882A83">
        <w:rPr>
          <w:szCs w:val="22"/>
        </w:rPr>
        <w:t xml:space="preserve">an </w:t>
      </w:r>
      <w:r w:rsidRPr="0059512C" w:rsidR="00FD3FC3">
        <w:rPr>
          <w:szCs w:val="22"/>
        </w:rPr>
        <w:t xml:space="preserve">analyst reviewing </w:t>
      </w:r>
      <w:r w:rsidR="00882A83">
        <w:rPr>
          <w:szCs w:val="22"/>
        </w:rPr>
        <w:t xml:space="preserve">the </w:t>
      </w:r>
      <w:r w:rsidRPr="0059512C" w:rsidR="00FD3FC3">
        <w:rPr>
          <w:szCs w:val="22"/>
        </w:rPr>
        <w:t xml:space="preserve">application, </w:t>
      </w:r>
      <w:r w:rsidR="00882A83">
        <w:rPr>
          <w:szCs w:val="22"/>
        </w:rPr>
        <w:t xml:space="preserve">an </w:t>
      </w:r>
      <w:r w:rsidRPr="0059512C" w:rsidR="00FD3FC3">
        <w:rPr>
          <w:szCs w:val="22"/>
        </w:rPr>
        <w:t xml:space="preserve">analyst evaluating </w:t>
      </w:r>
      <w:r w:rsidR="00882A83">
        <w:rPr>
          <w:szCs w:val="22"/>
        </w:rPr>
        <w:t xml:space="preserve">the </w:t>
      </w:r>
      <w:r w:rsidRPr="0059512C" w:rsidR="00FD3FC3">
        <w:rPr>
          <w:szCs w:val="22"/>
        </w:rPr>
        <w:t xml:space="preserve">application, and </w:t>
      </w:r>
      <w:r w:rsidR="00882A83">
        <w:rPr>
          <w:szCs w:val="22"/>
        </w:rPr>
        <w:t xml:space="preserve">an </w:t>
      </w:r>
      <w:r w:rsidRPr="0059512C" w:rsidR="00FD3FC3">
        <w:rPr>
          <w:szCs w:val="22"/>
        </w:rPr>
        <w:t xml:space="preserve">engineer approving </w:t>
      </w:r>
      <w:r w:rsidR="00882A83">
        <w:rPr>
          <w:szCs w:val="22"/>
        </w:rPr>
        <w:t xml:space="preserve">the </w:t>
      </w:r>
      <w:r w:rsidRPr="0059512C" w:rsidR="00FD3FC3">
        <w:rPr>
          <w:szCs w:val="22"/>
        </w:rPr>
        <w:t>application.  Our estimate is that the cost of this process is $</w:t>
      </w:r>
      <w:r w:rsidRPr="0059512C" w:rsidR="00321E28">
        <w:rPr>
          <w:szCs w:val="22"/>
        </w:rPr>
        <w:t>9</w:t>
      </w:r>
      <w:r w:rsidRPr="0059512C" w:rsidR="001C0462">
        <w:rPr>
          <w:szCs w:val="22"/>
        </w:rPr>
        <w:t>0</w:t>
      </w:r>
      <w:r w:rsidRPr="0059512C" w:rsidR="00FD3FC3">
        <w:rPr>
          <w:szCs w:val="22"/>
        </w:rPr>
        <w:t>.</w:t>
      </w:r>
    </w:p>
    <w:p w:rsidR="001C615E" w:rsidRPr="0059512C" w:rsidP="00020760">
      <w:pPr>
        <w:pStyle w:val="Heading4"/>
        <w:rPr>
          <w:szCs w:val="22"/>
        </w:rPr>
      </w:pPr>
      <w:r>
        <w:rPr>
          <w:szCs w:val="22"/>
        </w:rPr>
        <w:t>Commercial AM and FM</w:t>
      </w:r>
      <w:bookmarkStart w:id="181" w:name="_Toc18066916"/>
      <w:bookmarkStart w:id="182" w:name="_Toc18939777"/>
      <w:bookmarkStart w:id="183" w:name="_Toc19795077"/>
      <w:bookmarkStart w:id="184" w:name="_Toc19796446"/>
      <w:bookmarkStart w:id="185" w:name="_Toc19796804"/>
      <w:bookmarkStart w:id="186" w:name="_Toc28005097"/>
      <w:bookmarkStart w:id="187" w:name="_Toc29557395"/>
      <w:bookmarkStart w:id="188" w:name="_Toc35268569"/>
      <w:r w:rsidR="00A47317">
        <w:rPr>
          <w:szCs w:val="22"/>
        </w:rPr>
        <w:t xml:space="preserve"> </w:t>
      </w:r>
      <w:r w:rsidRPr="0059512C" w:rsidR="00A47317">
        <w:rPr>
          <w:szCs w:val="22"/>
        </w:rPr>
        <w:t>Radio Stations</w:t>
      </w:r>
      <w:bookmarkEnd w:id="181"/>
      <w:bookmarkEnd w:id="182"/>
      <w:bookmarkEnd w:id="183"/>
      <w:bookmarkEnd w:id="184"/>
      <w:bookmarkEnd w:id="185"/>
      <w:bookmarkEnd w:id="186"/>
      <w:bookmarkEnd w:id="187"/>
      <w:bookmarkEnd w:id="188"/>
    </w:p>
    <w:p w:rsidR="001C615E" w:rsidRPr="0059512C" w:rsidP="001C615E">
      <w:pPr>
        <w:pStyle w:val="ParaNum"/>
        <w:rPr>
          <w:szCs w:val="22"/>
        </w:rPr>
      </w:pPr>
      <w:r w:rsidRPr="0059512C">
        <w:rPr>
          <w:szCs w:val="22"/>
        </w:rPr>
        <w:t xml:space="preserve">The radio broadcast service includes the commercial and noncommercial educational AM and FM radio services, and also the noncommercial educational </w:t>
      </w:r>
      <w:r w:rsidR="00787A59">
        <w:rPr>
          <w:szCs w:val="22"/>
        </w:rPr>
        <w:t>l</w:t>
      </w:r>
      <w:r w:rsidRPr="0059512C">
        <w:rPr>
          <w:szCs w:val="22"/>
        </w:rPr>
        <w:t xml:space="preserve">ow </w:t>
      </w:r>
      <w:r w:rsidR="00787A59">
        <w:rPr>
          <w:szCs w:val="22"/>
        </w:rPr>
        <w:t>p</w:t>
      </w:r>
      <w:r w:rsidRPr="0059512C">
        <w:rPr>
          <w:szCs w:val="22"/>
        </w:rPr>
        <w:t>ower FM radio service.  A party must apply for a construction permit</w:t>
      </w:r>
      <w:r w:rsidRPr="0059512C">
        <w:rPr>
          <w:szCs w:val="22"/>
        </w:rPr>
        <w:t xml:space="preserve"> before building a new AM or FM radio station.  The applicant must demonstrate that it is legally, technically, and financially qualified to construct and operate the station as specified in its application and that the proposed facility will not cause obj</w:t>
      </w:r>
      <w:r w:rsidRPr="0059512C">
        <w:rPr>
          <w:szCs w:val="22"/>
        </w:rPr>
        <w:t>ectionable interference to any other station.  Once its application has been granted, the applicant is issued a construction permit, which authorizes the applicant to build the station within a specified period of time, usually three years.  After the appl</w:t>
      </w:r>
      <w:r w:rsidRPr="0059512C">
        <w:rPr>
          <w:szCs w:val="22"/>
        </w:rPr>
        <w:t>icant, now a permittee, builds the station, it must file a license application, in which it certifies that it has constructed the station consistent with the technical and other terms specified in its construction permit.  Upon grant of that license applic</w:t>
      </w:r>
      <w:r w:rsidRPr="0059512C">
        <w:rPr>
          <w:szCs w:val="22"/>
        </w:rPr>
        <w:t>ation, the FCC issues the new license to operate to the permittee, now a licensee, which authorizes the new licensee to operate for a stated period of time, up to eight years.  At the close of this period, the licensee must seek renewal of its license.</w:t>
      </w:r>
    </w:p>
    <w:p w:rsidR="005F4CE9" w:rsidRPr="0059512C" w:rsidP="005F4CE9">
      <w:pPr>
        <w:pStyle w:val="ParaNum"/>
        <w:rPr>
          <w:szCs w:val="22"/>
        </w:rPr>
      </w:pPr>
      <w:bookmarkStart w:id="189" w:name="_Toc19795078"/>
      <w:bookmarkStart w:id="190" w:name="_Toc19796447"/>
      <w:bookmarkStart w:id="191" w:name="_Toc19796805"/>
      <w:bookmarkStart w:id="192" w:name="_Toc35268570"/>
      <w:r w:rsidRPr="0060706A">
        <w:rPr>
          <w:i/>
        </w:rPr>
        <w:t xml:space="preserve">Commercial AM </w:t>
      </w:r>
      <w:bookmarkEnd w:id="189"/>
      <w:bookmarkEnd w:id="190"/>
      <w:bookmarkEnd w:id="191"/>
      <w:bookmarkEnd w:id="192"/>
      <w:r w:rsidRPr="005E085B">
        <w:rPr>
          <w:bCs/>
          <w:i/>
          <w:iCs/>
          <w:szCs w:val="22"/>
        </w:rPr>
        <w:t>S</w:t>
      </w:r>
      <w:r>
        <w:rPr>
          <w:i/>
          <w:iCs/>
          <w:szCs w:val="22"/>
        </w:rPr>
        <w:t xml:space="preserve">tations.  </w:t>
      </w:r>
      <w:r w:rsidRPr="0059512C" w:rsidR="00C7124F">
        <w:rPr>
          <w:szCs w:val="22"/>
        </w:rPr>
        <w:t>The following table summarizes the current application fees and the</w:t>
      </w:r>
      <w:r w:rsidRPr="0059512C" w:rsidR="00A24425">
        <w:rPr>
          <w:szCs w:val="22"/>
        </w:rPr>
        <w:t xml:space="preserve"> proposed</w:t>
      </w:r>
      <w:r w:rsidRPr="0059512C" w:rsidR="00C7124F">
        <w:rPr>
          <w:szCs w:val="22"/>
        </w:rPr>
        <w:t xml:space="preserve"> cost-based fees.  </w:t>
      </w:r>
      <w:r w:rsidRPr="0059512C">
        <w:rPr>
          <w:szCs w:val="22"/>
        </w:rPr>
        <w:t xml:space="preserve">We propose and seek comment on adopting the following cost-based fees for these applications—and we give as an example the current fees </w:t>
      </w:r>
      <w:r w:rsidRPr="0059512C">
        <w:rPr>
          <w:szCs w:val="22"/>
        </w:rPr>
        <w:t xml:space="preserve">for these services.  </w:t>
      </w:r>
    </w:p>
    <w:tbl>
      <w:tblPr>
        <w:tblStyle w:val="TableGrid"/>
        <w:tblW w:w="0" w:type="auto"/>
        <w:tblInd w:w="990" w:type="dxa"/>
        <w:tblLook w:val="04A0"/>
      </w:tblPr>
      <w:tblGrid>
        <w:gridCol w:w="2828"/>
        <w:gridCol w:w="2758"/>
        <w:gridCol w:w="2774"/>
      </w:tblGrid>
      <w:tr w:rsidTr="005F4CE9">
        <w:tblPrEx>
          <w:tblW w:w="0" w:type="auto"/>
          <w:tblInd w:w="990" w:type="dxa"/>
          <w:tblLook w:val="04A0"/>
        </w:tblPrEx>
        <w:tc>
          <w:tcPr>
            <w:tcW w:w="2828" w:type="dxa"/>
          </w:tcPr>
          <w:p w:rsidR="001C615E" w:rsidRPr="0059512C" w:rsidP="004B401B">
            <w:pPr>
              <w:pStyle w:val="ParaNum"/>
              <w:numPr>
                <w:ilvl w:val="0"/>
                <w:numId w:val="0"/>
              </w:numPr>
              <w:rPr>
                <w:b/>
                <w:szCs w:val="22"/>
              </w:rPr>
            </w:pPr>
            <w:r w:rsidRPr="0059512C">
              <w:rPr>
                <w:b/>
                <w:szCs w:val="22"/>
              </w:rPr>
              <w:t>Application</w:t>
            </w:r>
          </w:p>
        </w:tc>
        <w:tc>
          <w:tcPr>
            <w:tcW w:w="2758" w:type="dxa"/>
          </w:tcPr>
          <w:p w:rsidR="001C615E" w:rsidRPr="0059512C" w:rsidP="004B401B">
            <w:pPr>
              <w:pStyle w:val="ParaNum"/>
              <w:numPr>
                <w:ilvl w:val="0"/>
                <w:numId w:val="0"/>
              </w:numPr>
              <w:rPr>
                <w:b/>
                <w:szCs w:val="22"/>
              </w:rPr>
            </w:pPr>
            <w:r w:rsidRPr="0059512C">
              <w:rPr>
                <w:b/>
                <w:szCs w:val="22"/>
              </w:rPr>
              <w:t xml:space="preserve">Current </w:t>
            </w:r>
            <w:r w:rsidRPr="0059512C" w:rsidR="00CD5C89">
              <w:rPr>
                <w:b/>
                <w:szCs w:val="22"/>
              </w:rPr>
              <w:t>F</w:t>
            </w:r>
            <w:r w:rsidRPr="0059512C">
              <w:rPr>
                <w:b/>
                <w:szCs w:val="22"/>
              </w:rPr>
              <w:t>ee</w:t>
            </w:r>
          </w:p>
        </w:tc>
        <w:tc>
          <w:tcPr>
            <w:tcW w:w="2774" w:type="dxa"/>
          </w:tcPr>
          <w:p w:rsidR="001C615E" w:rsidRPr="0059512C" w:rsidP="004B401B">
            <w:pPr>
              <w:pStyle w:val="ParaNum"/>
              <w:numPr>
                <w:ilvl w:val="0"/>
                <w:numId w:val="0"/>
              </w:numPr>
              <w:rPr>
                <w:b/>
                <w:szCs w:val="22"/>
              </w:rPr>
            </w:pPr>
            <w:r w:rsidRPr="0059512C">
              <w:rPr>
                <w:b/>
                <w:szCs w:val="22"/>
              </w:rPr>
              <w:t xml:space="preserve">Cost-based </w:t>
            </w:r>
            <w:r w:rsidRPr="0059512C" w:rsidR="00CD5C89">
              <w:rPr>
                <w:b/>
                <w:szCs w:val="22"/>
              </w:rPr>
              <w:t>Fee</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AM radio new construction permit</w:t>
            </w:r>
            <w:r w:rsidRPr="0059512C" w:rsidR="00DD3A01">
              <w:rPr>
                <w:szCs w:val="22"/>
              </w:rPr>
              <w:t xml:space="preserve"> (including Post-Auction Long Form Application)</w:t>
            </w:r>
          </w:p>
        </w:tc>
        <w:tc>
          <w:tcPr>
            <w:tcW w:w="2758" w:type="dxa"/>
          </w:tcPr>
          <w:p w:rsidR="001C615E" w:rsidRPr="0059512C" w:rsidP="004B401B">
            <w:pPr>
              <w:pStyle w:val="ParaNum"/>
              <w:numPr>
                <w:ilvl w:val="0"/>
                <w:numId w:val="0"/>
              </w:numPr>
              <w:rPr>
                <w:szCs w:val="22"/>
              </w:rPr>
            </w:pPr>
            <w:r w:rsidRPr="0059512C">
              <w:rPr>
                <w:szCs w:val="22"/>
              </w:rPr>
              <w:t>$4,415</w:t>
            </w:r>
          </w:p>
        </w:tc>
        <w:tc>
          <w:tcPr>
            <w:tcW w:w="2774" w:type="dxa"/>
          </w:tcPr>
          <w:p w:rsidR="001C615E" w:rsidRPr="0059512C" w:rsidP="004B401B">
            <w:pPr>
              <w:pStyle w:val="ParaNum"/>
              <w:numPr>
                <w:ilvl w:val="0"/>
                <w:numId w:val="0"/>
              </w:numPr>
              <w:rPr>
                <w:szCs w:val="22"/>
              </w:rPr>
            </w:pPr>
            <w:r w:rsidRPr="0059512C">
              <w:rPr>
                <w:szCs w:val="22"/>
              </w:rPr>
              <w:t>$3,</w:t>
            </w:r>
            <w:r w:rsidRPr="0059512C" w:rsidR="005940F9">
              <w:rPr>
                <w:szCs w:val="22"/>
              </w:rPr>
              <w:t>980</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AM radio, minor modification</w:t>
            </w:r>
          </w:p>
        </w:tc>
        <w:tc>
          <w:tcPr>
            <w:tcW w:w="2758" w:type="dxa"/>
          </w:tcPr>
          <w:p w:rsidR="001C615E" w:rsidRPr="0059512C" w:rsidP="004B401B">
            <w:pPr>
              <w:pStyle w:val="ParaNum"/>
              <w:numPr>
                <w:ilvl w:val="0"/>
                <w:numId w:val="0"/>
              </w:numPr>
              <w:rPr>
                <w:szCs w:val="22"/>
              </w:rPr>
            </w:pPr>
            <w:r w:rsidRPr="0059512C">
              <w:rPr>
                <w:szCs w:val="22"/>
              </w:rPr>
              <w:t>$1,110</w:t>
            </w:r>
          </w:p>
        </w:tc>
        <w:tc>
          <w:tcPr>
            <w:tcW w:w="2774" w:type="dxa"/>
          </w:tcPr>
          <w:p w:rsidR="001C615E" w:rsidRPr="0059512C" w:rsidP="004B401B">
            <w:pPr>
              <w:pStyle w:val="ParaNum"/>
              <w:numPr>
                <w:ilvl w:val="0"/>
                <w:numId w:val="0"/>
              </w:numPr>
              <w:rPr>
                <w:szCs w:val="22"/>
              </w:rPr>
            </w:pPr>
            <w:r w:rsidRPr="0059512C">
              <w:rPr>
                <w:szCs w:val="22"/>
              </w:rPr>
              <w:t>$1,</w:t>
            </w:r>
            <w:r w:rsidRPr="0059512C" w:rsidR="005940F9">
              <w:rPr>
                <w:szCs w:val="22"/>
              </w:rPr>
              <w:t>625</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AM radio, Main Studio Request</w:t>
            </w:r>
            <w:r>
              <w:rPr>
                <w:rStyle w:val="FootnoteReference"/>
                <w:sz w:val="22"/>
              </w:rPr>
              <w:footnoteReference w:id="50"/>
            </w:r>
          </w:p>
        </w:tc>
        <w:tc>
          <w:tcPr>
            <w:tcW w:w="2758" w:type="dxa"/>
          </w:tcPr>
          <w:p w:rsidR="001C615E" w:rsidRPr="0059512C" w:rsidP="004B401B">
            <w:pPr>
              <w:pStyle w:val="ParaNum"/>
              <w:numPr>
                <w:ilvl w:val="0"/>
                <w:numId w:val="0"/>
              </w:numPr>
              <w:rPr>
                <w:szCs w:val="22"/>
              </w:rPr>
            </w:pPr>
            <w:r w:rsidRPr="0059512C">
              <w:rPr>
                <w:szCs w:val="22"/>
              </w:rPr>
              <w:t>$1,110</w:t>
            </w:r>
          </w:p>
        </w:tc>
        <w:tc>
          <w:tcPr>
            <w:tcW w:w="2774" w:type="dxa"/>
          </w:tcPr>
          <w:p w:rsidR="001C615E" w:rsidRPr="0059512C" w:rsidP="004B401B">
            <w:pPr>
              <w:pStyle w:val="ParaNum"/>
              <w:numPr>
                <w:ilvl w:val="0"/>
                <w:numId w:val="0"/>
              </w:numPr>
              <w:rPr>
                <w:szCs w:val="22"/>
              </w:rPr>
            </w:pPr>
            <w:r w:rsidRPr="0059512C">
              <w:rPr>
                <w:szCs w:val="22"/>
              </w:rPr>
              <w:t>Remove</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 xml:space="preserve">AM </w:t>
            </w:r>
            <w:r w:rsidRPr="0059512C">
              <w:rPr>
                <w:szCs w:val="22"/>
              </w:rPr>
              <w:t>radio, new license</w:t>
            </w:r>
          </w:p>
        </w:tc>
        <w:tc>
          <w:tcPr>
            <w:tcW w:w="2758" w:type="dxa"/>
          </w:tcPr>
          <w:p w:rsidR="001C615E" w:rsidRPr="0059512C" w:rsidP="004B401B">
            <w:pPr>
              <w:pStyle w:val="ParaNum"/>
              <w:numPr>
                <w:ilvl w:val="0"/>
                <w:numId w:val="0"/>
              </w:numPr>
              <w:rPr>
                <w:szCs w:val="22"/>
              </w:rPr>
            </w:pPr>
            <w:r w:rsidRPr="0059512C">
              <w:rPr>
                <w:szCs w:val="22"/>
              </w:rPr>
              <w:t>$725</w:t>
            </w:r>
          </w:p>
        </w:tc>
        <w:tc>
          <w:tcPr>
            <w:tcW w:w="2774" w:type="dxa"/>
          </w:tcPr>
          <w:p w:rsidR="001C615E" w:rsidRPr="0059512C" w:rsidP="004B401B">
            <w:pPr>
              <w:pStyle w:val="ParaNum"/>
              <w:numPr>
                <w:ilvl w:val="0"/>
                <w:numId w:val="0"/>
              </w:numPr>
              <w:rPr>
                <w:szCs w:val="22"/>
              </w:rPr>
            </w:pPr>
            <w:r w:rsidRPr="0059512C">
              <w:rPr>
                <w:szCs w:val="22"/>
              </w:rPr>
              <w:t>$6</w:t>
            </w:r>
            <w:r w:rsidRPr="0059512C" w:rsidR="005940F9">
              <w:rPr>
                <w:szCs w:val="22"/>
              </w:rPr>
              <w:t>45</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AM radio, directional antenna</w:t>
            </w:r>
          </w:p>
        </w:tc>
        <w:tc>
          <w:tcPr>
            <w:tcW w:w="2758" w:type="dxa"/>
          </w:tcPr>
          <w:p w:rsidR="001C615E" w:rsidRPr="0059512C" w:rsidP="004B401B">
            <w:pPr>
              <w:pStyle w:val="ParaNum"/>
              <w:numPr>
                <w:ilvl w:val="0"/>
                <w:numId w:val="0"/>
              </w:numPr>
              <w:rPr>
                <w:szCs w:val="22"/>
              </w:rPr>
            </w:pPr>
            <w:r w:rsidRPr="0059512C">
              <w:rPr>
                <w:szCs w:val="22"/>
              </w:rPr>
              <w:t>$835</w:t>
            </w:r>
          </w:p>
        </w:tc>
        <w:tc>
          <w:tcPr>
            <w:tcW w:w="2774" w:type="dxa"/>
          </w:tcPr>
          <w:p w:rsidR="001C615E" w:rsidRPr="0059512C" w:rsidP="004B401B">
            <w:pPr>
              <w:pStyle w:val="ParaNum"/>
              <w:numPr>
                <w:ilvl w:val="0"/>
                <w:numId w:val="0"/>
              </w:numPr>
              <w:rPr>
                <w:szCs w:val="22"/>
              </w:rPr>
            </w:pPr>
            <w:r w:rsidRPr="0059512C">
              <w:rPr>
                <w:szCs w:val="22"/>
              </w:rPr>
              <w:t>$1,2</w:t>
            </w:r>
            <w:r w:rsidRPr="0059512C" w:rsidR="005940F9">
              <w:rPr>
                <w:szCs w:val="22"/>
              </w:rPr>
              <w:t>60</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AM Remote Control</w:t>
            </w:r>
            <w:r>
              <w:rPr>
                <w:rStyle w:val="FootnoteReference"/>
                <w:sz w:val="22"/>
              </w:rPr>
              <w:footnoteReference w:id="51"/>
            </w:r>
            <w:r w:rsidRPr="0059512C">
              <w:rPr>
                <w:szCs w:val="22"/>
              </w:rPr>
              <w:t xml:space="preserve"> </w:t>
            </w:r>
          </w:p>
        </w:tc>
        <w:tc>
          <w:tcPr>
            <w:tcW w:w="2758" w:type="dxa"/>
          </w:tcPr>
          <w:p w:rsidR="001C615E" w:rsidRPr="0059512C" w:rsidP="004B401B">
            <w:pPr>
              <w:pStyle w:val="ParaNum"/>
              <w:numPr>
                <w:ilvl w:val="0"/>
                <w:numId w:val="0"/>
              </w:numPr>
              <w:rPr>
                <w:szCs w:val="22"/>
              </w:rPr>
            </w:pPr>
            <w:r w:rsidRPr="0059512C">
              <w:rPr>
                <w:szCs w:val="22"/>
              </w:rPr>
              <w:t>$70</w:t>
            </w:r>
          </w:p>
        </w:tc>
        <w:tc>
          <w:tcPr>
            <w:tcW w:w="2774" w:type="dxa"/>
          </w:tcPr>
          <w:p w:rsidR="001C615E" w:rsidRPr="0059512C" w:rsidP="004B401B">
            <w:pPr>
              <w:pStyle w:val="ParaNum"/>
              <w:numPr>
                <w:ilvl w:val="0"/>
                <w:numId w:val="0"/>
              </w:numPr>
              <w:rPr>
                <w:szCs w:val="22"/>
              </w:rPr>
            </w:pPr>
            <w:r w:rsidRPr="0059512C">
              <w:rPr>
                <w:szCs w:val="22"/>
              </w:rPr>
              <w:t>Remove</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AM radio, license renewal</w:t>
            </w:r>
          </w:p>
        </w:tc>
        <w:tc>
          <w:tcPr>
            <w:tcW w:w="2758" w:type="dxa"/>
          </w:tcPr>
          <w:p w:rsidR="001C615E" w:rsidRPr="0059512C" w:rsidP="004B401B">
            <w:pPr>
              <w:pStyle w:val="ParaNum"/>
              <w:numPr>
                <w:ilvl w:val="0"/>
                <w:numId w:val="0"/>
              </w:numPr>
              <w:rPr>
                <w:szCs w:val="22"/>
              </w:rPr>
            </w:pPr>
            <w:r w:rsidRPr="0059512C">
              <w:rPr>
                <w:szCs w:val="22"/>
              </w:rPr>
              <w:t>$200</w:t>
            </w:r>
          </w:p>
        </w:tc>
        <w:tc>
          <w:tcPr>
            <w:tcW w:w="2774" w:type="dxa"/>
          </w:tcPr>
          <w:p w:rsidR="001C615E" w:rsidRPr="0059512C" w:rsidP="004B401B">
            <w:pPr>
              <w:pStyle w:val="ParaNum"/>
              <w:numPr>
                <w:ilvl w:val="0"/>
                <w:numId w:val="0"/>
              </w:numPr>
              <w:rPr>
                <w:szCs w:val="22"/>
              </w:rPr>
            </w:pPr>
            <w:r w:rsidRPr="0059512C">
              <w:rPr>
                <w:szCs w:val="22"/>
              </w:rPr>
              <w:t>$</w:t>
            </w:r>
            <w:r w:rsidR="004976C1">
              <w:rPr>
                <w:szCs w:val="22"/>
              </w:rPr>
              <w:t>325</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AM radio, license assignment, long</w:t>
            </w:r>
            <w:r w:rsidR="005E085B">
              <w:rPr>
                <w:szCs w:val="22"/>
              </w:rPr>
              <w:t>-</w:t>
            </w:r>
            <w:r w:rsidRPr="0059512C">
              <w:rPr>
                <w:szCs w:val="22"/>
              </w:rPr>
              <w:t>form</w:t>
            </w:r>
          </w:p>
        </w:tc>
        <w:tc>
          <w:tcPr>
            <w:tcW w:w="2758" w:type="dxa"/>
          </w:tcPr>
          <w:p w:rsidR="001C615E" w:rsidRPr="0059512C" w:rsidP="004B401B">
            <w:pPr>
              <w:pStyle w:val="ParaNum"/>
              <w:numPr>
                <w:ilvl w:val="0"/>
                <w:numId w:val="0"/>
              </w:numPr>
              <w:rPr>
                <w:szCs w:val="22"/>
              </w:rPr>
            </w:pPr>
            <w:r w:rsidRPr="0059512C">
              <w:rPr>
                <w:szCs w:val="22"/>
              </w:rPr>
              <w:t>$1,110</w:t>
            </w:r>
          </w:p>
        </w:tc>
        <w:tc>
          <w:tcPr>
            <w:tcW w:w="2774" w:type="dxa"/>
          </w:tcPr>
          <w:p w:rsidR="001C615E" w:rsidRPr="0059512C" w:rsidP="004B401B">
            <w:pPr>
              <w:pStyle w:val="ParaNum"/>
              <w:numPr>
                <w:ilvl w:val="0"/>
                <w:numId w:val="0"/>
              </w:numPr>
              <w:rPr>
                <w:szCs w:val="22"/>
              </w:rPr>
            </w:pPr>
            <w:r w:rsidRPr="0059512C">
              <w:rPr>
                <w:szCs w:val="22"/>
              </w:rPr>
              <w:t>$</w:t>
            </w:r>
            <w:r w:rsidRPr="0059512C" w:rsidR="005940F9">
              <w:rPr>
                <w:szCs w:val="22"/>
              </w:rPr>
              <w:t>1,005</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AM radio, license assignment, short</w:t>
            </w:r>
            <w:r w:rsidR="005E085B">
              <w:rPr>
                <w:szCs w:val="22"/>
              </w:rPr>
              <w:t>-</w:t>
            </w:r>
            <w:r w:rsidRPr="0059512C">
              <w:rPr>
                <w:szCs w:val="22"/>
              </w:rPr>
              <w:t>form</w:t>
            </w:r>
          </w:p>
        </w:tc>
        <w:tc>
          <w:tcPr>
            <w:tcW w:w="2758" w:type="dxa"/>
          </w:tcPr>
          <w:p w:rsidR="001C615E" w:rsidRPr="0059512C" w:rsidP="004B401B">
            <w:pPr>
              <w:pStyle w:val="ParaNum"/>
              <w:numPr>
                <w:ilvl w:val="0"/>
                <w:numId w:val="0"/>
              </w:numPr>
              <w:rPr>
                <w:szCs w:val="22"/>
              </w:rPr>
            </w:pPr>
            <w:r w:rsidRPr="0059512C">
              <w:rPr>
                <w:szCs w:val="22"/>
              </w:rPr>
              <w:t>$160</w:t>
            </w:r>
          </w:p>
        </w:tc>
        <w:tc>
          <w:tcPr>
            <w:tcW w:w="2774" w:type="dxa"/>
          </w:tcPr>
          <w:p w:rsidR="001C615E" w:rsidRPr="0059512C" w:rsidP="004B401B">
            <w:pPr>
              <w:pStyle w:val="ParaNum"/>
              <w:numPr>
                <w:ilvl w:val="0"/>
                <w:numId w:val="0"/>
              </w:numPr>
              <w:rPr>
                <w:szCs w:val="22"/>
              </w:rPr>
            </w:pPr>
            <w:r w:rsidRPr="0059512C">
              <w:rPr>
                <w:szCs w:val="22"/>
              </w:rPr>
              <w:t>$4</w:t>
            </w:r>
            <w:r w:rsidRPr="0059512C" w:rsidR="005940F9">
              <w:rPr>
                <w:szCs w:val="22"/>
              </w:rPr>
              <w:t>25</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 xml:space="preserve">AM </w:t>
            </w:r>
            <w:r w:rsidRPr="0059512C">
              <w:rPr>
                <w:szCs w:val="22"/>
              </w:rPr>
              <w:t>radio, transfer of control, long</w:t>
            </w:r>
            <w:r w:rsidR="005E085B">
              <w:rPr>
                <w:szCs w:val="22"/>
              </w:rPr>
              <w:t>-</w:t>
            </w:r>
            <w:r w:rsidRPr="0059512C">
              <w:rPr>
                <w:szCs w:val="22"/>
              </w:rPr>
              <w:t>form</w:t>
            </w:r>
          </w:p>
        </w:tc>
        <w:tc>
          <w:tcPr>
            <w:tcW w:w="2758" w:type="dxa"/>
          </w:tcPr>
          <w:p w:rsidR="001C615E" w:rsidRPr="0059512C" w:rsidP="004B401B">
            <w:pPr>
              <w:pStyle w:val="ParaNum"/>
              <w:numPr>
                <w:ilvl w:val="0"/>
                <w:numId w:val="0"/>
              </w:numPr>
              <w:rPr>
                <w:szCs w:val="22"/>
              </w:rPr>
            </w:pPr>
            <w:r w:rsidRPr="0059512C">
              <w:rPr>
                <w:szCs w:val="22"/>
              </w:rPr>
              <w:t>$1,110</w:t>
            </w:r>
          </w:p>
        </w:tc>
        <w:tc>
          <w:tcPr>
            <w:tcW w:w="2774" w:type="dxa"/>
          </w:tcPr>
          <w:p w:rsidR="001C615E" w:rsidRPr="0059512C" w:rsidP="004B401B">
            <w:pPr>
              <w:pStyle w:val="ParaNum"/>
              <w:numPr>
                <w:ilvl w:val="0"/>
                <w:numId w:val="0"/>
              </w:numPr>
              <w:rPr>
                <w:szCs w:val="22"/>
              </w:rPr>
            </w:pPr>
            <w:r w:rsidRPr="0059512C">
              <w:rPr>
                <w:szCs w:val="22"/>
              </w:rPr>
              <w:t>$</w:t>
            </w:r>
            <w:r w:rsidRPr="0059512C" w:rsidR="005940F9">
              <w:rPr>
                <w:szCs w:val="22"/>
              </w:rPr>
              <w:t>1,005</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AM radio, transfer of control, short</w:t>
            </w:r>
            <w:r w:rsidR="005E085B">
              <w:rPr>
                <w:szCs w:val="22"/>
              </w:rPr>
              <w:t>-</w:t>
            </w:r>
            <w:r w:rsidRPr="0059512C">
              <w:rPr>
                <w:szCs w:val="22"/>
              </w:rPr>
              <w:t>form</w:t>
            </w:r>
          </w:p>
        </w:tc>
        <w:tc>
          <w:tcPr>
            <w:tcW w:w="2758" w:type="dxa"/>
          </w:tcPr>
          <w:p w:rsidR="001C615E" w:rsidRPr="0059512C" w:rsidP="004B401B">
            <w:pPr>
              <w:pStyle w:val="ParaNum"/>
              <w:numPr>
                <w:ilvl w:val="0"/>
                <w:numId w:val="0"/>
              </w:numPr>
              <w:rPr>
                <w:szCs w:val="22"/>
              </w:rPr>
            </w:pPr>
            <w:r w:rsidRPr="0059512C">
              <w:rPr>
                <w:szCs w:val="22"/>
              </w:rPr>
              <w:t>$160</w:t>
            </w:r>
          </w:p>
        </w:tc>
        <w:tc>
          <w:tcPr>
            <w:tcW w:w="2774" w:type="dxa"/>
          </w:tcPr>
          <w:p w:rsidR="001C615E" w:rsidRPr="0059512C" w:rsidP="004B401B">
            <w:pPr>
              <w:pStyle w:val="ParaNum"/>
              <w:numPr>
                <w:ilvl w:val="0"/>
                <w:numId w:val="0"/>
              </w:numPr>
              <w:rPr>
                <w:szCs w:val="22"/>
              </w:rPr>
            </w:pPr>
            <w:r w:rsidRPr="0059512C">
              <w:rPr>
                <w:szCs w:val="22"/>
              </w:rPr>
              <w:t>$4</w:t>
            </w:r>
            <w:r w:rsidRPr="0059512C" w:rsidR="005940F9">
              <w:rPr>
                <w:szCs w:val="22"/>
              </w:rPr>
              <w:t>25</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AM radio, call sign</w:t>
            </w:r>
          </w:p>
        </w:tc>
        <w:tc>
          <w:tcPr>
            <w:tcW w:w="2758" w:type="dxa"/>
          </w:tcPr>
          <w:p w:rsidR="001C615E" w:rsidRPr="0059512C" w:rsidP="004B401B">
            <w:pPr>
              <w:pStyle w:val="ParaNum"/>
              <w:numPr>
                <w:ilvl w:val="0"/>
                <w:numId w:val="0"/>
              </w:numPr>
              <w:rPr>
                <w:szCs w:val="22"/>
              </w:rPr>
            </w:pPr>
            <w:r w:rsidRPr="0059512C">
              <w:rPr>
                <w:szCs w:val="22"/>
              </w:rPr>
              <w:t>$110</w:t>
            </w:r>
          </w:p>
        </w:tc>
        <w:tc>
          <w:tcPr>
            <w:tcW w:w="2774" w:type="dxa"/>
          </w:tcPr>
          <w:p w:rsidR="001C615E" w:rsidRPr="0059512C" w:rsidP="004B401B">
            <w:pPr>
              <w:pStyle w:val="ParaNum"/>
              <w:numPr>
                <w:ilvl w:val="0"/>
                <w:numId w:val="0"/>
              </w:numPr>
              <w:rPr>
                <w:b/>
                <w:szCs w:val="22"/>
              </w:rPr>
            </w:pPr>
            <w:r w:rsidRPr="0059512C">
              <w:rPr>
                <w:szCs w:val="22"/>
              </w:rPr>
              <w:t>$1</w:t>
            </w:r>
            <w:r w:rsidRPr="0059512C" w:rsidR="005940F9">
              <w:rPr>
                <w:szCs w:val="22"/>
              </w:rPr>
              <w:t>70</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AM radio, STA</w:t>
            </w:r>
          </w:p>
        </w:tc>
        <w:tc>
          <w:tcPr>
            <w:tcW w:w="2758" w:type="dxa"/>
          </w:tcPr>
          <w:p w:rsidR="001C615E" w:rsidRPr="0059512C" w:rsidP="004B401B">
            <w:pPr>
              <w:pStyle w:val="ParaNum"/>
              <w:numPr>
                <w:ilvl w:val="0"/>
                <w:numId w:val="0"/>
              </w:numPr>
              <w:rPr>
                <w:szCs w:val="22"/>
              </w:rPr>
            </w:pPr>
            <w:r w:rsidRPr="0059512C">
              <w:rPr>
                <w:szCs w:val="22"/>
              </w:rPr>
              <w:t>$200</w:t>
            </w:r>
          </w:p>
        </w:tc>
        <w:tc>
          <w:tcPr>
            <w:tcW w:w="2774" w:type="dxa"/>
          </w:tcPr>
          <w:p w:rsidR="001C615E" w:rsidRPr="0059512C" w:rsidP="004B401B">
            <w:pPr>
              <w:pStyle w:val="ParaNum"/>
              <w:numPr>
                <w:ilvl w:val="0"/>
                <w:numId w:val="0"/>
              </w:numPr>
              <w:rPr>
                <w:szCs w:val="22"/>
              </w:rPr>
            </w:pPr>
            <w:r w:rsidRPr="0059512C">
              <w:rPr>
                <w:szCs w:val="22"/>
              </w:rPr>
              <w:t>$2</w:t>
            </w:r>
            <w:r w:rsidRPr="0059512C" w:rsidR="005940F9">
              <w:rPr>
                <w:szCs w:val="22"/>
              </w:rPr>
              <w:t>90</w:t>
            </w:r>
          </w:p>
        </w:tc>
      </w:tr>
      <w:tr w:rsidTr="005F4CE9">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AM radio, ownership report</w:t>
            </w:r>
          </w:p>
        </w:tc>
        <w:tc>
          <w:tcPr>
            <w:tcW w:w="2758" w:type="dxa"/>
          </w:tcPr>
          <w:p w:rsidR="001C615E" w:rsidRPr="0059512C" w:rsidP="004B401B">
            <w:pPr>
              <w:pStyle w:val="ParaNum"/>
              <w:numPr>
                <w:ilvl w:val="0"/>
                <w:numId w:val="0"/>
              </w:numPr>
              <w:rPr>
                <w:szCs w:val="22"/>
              </w:rPr>
            </w:pPr>
            <w:r w:rsidRPr="0059512C">
              <w:rPr>
                <w:szCs w:val="22"/>
              </w:rPr>
              <w:t>$70</w:t>
            </w:r>
          </w:p>
        </w:tc>
        <w:tc>
          <w:tcPr>
            <w:tcW w:w="2774" w:type="dxa"/>
          </w:tcPr>
          <w:p w:rsidR="001C615E" w:rsidRPr="0059512C" w:rsidP="004B401B">
            <w:pPr>
              <w:pStyle w:val="ParaNum"/>
              <w:numPr>
                <w:ilvl w:val="0"/>
                <w:numId w:val="0"/>
              </w:numPr>
              <w:rPr>
                <w:b/>
                <w:szCs w:val="22"/>
              </w:rPr>
            </w:pPr>
            <w:r w:rsidRPr="0059512C">
              <w:rPr>
                <w:szCs w:val="22"/>
              </w:rPr>
              <w:t>$8</w:t>
            </w:r>
            <w:r w:rsidRPr="0059512C" w:rsidR="005940F9">
              <w:rPr>
                <w:szCs w:val="22"/>
              </w:rPr>
              <w:t>5</w:t>
            </w:r>
          </w:p>
        </w:tc>
      </w:tr>
    </w:tbl>
    <w:p w:rsidR="001C615E" w:rsidRPr="0059512C" w:rsidP="001C615E">
      <w:pPr>
        <w:pStyle w:val="ParaNum"/>
        <w:numPr>
          <w:ilvl w:val="0"/>
          <w:numId w:val="0"/>
        </w:numPr>
        <w:ind w:left="990"/>
        <w:rPr>
          <w:szCs w:val="22"/>
        </w:rPr>
      </w:pPr>
    </w:p>
    <w:p w:rsidR="00FD3FC3" w:rsidRPr="0059512C" w:rsidP="00CD5C89">
      <w:pPr>
        <w:pStyle w:val="ParaNum"/>
        <w:rPr>
          <w:szCs w:val="22"/>
        </w:rPr>
      </w:pPr>
      <w:r w:rsidRPr="0059512C">
        <w:rPr>
          <w:szCs w:val="22"/>
        </w:rPr>
        <w:t>Applications for new construction permits</w:t>
      </w:r>
      <w:r w:rsidRPr="0059512C">
        <w:rPr>
          <w:szCs w:val="22"/>
        </w:rPr>
        <w:t xml:space="preserve"> have the highest level of complexity and significant engineering and legal analysis is needed in processing these applications.  Many of these applications result in petitions or objections after the application is filed.  We estimate that the Commission’</w:t>
      </w:r>
      <w:r w:rsidRPr="0059512C">
        <w:rPr>
          <w:szCs w:val="22"/>
        </w:rPr>
        <w:t xml:space="preserve">s resources in processing an application for a new AM </w:t>
      </w:r>
      <w:r w:rsidR="00787A59">
        <w:rPr>
          <w:szCs w:val="22"/>
        </w:rPr>
        <w:t>c</w:t>
      </w:r>
      <w:r w:rsidRPr="0059512C">
        <w:rPr>
          <w:szCs w:val="22"/>
        </w:rPr>
        <w:t xml:space="preserve">onstruction </w:t>
      </w:r>
      <w:r w:rsidR="00787A59">
        <w:rPr>
          <w:szCs w:val="22"/>
        </w:rPr>
        <w:t>p</w:t>
      </w:r>
      <w:r w:rsidRPr="0059512C">
        <w:rPr>
          <w:szCs w:val="22"/>
        </w:rPr>
        <w:t>ermit consist of engineer</w:t>
      </w:r>
      <w:r w:rsidR="004E0EE4">
        <w:rPr>
          <w:szCs w:val="22"/>
        </w:rPr>
        <w:t>ing</w:t>
      </w:r>
      <w:r w:rsidRPr="0059512C">
        <w:rPr>
          <w:szCs w:val="22"/>
        </w:rPr>
        <w:t xml:space="preserve"> technical review, </w:t>
      </w:r>
      <w:r w:rsidR="00787A59">
        <w:rPr>
          <w:szCs w:val="22"/>
        </w:rPr>
        <w:t xml:space="preserve">an </w:t>
      </w:r>
      <w:r w:rsidRPr="0059512C">
        <w:rPr>
          <w:szCs w:val="22"/>
        </w:rPr>
        <w:t xml:space="preserve">attorney reviewing multiple ownership, </w:t>
      </w:r>
      <w:r w:rsidR="00787A59">
        <w:rPr>
          <w:szCs w:val="22"/>
        </w:rPr>
        <w:t xml:space="preserve">an </w:t>
      </w:r>
      <w:r w:rsidRPr="0059512C">
        <w:rPr>
          <w:szCs w:val="22"/>
        </w:rPr>
        <w:t xml:space="preserve">attorney reviewing pleadings, and </w:t>
      </w:r>
      <w:r w:rsidR="00787A59">
        <w:rPr>
          <w:szCs w:val="22"/>
        </w:rPr>
        <w:t xml:space="preserve">an </w:t>
      </w:r>
      <w:r w:rsidRPr="0059512C">
        <w:rPr>
          <w:szCs w:val="22"/>
        </w:rPr>
        <w:t>attorney reviewing written disposition.  Our estimate is th</w:t>
      </w:r>
      <w:r w:rsidRPr="0059512C">
        <w:rPr>
          <w:szCs w:val="22"/>
        </w:rPr>
        <w:t>at the cost of this process is $3,</w:t>
      </w:r>
      <w:r w:rsidRPr="0059512C" w:rsidR="00A72892">
        <w:rPr>
          <w:szCs w:val="22"/>
        </w:rPr>
        <w:t>980</w:t>
      </w:r>
      <w:r w:rsidRPr="0059512C">
        <w:rPr>
          <w:szCs w:val="22"/>
        </w:rPr>
        <w:t xml:space="preserve">.  We estimate that the Commission’s resources in processing an application for an AM </w:t>
      </w:r>
      <w:r w:rsidR="00787A59">
        <w:rPr>
          <w:szCs w:val="22"/>
        </w:rPr>
        <w:t>m</w:t>
      </w:r>
      <w:r w:rsidRPr="0059512C">
        <w:rPr>
          <w:szCs w:val="22"/>
        </w:rPr>
        <w:t xml:space="preserve">inor </w:t>
      </w:r>
      <w:r w:rsidR="00787A59">
        <w:rPr>
          <w:szCs w:val="22"/>
        </w:rPr>
        <w:t>c</w:t>
      </w:r>
      <w:r w:rsidRPr="0059512C">
        <w:rPr>
          <w:szCs w:val="22"/>
        </w:rPr>
        <w:t xml:space="preserve">hange </w:t>
      </w:r>
      <w:r w:rsidR="00787A59">
        <w:rPr>
          <w:szCs w:val="22"/>
        </w:rPr>
        <w:t>c</w:t>
      </w:r>
      <w:r w:rsidRPr="0059512C">
        <w:rPr>
          <w:szCs w:val="22"/>
        </w:rPr>
        <w:t xml:space="preserve">onstruction </w:t>
      </w:r>
      <w:r w:rsidR="00787A59">
        <w:rPr>
          <w:szCs w:val="22"/>
        </w:rPr>
        <w:t>p</w:t>
      </w:r>
      <w:r w:rsidRPr="0059512C">
        <w:rPr>
          <w:szCs w:val="22"/>
        </w:rPr>
        <w:t xml:space="preserve">ermit consist of engineer technical review, engineer supervisory review, </w:t>
      </w:r>
      <w:r w:rsidR="00787A59">
        <w:rPr>
          <w:szCs w:val="22"/>
        </w:rPr>
        <w:t xml:space="preserve">an </w:t>
      </w:r>
      <w:r w:rsidRPr="0059512C">
        <w:rPr>
          <w:szCs w:val="22"/>
        </w:rPr>
        <w:t>attorney reviewing multiple ow</w:t>
      </w:r>
      <w:r w:rsidRPr="0059512C">
        <w:rPr>
          <w:szCs w:val="22"/>
        </w:rPr>
        <w:t xml:space="preserve">nership, </w:t>
      </w:r>
      <w:r w:rsidR="00787A59">
        <w:rPr>
          <w:szCs w:val="22"/>
        </w:rPr>
        <w:t xml:space="preserve">an </w:t>
      </w:r>
      <w:r w:rsidRPr="0059512C">
        <w:rPr>
          <w:szCs w:val="22"/>
        </w:rPr>
        <w:t xml:space="preserve">attorney reviewing pleadings, and </w:t>
      </w:r>
      <w:r w:rsidR="00787A59">
        <w:rPr>
          <w:szCs w:val="22"/>
        </w:rPr>
        <w:t xml:space="preserve">an </w:t>
      </w:r>
      <w:r w:rsidRPr="0059512C">
        <w:rPr>
          <w:szCs w:val="22"/>
        </w:rPr>
        <w:t>attorney reviewing written disposition.  Our estimate is that the cost of this process is $1,</w:t>
      </w:r>
      <w:r w:rsidRPr="0059512C" w:rsidR="00A72892">
        <w:rPr>
          <w:szCs w:val="22"/>
        </w:rPr>
        <w:t>625</w:t>
      </w:r>
      <w:r w:rsidRPr="0059512C">
        <w:rPr>
          <w:szCs w:val="22"/>
        </w:rPr>
        <w:t>.</w:t>
      </w:r>
    </w:p>
    <w:p w:rsidR="00DF4BCF" w:rsidRPr="0059512C" w:rsidP="00164A23">
      <w:pPr>
        <w:pStyle w:val="ParaNum"/>
        <w:rPr>
          <w:szCs w:val="22"/>
        </w:rPr>
      </w:pPr>
      <w:r w:rsidRPr="0059512C">
        <w:rPr>
          <w:szCs w:val="22"/>
        </w:rPr>
        <w:t xml:space="preserve">We estimate that the Commission’s resources in processing an application for an AM </w:t>
      </w:r>
      <w:r w:rsidR="00226F83">
        <w:rPr>
          <w:szCs w:val="22"/>
        </w:rPr>
        <w:t>l</w:t>
      </w:r>
      <w:r w:rsidRPr="0059512C">
        <w:rPr>
          <w:szCs w:val="22"/>
        </w:rPr>
        <w:t xml:space="preserve">icense consist of </w:t>
      </w:r>
      <w:r w:rsidR="00787A59">
        <w:rPr>
          <w:szCs w:val="22"/>
        </w:rPr>
        <w:t xml:space="preserve">a </w:t>
      </w:r>
      <w:r w:rsidRPr="0059512C">
        <w:rPr>
          <w:szCs w:val="22"/>
        </w:rPr>
        <w:t>legal</w:t>
      </w:r>
      <w:r w:rsidRPr="0059512C">
        <w:rPr>
          <w:szCs w:val="22"/>
        </w:rPr>
        <w:t xml:space="preserve"> analyst reviewing application, </w:t>
      </w:r>
      <w:r w:rsidR="00787A59">
        <w:rPr>
          <w:szCs w:val="22"/>
        </w:rPr>
        <w:t xml:space="preserve">an </w:t>
      </w:r>
      <w:r w:rsidRPr="0059512C">
        <w:rPr>
          <w:szCs w:val="22"/>
        </w:rPr>
        <w:t xml:space="preserve">attorney reviewing pleadings, and </w:t>
      </w:r>
      <w:r w:rsidR="00787A59">
        <w:rPr>
          <w:szCs w:val="22"/>
        </w:rPr>
        <w:t xml:space="preserve">an </w:t>
      </w:r>
      <w:r w:rsidRPr="0059512C">
        <w:rPr>
          <w:szCs w:val="22"/>
        </w:rPr>
        <w:t>attorney reviewing written disposition.  Some of the applications involve petitions or objections.  Our estimate is that the cost of this process is $6</w:t>
      </w:r>
      <w:r w:rsidRPr="0059512C" w:rsidR="00A72892">
        <w:rPr>
          <w:szCs w:val="22"/>
        </w:rPr>
        <w:t>45</w:t>
      </w:r>
      <w:r w:rsidRPr="0059512C">
        <w:rPr>
          <w:szCs w:val="22"/>
        </w:rPr>
        <w:t xml:space="preserve">.  </w:t>
      </w:r>
      <w:r w:rsidRPr="0059512C">
        <w:rPr>
          <w:szCs w:val="22"/>
        </w:rPr>
        <w:t xml:space="preserve">An AM directional antenna application involves some legal analysis and significant engineering review.  Some of the applications result in petitions or objections after the application is filed.  We estimate that the Commission’s </w:t>
      </w:r>
      <w:r w:rsidRPr="0059512C" w:rsidR="00FB6C51">
        <w:rPr>
          <w:szCs w:val="22"/>
        </w:rPr>
        <w:t>resource</w:t>
      </w:r>
      <w:r w:rsidRPr="0059512C">
        <w:rPr>
          <w:szCs w:val="22"/>
        </w:rPr>
        <w:t>s in processing an</w:t>
      </w:r>
      <w:r w:rsidRPr="0059512C">
        <w:rPr>
          <w:szCs w:val="22"/>
        </w:rPr>
        <w:t xml:space="preserve"> application for an AM directional antenna consist of engineer technical review, engineer supervisory revie</w:t>
      </w:r>
      <w:r w:rsidRPr="00741F7F">
        <w:rPr>
          <w:szCs w:val="22"/>
        </w:rPr>
        <w:t>w</w:t>
      </w:r>
      <w:r w:rsidRPr="00B13758">
        <w:t xml:space="preserve">, </w:t>
      </w:r>
      <w:r w:rsidRPr="00741F7F" w:rsidR="00593EC4">
        <w:rPr>
          <w:szCs w:val="22"/>
        </w:rPr>
        <w:t>an</w:t>
      </w:r>
      <w:r w:rsidR="00593EC4">
        <w:rPr>
          <w:szCs w:val="22"/>
        </w:rPr>
        <w:t xml:space="preserve"> </w:t>
      </w:r>
      <w:r w:rsidRPr="0059512C">
        <w:rPr>
          <w:szCs w:val="22"/>
        </w:rPr>
        <w:t xml:space="preserve">attorney reviewing multiple ownership, </w:t>
      </w:r>
      <w:r w:rsidR="00593EC4">
        <w:rPr>
          <w:szCs w:val="22"/>
        </w:rPr>
        <w:t xml:space="preserve">an </w:t>
      </w:r>
      <w:r w:rsidRPr="0059512C">
        <w:rPr>
          <w:szCs w:val="22"/>
        </w:rPr>
        <w:t xml:space="preserve">attorney reviewing pleadings, and </w:t>
      </w:r>
      <w:r w:rsidR="00593EC4">
        <w:rPr>
          <w:szCs w:val="22"/>
        </w:rPr>
        <w:t xml:space="preserve">an </w:t>
      </w:r>
      <w:r w:rsidRPr="0059512C">
        <w:rPr>
          <w:szCs w:val="22"/>
        </w:rPr>
        <w:t>attorney reviewing written disposition.  Our estimate is that th</w:t>
      </w:r>
      <w:r w:rsidRPr="0059512C">
        <w:rPr>
          <w:szCs w:val="22"/>
        </w:rPr>
        <w:t>e cost of this process is $1,2</w:t>
      </w:r>
      <w:r w:rsidRPr="0059512C" w:rsidR="00A72892">
        <w:rPr>
          <w:szCs w:val="22"/>
        </w:rPr>
        <w:t>60</w:t>
      </w:r>
      <w:r w:rsidRPr="0059512C">
        <w:rPr>
          <w:szCs w:val="22"/>
        </w:rPr>
        <w:t>.  AM license renewal applicati</w:t>
      </w:r>
      <w:r w:rsidRPr="0059512C" w:rsidR="00392CF0">
        <w:rPr>
          <w:szCs w:val="22"/>
        </w:rPr>
        <w:t>o</w:t>
      </w:r>
      <w:r w:rsidRPr="0059512C">
        <w:rPr>
          <w:szCs w:val="22"/>
        </w:rPr>
        <w:t>ns have a medium level of complexity and involve some legal analysis and significant engineering review. Some of the applications result in petitions or objections after the application is fil</w:t>
      </w:r>
      <w:r w:rsidRPr="0059512C">
        <w:rPr>
          <w:szCs w:val="22"/>
        </w:rPr>
        <w:t xml:space="preserve">ed.  We estimate that the Commission’s </w:t>
      </w:r>
      <w:r w:rsidRPr="0059512C" w:rsidR="00FB6C51">
        <w:rPr>
          <w:szCs w:val="22"/>
        </w:rPr>
        <w:t>resources</w:t>
      </w:r>
      <w:r w:rsidRPr="0059512C">
        <w:rPr>
          <w:szCs w:val="22"/>
        </w:rPr>
        <w:t xml:space="preserve"> in processing an application for renewal consist of </w:t>
      </w:r>
      <w:r w:rsidR="00593EC4">
        <w:rPr>
          <w:szCs w:val="22"/>
        </w:rPr>
        <w:t xml:space="preserve">a </w:t>
      </w:r>
      <w:r w:rsidRPr="0059512C">
        <w:rPr>
          <w:szCs w:val="22"/>
        </w:rPr>
        <w:t xml:space="preserve">legal analyst reviewing </w:t>
      </w:r>
      <w:r w:rsidR="00593EC4">
        <w:rPr>
          <w:szCs w:val="22"/>
        </w:rPr>
        <w:t xml:space="preserve">the </w:t>
      </w:r>
      <w:r w:rsidRPr="0059512C">
        <w:rPr>
          <w:szCs w:val="22"/>
        </w:rPr>
        <w:t xml:space="preserve">application, </w:t>
      </w:r>
      <w:r w:rsidR="00593EC4">
        <w:rPr>
          <w:szCs w:val="22"/>
        </w:rPr>
        <w:t xml:space="preserve">an </w:t>
      </w:r>
      <w:r w:rsidRPr="0059512C">
        <w:rPr>
          <w:szCs w:val="22"/>
        </w:rPr>
        <w:t xml:space="preserve">attorney reviewing pleadings, and </w:t>
      </w:r>
      <w:r w:rsidR="00593EC4">
        <w:rPr>
          <w:szCs w:val="22"/>
        </w:rPr>
        <w:t xml:space="preserve">an </w:t>
      </w:r>
      <w:r w:rsidRPr="0059512C">
        <w:rPr>
          <w:szCs w:val="22"/>
        </w:rPr>
        <w:t>attorney reviewing written disposition.  Our estimate is that the cost o</w:t>
      </w:r>
      <w:r w:rsidRPr="0059512C">
        <w:rPr>
          <w:szCs w:val="22"/>
        </w:rPr>
        <w:t>f this process is $</w:t>
      </w:r>
      <w:r w:rsidR="004976C1">
        <w:rPr>
          <w:szCs w:val="22"/>
        </w:rPr>
        <w:t>325</w:t>
      </w:r>
      <w:r w:rsidRPr="0059512C">
        <w:rPr>
          <w:szCs w:val="22"/>
        </w:rPr>
        <w:t xml:space="preserve">.  </w:t>
      </w:r>
    </w:p>
    <w:p w:rsidR="00FD3FC3" w:rsidRPr="0059512C" w:rsidP="00DF4BCF">
      <w:pPr>
        <w:pStyle w:val="ParaNum"/>
        <w:rPr>
          <w:szCs w:val="22"/>
        </w:rPr>
      </w:pPr>
      <w:r w:rsidRPr="0059512C">
        <w:rPr>
          <w:szCs w:val="22"/>
        </w:rPr>
        <w:t>Long</w:t>
      </w:r>
      <w:r w:rsidR="005E085B">
        <w:rPr>
          <w:szCs w:val="22"/>
        </w:rPr>
        <w:t>-</w:t>
      </w:r>
      <w:r w:rsidRPr="0059512C">
        <w:rPr>
          <w:szCs w:val="22"/>
        </w:rPr>
        <w:t xml:space="preserve">form </w:t>
      </w:r>
      <w:r w:rsidR="00593EC4">
        <w:rPr>
          <w:szCs w:val="22"/>
        </w:rPr>
        <w:t xml:space="preserve">applications for </w:t>
      </w:r>
      <w:r w:rsidRPr="0059512C">
        <w:rPr>
          <w:szCs w:val="22"/>
        </w:rPr>
        <w:t>AM license assignments involve significant legal analysis, with some assignments involv</w:t>
      </w:r>
      <w:r w:rsidR="00596AD5">
        <w:rPr>
          <w:szCs w:val="22"/>
        </w:rPr>
        <w:t>ing</w:t>
      </w:r>
      <w:r w:rsidRPr="0059512C">
        <w:rPr>
          <w:szCs w:val="22"/>
        </w:rPr>
        <w:t xml:space="preserve"> petitions or objections, after the application is filed.  We estimate that </w:t>
      </w:r>
      <w:r w:rsidRPr="0059512C">
        <w:rPr>
          <w:szCs w:val="22"/>
        </w:rPr>
        <w:t>the Commission’s resources in process</w:t>
      </w:r>
      <w:r w:rsidRPr="0059512C">
        <w:rPr>
          <w:szCs w:val="22"/>
        </w:rPr>
        <w:t xml:space="preserve">ing a </w:t>
      </w:r>
      <w:r w:rsidR="00593EC4">
        <w:rPr>
          <w:szCs w:val="22"/>
        </w:rPr>
        <w:t>long</w:t>
      </w:r>
      <w:r w:rsidR="005E085B">
        <w:rPr>
          <w:szCs w:val="22"/>
        </w:rPr>
        <w:t>-</w:t>
      </w:r>
      <w:r w:rsidR="00593EC4">
        <w:rPr>
          <w:szCs w:val="22"/>
        </w:rPr>
        <w:t xml:space="preserve">form </w:t>
      </w:r>
      <w:r w:rsidRPr="0059512C">
        <w:rPr>
          <w:szCs w:val="22"/>
        </w:rPr>
        <w:t>application for a</w:t>
      </w:r>
      <w:r w:rsidR="00593EC4">
        <w:rPr>
          <w:szCs w:val="22"/>
        </w:rPr>
        <w:t>n</w:t>
      </w:r>
      <w:r w:rsidRPr="0059512C">
        <w:rPr>
          <w:szCs w:val="22"/>
        </w:rPr>
        <w:t xml:space="preserve"> AM license assignment consist of </w:t>
      </w:r>
      <w:r w:rsidR="00593EC4">
        <w:rPr>
          <w:szCs w:val="22"/>
        </w:rPr>
        <w:t xml:space="preserve">a </w:t>
      </w:r>
      <w:r w:rsidRPr="0059512C">
        <w:rPr>
          <w:szCs w:val="22"/>
        </w:rPr>
        <w:t xml:space="preserve">legal analyst reviewing </w:t>
      </w:r>
      <w:r w:rsidR="00593EC4">
        <w:rPr>
          <w:szCs w:val="22"/>
        </w:rPr>
        <w:t xml:space="preserve">the </w:t>
      </w:r>
      <w:r w:rsidRPr="0059512C">
        <w:rPr>
          <w:szCs w:val="22"/>
        </w:rPr>
        <w:t xml:space="preserve">application, </w:t>
      </w:r>
      <w:r w:rsidR="00593EC4">
        <w:rPr>
          <w:szCs w:val="22"/>
        </w:rPr>
        <w:t xml:space="preserve">an </w:t>
      </w:r>
      <w:r w:rsidRPr="0059512C">
        <w:rPr>
          <w:szCs w:val="22"/>
        </w:rPr>
        <w:t xml:space="preserve">attorney reviewing multiple ownership, </w:t>
      </w:r>
      <w:r w:rsidR="00593EC4">
        <w:rPr>
          <w:szCs w:val="22"/>
        </w:rPr>
        <w:t xml:space="preserve">an </w:t>
      </w:r>
      <w:r w:rsidRPr="0059512C">
        <w:rPr>
          <w:szCs w:val="22"/>
        </w:rPr>
        <w:t xml:space="preserve">attorney reviewing pleadings, and </w:t>
      </w:r>
      <w:r w:rsidR="00593EC4">
        <w:rPr>
          <w:szCs w:val="22"/>
        </w:rPr>
        <w:t xml:space="preserve">an </w:t>
      </w:r>
      <w:r w:rsidRPr="0059512C">
        <w:rPr>
          <w:szCs w:val="22"/>
        </w:rPr>
        <w:t>attorney reviewing written disposition.  Our estimate is that t</w:t>
      </w:r>
      <w:r w:rsidRPr="0059512C">
        <w:rPr>
          <w:szCs w:val="22"/>
        </w:rPr>
        <w:t>he cost of this process is $</w:t>
      </w:r>
      <w:r w:rsidRPr="0059512C" w:rsidR="00A72892">
        <w:rPr>
          <w:szCs w:val="22"/>
        </w:rPr>
        <w:t>1,005</w:t>
      </w:r>
      <w:r w:rsidRPr="0059512C">
        <w:rPr>
          <w:szCs w:val="22"/>
        </w:rPr>
        <w:t>.  Short</w:t>
      </w:r>
      <w:r w:rsidR="005E085B">
        <w:rPr>
          <w:szCs w:val="22"/>
        </w:rPr>
        <w:t>-</w:t>
      </w:r>
      <w:r w:rsidRPr="0059512C">
        <w:rPr>
          <w:szCs w:val="22"/>
        </w:rPr>
        <w:t>form license</w:t>
      </w:r>
      <w:r w:rsidRPr="0059512C" w:rsidR="003068A9">
        <w:rPr>
          <w:szCs w:val="22"/>
        </w:rPr>
        <w:t xml:space="preserve"> applications</w:t>
      </w:r>
      <w:r w:rsidRPr="0059512C">
        <w:rPr>
          <w:szCs w:val="22"/>
        </w:rPr>
        <w:t xml:space="preserve"> have a lower level of complexity </w:t>
      </w:r>
      <w:r w:rsidR="00593EC4">
        <w:rPr>
          <w:szCs w:val="22"/>
        </w:rPr>
        <w:t xml:space="preserve">and require some, though less, legal analysis </w:t>
      </w:r>
      <w:r w:rsidRPr="0059512C">
        <w:rPr>
          <w:szCs w:val="22"/>
        </w:rPr>
        <w:t xml:space="preserve">than long form </w:t>
      </w:r>
      <w:r w:rsidR="00593EC4">
        <w:rPr>
          <w:szCs w:val="22"/>
        </w:rPr>
        <w:t>applications</w:t>
      </w:r>
      <w:r w:rsidRPr="0059512C">
        <w:rPr>
          <w:szCs w:val="22"/>
        </w:rPr>
        <w:t xml:space="preserve">. </w:t>
      </w:r>
      <w:r w:rsidR="005E085B">
        <w:rPr>
          <w:szCs w:val="22"/>
        </w:rPr>
        <w:t xml:space="preserve"> </w:t>
      </w:r>
      <w:r w:rsidRPr="0059512C">
        <w:rPr>
          <w:szCs w:val="22"/>
        </w:rPr>
        <w:t>We estimate that the Commission’s resources in processing a</w:t>
      </w:r>
      <w:r w:rsidR="00593EC4">
        <w:rPr>
          <w:szCs w:val="22"/>
        </w:rPr>
        <w:t xml:space="preserve"> short</w:t>
      </w:r>
      <w:r w:rsidR="005E085B">
        <w:rPr>
          <w:szCs w:val="22"/>
        </w:rPr>
        <w:t>-</w:t>
      </w:r>
      <w:r w:rsidR="00593EC4">
        <w:rPr>
          <w:szCs w:val="22"/>
        </w:rPr>
        <w:t>form</w:t>
      </w:r>
      <w:r w:rsidRPr="0059512C">
        <w:rPr>
          <w:szCs w:val="22"/>
        </w:rPr>
        <w:t xml:space="preserve"> application for </w:t>
      </w:r>
      <w:r w:rsidR="00593EC4">
        <w:rPr>
          <w:szCs w:val="22"/>
        </w:rPr>
        <w:t xml:space="preserve">an </w:t>
      </w:r>
      <w:r w:rsidRPr="0059512C">
        <w:rPr>
          <w:szCs w:val="22"/>
        </w:rPr>
        <w:t xml:space="preserve">AM license assignment consist of </w:t>
      </w:r>
      <w:r w:rsidR="00593EC4">
        <w:rPr>
          <w:szCs w:val="22"/>
        </w:rPr>
        <w:t xml:space="preserve">a </w:t>
      </w:r>
      <w:r w:rsidRPr="0059512C">
        <w:rPr>
          <w:szCs w:val="22"/>
        </w:rPr>
        <w:t xml:space="preserve">legal analyst reviewing </w:t>
      </w:r>
      <w:r w:rsidR="00593EC4">
        <w:rPr>
          <w:szCs w:val="22"/>
        </w:rPr>
        <w:t xml:space="preserve">the </w:t>
      </w:r>
      <w:r w:rsidRPr="0059512C">
        <w:rPr>
          <w:szCs w:val="22"/>
        </w:rPr>
        <w:t xml:space="preserve">application, </w:t>
      </w:r>
      <w:r w:rsidR="00596AD5">
        <w:rPr>
          <w:szCs w:val="22"/>
        </w:rPr>
        <w:t xml:space="preserve">an </w:t>
      </w:r>
      <w:r w:rsidRPr="0059512C">
        <w:rPr>
          <w:szCs w:val="22"/>
        </w:rPr>
        <w:t xml:space="preserve">attorney reviewing </w:t>
      </w:r>
      <w:r w:rsidR="00593EC4">
        <w:rPr>
          <w:szCs w:val="22"/>
        </w:rPr>
        <w:t xml:space="preserve">the </w:t>
      </w:r>
      <w:r w:rsidRPr="0059512C">
        <w:rPr>
          <w:szCs w:val="22"/>
        </w:rPr>
        <w:t xml:space="preserve">pleadings, and </w:t>
      </w:r>
      <w:r w:rsidR="00593EC4">
        <w:rPr>
          <w:szCs w:val="22"/>
        </w:rPr>
        <w:t xml:space="preserve">an </w:t>
      </w:r>
      <w:r w:rsidRPr="0059512C">
        <w:rPr>
          <w:szCs w:val="22"/>
        </w:rPr>
        <w:t>attorney reviewing written disposition.  Our estimate is that the cost of this process is $4</w:t>
      </w:r>
      <w:r w:rsidRPr="0059512C" w:rsidR="00A72892">
        <w:rPr>
          <w:szCs w:val="22"/>
        </w:rPr>
        <w:t>25</w:t>
      </w:r>
      <w:r w:rsidRPr="0059512C">
        <w:rPr>
          <w:szCs w:val="22"/>
        </w:rPr>
        <w:t>.  Long</w:t>
      </w:r>
      <w:r w:rsidR="005E085B">
        <w:rPr>
          <w:szCs w:val="22"/>
        </w:rPr>
        <w:t>-</w:t>
      </w:r>
      <w:r w:rsidRPr="0059512C">
        <w:rPr>
          <w:szCs w:val="22"/>
        </w:rPr>
        <w:t xml:space="preserve">form </w:t>
      </w:r>
      <w:r w:rsidR="00593EC4">
        <w:rPr>
          <w:szCs w:val="22"/>
        </w:rPr>
        <w:t xml:space="preserve">applications for </w:t>
      </w:r>
      <w:r w:rsidRPr="0059512C">
        <w:rPr>
          <w:szCs w:val="22"/>
        </w:rPr>
        <w:t xml:space="preserve">AM transfers of control involve significant legal analysis. </w:t>
      </w:r>
      <w:r w:rsidR="005E085B">
        <w:rPr>
          <w:szCs w:val="22"/>
        </w:rPr>
        <w:t xml:space="preserve"> </w:t>
      </w:r>
      <w:r w:rsidRPr="0059512C">
        <w:rPr>
          <w:szCs w:val="22"/>
        </w:rPr>
        <w:t xml:space="preserve">Some applications for transfer of control involve petitions or objections, after the application is filed.  We estimate that the Commission’s </w:t>
      </w:r>
      <w:r w:rsidRPr="0059512C" w:rsidR="00FB6C51">
        <w:rPr>
          <w:szCs w:val="22"/>
        </w:rPr>
        <w:t>resource</w:t>
      </w:r>
      <w:r w:rsidRPr="0059512C">
        <w:rPr>
          <w:szCs w:val="22"/>
        </w:rPr>
        <w:t>s in processing a long</w:t>
      </w:r>
      <w:r w:rsidR="005E085B">
        <w:rPr>
          <w:szCs w:val="22"/>
        </w:rPr>
        <w:t>-</w:t>
      </w:r>
      <w:r w:rsidRPr="0059512C">
        <w:rPr>
          <w:szCs w:val="22"/>
        </w:rPr>
        <w:t xml:space="preserve">form </w:t>
      </w:r>
      <w:r w:rsidR="00593EC4">
        <w:rPr>
          <w:szCs w:val="22"/>
        </w:rPr>
        <w:t xml:space="preserve">application for </w:t>
      </w:r>
      <w:r w:rsidRPr="0059512C">
        <w:rPr>
          <w:szCs w:val="22"/>
        </w:rPr>
        <w:t xml:space="preserve">AM transfer of control consist of legal </w:t>
      </w:r>
      <w:r w:rsidR="00593EC4">
        <w:rPr>
          <w:szCs w:val="22"/>
        </w:rPr>
        <w:t xml:space="preserve">a </w:t>
      </w:r>
      <w:r w:rsidRPr="0059512C">
        <w:rPr>
          <w:szCs w:val="22"/>
        </w:rPr>
        <w:t xml:space="preserve">analyst reviewing </w:t>
      </w:r>
      <w:r w:rsidR="00593EC4">
        <w:rPr>
          <w:szCs w:val="22"/>
        </w:rPr>
        <w:t xml:space="preserve">the </w:t>
      </w:r>
      <w:r w:rsidRPr="0059512C">
        <w:rPr>
          <w:szCs w:val="22"/>
        </w:rPr>
        <w:t xml:space="preserve">application, </w:t>
      </w:r>
      <w:r w:rsidR="00593EC4">
        <w:rPr>
          <w:szCs w:val="22"/>
        </w:rPr>
        <w:t xml:space="preserve">an </w:t>
      </w:r>
      <w:r w:rsidRPr="0059512C">
        <w:rPr>
          <w:szCs w:val="22"/>
        </w:rPr>
        <w:t xml:space="preserve">attorney reviewing multiple ownership, </w:t>
      </w:r>
      <w:r w:rsidR="00593EC4">
        <w:rPr>
          <w:szCs w:val="22"/>
        </w:rPr>
        <w:t xml:space="preserve">an </w:t>
      </w:r>
      <w:r w:rsidRPr="0059512C">
        <w:rPr>
          <w:szCs w:val="22"/>
        </w:rPr>
        <w:t xml:space="preserve">attorney reviewing pleadings, and </w:t>
      </w:r>
      <w:r w:rsidR="00593EC4">
        <w:rPr>
          <w:szCs w:val="22"/>
        </w:rPr>
        <w:t xml:space="preserve">an </w:t>
      </w:r>
      <w:r w:rsidRPr="0059512C">
        <w:rPr>
          <w:szCs w:val="22"/>
        </w:rPr>
        <w:t xml:space="preserve">attorney reviewing written disposition.  Our estimate is that the cost of this process is </w:t>
      </w:r>
      <w:r w:rsidRPr="0059512C">
        <w:rPr>
          <w:szCs w:val="22"/>
        </w:rPr>
        <w:t>$</w:t>
      </w:r>
      <w:r w:rsidRPr="0059512C" w:rsidR="00A72892">
        <w:rPr>
          <w:szCs w:val="22"/>
        </w:rPr>
        <w:t>1,005</w:t>
      </w:r>
      <w:r w:rsidRPr="0059512C">
        <w:rPr>
          <w:szCs w:val="22"/>
        </w:rPr>
        <w:t>.  Short</w:t>
      </w:r>
      <w:r w:rsidR="005E085B">
        <w:rPr>
          <w:szCs w:val="22"/>
        </w:rPr>
        <w:t>-</w:t>
      </w:r>
      <w:r w:rsidRPr="0059512C">
        <w:rPr>
          <w:szCs w:val="22"/>
        </w:rPr>
        <w:t xml:space="preserve">form </w:t>
      </w:r>
      <w:r w:rsidR="00593EC4">
        <w:rPr>
          <w:szCs w:val="22"/>
        </w:rPr>
        <w:t xml:space="preserve">applications for </w:t>
      </w:r>
      <w:r w:rsidRPr="0059512C">
        <w:rPr>
          <w:szCs w:val="22"/>
        </w:rPr>
        <w:t xml:space="preserve">transfer of control involve some legal analysis.  We estimate that the Commission’s </w:t>
      </w:r>
      <w:r w:rsidRPr="0059512C" w:rsidR="00FB6C51">
        <w:rPr>
          <w:szCs w:val="22"/>
        </w:rPr>
        <w:t>resource</w:t>
      </w:r>
      <w:r w:rsidRPr="0059512C">
        <w:rPr>
          <w:szCs w:val="22"/>
        </w:rPr>
        <w:t>s in processing a short</w:t>
      </w:r>
      <w:r w:rsidR="00741F7F">
        <w:rPr>
          <w:szCs w:val="22"/>
        </w:rPr>
        <w:t>-</w:t>
      </w:r>
      <w:r w:rsidRPr="0059512C">
        <w:rPr>
          <w:szCs w:val="22"/>
        </w:rPr>
        <w:t xml:space="preserve">form </w:t>
      </w:r>
      <w:r w:rsidR="00593EC4">
        <w:rPr>
          <w:szCs w:val="22"/>
        </w:rPr>
        <w:t xml:space="preserve">application for </w:t>
      </w:r>
      <w:r w:rsidRPr="0059512C">
        <w:rPr>
          <w:szCs w:val="22"/>
        </w:rPr>
        <w:t xml:space="preserve">transfer of control consist of </w:t>
      </w:r>
      <w:r w:rsidR="00593EC4">
        <w:rPr>
          <w:szCs w:val="22"/>
        </w:rPr>
        <w:t xml:space="preserve">a </w:t>
      </w:r>
      <w:r w:rsidRPr="0059512C">
        <w:rPr>
          <w:szCs w:val="22"/>
        </w:rPr>
        <w:t xml:space="preserve">legal analyst reviewing </w:t>
      </w:r>
      <w:r w:rsidR="00593EC4">
        <w:rPr>
          <w:szCs w:val="22"/>
        </w:rPr>
        <w:t xml:space="preserve">the </w:t>
      </w:r>
      <w:r w:rsidRPr="0059512C">
        <w:rPr>
          <w:szCs w:val="22"/>
        </w:rPr>
        <w:t xml:space="preserve">application, </w:t>
      </w:r>
      <w:r w:rsidR="00593EC4">
        <w:rPr>
          <w:szCs w:val="22"/>
        </w:rPr>
        <w:t xml:space="preserve">an </w:t>
      </w:r>
      <w:r w:rsidRPr="0059512C">
        <w:rPr>
          <w:szCs w:val="22"/>
        </w:rPr>
        <w:t>attor</w:t>
      </w:r>
      <w:r w:rsidRPr="0059512C">
        <w:rPr>
          <w:szCs w:val="22"/>
        </w:rPr>
        <w:t xml:space="preserve">ney reviewing </w:t>
      </w:r>
      <w:r w:rsidR="00593EC4">
        <w:rPr>
          <w:szCs w:val="22"/>
        </w:rPr>
        <w:t xml:space="preserve">the </w:t>
      </w:r>
      <w:r w:rsidRPr="0059512C">
        <w:rPr>
          <w:szCs w:val="22"/>
        </w:rPr>
        <w:t xml:space="preserve">pleadings, and </w:t>
      </w:r>
      <w:r w:rsidR="00593EC4">
        <w:rPr>
          <w:szCs w:val="22"/>
        </w:rPr>
        <w:t xml:space="preserve">an </w:t>
      </w:r>
      <w:r w:rsidRPr="0059512C">
        <w:rPr>
          <w:szCs w:val="22"/>
        </w:rPr>
        <w:t>attorney reviewing written disposition.  Our estimate is that the cost of this process is $410.</w:t>
      </w:r>
    </w:p>
    <w:p w:rsidR="00FD3FC3" w:rsidRPr="0059512C" w:rsidP="00002DB0">
      <w:pPr>
        <w:pStyle w:val="ParaNum"/>
        <w:rPr>
          <w:szCs w:val="22"/>
        </w:rPr>
      </w:pPr>
      <w:r w:rsidRPr="0059512C">
        <w:rPr>
          <w:szCs w:val="22"/>
        </w:rPr>
        <w:t xml:space="preserve">AM </w:t>
      </w:r>
      <w:r w:rsidRPr="0059512C" w:rsidR="004B3DBA">
        <w:rPr>
          <w:szCs w:val="22"/>
        </w:rPr>
        <w:t>r</w:t>
      </w:r>
      <w:r w:rsidRPr="0059512C">
        <w:rPr>
          <w:szCs w:val="22"/>
        </w:rPr>
        <w:t>adio call sign application</w:t>
      </w:r>
      <w:r w:rsidRPr="0059512C" w:rsidR="004B3DBA">
        <w:rPr>
          <w:szCs w:val="22"/>
        </w:rPr>
        <w:t xml:space="preserve">s </w:t>
      </w:r>
      <w:r w:rsidRPr="0059512C">
        <w:rPr>
          <w:szCs w:val="22"/>
        </w:rPr>
        <w:t>involve some legal analysis</w:t>
      </w:r>
      <w:r w:rsidRPr="0059512C" w:rsidR="00002DB0">
        <w:rPr>
          <w:szCs w:val="22"/>
        </w:rPr>
        <w:t>, and w</w:t>
      </w:r>
      <w:r w:rsidRPr="0059512C">
        <w:rPr>
          <w:szCs w:val="22"/>
        </w:rPr>
        <w:t xml:space="preserve">e estimate that the Commission’s </w:t>
      </w:r>
      <w:r w:rsidRPr="0059512C" w:rsidR="00002DB0">
        <w:rPr>
          <w:szCs w:val="22"/>
        </w:rPr>
        <w:t>resource</w:t>
      </w:r>
      <w:r w:rsidRPr="0059512C">
        <w:rPr>
          <w:szCs w:val="22"/>
        </w:rPr>
        <w:t xml:space="preserve">s in processing an AM </w:t>
      </w:r>
      <w:r w:rsidRPr="0059512C" w:rsidR="00002DB0">
        <w:rPr>
          <w:szCs w:val="22"/>
        </w:rPr>
        <w:t>c</w:t>
      </w:r>
      <w:r w:rsidRPr="0059512C">
        <w:rPr>
          <w:szCs w:val="22"/>
        </w:rPr>
        <w:t xml:space="preserve">all </w:t>
      </w:r>
      <w:r w:rsidRPr="0059512C" w:rsidR="00002DB0">
        <w:rPr>
          <w:szCs w:val="22"/>
        </w:rPr>
        <w:t>s</w:t>
      </w:r>
      <w:r w:rsidRPr="0059512C">
        <w:rPr>
          <w:szCs w:val="22"/>
        </w:rPr>
        <w:t xml:space="preserve">ign </w:t>
      </w:r>
      <w:r w:rsidR="00593EC4">
        <w:rPr>
          <w:szCs w:val="22"/>
        </w:rPr>
        <w:t xml:space="preserve">application </w:t>
      </w:r>
      <w:r w:rsidRPr="0059512C">
        <w:rPr>
          <w:szCs w:val="22"/>
        </w:rPr>
        <w:t>consist of analyst application review.  Our estimate is that the cost of this process is $1</w:t>
      </w:r>
      <w:r w:rsidRPr="0059512C" w:rsidR="00CB1F26">
        <w:rPr>
          <w:szCs w:val="22"/>
        </w:rPr>
        <w:t>70</w:t>
      </w:r>
      <w:r w:rsidRPr="0059512C">
        <w:rPr>
          <w:szCs w:val="22"/>
        </w:rPr>
        <w:t>.</w:t>
      </w:r>
      <w:r w:rsidRPr="0059512C" w:rsidR="00002DB0">
        <w:rPr>
          <w:szCs w:val="22"/>
        </w:rPr>
        <w:t xml:space="preserve">  Applications for </w:t>
      </w:r>
      <w:r w:rsidRPr="0059512C" w:rsidR="007C74BB">
        <w:rPr>
          <w:szCs w:val="22"/>
        </w:rPr>
        <w:t xml:space="preserve">STA </w:t>
      </w:r>
      <w:r w:rsidRPr="0059512C">
        <w:rPr>
          <w:szCs w:val="22"/>
        </w:rPr>
        <w:t xml:space="preserve">involve some engineering and legal analysis.  We estimate that the Commission’s </w:t>
      </w:r>
      <w:r w:rsidRPr="0059512C" w:rsidR="00002DB0">
        <w:rPr>
          <w:szCs w:val="22"/>
        </w:rPr>
        <w:t>resources</w:t>
      </w:r>
      <w:r w:rsidRPr="0059512C">
        <w:rPr>
          <w:szCs w:val="22"/>
        </w:rPr>
        <w:t xml:space="preserve"> in pr</w:t>
      </w:r>
      <w:r w:rsidRPr="0059512C">
        <w:rPr>
          <w:szCs w:val="22"/>
        </w:rPr>
        <w:t>ocessing an AM STA</w:t>
      </w:r>
      <w:r w:rsidR="009C2025">
        <w:rPr>
          <w:szCs w:val="22"/>
        </w:rPr>
        <w:t xml:space="preserve"> application</w:t>
      </w:r>
      <w:r w:rsidRPr="0059512C">
        <w:rPr>
          <w:szCs w:val="22"/>
        </w:rPr>
        <w:t xml:space="preserve"> consist of engineer technical review, attorney pleading review, and supervisory attorney written disposition review.  Our estimate is that the cost of this process is $2</w:t>
      </w:r>
      <w:r w:rsidRPr="0059512C" w:rsidR="00CB1F26">
        <w:rPr>
          <w:szCs w:val="22"/>
        </w:rPr>
        <w:t>90</w:t>
      </w:r>
      <w:r w:rsidRPr="0059512C">
        <w:rPr>
          <w:szCs w:val="22"/>
        </w:rPr>
        <w:t>.</w:t>
      </w:r>
      <w:r w:rsidRPr="0059512C" w:rsidR="00002DB0">
        <w:rPr>
          <w:szCs w:val="22"/>
        </w:rPr>
        <w:t xml:space="preserve">  </w:t>
      </w:r>
      <w:r w:rsidRPr="0059512C">
        <w:rPr>
          <w:szCs w:val="22"/>
        </w:rPr>
        <w:t xml:space="preserve">AM </w:t>
      </w:r>
      <w:r w:rsidRPr="0059512C" w:rsidR="00FB6C51">
        <w:rPr>
          <w:szCs w:val="22"/>
        </w:rPr>
        <w:t>o</w:t>
      </w:r>
      <w:r w:rsidRPr="0059512C">
        <w:rPr>
          <w:szCs w:val="22"/>
        </w:rPr>
        <w:t xml:space="preserve">wnership </w:t>
      </w:r>
      <w:r w:rsidRPr="0059512C" w:rsidR="00FB6C51">
        <w:rPr>
          <w:szCs w:val="22"/>
        </w:rPr>
        <w:t>r</w:t>
      </w:r>
      <w:r w:rsidRPr="0059512C">
        <w:rPr>
          <w:szCs w:val="22"/>
        </w:rPr>
        <w:t>eport applicatio</w:t>
      </w:r>
      <w:r w:rsidRPr="0059512C" w:rsidR="00002DB0">
        <w:rPr>
          <w:szCs w:val="22"/>
        </w:rPr>
        <w:t xml:space="preserve">ns </w:t>
      </w:r>
      <w:r w:rsidRPr="0059512C">
        <w:rPr>
          <w:szCs w:val="22"/>
        </w:rPr>
        <w:t>involve minimal re</w:t>
      </w:r>
      <w:r w:rsidRPr="0059512C">
        <w:rPr>
          <w:szCs w:val="22"/>
        </w:rPr>
        <w:t xml:space="preserve">view by Media Bureau staff.  We estimate that the Commission’s </w:t>
      </w:r>
      <w:r w:rsidRPr="0059512C" w:rsidR="00FB6C51">
        <w:rPr>
          <w:szCs w:val="22"/>
        </w:rPr>
        <w:t>resource</w:t>
      </w:r>
      <w:r w:rsidRPr="0059512C">
        <w:rPr>
          <w:szCs w:val="22"/>
        </w:rPr>
        <w:t xml:space="preserve">s in processing an AM </w:t>
      </w:r>
      <w:r w:rsidRPr="0059512C" w:rsidR="00002DB0">
        <w:rPr>
          <w:szCs w:val="22"/>
        </w:rPr>
        <w:t>o</w:t>
      </w:r>
      <w:r w:rsidRPr="0059512C">
        <w:rPr>
          <w:szCs w:val="22"/>
        </w:rPr>
        <w:t xml:space="preserve">wnership </w:t>
      </w:r>
      <w:r w:rsidRPr="0059512C" w:rsidR="00002DB0">
        <w:rPr>
          <w:szCs w:val="22"/>
        </w:rPr>
        <w:t>r</w:t>
      </w:r>
      <w:r w:rsidRPr="0059512C">
        <w:rPr>
          <w:szCs w:val="22"/>
        </w:rPr>
        <w:t>eport consist of analyst application review.  Our estimate is that the cost of this process is $8</w:t>
      </w:r>
      <w:r w:rsidRPr="0059512C" w:rsidR="00CB1F26">
        <w:rPr>
          <w:szCs w:val="22"/>
        </w:rPr>
        <w:t>5</w:t>
      </w:r>
      <w:r w:rsidRPr="0059512C">
        <w:rPr>
          <w:szCs w:val="22"/>
        </w:rPr>
        <w:t>.</w:t>
      </w:r>
    </w:p>
    <w:p w:rsidR="009B2D9C" w:rsidRPr="0059512C" w:rsidP="002119D2">
      <w:pPr>
        <w:pStyle w:val="ParaNum"/>
        <w:rPr>
          <w:szCs w:val="22"/>
        </w:rPr>
      </w:pPr>
      <w:r w:rsidRPr="0059512C">
        <w:rPr>
          <w:szCs w:val="22"/>
        </w:rPr>
        <w:t>We seek comment on these propos</w:t>
      </w:r>
      <w:r w:rsidR="00280219">
        <w:rPr>
          <w:szCs w:val="22"/>
        </w:rPr>
        <w:t>ed cost-based fees</w:t>
      </w:r>
      <w:r w:rsidRPr="0059512C">
        <w:rPr>
          <w:szCs w:val="22"/>
        </w:rPr>
        <w:t>.</w:t>
      </w:r>
      <w:r w:rsidRPr="003505A6" w:rsidR="003505A6">
        <w:rPr>
          <w:iCs/>
          <w:szCs w:val="22"/>
        </w:rPr>
        <w:t xml:space="preserve"> </w:t>
      </w:r>
      <w:r w:rsidR="003505A6">
        <w:rPr>
          <w:iCs/>
          <w:szCs w:val="22"/>
        </w:rPr>
        <w:t xml:space="preserve"> We also seek comment on whether we should consolidate and streamline these proposed fees to ease the burden of administration and simplify compliance.</w:t>
      </w:r>
    </w:p>
    <w:p w:rsidR="001C615E" w:rsidRPr="0059512C" w:rsidP="005F4CE9">
      <w:pPr>
        <w:pStyle w:val="ParaNum"/>
        <w:rPr>
          <w:szCs w:val="22"/>
        </w:rPr>
      </w:pPr>
      <w:bookmarkStart w:id="193" w:name="_Toc19795079"/>
      <w:bookmarkStart w:id="194" w:name="_Toc19796448"/>
      <w:bookmarkStart w:id="195" w:name="_Toc19796806"/>
      <w:bookmarkStart w:id="196" w:name="_Toc35268571"/>
      <w:r w:rsidRPr="00280219">
        <w:rPr>
          <w:bCs/>
          <w:i/>
        </w:rPr>
        <w:t xml:space="preserve">Commercial FM </w:t>
      </w:r>
      <w:bookmarkEnd w:id="193"/>
      <w:bookmarkEnd w:id="194"/>
      <w:bookmarkEnd w:id="195"/>
      <w:bookmarkEnd w:id="196"/>
      <w:r w:rsidRPr="00280219">
        <w:rPr>
          <w:bCs/>
          <w:i/>
          <w:iCs/>
          <w:szCs w:val="22"/>
        </w:rPr>
        <w:t>S</w:t>
      </w:r>
      <w:r>
        <w:rPr>
          <w:i/>
          <w:iCs/>
          <w:szCs w:val="22"/>
        </w:rPr>
        <w:t xml:space="preserve">tations.  </w:t>
      </w:r>
      <w:r w:rsidRPr="0059512C" w:rsidR="00C7124F">
        <w:rPr>
          <w:szCs w:val="22"/>
        </w:rPr>
        <w:t>The following table summarizes the current application fees and the</w:t>
      </w:r>
      <w:r w:rsidRPr="0059512C" w:rsidR="00A24425">
        <w:rPr>
          <w:szCs w:val="22"/>
        </w:rPr>
        <w:t xml:space="preserve"> proposed</w:t>
      </w:r>
      <w:r w:rsidRPr="0059512C" w:rsidR="00C7124F">
        <w:rPr>
          <w:szCs w:val="22"/>
        </w:rPr>
        <w:t xml:space="preserve"> cost-based fees</w:t>
      </w:r>
      <w:r w:rsidR="009C2025">
        <w:rPr>
          <w:szCs w:val="22"/>
        </w:rPr>
        <w:t xml:space="preserve"> for commercial FM stations</w:t>
      </w:r>
      <w:r w:rsidRPr="0059512C" w:rsidR="00C7124F">
        <w:rPr>
          <w:szCs w:val="22"/>
        </w:rPr>
        <w:t xml:space="preserve">. </w:t>
      </w:r>
      <w:r w:rsidRPr="0059512C" w:rsidR="005F4CE9">
        <w:rPr>
          <w:szCs w:val="22"/>
        </w:rPr>
        <w:t xml:space="preserve"> We propose and seek comment on adopting the following cost-based fees for these applications—and we give as an example the current fees for these services.  </w:t>
      </w:r>
    </w:p>
    <w:tbl>
      <w:tblPr>
        <w:tblStyle w:val="TableGrid"/>
        <w:tblW w:w="0" w:type="auto"/>
        <w:tblInd w:w="990" w:type="dxa"/>
        <w:tblLook w:val="04A0"/>
      </w:tblPr>
      <w:tblGrid>
        <w:gridCol w:w="2828"/>
        <w:gridCol w:w="2757"/>
        <w:gridCol w:w="2775"/>
      </w:tblGrid>
      <w:tr w:rsidTr="00FD3FC3">
        <w:tblPrEx>
          <w:tblW w:w="0" w:type="auto"/>
          <w:tblInd w:w="990" w:type="dxa"/>
          <w:tblLook w:val="04A0"/>
        </w:tblPrEx>
        <w:tc>
          <w:tcPr>
            <w:tcW w:w="2828" w:type="dxa"/>
          </w:tcPr>
          <w:p w:rsidR="001C615E" w:rsidRPr="0059512C" w:rsidP="004B401B">
            <w:pPr>
              <w:pStyle w:val="ParaNum"/>
              <w:numPr>
                <w:ilvl w:val="0"/>
                <w:numId w:val="0"/>
              </w:numPr>
              <w:rPr>
                <w:b/>
                <w:szCs w:val="22"/>
              </w:rPr>
            </w:pPr>
            <w:r w:rsidRPr="0059512C">
              <w:rPr>
                <w:b/>
                <w:szCs w:val="22"/>
              </w:rPr>
              <w:t>Application</w:t>
            </w:r>
          </w:p>
        </w:tc>
        <w:tc>
          <w:tcPr>
            <w:tcW w:w="2757" w:type="dxa"/>
          </w:tcPr>
          <w:p w:rsidR="001C615E" w:rsidRPr="0059512C" w:rsidP="004B401B">
            <w:pPr>
              <w:pStyle w:val="ParaNum"/>
              <w:numPr>
                <w:ilvl w:val="0"/>
                <w:numId w:val="0"/>
              </w:numPr>
              <w:rPr>
                <w:b/>
                <w:szCs w:val="22"/>
              </w:rPr>
            </w:pPr>
            <w:r w:rsidRPr="0059512C">
              <w:rPr>
                <w:b/>
                <w:szCs w:val="22"/>
              </w:rPr>
              <w:t xml:space="preserve">Current </w:t>
            </w:r>
            <w:r w:rsidRPr="0059512C" w:rsidR="00DA6909">
              <w:rPr>
                <w:b/>
                <w:szCs w:val="22"/>
              </w:rPr>
              <w:t>F</w:t>
            </w:r>
            <w:r w:rsidRPr="0059512C">
              <w:rPr>
                <w:b/>
                <w:szCs w:val="22"/>
              </w:rPr>
              <w:t>ee</w:t>
            </w:r>
          </w:p>
        </w:tc>
        <w:tc>
          <w:tcPr>
            <w:tcW w:w="2775" w:type="dxa"/>
          </w:tcPr>
          <w:p w:rsidR="001C615E" w:rsidRPr="0059512C" w:rsidP="004B401B">
            <w:pPr>
              <w:pStyle w:val="ParaNum"/>
              <w:numPr>
                <w:ilvl w:val="0"/>
                <w:numId w:val="0"/>
              </w:numPr>
              <w:rPr>
                <w:b/>
                <w:szCs w:val="22"/>
              </w:rPr>
            </w:pPr>
            <w:r w:rsidRPr="0059512C">
              <w:rPr>
                <w:b/>
                <w:szCs w:val="22"/>
              </w:rPr>
              <w:t>Cost-bas</w:t>
            </w:r>
            <w:r w:rsidRPr="0059512C" w:rsidR="00DA6909">
              <w:rPr>
                <w:b/>
                <w:szCs w:val="22"/>
              </w:rPr>
              <w:t>ed Fee</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 xml:space="preserve">FM </w:t>
            </w:r>
            <w:r w:rsidRPr="0059512C">
              <w:rPr>
                <w:szCs w:val="22"/>
              </w:rPr>
              <w:t>radio new construction permit</w:t>
            </w:r>
            <w:r w:rsidRPr="0059512C" w:rsidR="00DD3A01">
              <w:rPr>
                <w:szCs w:val="22"/>
              </w:rPr>
              <w:t xml:space="preserve"> </w:t>
            </w:r>
            <w:r w:rsidR="00DD3A01">
              <w:t>(including Post-Auction Long</w:t>
            </w:r>
            <w:r w:rsidR="009E7875">
              <w:t>-</w:t>
            </w:r>
            <w:r w:rsidR="00DD3A01">
              <w:t>Form Application)</w:t>
            </w:r>
          </w:p>
        </w:tc>
        <w:tc>
          <w:tcPr>
            <w:tcW w:w="2757" w:type="dxa"/>
          </w:tcPr>
          <w:p w:rsidR="001C615E" w:rsidRPr="0059512C" w:rsidP="004B401B">
            <w:pPr>
              <w:pStyle w:val="ParaNum"/>
              <w:numPr>
                <w:ilvl w:val="0"/>
                <w:numId w:val="0"/>
              </w:numPr>
              <w:rPr>
                <w:szCs w:val="22"/>
              </w:rPr>
            </w:pPr>
            <w:r w:rsidRPr="0059512C">
              <w:rPr>
                <w:szCs w:val="22"/>
              </w:rPr>
              <w:t>$3,975</w:t>
            </w:r>
          </w:p>
        </w:tc>
        <w:tc>
          <w:tcPr>
            <w:tcW w:w="2775" w:type="dxa"/>
          </w:tcPr>
          <w:p w:rsidR="001C615E" w:rsidRPr="0059512C" w:rsidP="004B401B">
            <w:pPr>
              <w:pStyle w:val="ParaNum"/>
              <w:numPr>
                <w:ilvl w:val="0"/>
                <w:numId w:val="0"/>
              </w:numPr>
              <w:rPr>
                <w:szCs w:val="22"/>
              </w:rPr>
            </w:pPr>
            <w:r w:rsidRPr="0059512C">
              <w:rPr>
                <w:szCs w:val="22"/>
              </w:rPr>
              <w:t>$3,</w:t>
            </w:r>
            <w:r w:rsidRPr="0059512C" w:rsidR="00D7336C">
              <w:rPr>
                <w:szCs w:val="22"/>
              </w:rPr>
              <w:t>295</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FM radio, minor modification</w:t>
            </w:r>
          </w:p>
        </w:tc>
        <w:tc>
          <w:tcPr>
            <w:tcW w:w="2757" w:type="dxa"/>
          </w:tcPr>
          <w:p w:rsidR="001C615E" w:rsidRPr="0059512C" w:rsidP="004B401B">
            <w:pPr>
              <w:pStyle w:val="ParaNum"/>
              <w:numPr>
                <w:ilvl w:val="0"/>
                <w:numId w:val="0"/>
              </w:numPr>
              <w:rPr>
                <w:szCs w:val="22"/>
              </w:rPr>
            </w:pPr>
            <w:r w:rsidRPr="0059512C">
              <w:rPr>
                <w:szCs w:val="22"/>
              </w:rPr>
              <w:t>$1,110</w:t>
            </w:r>
          </w:p>
        </w:tc>
        <w:tc>
          <w:tcPr>
            <w:tcW w:w="2775" w:type="dxa"/>
          </w:tcPr>
          <w:p w:rsidR="001C615E" w:rsidRPr="0059512C" w:rsidP="004B401B">
            <w:pPr>
              <w:pStyle w:val="ParaNum"/>
              <w:numPr>
                <w:ilvl w:val="0"/>
                <w:numId w:val="0"/>
              </w:numPr>
              <w:rPr>
                <w:szCs w:val="22"/>
              </w:rPr>
            </w:pPr>
            <w:r w:rsidRPr="0059512C">
              <w:rPr>
                <w:szCs w:val="22"/>
              </w:rPr>
              <w:t>$1,2</w:t>
            </w:r>
            <w:r w:rsidRPr="0059512C" w:rsidR="00D7336C">
              <w:rPr>
                <w:szCs w:val="22"/>
              </w:rPr>
              <w:t>65</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FM radio, Main Studio Request</w:t>
            </w:r>
            <w:r w:rsidRPr="002E374F">
              <w:rPr>
                <w:rStyle w:val="FootnoteReference"/>
                <w:sz w:val="22"/>
              </w:rPr>
              <w:t xml:space="preserve"> </w:t>
            </w:r>
            <w:r>
              <w:rPr>
                <w:rStyle w:val="FootnoteReference"/>
                <w:sz w:val="22"/>
              </w:rPr>
              <w:footnoteReference w:id="52"/>
            </w:r>
          </w:p>
        </w:tc>
        <w:tc>
          <w:tcPr>
            <w:tcW w:w="2757" w:type="dxa"/>
          </w:tcPr>
          <w:p w:rsidR="001C615E" w:rsidRPr="0059512C" w:rsidP="004B401B">
            <w:pPr>
              <w:pStyle w:val="ParaNum"/>
              <w:numPr>
                <w:ilvl w:val="0"/>
                <w:numId w:val="0"/>
              </w:numPr>
              <w:rPr>
                <w:szCs w:val="22"/>
              </w:rPr>
            </w:pPr>
            <w:r w:rsidRPr="0059512C">
              <w:rPr>
                <w:szCs w:val="22"/>
              </w:rPr>
              <w:t>$1,110</w:t>
            </w:r>
          </w:p>
        </w:tc>
        <w:tc>
          <w:tcPr>
            <w:tcW w:w="2775" w:type="dxa"/>
          </w:tcPr>
          <w:p w:rsidR="001C615E" w:rsidRPr="0059512C" w:rsidP="004B401B">
            <w:pPr>
              <w:pStyle w:val="ParaNum"/>
              <w:numPr>
                <w:ilvl w:val="0"/>
                <w:numId w:val="0"/>
              </w:numPr>
              <w:rPr>
                <w:szCs w:val="22"/>
              </w:rPr>
            </w:pPr>
            <w:r w:rsidRPr="0059512C">
              <w:rPr>
                <w:szCs w:val="22"/>
              </w:rPr>
              <w:t>Remove</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FM radio, new license</w:t>
            </w:r>
          </w:p>
        </w:tc>
        <w:tc>
          <w:tcPr>
            <w:tcW w:w="2757" w:type="dxa"/>
          </w:tcPr>
          <w:p w:rsidR="001C615E" w:rsidRPr="0059512C" w:rsidP="004B401B">
            <w:pPr>
              <w:pStyle w:val="ParaNum"/>
              <w:numPr>
                <w:ilvl w:val="0"/>
                <w:numId w:val="0"/>
              </w:numPr>
              <w:rPr>
                <w:szCs w:val="22"/>
              </w:rPr>
            </w:pPr>
            <w:r w:rsidRPr="0059512C">
              <w:rPr>
                <w:szCs w:val="22"/>
              </w:rPr>
              <w:t>$225</w:t>
            </w:r>
          </w:p>
        </w:tc>
        <w:tc>
          <w:tcPr>
            <w:tcW w:w="2775" w:type="dxa"/>
          </w:tcPr>
          <w:p w:rsidR="001C615E" w:rsidRPr="0059512C" w:rsidP="004B401B">
            <w:pPr>
              <w:pStyle w:val="ParaNum"/>
              <w:numPr>
                <w:ilvl w:val="0"/>
                <w:numId w:val="0"/>
              </w:numPr>
              <w:rPr>
                <w:szCs w:val="22"/>
              </w:rPr>
            </w:pPr>
            <w:r w:rsidRPr="0059512C">
              <w:rPr>
                <w:szCs w:val="22"/>
              </w:rPr>
              <w:t>$2</w:t>
            </w:r>
            <w:r w:rsidRPr="0059512C" w:rsidR="00D7336C">
              <w:rPr>
                <w:szCs w:val="22"/>
              </w:rPr>
              <w:t>35</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 xml:space="preserve">FM radio, directional </w:t>
            </w:r>
            <w:r w:rsidRPr="0059512C">
              <w:rPr>
                <w:szCs w:val="22"/>
              </w:rPr>
              <w:t>antenna</w:t>
            </w:r>
          </w:p>
        </w:tc>
        <w:tc>
          <w:tcPr>
            <w:tcW w:w="2757" w:type="dxa"/>
          </w:tcPr>
          <w:p w:rsidR="001C615E" w:rsidRPr="0059512C" w:rsidP="004B401B">
            <w:pPr>
              <w:pStyle w:val="ParaNum"/>
              <w:numPr>
                <w:ilvl w:val="0"/>
                <w:numId w:val="0"/>
              </w:numPr>
              <w:rPr>
                <w:szCs w:val="22"/>
              </w:rPr>
            </w:pPr>
            <w:r w:rsidRPr="0059512C">
              <w:rPr>
                <w:szCs w:val="22"/>
              </w:rPr>
              <w:t>$695</w:t>
            </w:r>
          </w:p>
        </w:tc>
        <w:tc>
          <w:tcPr>
            <w:tcW w:w="2775" w:type="dxa"/>
          </w:tcPr>
          <w:p w:rsidR="001C615E" w:rsidRPr="0059512C" w:rsidP="004B401B">
            <w:pPr>
              <w:pStyle w:val="ParaNum"/>
              <w:numPr>
                <w:ilvl w:val="0"/>
                <w:numId w:val="0"/>
              </w:numPr>
              <w:rPr>
                <w:szCs w:val="22"/>
              </w:rPr>
            </w:pPr>
            <w:r w:rsidRPr="0059512C">
              <w:rPr>
                <w:szCs w:val="22"/>
              </w:rPr>
              <w:t>$6</w:t>
            </w:r>
            <w:r w:rsidRPr="0059512C" w:rsidR="00D7336C">
              <w:rPr>
                <w:szCs w:val="22"/>
              </w:rPr>
              <w:t>30</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FM radio, license renewal</w:t>
            </w:r>
          </w:p>
        </w:tc>
        <w:tc>
          <w:tcPr>
            <w:tcW w:w="2757" w:type="dxa"/>
          </w:tcPr>
          <w:p w:rsidR="001C615E" w:rsidRPr="0059512C" w:rsidP="004B401B">
            <w:pPr>
              <w:pStyle w:val="ParaNum"/>
              <w:numPr>
                <w:ilvl w:val="0"/>
                <w:numId w:val="0"/>
              </w:numPr>
              <w:rPr>
                <w:szCs w:val="22"/>
              </w:rPr>
            </w:pPr>
            <w:r w:rsidRPr="0059512C">
              <w:rPr>
                <w:szCs w:val="22"/>
              </w:rPr>
              <w:t>$200</w:t>
            </w:r>
          </w:p>
        </w:tc>
        <w:tc>
          <w:tcPr>
            <w:tcW w:w="2775" w:type="dxa"/>
          </w:tcPr>
          <w:p w:rsidR="001C615E" w:rsidRPr="0059512C" w:rsidP="004B401B">
            <w:pPr>
              <w:pStyle w:val="ParaNum"/>
              <w:numPr>
                <w:ilvl w:val="0"/>
                <w:numId w:val="0"/>
              </w:numPr>
              <w:rPr>
                <w:szCs w:val="22"/>
              </w:rPr>
            </w:pPr>
            <w:r w:rsidRPr="0059512C">
              <w:rPr>
                <w:szCs w:val="22"/>
              </w:rPr>
              <w:t>$</w:t>
            </w:r>
            <w:r w:rsidR="004976C1">
              <w:rPr>
                <w:szCs w:val="22"/>
              </w:rPr>
              <w:t>325</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FM radio, license assignment, long</w:t>
            </w:r>
            <w:r w:rsidR="009E7875">
              <w:rPr>
                <w:szCs w:val="22"/>
              </w:rPr>
              <w:t>-</w:t>
            </w:r>
            <w:r w:rsidRPr="0059512C">
              <w:rPr>
                <w:szCs w:val="22"/>
              </w:rPr>
              <w:t>form</w:t>
            </w:r>
          </w:p>
        </w:tc>
        <w:tc>
          <w:tcPr>
            <w:tcW w:w="2757" w:type="dxa"/>
          </w:tcPr>
          <w:p w:rsidR="001C615E" w:rsidRPr="0059512C" w:rsidP="004B401B">
            <w:pPr>
              <w:pStyle w:val="ParaNum"/>
              <w:numPr>
                <w:ilvl w:val="0"/>
                <w:numId w:val="0"/>
              </w:numPr>
              <w:rPr>
                <w:szCs w:val="22"/>
              </w:rPr>
            </w:pPr>
            <w:r w:rsidRPr="0059512C">
              <w:rPr>
                <w:szCs w:val="22"/>
              </w:rPr>
              <w:t>$1,110</w:t>
            </w:r>
          </w:p>
        </w:tc>
        <w:tc>
          <w:tcPr>
            <w:tcW w:w="2775" w:type="dxa"/>
          </w:tcPr>
          <w:p w:rsidR="001C615E" w:rsidRPr="0059512C" w:rsidP="004B401B">
            <w:pPr>
              <w:pStyle w:val="ParaNum"/>
              <w:numPr>
                <w:ilvl w:val="0"/>
                <w:numId w:val="0"/>
              </w:numPr>
              <w:rPr>
                <w:szCs w:val="22"/>
              </w:rPr>
            </w:pPr>
            <w:r w:rsidRPr="0059512C">
              <w:rPr>
                <w:szCs w:val="22"/>
              </w:rPr>
              <w:t>$</w:t>
            </w:r>
            <w:r w:rsidRPr="0059512C" w:rsidR="00D7336C">
              <w:rPr>
                <w:szCs w:val="22"/>
              </w:rPr>
              <w:t>1,005</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FM radio, license assignment, short</w:t>
            </w:r>
            <w:r w:rsidR="009E7875">
              <w:rPr>
                <w:szCs w:val="22"/>
              </w:rPr>
              <w:t>-</w:t>
            </w:r>
            <w:r w:rsidRPr="0059512C">
              <w:rPr>
                <w:szCs w:val="22"/>
              </w:rPr>
              <w:t>form</w:t>
            </w:r>
          </w:p>
        </w:tc>
        <w:tc>
          <w:tcPr>
            <w:tcW w:w="2757" w:type="dxa"/>
          </w:tcPr>
          <w:p w:rsidR="001C615E" w:rsidRPr="0059512C" w:rsidP="004B401B">
            <w:pPr>
              <w:pStyle w:val="ParaNum"/>
              <w:numPr>
                <w:ilvl w:val="0"/>
                <w:numId w:val="0"/>
              </w:numPr>
              <w:rPr>
                <w:szCs w:val="22"/>
              </w:rPr>
            </w:pPr>
            <w:r w:rsidRPr="0059512C">
              <w:rPr>
                <w:szCs w:val="22"/>
              </w:rPr>
              <w:t>$160</w:t>
            </w:r>
          </w:p>
        </w:tc>
        <w:tc>
          <w:tcPr>
            <w:tcW w:w="2775" w:type="dxa"/>
          </w:tcPr>
          <w:p w:rsidR="001C615E" w:rsidRPr="0059512C" w:rsidP="004B401B">
            <w:pPr>
              <w:pStyle w:val="ParaNum"/>
              <w:numPr>
                <w:ilvl w:val="0"/>
                <w:numId w:val="0"/>
              </w:numPr>
              <w:rPr>
                <w:szCs w:val="22"/>
              </w:rPr>
            </w:pPr>
            <w:r w:rsidRPr="0059512C">
              <w:rPr>
                <w:szCs w:val="22"/>
              </w:rPr>
              <w:t>$4</w:t>
            </w:r>
            <w:r w:rsidRPr="0059512C" w:rsidR="00D7336C">
              <w:rPr>
                <w:szCs w:val="22"/>
              </w:rPr>
              <w:t>25</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FM radio, transfer of control, long</w:t>
            </w:r>
            <w:r w:rsidR="009E7875">
              <w:rPr>
                <w:szCs w:val="22"/>
              </w:rPr>
              <w:t>-</w:t>
            </w:r>
            <w:r w:rsidRPr="0059512C">
              <w:rPr>
                <w:szCs w:val="22"/>
              </w:rPr>
              <w:t>form</w:t>
            </w:r>
          </w:p>
        </w:tc>
        <w:tc>
          <w:tcPr>
            <w:tcW w:w="2757" w:type="dxa"/>
          </w:tcPr>
          <w:p w:rsidR="001C615E" w:rsidRPr="0059512C" w:rsidP="004B401B">
            <w:pPr>
              <w:pStyle w:val="ParaNum"/>
              <w:numPr>
                <w:ilvl w:val="0"/>
                <w:numId w:val="0"/>
              </w:numPr>
              <w:rPr>
                <w:szCs w:val="22"/>
              </w:rPr>
            </w:pPr>
            <w:r w:rsidRPr="0059512C">
              <w:rPr>
                <w:szCs w:val="22"/>
              </w:rPr>
              <w:t>$1,110</w:t>
            </w:r>
          </w:p>
        </w:tc>
        <w:tc>
          <w:tcPr>
            <w:tcW w:w="2775" w:type="dxa"/>
          </w:tcPr>
          <w:p w:rsidR="001C615E" w:rsidRPr="0059512C" w:rsidP="004B401B">
            <w:pPr>
              <w:pStyle w:val="ParaNum"/>
              <w:numPr>
                <w:ilvl w:val="0"/>
                <w:numId w:val="0"/>
              </w:numPr>
              <w:rPr>
                <w:szCs w:val="22"/>
              </w:rPr>
            </w:pPr>
            <w:r w:rsidRPr="0059512C">
              <w:rPr>
                <w:szCs w:val="22"/>
              </w:rPr>
              <w:t>$</w:t>
            </w:r>
            <w:r w:rsidRPr="0059512C" w:rsidR="00D7336C">
              <w:rPr>
                <w:szCs w:val="22"/>
              </w:rPr>
              <w:t>1,005</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FM radio, transfer of control, short</w:t>
            </w:r>
            <w:r w:rsidR="009E7875">
              <w:rPr>
                <w:szCs w:val="22"/>
              </w:rPr>
              <w:t>-</w:t>
            </w:r>
            <w:r w:rsidRPr="0059512C">
              <w:rPr>
                <w:szCs w:val="22"/>
              </w:rPr>
              <w:t>form</w:t>
            </w:r>
          </w:p>
        </w:tc>
        <w:tc>
          <w:tcPr>
            <w:tcW w:w="2757" w:type="dxa"/>
          </w:tcPr>
          <w:p w:rsidR="001C615E" w:rsidRPr="0059512C" w:rsidP="004B401B">
            <w:pPr>
              <w:pStyle w:val="ParaNum"/>
              <w:numPr>
                <w:ilvl w:val="0"/>
                <w:numId w:val="0"/>
              </w:numPr>
              <w:rPr>
                <w:szCs w:val="22"/>
              </w:rPr>
            </w:pPr>
            <w:r w:rsidRPr="0059512C">
              <w:rPr>
                <w:szCs w:val="22"/>
              </w:rPr>
              <w:t>$160</w:t>
            </w:r>
          </w:p>
        </w:tc>
        <w:tc>
          <w:tcPr>
            <w:tcW w:w="2775" w:type="dxa"/>
          </w:tcPr>
          <w:p w:rsidR="001C615E" w:rsidRPr="0059512C" w:rsidP="004B401B">
            <w:pPr>
              <w:pStyle w:val="ParaNum"/>
              <w:numPr>
                <w:ilvl w:val="0"/>
                <w:numId w:val="0"/>
              </w:numPr>
              <w:rPr>
                <w:szCs w:val="22"/>
              </w:rPr>
            </w:pPr>
            <w:r w:rsidRPr="0059512C">
              <w:rPr>
                <w:szCs w:val="22"/>
              </w:rPr>
              <w:t>$4</w:t>
            </w:r>
            <w:r w:rsidRPr="0059512C" w:rsidR="00D7336C">
              <w:rPr>
                <w:szCs w:val="22"/>
              </w:rPr>
              <w:t>25</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FM radio, call sign</w:t>
            </w:r>
          </w:p>
        </w:tc>
        <w:tc>
          <w:tcPr>
            <w:tcW w:w="2757" w:type="dxa"/>
          </w:tcPr>
          <w:p w:rsidR="001C615E" w:rsidRPr="0059512C" w:rsidP="004B401B">
            <w:pPr>
              <w:pStyle w:val="ParaNum"/>
              <w:numPr>
                <w:ilvl w:val="0"/>
                <w:numId w:val="0"/>
              </w:numPr>
              <w:rPr>
                <w:szCs w:val="22"/>
              </w:rPr>
            </w:pPr>
            <w:r w:rsidRPr="0059512C">
              <w:rPr>
                <w:szCs w:val="22"/>
              </w:rPr>
              <w:t>$110</w:t>
            </w:r>
          </w:p>
        </w:tc>
        <w:tc>
          <w:tcPr>
            <w:tcW w:w="2775" w:type="dxa"/>
          </w:tcPr>
          <w:p w:rsidR="001C615E" w:rsidRPr="0059512C" w:rsidP="004B401B">
            <w:pPr>
              <w:pStyle w:val="ParaNum"/>
              <w:numPr>
                <w:ilvl w:val="0"/>
                <w:numId w:val="0"/>
              </w:numPr>
              <w:rPr>
                <w:b/>
                <w:szCs w:val="22"/>
              </w:rPr>
            </w:pPr>
            <w:r w:rsidRPr="0059512C">
              <w:rPr>
                <w:szCs w:val="22"/>
              </w:rPr>
              <w:t>$1</w:t>
            </w:r>
            <w:r w:rsidRPr="0059512C" w:rsidR="00D7336C">
              <w:rPr>
                <w:szCs w:val="22"/>
              </w:rPr>
              <w:t>70</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FM radio, STA</w:t>
            </w:r>
          </w:p>
        </w:tc>
        <w:tc>
          <w:tcPr>
            <w:tcW w:w="2757" w:type="dxa"/>
          </w:tcPr>
          <w:p w:rsidR="001C615E" w:rsidRPr="0059512C" w:rsidP="004B401B">
            <w:pPr>
              <w:pStyle w:val="ParaNum"/>
              <w:numPr>
                <w:ilvl w:val="0"/>
                <w:numId w:val="0"/>
              </w:numPr>
              <w:rPr>
                <w:szCs w:val="22"/>
              </w:rPr>
            </w:pPr>
            <w:r w:rsidRPr="0059512C">
              <w:rPr>
                <w:szCs w:val="22"/>
              </w:rPr>
              <w:t>$200</w:t>
            </w:r>
          </w:p>
        </w:tc>
        <w:tc>
          <w:tcPr>
            <w:tcW w:w="2775" w:type="dxa"/>
          </w:tcPr>
          <w:p w:rsidR="001C615E" w:rsidRPr="0059512C" w:rsidP="004B401B">
            <w:pPr>
              <w:pStyle w:val="ParaNum"/>
              <w:numPr>
                <w:ilvl w:val="0"/>
                <w:numId w:val="0"/>
              </w:numPr>
              <w:rPr>
                <w:szCs w:val="22"/>
              </w:rPr>
            </w:pPr>
            <w:r w:rsidRPr="0059512C">
              <w:rPr>
                <w:szCs w:val="22"/>
              </w:rPr>
              <w:t>$2</w:t>
            </w:r>
            <w:r w:rsidRPr="0059512C" w:rsidR="00D7336C">
              <w:rPr>
                <w:szCs w:val="22"/>
              </w:rPr>
              <w:t>10</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FM radio, petition for rulemaking</w:t>
            </w:r>
          </w:p>
        </w:tc>
        <w:tc>
          <w:tcPr>
            <w:tcW w:w="2757" w:type="dxa"/>
          </w:tcPr>
          <w:p w:rsidR="001C615E" w:rsidRPr="0059512C" w:rsidP="004B401B">
            <w:pPr>
              <w:pStyle w:val="ParaNum"/>
              <w:numPr>
                <w:ilvl w:val="0"/>
                <w:numId w:val="0"/>
              </w:numPr>
              <w:rPr>
                <w:szCs w:val="22"/>
              </w:rPr>
            </w:pPr>
            <w:r w:rsidRPr="0059512C">
              <w:rPr>
                <w:szCs w:val="22"/>
              </w:rPr>
              <w:t>$3,065</w:t>
            </w:r>
          </w:p>
        </w:tc>
        <w:tc>
          <w:tcPr>
            <w:tcW w:w="2775" w:type="dxa"/>
          </w:tcPr>
          <w:p w:rsidR="001C615E" w:rsidRPr="0059512C" w:rsidP="004B401B">
            <w:pPr>
              <w:pStyle w:val="ParaNum"/>
              <w:numPr>
                <w:ilvl w:val="0"/>
                <w:numId w:val="0"/>
              </w:numPr>
              <w:rPr>
                <w:szCs w:val="22"/>
              </w:rPr>
            </w:pPr>
            <w:r w:rsidRPr="0059512C">
              <w:rPr>
                <w:szCs w:val="22"/>
              </w:rPr>
              <w:t>$3,</w:t>
            </w:r>
            <w:r w:rsidRPr="0059512C" w:rsidR="00D7336C">
              <w:rPr>
                <w:szCs w:val="22"/>
              </w:rPr>
              <w:t>180</w:t>
            </w:r>
          </w:p>
        </w:tc>
      </w:tr>
      <w:tr w:rsidTr="00FD3FC3">
        <w:tblPrEx>
          <w:tblW w:w="0" w:type="auto"/>
          <w:tblInd w:w="990" w:type="dxa"/>
          <w:tblLook w:val="04A0"/>
        </w:tblPrEx>
        <w:tc>
          <w:tcPr>
            <w:tcW w:w="2828" w:type="dxa"/>
          </w:tcPr>
          <w:p w:rsidR="001C615E" w:rsidRPr="0059512C" w:rsidP="004B401B">
            <w:pPr>
              <w:pStyle w:val="ParaNum"/>
              <w:numPr>
                <w:ilvl w:val="0"/>
                <w:numId w:val="0"/>
              </w:numPr>
              <w:rPr>
                <w:szCs w:val="22"/>
              </w:rPr>
            </w:pPr>
            <w:r w:rsidRPr="0059512C">
              <w:rPr>
                <w:szCs w:val="22"/>
              </w:rPr>
              <w:t>FM radio, ownership report</w:t>
            </w:r>
          </w:p>
        </w:tc>
        <w:tc>
          <w:tcPr>
            <w:tcW w:w="2757" w:type="dxa"/>
          </w:tcPr>
          <w:p w:rsidR="001C615E" w:rsidRPr="0059512C" w:rsidP="004B401B">
            <w:pPr>
              <w:pStyle w:val="ParaNum"/>
              <w:numPr>
                <w:ilvl w:val="0"/>
                <w:numId w:val="0"/>
              </w:numPr>
              <w:rPr>
                <w:szCs w:val="22"/>
              </w:rPr>
            </w:pPr>
            <w:r w:rsidRPr="0059512C">
              <w:rPr>
                <w:szCs w:val="22"/>
              </w:rPr>
              <w:t>$70</w:t>
            </w:r>
          </w:p>
        </w:tc>
        <w:tc>
          <w:tcPr>
            <w:tcW w:w="2775" w:type="dxa"/>
          </w:tcPr>
          <w:p w:rsidR="001C615E" w:rsidRPr="0059512C" w:rsidP="004B401B">
            <w:pPr>
              <w:pStyle w:val="ParaNum"/>
              <w:numPr>
                <w:ilvl w:val="0"/>
                <w:numId w:val="0"/>
              </w:numPr>
              <w:rPr>
                <w:b/>
                <w:szCs w:val="22"/>
              </w:rPr>
            </w:pPr>
            <w:r w:rsidRPr="0059512C">
              <w:rPr>
                <w:szCs w:val="22"/>
              </w:rPr>
              <w:t>$8</w:t>
            </w:r>
            <w:r w:rsidRPr="0059512C" w:rsidR="00D7336C">
              <w:rPr>
                <w:szCs w:val="22"/>
              </w:rPr>
              <w:t>5</w:t>
            </w:r>
          </w:p>
        </w:tc>
      </w:tr>
    </w:tbl>
    <w:p w:rsidR="00FD3FC3" w:rsidRPr="0059512C" w:rsidP="00FD3FC3">
      <w:pPr>
        <w:pStyle w:val="ParaNum"/>
        <w:numPr>
          <w:ilvl w:val="0"/>
          <w:numId w:val="0"/>
        </w:numPr>
        <w:rPr>
          <w:szCs w:val="22"/>
        </w:rPr>
      </w:pPr>
      <w:bookmarkStart w:id="197" w:name="_Toc19795080"/>
      <w:bookmarkStart w:id="198" w:name="_Toc19796449"/>
      <w:bookmarkStart w:id="199" w:name="_Toc19796807"/>
    </w:p>
    <w:p w:rsidR="00FD3FC3" w:rsidRPr="0059512C" w:rsidP="00953DB3">
      <w:pPr>
        <w:pStyle w:val="ParaNum"/>
        <w:rPr>
          <w:szCs w:val="22"/>
        </w:rPr>
      </w:pPr>
      <w:r w:rsidRPr="0059512C">
        <w:rPr>
          <w:szCs w:val="22"/>
        </w:rPr>
        <w:t>Applications for new construction permits have the highest level of complexity and significant engineering and legal analysis is needed in processing these applications.  Many of these applications result in petitions or objections after the application is</w:t>
      </w:r>
      <w:r w:rsidRPr="0059512C">
        <w:rPr>
          <w:szCs w:val="22"/>
        </w:rPr>
        <w:t xml:space="preserve"> filed.  We estimate that the Commission’s resources in processing an application for a new FM construction permit consist of engineer</w:t>
      </w:r>
      <w:r w:rsidR="00D9403F">
        <w:rPr>
          <w:szCs w:val="22"/>
        </w:rPr>
        <w:t>ing</w:t>
      </w:r>
      <w:r w:rsidRPr="0059512C">
        <w:rPr>
          <w:szCs w:val="22"/>
        </w:rPr>
        <w:t xml:space="preserve"> technical review, supervisory engineer review, </w:t>
      </w:r>
      <w:r w:rsidR="009C2025">
        <w:rPr>
          <w:szCs w:val="22"/>
        </w:rPr>
        <w:t xml:space="preserve">an </w:t>
      </w:r>
      <w:r w:rsidRPr="0059512C">
        <w:rPr>
          <w:szCs w:val="22"/>
        </w:rPr>
        <w:t xml:space="preserve">attorney reviewing multiple ownership, </w:t>
      </w:r>
      <w:r w:rsidR="009C2025">
        <w:rPr>
          <w:szCs w:val="22"/>
        </w:rPr>
        <w:t xml:space="preserve">an </w:t>
      </w:r>
      <w:r w:rsidRPr="0059512C">
        <w:rPr>
          <w:szCs w:val="22"/>
        </w:rPr>
        <w:t>attorney reviewing pleadin</w:t>
      </w:r>
      <w:r w:rsidRPr="0059512C">
        <w:rPr>
          <w:szCs w:val="22"/>
        </w:rPr>
        <w:t xml:space="preserve">gs, and </w:t>
      </w:r>
      <w:r w:rsidR="009C2025">
        <w:rPr>
          <w:szCs w:val="22"/>
        </w:rPr>
        <w:t xml:space="preserve">a </w:t>
      </w:r>
      <w:r w:rsidRPr="0059512C">
        <w:rPr>
          <w:szCs w:val="22"/>
        </w:rPr>
        <w:t>supervisory attorney reviewing written disposition.  Our estimate is that the cost of this process is $3,</w:t>
      </w:r>
      <w:r w:rsidRPr="0059512C" w:rsidR="007A3BCA">
        <w:rPr>
          <w:szCs w:val="22"/>
        </w:rPr>
        <w:t>295</w:t>
      </w:r>
      <w:r w:rsidRPr="0059512C">
        <w:rPr>
          <w:szCs w:val="22"/>
        </w:rPr>
        <w:t>.  We estimate that the Commission’s resources in processing an application for an FM minor modification construction permit consist of en</w:t>
      </w:r>
      <w:r w:rsidRPr="0059512C">
        <w:rPr>
          <w:szCs w:val="22"/>
        </w:rPr>
        <w:t xml:space="preserve">gineer review, engineer supervisory review, </w:t>
      </w:r>
      <w:r w:rsidR="009C2025">
        <w:rPr>
          <w:szCs w:val="22"/>
        </w:rPr>
        <w:t xml:space="preserve">an </w:t>
      </w:r>
      <w:r w:rsidRPr="0059512C">
        <w:rPr>
          <w:szCs w:val="22"/>
        </w:rPr>
        <w:t xml:space="preserve">attorney reviewing multiple ownership, </w:t>
      </w:r>
      <w:r w:rsidR="009C2025">
        <w:rPr>
          <w:szCs w:val="22"/>
        </w:rPr>
        <w:t xml:space="preserve">an </w:t>
      </w:r>
      <w:r w:rsidRPr="0059512C">
        <w:rPr>
          <w:szCs w:val="22"/>
        </w:rPr>
        <w:t xml:space="preserve">attorney reviewing pleadings, and </w:t>
      </w:r>
      <w:r w:rsidR="009C2025">
        <w:rPr>
          <w:szCs w:val="22"/>
        </w:rPr>
        <w:t xml:space="preserve">a </w:t>
      </w:r>
      <w:r w:rsidRPr="0059512C">
        <w:rPr>
          <w:szCs w:val="22"/>
        </w:rPr>
        <w:t>supervisory attorney reviewing written disposition.  Our estimate is that the cost of this process is $1,2</w:t>
      </w:r>
      <w:r w:rsidRPr="0059512C" w:rsidR="007A3BCA">
        <w:rPr>
          <w:szCs w:val="22"/>
        </w:rPr>
        <w:t>65</w:t>
      </w:r>
      <w:r w:rsidRPr="0059512C">
        <w:rPr>
          <w:szCs w:val="22"/>
        </w:rPr>
        <w:t>.</w:t>
      </w:r>
    </w:p>
    <w:p w:rsidR="00953DB3" w:rsidRPr="0059512C" w:rsidP="00953DB3">
      <w:pPr>
        <w:pStyle w:val="ParaNum"/>
        <w:rPr>
          <w:szCs w:val="22"/>
        </w:rPr>
      </w:pPr>
      <w:r w:rsidRPr="0059512C">
        <w:rPr>
          <w:szCs w:val="22"/>
        </w:rPr>
        <w:t xml:space="preserve">We estimate that the </w:t>
      </w:r>
      <w:r w:rsidRPr="0059512C">
        <w:rPr>
          <w:szCs w:val="22"/>
        </w:rPr>
        <w:t xml:space="preserve">Commission’s </w:t>
      </w:r>
      <w:r w:rsidRPr="0059512C" w:rsidR="00FB6C51">
        <w:rPr>
          <w:szCs w:val="22"/>
        </w:rPr>
        <w:t>resource</w:t>
      </w:r>
      <w:r w:rsidRPr="0059512C">
        <w:rPr>
          <w:szCs w:val="22"/>
        </w:rPr>
        <w:t xml:space="preserve">s in processing an application for an FM </w:t>
      </w:r>
      <w:r w:rsidR="009C2025">
        <w:rPr>
          <w:szCs w:val="22"/>
        </w:rPr>
        <w:t>l</w:t>
      </w:r>
      <w:r w:rsidRPr="0059512C">
        <w:rPr>
          <w:szCs w:val="22"/>
        </w:rPr>
        <w:t xml:space="preserve">icense consist of </w:t>
      </w:r>
      <w:r w:rsidR="009C2025">
        <w:rPr>
          <w:szCs w:val="22"/>
        </w:rPr>
        <w:t xml:space="preserve">an </w:t>
      </w:r>
      <w:r w:rsidRPr="0059512C">
        <w:rPr>
          <w:szCs w:val="22"/>
        </w:rPr>
        <w:t xml:space="preserve">analyst reviewing </w:t>
      </w:r>
      <w:r w:rsidR="009C2025">
        <w:rPr>
          <w:szCs w:val="22"/>
        </w:rPr>
        <w:t xml:space="preserve">the </w:t>
      </w:r>
      <w:r w:rsidRPr="0059512C">
        <w:rPr>
          <w:szCs w:val="22"/>
        </w:rPr>
        <w:t>application</w:t>
      </w:r>
      <w:r w:rsidRPr="006507EF">
        <w:rPr>
          <w:szCs w:val="22"/>
        </w:rPr>
        <w:t xml:space="preserve">, </w:t>
      </w:r>
      <w:r w:rsidRPr="00972783" w:rsidR="009C2025">
        <w:rPr>
          <w:szCs w:val="22"/>
        </w:rPr>
        <w:t>a</w:t>
      </w:r>
      <w:r w:rsidRPr="00972783" w:rsidR="00A804BB">
        <w:rPr>
          <w:szCs w:val="22"/>
        </w:rPr>
        <w:t>n</w:t>
      </w:r>
      <w:r w:rsidRPr="00972783" w:rsidR="009C2025">
        <w:rPr>
          <w:szCs w:val="22"/>
        </w:rPr>
        <w:t xml:space="preserve"> </w:t>
      </w:r>
      <w:r w:rsidRPr="00972783">
        <w:rPr>
          <w:szCs w:val="22"/>
        </w:rPr>
        <w:t>engineer</w:t>
      </w:r>
      <w:r w:rsidRPr="00972783" w:rsidR="00D9403F">
        <w:rPr>
          <w:szCs w:val="22"/>
        </w:rPr>
        <w:t>ing review</w:t>
      </w:r>
      <w:r w:rsidRPr="006507EF">
        <w:rPr>
          <w:szCs w:val="22"/>
        </w:rPr>
        <w:t>,</w:t>
      </w:r>
      <w:r w:rsidRPr="0059512C">
        <w:rPr>
          <w:szCs w:val="22"/>
        </w:rPr>
        <w:t xml:space="preserve"> </w:t>
      </w:r>
      <w:r w:rsidR="009C2025">
        <w:rPr>
          <w:szCs w:val="22"/>
        </w:rPr>
        <w:t xml:space="preserve">an </w:t>
      </w:r>
      <w:r w:rsidRPr="0059512C">
        <w:rPr>
          <w:szCs w:val="22"/>
        </w:rPr>
        <w:t xml:space="preserve">attorney reviewing pleadings, and </w:t>
      </w:r>
      <w:r w:rsidR="009C2025">
        <w:rPr>
          <w:szCs w:val="22"/>
        </w:rPr>
        <w:t xml:space="preserve">a </w:t>
      </w:r>
      <w:r w:rsidRPr="0059512C">
        <w:rPr>
          <w:szCs w:val="22"/>
        </w:rPr>
        <w:t>supervisory attorney reviewing written disposition.  Some of the applicatio</w:t>
      </w:r>
      <w:r w:rsidRPr="0059512C">
        <w:rPr>
          <w:szCs w:val="22"/>
        </w:rPr>
        <w:t>ns involve petitions or objections.  Our estimate is that the cost of this process is $2</w:t>
      </w:r>
      <w:r w:rsidRPr="0059512C" w:rsidR="007A3BCA">
        <w:rPr>
          <w:szCs w:val="22"/>
        </w:rPr>
        <w:t>35</w:t>
      </w:r>
      <w:r w:rsidRPr="0059512C">
        <w:rPr>
          <w:szCs w:val="22"/>
        </w:rPr>
        <w:t>.  An application for an FM directional antenna involves some legal analysis and significant engineering review.  Some of the applications result in petitions or obje</w:t>
      </w:r>
      <w:r w:rsidRPr="0059512C">
        <w:rPr>
          <w:szCs w:val="22"/>
        </w:rPr>
        <w:t xml:space="preserve">ctions after the application is filed.  We estimate that the Commission’s resources in processing an application for an FM directional antenna consist of engineer review, engineer supervisory review, </w:t>
      </w:r>
      <w:r w:rsidR="009C2025">
        <w:rPr>
          <w:szCs w:val="22"/>
        </w:rPr>
        <w:t xml:space="preserve">an </w:t>
      </w:r>
      <w:r w:rsidRPr="0059512C">
        <w:rPr>
          <w:szCs w:val="22"/>
        </w:rPr>
        <w:t xml:space="preserve">attorney reviewing multiple ownership, </w:t>
      </w:r>
      <w:r w:rsidR="009C2025">
        <w:rPr>
          <w:szCs w:val="22"/>
        </w:rPr>
        <w:t xml:space="preserve">an </w:t>
      </w:r>
      <w:r w:rsidRPr="0059512C">
        <w:rPr>
          <w:szCs w:val="22"/>
        </w:rPr>
        <w:t xml:space="preserve">attorney reviewing pleadings, and </w:t>
      </w:r>
      <w:r w:rsidR="009C2025">
        <w:rPr>
          <w:szCs w:val="22"/>
        </w:rPr>
        <w:t xml:space="preserve">a </w:t>
      </w:r>
      <w:r w:rsidRPr="0059512C">
        <w:rPr>
          <w:szCs w:val="22"/>
        </w:rPr>
        <w:t>supervisory attorney reviewing written disposition.  Our estimate is that the cost of this process is $6</w:t>
      </w:r>
      <w:r w:rsidRPr="0059512C" w:rsidR="007A3BCA">
        <w:rPr>
          <w:szCs w:val="22"/>
        </w:rPr>
        <w:t>3</w:t>
      </w:r>
      <w:r w:rsidRPr="0059512C">
        <w:rPr>
          <w:szCs w:val="22"/>
        </w:rPr>
        <w:t>0.</w:t>
      </w:r>
    </w:p>
    <w:p w:rsidR="00FD3FC3" w:rsidRPr="0059512C" w:rsidP="009E2244">
      <w:pPr>
        <w:pStyle w:val="ParaNum"/>
        <w:rPr>
          <w:szCs w:val="22"/>
        </w:rPr>
      </w:pPr>
      <w:r w:rsidRPr="0059512C">
        <w:rPr>
          <w:szCs w:val="22"/>
        </w:rPr>
        <w:t>A</w:t>
      </w:r>
      <w:r w:rsidR="009C2025">
        <w:rPr>
          <w:szCs w:val="22"/>
        </w:rPr>
        <w:t>n a</w:t>
      </w:r>
      <w:r w:rsidRPr="0059512C">
        <w:rPr>
          <w:szCs w:val="22"/>
        </w:rPr>
        <w:t>pplication for an FM license involve</w:t>
      </w:r>
      <w:r w:rsidR="009C2025">
        <w:rPr>
          <w:szCs w:val="22"/>
        </w:rPr>
        <w:t>s</w:t>
      </w:r>
      <w:r w:rsidRPr="0059512C">
        <w:rPr>
          <w:szCs w:val="22"/>
        </w:rPr>
        <w:t xml:space="preserve"> some legal analysis and significant engineering review.  Some of the applications result in petitions or objections after the application is filed.  We estimate that the Commission’s resources in processing an application for FM license renewal consist of</w:t>
      </w:r>
      <w:r w:rsidRPr="0059512C">
        <w:rPr>
          <w:szCs w:val="22"/>
        </w:rPr>
        <w:t xml:space="preserve"> </w:t>
      </w:r>
      <w:r w:rsidR="009C2025">
        <w:rPr>
          <w:szCs w:val="22"/>
        </w:rPr>
        <w:t xml:space="preserve">a </w:t>
      </w:r>
      <w:r w:rsidRPr="0059512C">
        <w:rPr>
          <w:szCs w:val="22"/>
        </w:rPr>
        <w:t xml:space="preserve">legal analyst reviewing </w:t>
      </w:r>
      <w:r w:rsidR="009C2025">
        <w:rPr>
          <w:szCs w:val="22"/>
        </w:rPr>
        <w:t xml:space="preserve">the </w:t>
      </w:r>
      <w:r w:rsidRPr="0059512C">
        <w:rPr>
          <w:szCs w:val="22"/>
        </w:rPr>
        <w:t xml:space="preserve">application, </w:t>
      </w:r>
      <w:r w:rsidR="009C2025">
        <w:rPr>
          <w:szCs w:val="22"/>
        </w:rPr>
        <w:t xml:space="preserve">an </w:t>
      </w:r>
      <w:r w:rsidRPr="0059512C">
        <w:rPr>
          <w:szCs w:val="22"/>
        </w:rPr>
        <w:t xml:space="preserve">attorney reviewing pleadings, and </w:t>
      </w:r>
      <w:r w:rsidR="009C2025">
        <w:rPr>
          <w:szCs w:val="22"/>
        </w:rPr>
        <w:t xml:space="preserve">an </w:t>
      </w:r>
      <w:r w:rsidRPr="0059512C">
        <w:rPr>
          <w:szCs w:val="22"/>
        </w:rPr>
        <w:t>attorney reviewing written disposition.  Our estimate is that the cost of this process is $</w:t>
      </w:r>
      <w:r w:rsidR="004976C1">
        <w:rPr>
          <w:szCs w:val="22"/>
        </w:rPr>
        <w:t>325</w:t>
      </w:r>
      <w:r w:rsidRPr="0059512C">
        <w:rPr>
          <w:szCs w:val="22"/>
        </w:rPr>
        <w:t xml:space="preserve">.  </w:t>
      </w:r>
      <w:r w:rsidR="009C2025">
        <w:rPr>
          <w:szCs w:val="22"/>
        </w:rPr>
        <w:t>Long</w:t>
      </w:r>
      <w:r w:rsidR="000C0B8E">
        <w:rPr>
          <w:szCs w:val="22"/>
        </w:rPr>
        <w:t>-</w:t>
      </w:r>
      <w:r w:rsidR="009C2025">
        <w:rPr>
          <w:szCs w:val="22"/>
        </w:rPr>
        <w:t>form a</w:t>
      </w:r>
      <w:r w:rsidRPr="0059512C">
        <w:rPr>
          <w:szCs w:val="22"/>
        </w:rPr>
        <w:t xml:space="preserve">pplications for FM license assignment involve significant legal </w:t>
      </w:r>
      <w:r w:rsidRPr="0059512C">
        <w:rPr>
          <w:szCs w:val="22"/>
        </w:rPr>
        <w:t xml:space="preserve">analysis. Some </w:t>
      </w:r>
      <w:r w:rsidR="009C2025">
        <w:rPr>
          <w:szCs w:val="22"/>
        </w:rPr>
        <w:t xml:space="preserve">of these applications </w:t>
      </w:r>
      <w:r w:rsidRPr="0059512C">
        <w:rPr>
          <w:szCs w:val="22"/>
        </w:rPr>
        <w:t>involve petitions or objections, after the application is filed.  We estimate that the Commission’s resources in processing a</w:t>
      </w:r>
      <w:r w:rsidR="009C2025">
        <w:rPr>
          <w:szCs w:val="22"/>
        </w:rPr>
        <w:t xml:space="preserve"> lo</w:t>
      </w:r>
      <w:r w:rsidRPr="0059512C">
        <w:rPr>
          <w:szCs w:val="22"/>
        </w:rPr>
        <w:t>n</w:t>
      </w:r>
      <w:r w:rsidR="009C2025">
        <w:rPr>
          <w:szCs w:val="22"/>
        </w:rPr>
        <w:t>g</w:t>
      </w:r>
      <w:r w:rsidR="000C0B8E">
        <w:rPr>
          <w:szCs w:val="22"/>
        </w:rPr>
        <w:t>-</w:t>
      </w:r>
      <w:r w:rsidR="009C2025">
        <w:rPr>
          <w:szCs w:val="22"/>
        </w:rPr>
        <w:t>form</w:t>
      </w:r>
      <w:r w:rsidRPr="0059512C">
        <w:rPr>
          <w:szCs w:val="22"/>
        </w:rPr>
        <w:t xml:space="preserve"> application for a</w:t>
      </w:r>
      <w:r w:rsidR="009C2025">
        <w:rPr>
          <w:szCs w:val="22"/>
        </w:rPr>
        <w:t>n</w:t>
      </w:r>
      <w:r w:rsidRPr="0059512C">
        <w:rPr>
          <w:szCs w:val="22"/>
        </w:rPr>
        <w:t xml:space="preserve"> FM assignment consist of </w:t>
      </w:r>
      <w:r w:rsidR="009C2025">
        <w:rPr>
          <w:szCs w:val="22"/>
        </w:rPr>
        <w:t xml:space="preserve">a </w:t>
      </w:r>
      <w:r w:rsidRPr="0059512C">
        <w:rPr>
          <w:szCs w:val="22"/>
        </w:rPr>
        <w:t xml:space="preserve">legal analyst reviewing </w:t>
      </w:r>
      <w:r w:rsidR="009C2025">
        <w:rPr>
          <w:szCs w:val="22"/>
        </w:rPr>
        <w:t xml:space="preserve">the </w:t>
      </w:r>
      <w:r w:rsidRPr="0059512C">
        <w:rPr>
          <w:szCs w:val="22"/>
        </w:rPr>
        <w:t>applicati</w:t>
      </w:r>
      <w:r w:rsidRPr="0059512C">
        <w:rPr>
          <w:szCs w:val="22"/>
        </w:rPr>
        <w:t xml:space="preserve">on, </w:t>
      </w:r>
      <w:r w:rsidR="00A804BB">
        <w:rPr>
          <w:szCs w:val="22"/>
        </w:rPr>
        <w:t xml:space="preserve">an </w:t>
      </w:r>
      <w:r w:rsidRPr="0059512C">
        <w:rPr>
          <w:szCs w:val="22"/>
        </w:rPr>
        <w:t xml:space="preserve">attorney reviewing multiple ownership, </w:t>
      </w:r>
      <w:r w:rsidR="00A804BB">
        <w:rPr>
          <w:szCs w:val="22"/>
        </w:rPr>
        <w:t xml:space="preserve">an </w:t>
      </w:r>
      <w:r w:rsidRPr="0059512C">
        <w:rPr>
          <w:szCs w:val="22"/>
        </w:rPr>
        <w:t xml:space="preserve">attorney reviewing pleadings, and </w:t>
      </w:r>
      <w:r w:rsidR="00A804BB">
        <w:rPr>
          <w:szCs w:val="22"/>
        </w:rPr>
        <w:t xml:space="preserve">an </w:t>
      </w:r>
      <w:r w:rsidRPr="0059512C">
        <w:rPr>
          <w:szCs w:val="22"/>
        </w:rPr>
        <w:t>attorney reviewing written disposition.  Our estimate is that the cost of this process is $</w:t>
      </w:r>
      <w:r w:rsidRPr="0059512C" w:rsidR="007A3BCA">
        <w:rPr>
          <w:szCs w:val="22"/>
        </w:rPr>
        <w:t>1,005</w:t>
      </w:r>
      <w:r w:rsidRPr="0059512C">
        <w:rPr>
          <w:szCs w:val="22"/>
        </w:rPr>
        <w:t xml:space="preserve">.  </w:t>
      </w:r>
      <w:r w:rsidR="00A804BB">
        <w:rPr>
          <w:szCs w:val="22"/>
        </w:rPr>
        <w:t>Short</w:t>
      </w:r>
      <w:r w:rsidR="000C0B8E">
        <w:rPr>
          <w:szCs w:val="22"/>
        </w:rPr>
        <w:t>-</w:t>
      </w:r>
      <w:r w:rsidR="00A804BB">
        <w:rPr>
          <w:szCs w:val="22"/>
        </w:rPr>
        <w:t>form a</w:t>
      </w:r>
      <w:r w:rsidRPr="0059512C">
        <w:rPr>
          <w:szCs w:val="22"/>
        </w:rPr>
        <w:t xml:space="preserve">pplications for </w:t>
      </w:r>
      <w:r w:rsidRPr="0059512C">
        <w:rPr>
          <w:szCs w:val="22"/>
        </w:rPr>
        <w:t>FM license assignment involve some legal an</w:t>
      </w:r>
      <w:r w:rsidRPr="0059512C">
        <w:rPr>
          <w:szCs w:val="22"/>
        </w:rPr>
        <w:t>alysis.  We estimate that the Commission’s resources in processing a</w:t>
      </w:r>
      <w:r w:rsidR="00A804BB">
        <w:rPr>
          <w:szCs w:val="22"/>
        </w:rPr>
        <w:t xml:space="preserve"> short</w:t>
      </w:r>
      <w:r w:rsidR="000C0B8E">
        <w:rPr>
          <w:szCs w:val="22"/>
        </w:rPr>
        <w:t>-</w:t>
      </w:r>
      <w:r w:rsidR="00A804BB">
        <w:rPr>
          <w:szCs w:val="22"/>
        </w:rPr>
        <w:t>form</w:t>
      </w:r>
      <w:r w:rsidRPr="0059512C">
        <w:rPr>
          <w:szCs w:val="22"/>
        </w:rPr>
        <w:t xml:space="preserve"> application for a</w:t>
      </w:r>
      <w:r w:rsidR="00A804BB">
        <w:rPr>
          <w:szCs w:val="22"/>
        </w:rPr>
        <w:t>n</w:t>
      </w:r>
      <w:r w:rsidRPr="0059512C">
        <w:rPr>
          <w:szCs w:val="22"/>
        </w:rPr>
        <w:t xml:space="preserve"> FM </w:t>
      </w:r>
      <w:r w:rsidR="00A804BB">
        <w:rPr>
          <w:szCs w:val="22"/>
        </w:rPr>
        <w:t xml:space="preserve">license </w:t>
      </w:r>
      <w:r w:rsidRPr="0059512C">
        <w:rPr>
          <w:szCs w:val="22"/>
        </w:rPr>
        <w:t xml:space="preserve">assignment consist of </w:t>
      </w:r>
      <w:r w:rsidR="00A804BB">
        <w:rPr>
          <w:szCs w:val="22"/>
        </w:rPr>
        <w:t xml:space="preserve">a </w:t>
      </w:r>
      <w:r w:rsidRPr="0059512C">
        <w:rPr>
          <w:szCs w:val="22"/>
        </w:rPr>
        <w:t xml:space="preserve">legal analyst reviewing </w:t>
      </w:r>
      <w:r w:rsidR="00A804BB">
        <w:rPr>
          <w:szCs w:val="22"/>
        </w:rPr>
        <w:t xml:space="preserve">the </w:t>
      </w:r>
      <w:r w:rsidRPr="0059512C">
        <w:rPr>
          <w:szCs w:val="22"/>
        </w:rPr>
        <w:t xml:space="preserve">application, </w:t>
      </w:r>
      <w:r w:rsidR="004976C1">
        <w:rPr>
          <w:szCs w:val="22"/>
        </w:rPr>
        <w:t>a</w:t>
      </w:r>
      <w:r w:rsidR="00A53F6D">
        <w:rPr>
          <w:szCs w:val="22"/>
        </w:rPr>
        <w:t xml:space="preserve">n </w:t>
      </w:r>
      <w:r w:rsidRPr="0059512C">
        <w:rPr>
          <w:szCs w:val="22"/>
        </w:rPr>
        <w:t xml:space="preserve">attorney reviewing pleadings, and </w:t>
      </w:r>
      <w:r w:rsidR="00A53F6D">
        <w:rPr>
          <w:szCs w:val="22"/>
        </w:rPr>
        <w:t xml:space="preserve">an </w:t>
      </w:r>
      <w:r w:rsidRPr="0059512C">
        <w:rPr>
          <w:szCs w:val="22"/>
        </w:rPr>
        <w:t xml:space="preserve">attorney reviewing written disposition.  </w:t>
      </w:r>
      <w:r w:rsidRPr="0059512C">
        <w:rPr>
          <w:szCs w:val="22"/>
        </w:rPr>
        <w:t>Our estimate is that the cost of this process is $4</w:t>
      </w:r>
      <w:r w:rsidRPr="0059512C" w:rsidR="007A3BCA">
        <w:rPr>
          <w:szCs w:val="22"/>
        </w:rPr>
        <w:t>25</w:t>
      </w:r>
      <w:r w:rsidRPr="0059512C">
        <w:rPr>
          <w:szCs w:val="22"/>
        </w:rPr>
        <w:t>.</w:t>
      </w:r>
      <w:r w:rsidRPr="0059512C" w:rsidR="009E2244">
        <w:rPr>
          <w:szCs w:val="22"/>
        </w:rPr>
        <w:t xml:space="preserve">  </w:t>
      </w:r>
      <w:r w:rsidR="00A53F6D">
        <w:rPr>
          <w:szCs w:val="22"/>
        </w:rPr>
        <w:t>Long</w:t>
      </w:r>
      <w:r w:rsidR="000C0B8E">
        <w:rPr>
          <w:szCs w:val="22"/>
        </w:rPr>
        <w:t>-</w:t>
      </w:r>
      <w:r w:rsidR="00A53F6D">
        <w:rPr>
          <w:szCs w:val="22"/>
        </w:rPr>
        <w:t>form a</w:t>
      </w:r>
      <w:r w:rsidRPr="0059512C" w:rsidR="009E2244">
        <w:rPr>
          <w:szCs w:val="22"/>
        </w:rPr>
        <w:t xml:space="preserve">pplications for </w:t>
      </w:r>
      <w:r w:rsidRPr="0059512C">
        <w:rPr>
          <w:szCs w:val="22"/>
        </w:rPr>
        <w:t>FM transfer</w:t>
      </w:r>
      <w:r w:rsidRPr="0059512C" w:rsidR="009E2244">
        <w:rPr>
          <w:szCs w:val="22"/>
        </w:rPr>
        <w:t>s</w:t>
      </w:r>
      <w:r w:rsidRPr="0059512C">
        <w:rPr>
          <w:szCs w:val="22"/>
        </w:rPr>
        <w:t xml:space="preserve"> of control</w:t>
      </w:r>
      <w:r w:rsidRPr="0059512C" w:rsidR="009E2244">
        <w:rPr>
          <w:szCs w:val="22"/>
        </w:rPr>
        <w:t xml:space="preserve"> </w:t>
      </w:r>
      <w:r w:rsidRPr="0059512C">
        <w:rPr>
          <w:szCs w:val="22"/>
        </w:rPr>
        <w:t xml:space="preserve">involve significant legal analysis. Some applications for transfer of control involve petitions or objections after the application is filed.  We estimate that the Commission’s </w:t>
      </w:r>
      <w:r w:rsidRPr="0059512C" w:rsidR="0052404D">
        <w:rPr>
          <w:szCs w:val="22"/>
        </w:rPr>
        <w:t>resource</w:t>
      </w:r>
      <w:r w:rsidRPr="0059512C">
        <w:rPr>
          <w:szCs w:val="22"/>
        </w:rPr>
        <w:t>s in processing a long</w:t>
      </w:r>
      <w:r w:rsidR="000C0B8E">
        <w:rPr>
          <w:szCs w:val="22"/>
        </w:rPr>
        <w:t>-</w:t>
      </w:r>
      <w:r w:rsidRPr="0059512C">
        <w:rPr>
          <w:szCs w:val="22"/>
        </w:rPr>
        <w:t xml:space="preserve">form </w:t>
      </w:r>
      <w:r w:rsidR="00A53F6D">
        <w:rPr>
          <w:szCs w:val="22"/>
        </w:rPr>
        <w:t xml:space="preserve">application for </w:t>
      </w:r>
      <w:r w:rsidRPr="0059512C">
        <w:rPr>
          <w:szCs w:val="22"/>
        </w:rPr>
        <w:t xml:space="preserve">FM </w:t>
      </w:r>
      <w:r w:rsidRPr="0059512C" w:rsidR="009E2244">
        <w:rPr>
          <w:szCs w:val="22"/>
        </w:rPr>
        <w:t>t</w:t>
      </w:r>
      <w:r w:rsidRPr="0059512C">
        <w:rPr>
          <w:szCs w:val="22"/>
        </w:rPr>
        <w:t xml:space="preserve">ransfer of </w:t>
      </w:r>
      <w:r w:rsidRPr="0059512C" w:rsidR="009E2244">
        <w:rPr>
          <w:szCs w:val="22"/>
        </w:rPr>
        <w:t>c</w:t>
      </w:r>
      <w:r w:rsidRPr="0059512C">
        <w:rPr>
          <w:szCs w:val="22"/>
        </w:rPr>
        <w:t>ontrol cons</w:t>
      </w:r>
      <w:r w:rsidRPr="0059512C">
        <w:rPr>
          <w:szCs w:val="22"/>
        </w:rPr>
        <w:t xml:space="preserve">ist of </w:t>
      </w:r>
      <w:r w:rsidR="00A53F6D">
        <w:rPr>
          <w:szCs w:val="22"/>
        </w:rPr>
        <w:t xml:space="preserve">a </w:t>
      </w:r>
      <w:r w:rsidRPr="0059512C">
        <w:rPr>
          <w:szCs w:val="22"/>
        </w:rPr>
        <w:t xml:space="preserve">legal analyst reviewing application, </w:t>
      </w:r>
      <w:r w:rsidR="00A53F6D">
        <w:rPr>
          <w:szCs w:val="22"/>
        </w:rPr>
        <w:t xml:space="preserve">an </w:t>
      </w:r>
      <w:r w:rsidRPr="0059512C">
        <w:rPr>
          <w:szCs w:val="22"/>
        </w:rPr>
        <w:t xml:space="preserve">attorney reviewing multiple ownership, </w:t>
      </w:r>
      <w:r w:rsidR="00A53F6D">
        <w:rPr>
          <w:szCs w:val="22"/>
        </w:rPr>
        <w:t xml:space="preserve">an </w:t>
      </w:r>
      <w:r w:rsidRPr="0059512C">
        <w:rPr>
          <w:szCs w:val="22"/>
        </w:rPr>
        <w:t xml:space="preserve">attorney reviewing pleadings, and </w:t>
      </w:r>
      <w:r w:rsidR="00A53F6D">
        <w:rPr>
          <w:szCs w:val="22"/>
        </w:rPr>
        <w:t xml:space="preserve">an </w:t>
      </w:r>
      <w:r w:rsidRPr="0059512C">
        <w:rPr>
          <w:szCs w:val="22"/>
        </w:rPr>
        <w:t>attorney reviewing written disposition.  Our estimate is that the cost of this process is $</w:t>
      </w:r>
      <w:r w:rsidRPr="0059512C" w:rsidR="007A3BCA">
        <w:rPr>
          <w:szCs w:val="22"/>
        </w:rPr>
        <w:t>1,005</w:t>
      </w:r>
      <w:r w:rsidRPr="0059512C" w:rsidR="009E2244">
        <w:rPr>
          <w:szCs w:val="22"/>
        </w:rPr>
        <w:t xml:space="preserve">.  </w:t>
      </w:r>
      <w:r w:rsidR="00A53F6D">
        <w:rPr>
          <w:szCs w:val="22"/>
        </w:rPr>
        <w:t>S</w:t>
      </w:r>
      <w:r w:rsidR="000C0B8E">
        <w:rPr>
          <w:szCs w:val="22"/>
        </w:rPr>
        <w:t>h</w:t>
      </w:r>
      <w:r w:rsidR="00A53F6D">
        <w:rPr>
          <w:szCs w:val="22"/>
        </w:rPr>
        <w:t>ort</w:t>
      </w:r>
      <w:r w:rsidR="000C0B8E">
        <w:rPr>
          <w:szCs w:val="22"/>
        </w:rPr>
        <w:t>-</w:t>
      </w:r>
      <w:r w:rsidR="00A53F6D">
        <w:rPr>
          <w:szCs w:val="22"/>
        </w:rPr>
        <w:t>form a</w:t>
      </w:r>
      <w:r w:rsidRPr="0059512C">
        <w:rPr>
          <w:szCs w:val="22"/>
        </w:rPr>
        <w:t>pplication</w:t>
      </w:r>
      <w:r w:rsidRPr="0059512C" w:rsidR="009E2244">
        <w:rPr>
          <w:szCs w:val="22"/>
        </w:rPr>
        <w:t xml:space="preserve">s for </w:t>
      </w:r>
      <w:r w:rsidRPr="0059512C">
        <w:rPr>
          <w:szCs w:val="22"/>
        </w:rPr>
        <w:t>F</w:t>
      </w:r>
      <w:r w:rsidRPr="0059512C">
        <w:rPr>
          <w:szCs w:val="22"/>
        </w:rPr>
        <w:t>M transfer</w:t>
      </w:r>
      <w:r w:rsidRPr="0059512C" w:rsidR="009E2244">
        <w:rPr>
          <w:szCs w:val="22"/>
        </w:rPr>
        <w:t xml:space="preserve">s involve </w:t>
      </w:r>
      <w:r w:rsidRPr="0059512C">
        <w:rPr>
          <w:szCs w:val="22"/>
        </w:rPr>
        <w:t xml:space="preserve">some legal analysis.  We estimate that the Commission’s </w:t>
      </w:r>
      <w:r w:rsidRPr="0059512C" w:rsidR="0052404D">
        <w:rPr>
          <w:szCs w:val="22"/>
        </w:rPr>
        <w:t>resource</w:t>
      </w:r>
      <w:r w:rsidRPr="0059512C">
        <w:rPr>
          <w:szCs w:val="22"/>
        </w:rPr>
        <w:t xml:space="preserve">s in processing a short form </w:t>
      </w:r>
      <w:r w:rsidR="00A53F6D">
        <w:rPr>
          <w:szCs w:val="22"/>
        </w:rPr>
        <w:t xml:space="preserve">application for </w:t>
      </w:r>
      <w:r w:rsidRPr="0059512C">
        <w:rPr>
          <w:szCs w:val="22"/>
        </w:rPr>
        <w:t xml:space="preserve">FM </w:t>
      </w:r>
      <w:r w:rsidRPr="0059512C" w:rsidR="009E2244">
        <w:rPr>
          <w:szCs w:val="22"/>
        </w:rPr>
        <w:t>t</w:t>
      </w:r>
      <w:r w:rsidRPr="0059512C">
        <w:rPr>
          <w:szCs w:val="22"/>
        </w:rPr>
        <w:t xml:space="preserve">ransfer of </w:t>
      </w:r>
      <w:r w:rsidRPr="0059512C" w:rsidR="009E2244">
        <w:rPr>
          <w:szCs w:val="22"/>
        </w:rPr>
        <w:t>c</w:t>
      </w:r>
      <w:r w:rsidRPr="0059512C">
        <w:rPr>
          <w:szCs w:val="22"/>
        </w:rPr>
        <w:t xml:space="preserve">ontrol consist of </w:t>
      </w:r>
      <w:r w:rsidR="00A53F6D">
        <w:rPr>
          <w:szCs w:val="22"/>
        </w:rPr>
        <w:t xml:space="preserve">a </w:t>
      </w:r>
      <w:r w:rsidRPr="0059512C">
        <w:rPr>
          <w:szCs w:val="22"/>
        </w:rPr>
        <w:t xml:space="preserve">legal analyst reviewing </w:t>
      </w:r>
      <w:r w:rsidR="00A53F6D">
        <w:rPr>
          <w:szCs w:val="22"/>
        </w:rPr>
        <w:t xml:space="preserve">the </w:t>
      </w:r>
      <w:r w:rsidRPr="0059512C">
        <w:rPr>
          <w:szCs w:val="22"/>
        </w:rPr>
        <w:t xml:space="preserve">application, </w:t>
      </w:r>
      <w:r w:rsidR="00A53F6D">
        <w:rPr>
          <w:szCs w:val="22"/>
        </w:rPr>
        <w:t xml:space="preserve">an </w:t>
      </w:r>
      <w:r w:rsidRPr="0059512C">
        <w:rPr>
          <w:szCs w:val="22"/>
        </w:rPr>
        <w:t xml:space="preserve">attorney reviewing pleadings, and </w:t>
      </w:r>
      <w:r w:rsidR="00A53F6D">
        <w:rPr>
          <w:szCs w:val="22"/>
        </w:rPr>
        <w:t xml:space="preserve">an </w:t>
      </w:r>
      <w:r w:rsidRPr="0059512C">
        <w:rPr>
          <w:szCs w:val="22"/>
        </w:rPr>
        <w:t>attorney r</w:t>
      </w:r>
      <w:r w:rsidRPr="0059512C">
        <w:rPr>
          <w:szCs w:val="22"/>
        </w:rPr>
        <w:t>eviewing written disposition.  Our estimate is that the cost of this process is $4</w:t>
      </w:r>
      <w:r w:rsidRPr="0059512C" w:rsidR="007A3BCA">
        <w:rPr>
          <w:szCs w:val="22"/>
        </w:rPr>
        <w:t>25</w:t>
      </w:r>
      <w:r w:rsidRPr="0059512C">
        <w:rPr>
          <w:szCs w:val="22"/>
        </w:rPr>
        <w:t>.</w:t>
      </w:r>
    </w:p>
    <w:p w:rsidR="00FD3FC3" w:rsidRPr="0059512C" w:rsidP="0052404D">
      <w:pPr>
        <w:pStyle w:val="ParaNum"/>
        <w:rPr>
          <w:szCs w:val="22"/>
        </w:rPr>
      </w:pPr>
      <w:r w:rsidRPr="0059512C">
        <w:rPr>
          <w:iCs/>
          <w:szCs w:val="22"/>
        </w:rPr>
        <w:t>A</w:t>
      </w:r>
      <w:r w:rsidRPr="0059512C">
        <w:rPr>
          <w:szCs w:val="22"/>
        </w:rPr>
        <w:t xml:space="preserve">pplications for FM call signs involve some legal analysis.  We estimate that the Commission’s </w:t>
      </w:r>
      <w:r w:rsidRPr="0059512C" w:rsidR="0052404D">
        <w:rPr>
          <w:szCs w:val="22"/>
        </w:rPr>
        <w:t>resource</w:t>
      </w:r>
      <w:r w:rsidRPr="0059512C">
        <w:rPr>
          <w:szCs w:val="22"/>
        </w:rPr>
        <w:t>s in processing an FM call sign consist of analyst application revi</w:t>
      </w:r>
      <w:r w:rsidRPr="0059512C">
        <w:rPr>
          <w:szCs w:val="22"/>
        </w:rPr>
        <w:t>ew.  Our estimate is that the cost of this process is $1</w:t>
      </w:r>
      <w:r w:rsidRPr="0059512C" w:rsidR="007A3BCA">
        <w:rPr>
          <w:szCs w:val="22"/>
        </w:rPr>
        <w:t>70</w:t>
      </w:r>
      <w:r w:rsidRPr="0059512C">
        <w:rPr>
          <w:szCs w:val="22"/>
        </w:rPr>
        <w:t xml:space="preserve">.  </w:t>
      </w:r>
      <w:r w:rsidRPr="0059512C">
        <w:rPr>
          <w:iCs/>
          <w:szCs w:val="22"/>
        </w:rPr>
        <w:t>A</w:t>
      </w:r>
      <w:r w:rsidRPr="0059512C">
        <w:rPr>
          <w:szCs w:val="22"/>
        </w:rPr>
        <w:t xml:space="preserve">pplications for </w:t>
      </w:r>
      <w:r w:rsidRPr="0059512C" w:rsidR="007C74BB">
        <w:rPr>
          <w:szCs w:val="22"/>
        </w:rPr>
        <w:t>STA</w:t>
      </w:r>
      <w:r w:rsidRPr="0059512C">
        <w:rPr>
          <w:szCs w:val="22"/>
        </w:rPr>
        <w:t xml:space="preserve"> involve some engineering and legal analysis.  We estimate that the Commission’s </w:t>
      </w:r>
      <w:r w:rsidRPr="0059512C" w:rsidR="0052404D">
        <w:rPr>
          <w:szCs w:val="22"/>
        </w:rPr>
        <w:t>resource</w:t>
      </w:r>
      <w:r w:rsidRPr="0059512C">
        <w:rPr>
          <w:szCs w:val="22"/>
        </w:rPr>
        <w:t xml:space="preserve">s in processing an FM STA </w:t>
      </w:r>
      <w:r w:rsidR="00A53F6D">
        <w:rPr>
          <w:szCs w:val="22"/>
        </w:rPr>
        <w:t xml:space="preserve">application </w:t>
      </w:r>
      <w:r w:rsidRPr="0059512C">
        <w:rPr>
          <w:szCs w:val="22"/>
        </w:rPr>
        <w:t>consist of engineer technical review, supervisor</w:t>
      </w:r>
      <w:r w:rsidRPr="0059512C">
        <w:rPr>
          <w:szCs w:val="22"/>
        </w:rPr>
        <w:t>y engineer review, attorney pleading review, and supervisory attorney written disposition review.  Our estimate is that the cost of this process is $2</w:t>
      </w:r>
      <w:r w:rsidRPr="0059512C" w:rsidR="007A3BCA">
        <w:rPr>
          <w:szCs w:val="22"/>
        </w:rPr>
        <w:t>10</w:t>
      </w:r>
      <w:r w:rsidRPr="0059512C">
        <w:rPr>
          <w:szCs w:val="22"/>
        </w:rPr>
        <w:t xml:space="preserve">.  </w:t>
      </w:r>
      <w:r w:rsidRPr="0059512C" w:rsidR="0052404D">
        <w:rPr>
          <w:szCs w:val="22"/>
        </w:rPr>
        <w:t>A</w:t>
      </w:r>
      <w:r w:rsidRPr="0059512C">
        <w:rPr>
          <w:szCs w:val="22"/>
        </w:rPr>
        <w:t>pplication</w:t>
      </w:r>
      <w:r w:rsidRPr="0059512C" w:rsidR="0052404D">
        <w:rPr>
          <w:szCs w:val="22"/>
        </w:rPr>
        <w:t>s</w:t>
      </w:r>
      <w:r w:rsidRPr="0059512C">
        <w:rPr>
          <w:szCs w:val="22"/>
        </w:rPr>
        <w:t xml:space="preserve"> for FM ownership report involve minimal review by Media Bureau staff.  We estimate that the Commission’s </w:t>
      </w:r>
      <w:r w:rsidRPr="0059512C" w:rsidR="00FB6C51">
        <w:rPr>
          <w:szCs w:val="22"/>
        </w:rPr>
        <w:t>resource</w:t>
      </w:r>
      <w:r w:rsidRPr="0059512C">
        <w:rPr>
          <w:szCs w:val="22"/>
        </w:rPr>
        <w:t xml:space="preserve">s in processing an </w:t>
      </w:r>
      <w:r w:rsidR="00A53F6D">
        <w:rPr>
          <w:szCs w:val="22"/>
        </w:rPr>
        <w:t xml:space="preserve">application for </w:t>
      </w:r>
      <w:r w:rsidRPr="0059512C">
        <w:rPr>
          <w:szCs w:val="22"/>
        </w:rPr>
        <w:t xml:space="preserve">FM </w:t>
      </w:r>
      <w:r w:rsidRPr="0059512C" w:rsidR="0052404D">
        <w:rPr>
          <w:szCs w:val="22"/>
        </w:rPr>
        <w:t>o</w:t>
      </w:r>
      <w:r w:rsidRPr="0059512C">
        <w:rPr>
          <w:szCs w:val="22"/>
        </w:rPr>
        <w:t xml:space="preserve">wnership </w:t>
      </w:r>
      <w:r w:rsidRPr="0059512C" w:rsidR="0052404D">
        <w:rPr>
          <w:szCs w:val="22"/>
        </w:rPr>
        <w:t>r</w:t>
      </w:r>
      <w:r w:rsidRPr="0059512C">
        <w:rPr>
          <w:szCs w:val="22"/>
        </w:rPr>
        <w:t>eport consist of analyst application review.  Our estimate is that the cost of this process i</w:t>
      </w:r>
      <w:r w:rsidRPr="0059512C">
        <w:rPr>
          <w:szCs w:val="22"/>
        </w:rPr>
        <w:t>s $8</w:t>
      </w:r>
      <w:r w:rsidRPr="0059512C" w:rsidR="007A3BCA">
        <w:rPr>
          <w:szCs w:val="22"/>
        </w:rPr>
        <w:t>5</w:t>
      </w:r>
      <w:r w:rsidRPr="0059512C">
        <w:rPr>
          <w:szCs w:val="22"/>
        </w:rPr>
        <w:t>.</w:t>
      </w:r>
    </w:p>
    <w:p w:rsidR="00FD3FC3" w:rsidRPr="0059512C" w:rsidP="00FD3FC3">
      <w:pPr>
        <w:pStyle w:val="ParaNum"/>
        <w:rPr>
          <w:szCs w:val="22"/>
        </w:rPr>
      </w:pPr>
      <w:r w:rsidRPr="0059512C">
        <w:rPr>
          <w:iCs/>
          <w:szCs w:val="22"/>
        </w:rPr>
        <w:t>A</w:t>
      </w:r>
      <w:r w:rsidR="00A53F6D">
        <w:rPr>
          <w:iCs/>
          <w:szCs w:val="22"/>
        </w:rPr>
        <w:t xml:space="preserve"> </w:t>
      </w:r>
      <w:r w:rsidRPr="0059512C">
        <w:rPr>
          <w:szCs w:val="22"/>
        </w:rPr>
        <w:t xml:space="preserve">petition for rulemaking </w:t>
      </w:r>
      <w:r w:rsidRPr="00461F90" w:rsidR="00C20FCF">
        <w:t>to amend the FM Table of Allotments</w:t>
      </w:r>
      <w:r w:rsidR="00C20FCF">
        <w:t xml:space="preserve"> </w:t>
      </w:r>
      <w:r w:rsidRPr="0059512C">
        <w:rPr>
          <w:szCs w:val="22"/>
        </w:rPr>
        <w:t xml:space="preserve">for </w:t>
      </w:r>
      <w:r w:rsidR="00A53F6D">
        <w:rPr>
          <w:szCs w:val="22"/>
        </w:rPr>
        <w:t xml:space="preserve">a </w:t>
      </w:r>
      <w:r w:rsidRPr="0059512C">
        <w:rPr>
          <w:szCs w:val="22"/>
        </w:rPr>
        <w:t>new community of license ha</w:t>
      </w:r>
      <w:r w:rsidR="00A53F6D">
        <w:rPr>
          <w:szCs w:val="22"/>
        </w:rPr>
        <w:t>s</w:t>
      </w:r>
      <w:r w:rsidRPr="0059512C">
        <w:rPr>
          <w:szCs w:val="22"/>
        </w:rPr>
        <w:t xml:space="preserve"> a high level of complexity and involve</w:t>
      </w:r>
      <w:r w:rsidR="00A53F6D">
        <w:rPr>
          <w:szCs w:val="22"/>
        </w:rPr>
        <w:t>s</w:t>
      </w:r>
      <w:r w:rsidRPr="0059512C">
        <w:rPr>
          <w:szCs w:val="22"/>
        </w:rPr>
        <w:t xml:space="preserve"> significant legal analysis and engineering review.</w:t>
      </w:r>
      <w:r>
        <w:rPr>
          <w:rStyle w:val="FootnoteReference"/>
          <w:szCs w:val="22"/>
        </w:rPr>
        <w:footnoteReference w:id="53"/>
      </w:r>
      <w:r w:rsidRPr="0059512C">
        <w:rPr>
          <w:szCs w:val="22"/>
        </w:rPr>
        <w:t xml:space="preserve">  We estimate that the Commission’s resources in processing </w:t>
      </w:r>
      <w:r w:rsidRPr="0059512C">
        <w:rPr>
          <w:szCs w:val="22"/>
        </w:rPr>
        <w:t xml:space="preserve">an FM petition for rulemaking consist of </w:t>
      </w:r>
      <w:r w:rsidR="000F3A18">
        <w:rPr>
          <w:szCs w:val="22"/>
        </w:rPr>
        <w:t xml:space="preserve">an </w:t>
      </w:r>
      <w:r w:rsidRPr="0059512C">
        <w:rPr>
          <w:szCs w:val="22"/>
        </w:rPr>
        <w:t>engineer</w:t>
      </w:r>
      <w:r w:rsidR="00D9403F">
        <w:rPr>
          <w:szCs w:val="22"/>
        </w:rPr>
        <w:t>ing technical</w:t>
      </w:r>
      <w:r w:rsidRPr="0059512C">
        <w:rPr>
          <w:szCs w:val="22"/>
        </w:rPr>
        <w:t xml:space="preserve"> review, </w:t>
      </w:r>
      <w:r w:rsidR="000F3A18">
        <w:rPr>
          <w:szCs w:val="22"/>
        </w:rPr>
        <w:t xml:space="preserve">an </w:t>
      </w:r>
      <w:r w:rsidRPr="0059512C">
        <w:rPr>
          <w:szCs w:val="22"/>
        </w:rPr>
        <w:t xml:space="preserve">attorney reviewing multiple ownership, </w:t>
      </w:r>
      <w:r w:rsidR="000F3A18">
        <w:rPr>
          <w:szCs w:val="22"/>
        </w:rPr>
        <w:t xml:space="preserve">an </w:t>
      </w:r>
      <w:r w:rsidRPr="0059512C">
        <w:rPr>
          <w:szCs w:val="22"/>
        </w:rPr>
        <w:t xml:space="preserve">attorney reviewing pleadings, and </w:t>
      </w:r>
      <w:r w:rsidR="000F3A18">
        <w:rPr>
          <w:szCs w:val="22"/>
        </w:rPr>
        <w:t xml:space="preserve">an </w:t>
      </w:r>
      <w:r w:rsidRPr="0059512C">
        <w:rPr>
          <w:szCs w:val="22"/>
        </w:rPr>
        <w:t>attorney reviewing written disposition.  Our estimate is that the cost of this process is $3,</w:t>
      </w:r>
      <w:r w:rsidRPr="0059512C" w:rsidR="007A3BCA">
        <w:rPr>
          <w:szCs w:val="22"/>
        </w:rPr>
        <w:t>180</w:t>
      </w:r>
      <w:r w:rsidRPr="0059512C">
        <w:rPr>
          <w:szCs w:val="22"/>
        </w:rPr>
        <w:t>.</w:t>
      </w:r>
    </w:p>
    <w:p w:rsidR="001C615E" w:rsidRPr="00EB2A6E" w:rsidP="00EB2A6E">
      <w:pPr>
        <w:pStyle w:val="ParaNum"/>
        <w:rPr>
          <w:szCs w:val="22"/>
        </w:rPr>
      </w:pPr>
      <w:r w:rsidRPr="0059512C">
        <w:rPr>
          <w:szCs w:val="22"/>
        </w:rPr>
        <w:t>We</w:t>
      </w:r>
      <w:r w:rsidRPr="0059512C">
        <w:rPr>
          <w:szCs w:val="22"/>
        </w:rPr>
        <w:t xml:space="preserve"> seek comment on these propos</w:t>
      </w:r>
      <w:r w:rsidR="00793DC6">
        <w:rPr>
          <w:szCs w:val="22"/>
        </w:rPr>
        <w:t>ed cost-based fees</w:t>
      </w:r>
      <w:r w:rsidRPr="0059512C">
        <w:rPr>
          <w:szCs w:val="22"/>
        </w:rPr>
        <w:t>.</w:t>
      </w:r>
      <w:bookmarkEnd w:id="197"/>
      <w:bookmarkEnd w:id="198"/>
      <w:bookmarkEnd w:id="199"/>
      <w:r w:rsidRPr="003505A6" w:rsidR="003505A6">
        <w:rPr>
          <w:iCs/>
          <w:szCs w:val="22"/>
        </w:rPr>
        <w:t xml:space="preserve"> </w:t>
      </w:r>
      <w:r w:rsidR="003505A6">
        <w:rPr>
          <w:iCs/>
          <w:szCs w:val="22"/>
        </w:rPr>
        <w:t xml:space="preserve"> We also seek comment on whether we should consolidate and streamline these proposed fees to ease the burden of administration and simplify compliance.</w:t>
      </w:r>
    </w:p>
    <w:p w:rsidR="001C615E" w:rsidRPr="0059512C" w:rsidP="001C615E">
      <w:pPr>
        <w:pStyle w:val="ParaNum"/>
        <w:rPr>
          <w:szCs w:val="22"/>
        </w:rPr>
      </w:pPr>
      <w:r w:rsidRPr="0060706A">
        <w:rPr>
          <w:i/>
        </w:rPr>
        <w:t>FM Translators and Boosters</w:t>
      </w:r>
      <w:r>
        <w:rPr>
          <w:i/>
          <w:iCs/>
          <w:szCs w:val="22"/>
        </w:rPr>
        <w:t xml:space="preserve">.  </w:t>
      </w:r>
      <w:r w:rsidRPr="0059512C">
        <w:rPr>
          <w:szCs w:val="22"/>
        </w:rPr>
        <w:t xml:space="preserve">FM translators and FM </w:t>
      </w:r>
      <w:r w:rsidRPr="0059512C">
        <w:rPr>
          <w:szCs w:val="22"/>
        </w:rPr>
        <w:t>boosters comprise a low power service on the FM broadcast band (88 to 108 MHz) that complement the primary FM service.  This service was first created in 1970 to allow FM stations to provide supplementary service to areas in which direct reception of radio</w:t>
      </w:r>
      <w:r w:rsidRPr="0059512C">
        <w:rPr>
          <w:szCs w:val="22"/>
        </w:rPr>
        <w:t xml:space="preserve"> service is unsatisfactory due to distance or terrain barriers.  Translator stations simultaneously re</w:t>
      </w:r>
      <w:r w:rsidR="000F3A18">
        <w:rPr>
          <w:szCs w:val="22"/>
        </w:rPr>
        <w:t>-</w:t>
      </w:r>
      <w:r w:rsidRPr="0059512C">
        <w:rPr>
          <w:szCs w:val="22"/>
        </w:rPr>
        <w:t>broadcast the signal of a primary station on a different frequency.  Those translator stations that provide service within the primary station’s protecte</w:t>
      </w:r>
      <w:r w:rsidRPr="0059512C">
        <w:rPr>
          <w:szCs w:val="22"/>
        </w:rPr>
        <w:t>d service area are classified as fill-in stations.  Fill-in translators can be owned by the main station or by an independent entity.  FM booster stations are essentially fill-in translator stations on the same frequency as the main station.  Booster stati</w:t>
      </w:r>
      <w:r w:rsidRPr="0059512C">
        <w:rPr>
          <w:szCs w:val="22"/>
        </w:rPr>
        <w:t>ons must be owned by the licensee of the primary FM station.  Booster stations are also restricted in that the service contour of the booster may not exceed the protected service contour of the primary station at any azimuth.</w:t>
      </w:r>
    </w:p>
    <w:p w:rsidR="00481045" w:rsidRPr="0059512C" w:rsidP="00481045">
      <w:pPr>
        <w:pStyle w:val="ParaNum"/>
        <w:rPr>
          <w:szCs w:val="22"/>
        </w:rPr>
      </w:pPr>
      <w:r w:rsidRPr="0059512C">
        <w:rPr>
          <w:szCs w:val="22"/>
        </w:rPr>
        <w:t>The following table summarizes</w:t>
      </w:r>
      <w:r w:rsidRPr="0059512C">
        <w:rPr>
          <w:szCs w:val="22"/>
        </w:rPr>
        <w:t xml:space="preserve"> the current application fees and the</w:t>
      </w:r>
      <w:r w:rsidRPr="0059512C" w:rsidR="00A24425">
        <w:rPr>
          <w:szCs w:val="22"/>
        </w:rPr>
        <w:t xml:space="preserve"> proposed</w:t>
      </w:r>
      <w:r w:rsidRPr="0059512C">
        <w:rPr>
          <w:szCs w:val="22"/>
        </w:rPr>
        <w:t xml:space="preserve"> cost-based fees.  We propose and seek comment on adopting the following cost-based fees for these applications—and we give as an example the current fees for these services.  </w:t>
      </w:r>
    </w:p>
    <w:tbl>
      <w:tblPr>
        <w:tblStyle w:val="TableGrid"/>
        <w:tblW w:w="0" w:type="auto"/>
        <w:tblInd w:w="990" w:type="dxa"/>
        <w:tblLook w:val="04A0"/>
      </w:tblPr>
      <w:tblGrid>
        <w:gridCol w:w="2830"/>
        <w:gridCol w:w="2761"/>
        <w:gridCol w:w="2769"/>
      </w:tblGrid>
      <w:tr w:rsidTr="00481045">
        <w:tblPrEx>
          <w:tblW w:w="0" w:type="auto"/>
          <w:tblInd w:w="990" w:type="dxa"/>
          <w:tblLook w:val="04A0"/>
        </w:tblPrEx>
        <w:tc>
          <w:tcPr>
            <w:tcW w:w="2830" w:type="dxa"/>
          </w:tcPr>
          <w:p w:rsidR="001C615E" w:rsidRPr="0059512C" w:rsidP="004B401B">
            <w:pPr>
              <w:pStyle w:val="ParaNum"/>
              <w:numPr>
                <w:ilvl w:val="0"/>
                <w:numId w:val="0"/>
              </w:numPr>
              <w:rPr>
                <w:b/>
                <w:szCs w:val="22"/>
              </w:rPr>
            </w:pPr>
            <w:r w:rsidRPr="0059512C">
              <w:rPr>
                <w:b/>
                <w:szCs w:val="22"/>
              </w:rPr>
              <w:t>Application</w:t>
            </w:r>
          </w:p>
        </w:tc>
        <w:tc>
          <w:tcPr>
            <w:tcW w:w="2761" w:type="dxa"/>
          </w:tcPr>
          <w:p w:rsidR="001C615E" w:rsidRPr="0059512C" w:rsidP="004B401B">
            <w:pPr>
              <w:pStyle w:val="ParaNum"/>
              <w:numPr>
                <w:ilvl w:val="0"/>
                <w:numId w:val="0"/>
              </w:numPr>
              <w:rPr>
                <w:b/>
                <w:szCs w:val="22"/>
              </w:rPr>
            </w:pPr>
            <w:r w:rsidRPr="0059512C">
              <w:rPr>
                <w:b/>
                <w:szCs w:val="22"/>
              </w:rPr>
              <w:t xml:space="preserve">Current </w:t>
            </w:r>
            <w:r w:rsidRPr="0059512C" w:rsidR="00DA6909">
              <w:rPr>
                <w:b/>
                <w:szCs w:val="22"/>
              </w:rPr>
              <w:t>F</w:t>
            </w:r>
            <w:r w:rsidRPr="0059512C">
              <w:rPr>
                <w:b/>
                <w:szCs w:val="22"/>
              </w:rPr>
              <w:t>ee</w:t>
            </w:r>
          </w:p>
        </w:tc>
        <w:tc>
          <w:tcPr>
            <w:tcW w:w="2769" w:type="dxa"/>
          </w:tcPr>
          <w:p w:rsidR="001C615E" w:rsidRPr="0059512C" w:rsidP="004B401B">
            <w:pPr>
              <w:pStyle w:val="ParaNum"/>
              <w:numPr>
                <w:ilvl w:val="0"/>
                <w:numId w:val="0"/>
              </w:numPr>
              <w:rPr>
                <w:b/>
                <w:szCs w:val="22"/>
              </w:rPr>
            </w:pPr>
            <w:r w:rsidRPr="0059512C">
              <w:rPr>
                <w:b/>
                <w:szCs w:val="22"/>
              </w:rPr>
              <w:t>Cost-base</w:t>
            </w:r>
            <w:r w:rsidRPr="0059512C">
              <w:rPr>
                <w:b/>
                <w:szCs w:val="22"/>
              </w:rPr>
              <w:t xml:space="preserve">d </w:t>
            </w:r>
            <w:r w:rsidRPr="0059512C" w:rsidR="00DA6909">
              <w:rPr>
                <w:b/>
                <w:szCs w:val="22"/>
              </w:rPr>
              <w:t>Fee</w:t>
            </w:r>
          </w:p>
        </w:tc>
      </w:tr>
      <w:tr w:rsidTr="00481045">
        <w:tblPrEx>
          <w:tblW w:w="0" w:type="auto"/>
          <w:tblInd w:w="990" w:type="dxa"/>
          <w:tblLook w:val="04A0"/>
        </w:tblPrEx>
        <w:tc>
          <w:tcPr>
            <w:tcW w:w="2830" w:type="dxa"/>
          </w:tcPr>
          <w:p w:rsidR="001C615E" w:rsidRPr="0059512C" w:rsidP="004B401B">
            <w:pPr>
              <w:pStyle w:val="ParaNum"/>
              <w:numPr>
                <w:ilvl w:val="0"/>
                <w:numId w:val="0"/>
              </w:numPr>
              <w:rPr>
                <w:szCs w:val="22"/>
              </w:rPr>
            </w:pPr>
            <w:r w:rsidRPr="0059512C">
              <w:rPr>
                <w:szCs w:val="22"/>
              </w:rPr>
              <w:t>FM translator new construction permit</w:t>
            </w:r>
            <w:r w:rsidRPr="0059512C" w:rsidR="00DD3A01">
              <w:rPr>
                <w:szCs w:val="22"/>
              </w:rPr>
              <w:t xml:space="preserve"> </w:t>
            </w:r>
            <w:r w:rsidR="00DD3A01">
              <w:t>(including Post-Auction Long</w:t>
            </w:r>
            <w:r w:rsidR="00300AC2">
              <w:t>-</w:t>
            </w:r>
            <w:r w:rsidR="00DD3A01">
              <w:t>Form Application)</w:t>
            </w:r>
          </w:p>
        </w:tc>
        <w:tc>
          <w:tcPr>
            <w:tcW w:w="2761" w:type="dxa"/>
          </w:tcPr>
          <w:p w:rsidR="001C615E" w:rsidRPr="0059512C" w:rsidP="004B401B">
            <w:pPr>
              <w:pStyle w:val="ParaNum"/>
              <w:numPr>
                <w:ilvl w:val="0"/>
                <w:numId w:val="0"/>
              </w:numPr>
              <w:rPr>
                <w:szCs w:val="22"/>
              </w:rPr>
            </w:pPr>
            <w:r w:rsidRPr="0059512C">
              <w:rPr>
                <w:szCs w:val="22"/>
              </w:rPr>
              <w:t>$835</w:t>
            </w:r>
          </w:p>
        </w:tc>
        <w:tc>
          <w:tcPr>
            <w:tcW w:w="2769" w:type="dxa"/>
          </w:tcPr>
          <w:p w:rsidR="001C615E" w:rsidRPr="0059512C" w:rsidP="004B401B">
            <w:pPr>
              <w:pStyle w:val="ParaNum"/>
              <w:numPr>
                <w:ilvl w:val="0"/>
                <w:numId w:val="0"/>
              </w:numPr>
              <w:rPr>
                <w:szCs w:val="22"/>
              </w:rPr>
            </w:pPr>
            <w:r w:rsidRPr="0059512C">
              <w:rPr>
                <w:szCs w:val="22"/>
              </w:rPr>
              <w:t>$</w:t>
            </w:r>
            <w:r w:rsidRPr="0059512C" w:rsidR="00D7336C">
              <w:rPr>
                <w:szCs w:val="22"/>
              </w:rPr>
              <w:t>705</w:t>
            </w:r>
          </w:p>
        </w:tc>
      </w:tr>
      <w:tr w:rsidTr="00481045">
        <w:tblPrEx>
          <w:tblW w:w="0" w:type="auto"/>
          <w:tblInd w:w="990" w:type="dxa"/>
          <w:tblLook w:val="04A0"/>
        </w:tblPrEx>
        <w:tc>
          <w:tcPr>
            <w:tcW w:w="2830" w:type="dxa"/>
          </w:tcPr>
          <w:p w:rsidR="001C615E" w:rsidRPr="0059512C" w:rsidP="004B401B">
            <w:pPr>
              <w:pStyle w:val="ParaNum"/>
              <w:numPr>
                <w:ilvl w:val="0"/>
                <w:numId w:val="0"/>
              </w:numPr>
              <w:rPr>
                <w:szCs w:val="22"/>
              </w:rPr>
            </w:pPr>
            <w:r w:rsidRPr="0059512C">
              <w:rPr>
                <w:szCs w:val="22"/>
              </w:rPr>
              <w:t>FM translator, minor modification</w:t>
            </w:r>
          </w:p>
        </w:tc>
        <w:tc>
          <w:tcPr>
            <w:tcW w:w="2761" w:type="dxa"/>
          </w:tcPr>
          <w:p w:rsidR="001C615E" w:rsidRPr="0059512C" w:rsidP="004B401B">
            <w:pPr>
              <w:pStyle w:val="ParaNum"/>
              <w:numPr>
                <w:ilvl w:val="0"/>
                <w:numId w:val="0"/>
              </w:numPr>
              <w:rPr>
                <w:szCs w:val="22"/>
              </w:rPr>
            </w:pPr>
            <w:r w:rsidRPr="0059512C">
              <w:rPr>
                <w:szCs w:val="22"/>
              </w:rPr>
              <w:t>None</w:t>
            </w:r>
          </w:p>
        </w:tc>
        <w:tc>
          <w:tcPr>
            <w:tcW w:w="2769" w:type="dxa"/>
          </w:tcPr>
          <w:p w:rsidR="001C615E" w:rsidRPr="0059512C" w:rsidP="004B401B">
            <w:pPr>
              <w:pStyle w:val="ParaNum"/>
              <w:numPr>
                <w:ilvl w:val="0"/>
                <w:numId w:val="0"/>
              </w:numPr>
              <w:rPr>
                <w:szCs w:val="22"/>
              </w:rPr>
            </w:pPr>
            <w:r w:rsidRPr="0059512C">
              <w:rPr>
                <w:szCs w:val="22"/>
              </w:rPr>
              <w:t>$2</w:t>
            </w:r>
            <w:r w:rsidRPr="0059512C" w:rsidR="00D7336C">
              <w:rPr>
                <w:szCs w:val="22"/>
              </w:rPr>
              <w:t>10</w:t>
            </w:r>
          </w:p>
        </w:tc>
      </w:tr>
      <w:tr w:rsidTr="00481045">
        <w:tblPrEx>
          <w:tblW w:w="0" w:type="auto"/>
          <w:tblInd w:w="990" w:type="dxa"/>
          <w:tblLook w:val="04A0"/>
        </w:tblPrEx>
        <w:tc>
          <w:tcPr>
            <w:tcW w:w="2830" w:type="dxa"/>
          </w:tcPr>
          <w:p w:rsidR="001C615E" w:rsidRPr="0059512C" w:rsidP="004B401B">
            <w:pPr>
              <w:pStyle w:val="ParaNum"/>
              <w:numPr>
                <w:ilvl w:val="0"/>
                <w:numId w:val="0"/>
              </w:numPr>
              <w:rPr>
                <w:szCs w:val="22"/>
              </w:rPr>
            </w:pPr>
            <w:r w:rsidRPr="0059512C">
              <w:rPr>
                <w:szCs w:val="22"/>
              </w:rPr>
              <w:t>FM translator, new license</w:t>
            </w:r>
          </w:p>
        </w:tc>
        <w:tc>
          <w:tcPr>
            <w:tcW w:w="2761" w:type="dxa"/>
          </w:tcPr>
          <w:p w:rsidR="001C615E" w:rsidRPr="0059512C" w:rsidP="004B401B">
            <w:pPr>
              <w:pStyle w:val="ParaNum"/>
              <w:numPr>
                <w:ilvl w:val="0"/>
                <w:numId w:val="0"/>
              </w:numPr>
              <w:rPr>
                <w:szCs w:val="22"/>
              </w:rPr>
            </w:pPr>
            <w:r w:rsidRPr="0059512C">
              <w:rPr>
                <w:szCs w:val="22"/>
              </w:rPr>
              <w:t>$170</w:t>
            </w:r>
          </w:p>
        </w:tc>
        <w:tc>
          <w:tcPr>
            <w:tcW w:w="2769" w:type="dxa"/>
          </w:tcPr>
          <w:p w:rsidR="001C615E" w:rsidRPr="0059512C" w:rsidP="004B401B">
            <w:pPr>
              <w:pStyle w:val="ParaNum"/>
              <w:numPr>
                <w:ilvl w:val="0"/>
                <w:numId w:val="0"/>
              </w:numPr>
              <w:rPr>
                <w:szCs w:val="22"/>
              </w:rPr>
            </w:pPr>
            <w:r w:rsidRPr="0059512C">
              <w:rPr>
                <w:szCs w:val="22"/>
              </w:rPr>
              <w:t>$1</w:t>
            </w:r>
            <w:r w:rsidRPr="0059512C" w:rsidR="00D7336C">
              <w:rPr>
                <w:szCs w:val="22"/>
              </w:rPr>
              <w:t>80</w:t>
            </w:r>
          </w:p>
        </w:tc>
      </w:tr>
      <w:tr w:rsidTr="00481045">
        <w:tblPrEx>
          <w:tblW w:w="0" w:type="auto"/>
          <w:tblInd w:w="990" w:type="dxa"/>
          <w:tblLook w:val="04A0"/>
        </w:tblPrEx>
        <w:tc>
          <w:tcPr>
            <w:tcW w:w="2830" w:type="dxa"/>
          </w:tcPr>
          <w:p w:rsidR="001C615E" w:rsidRPr="0059512C" w:rsidP="004B401B">
            <w:pPr>
              <w:pStyle w:val="ParaNum"/>
              <w:numPr>
                <w:ilvl w:val="0"/>
                <w:numId w:val="0"/>
              </w:numPr>
              <w:rPr>
                <w:szCs w:val="22"/>
              </w:rPr>
            </w:pPr>
            <w:r w:rsidRPr="0059512C">
              <w:rPr>
                <w:szCs w:val="22"/>
              </w:rPr>
              <w:t>FM translator, license renewal</w:t>
            </w:r>
          </w:p>
        </w:tc>
        <w:tc>
          <w:tcPr>
            <w:tcW w:w="2761" w:type="dxa"/>
          </w:tcPr>
          <w:p w:rsidR="001C615E" w:rsidRPr="0059512C" w:rsidP="004B401B">
            <w:pPr>
              <w:pStyle w:val="ParaNum"/>
              <w:numPr>
                <w:ilvl w:val="0"/>
                <w:numId w:val="0"/>
              </w:numPr>
              <w:rPr>
                <w:szCs w:val="22"/>
              </w:rPr>
            </w:pPr>
            <w:r w:rsidRPr="0059512C">
              <w:rPr>
                <w:szCs w:val="22"/>
              </w:rPr>
              <w:t>$70</w:t>
            </w:r>
          </w:p>
        </w:tc>
        <w:tc>
          <w:tcPr>
            <w:tcW w:w="2769" w:type="dxa"/>
          </w:tcPr>
          <w:p w:rsidR="001C615E" w:rsidRPr="0059512C" w:rsidP="004B401B">
            <w:pPr>
              <w:pStyle w:val="ParaNum"/>
              <w:numPr>
                <w:ilvl w:val="0"/>
                <w:numId w:val="0"/>
              </w:numPr>
              <w:rPr>
                <w:szCs w:val="22"/>
              </w:rPr>
            </w:pPr>
            <w:r w:rsidRPr="0059512C">
              <w:rPr>
                <w:szCs w:val="22"/>
              </w:rPr>
              <w:t>$1</w:t>
            </w:r>
            <w:r w:rsidRPr="0059512C" w:rsidR="00D7336C">
              <w:rPr>
                <w:szCs w:val="22"/>
              </w:rPr>
              <w:t>75</w:t>
            </w:r>
          </w:p>
        </w:tc>
      </w:tr>
      <w:tr w:rsidTr="00481045">
        <w:tblPrEx>
          <w:tblW w:w="0" w:type="auto"/>
          <w:tblInd w:w="990" w:type="dxa"/>
          <w:tblLook w:val="04A0"/>
        </w:tblPrEx>
        <w:tc>
          <w:tcPr>
            <w:tcW w:w="2830" w:type="dxa"/>
          </w:tcPr>
          <w:p w:rsidR="001C615E" w:rsidRPr="0059512C" w:rsidP="004B401B">
            <w:pPr>
              <w:pStyle w:val="ParaNum"/>
              <w:numPr>
                <w:ilvl w:val="0"/>
                <w:numId w:val="0"/>
              </w:numPr>
              <w:rPr>
                <w:szCs w:val="22"/>
              </w:rPr>
            </w:pPr>
            <w:r w:rsidRPr="0059512C">
              <w:rPr>
                <w:szCs w:val="22"/>
              </w:rPr>
              <w:t>FM translator, STA</w:t>
            </w:r>
          </w:p>
        </w:tc>
        <w:tc>
          <w:tcPr>
            <w:tcW w:w="2761" w:type="dxa"/>
          </w:tcPr>
          <w:p w:rsidR="001C615E" w:rsidRPr="0059512C" w:rsidP="004B401B">
            <w:pPr>
              <w:pStyle w:val="ParaNum"/>
              <w:numPr>
                <w:ilvl w:val="0"/>
                <w:numId w:val="0"/>
              </w:numPr>
              <w:rPr>
                <w:szCs w:val="22"/>
              </w:rPr>
            </w:pPr>
            <w:r w:rsidRPr="0059512C">
              <w:rPr>
                <w:szCs w:val="22"/>
              </w:rPr>
              <w:t>$200</w:t>
            </w:r>
          </w:p>
        </w:tc>
        <w:tc>
          <w:tcPr>
            <w:tcW w:w="2769" w:type="dxa"/>
          </w:tcPr>
          <w:p w:rsidR="001C615E" w:rsidRPr="0059512C" w:rsidP="004B401B">
            <w:pPr>
              <w:pStyle w:val="ParaNum"/>
              <w:numPr>
                <w:ilvl w:val="0"/>
                <w:numId w:val="0"/>
              </w:numPr>
              <w:rPr>
                <w:szCs w:val="22"/>
              </w:rPr>
            </w:pPr>
            <w:r w:rsidRPr="0059512C">
              <w:rPr>
                <w:szCs w:val="22"/>
              </w:rPr>
              <w:t>$1</w:t>
            </w:r>
            <w:r w:rsidRPr="0059512C" w:rsidR="00D7336C">
              <w:rPr>
                <w:szCs w:val="22"/>
              </w:rPr>
              <w:t>70</w:t>
            </w:r>
          </w:p>
        </w:tc>
      </w:tr>
      <w:tr w:rsidTr="00481045">
        <w:tblPrEx>
          <w:tblW w:w="0" w:type="auto"/>
          <w:tblInd w:w="990" w:type="dxa"/>
          <w:tblLook w:val="04A0"/>
        </w:tblPrEx>
        <w:tc>
          <w:tcPr>
            <w:tcW w:w="2830" w:type="dxa"/>
          </w:tcPr>
          <w:p w:rsidR="001C615E" w:rsidRPr="0059512C" w:rsidP="004B401B">
            <w:pPr>
              <w:pStyle w:val="ParaNum"/>
              <w:numPr>
                <w:ilvl w:val="0"/>
                <w:numId w:val="0"/>
              </w:numPr>
              <w:rPr>
                <w:szCs w:val="22"/>
              </w:rPr>
            </w:pPr>
            <w:r w:rsidRPr="0059512C">
              <w:rPr>
                <w:szCs w:val="22"/>
              </w:rPr>
              <w:t>FM translator, license assignment</w:t>
            </w:r>
          </w:p>
        </w:tc>
        <w:tc>
          <w:tcPr>
            <w:tcW w:w="2761" w:type="dxa"/>
          </w:tcPr>
          <w:p w:rsidR="001C615E" w:rsidRPr="0059512C" w:rsidP="004B401B">
            <w:pPr>
              <w:pStyle w:val="ParaNum"/>
              <w:numPr>
                <w:ilvl w:val="0"/>
                <w:numId w:val="0"/>
              </w:numPr>
              <w:rPr>
                <w:szCs w:val="22"/>
              </w:rPr>
            </w:pPr>
            <w:r w:rsidRPr="0059512C">
              <w:rPr>
                <w:szCs w:val="22"/>
              </w:rPr>
              <w:t>$160</w:t>
            </w:r>
          </w:p>
        </w:tc>
        <w:tc>
          <w:tcPr>
            <w:tcW w:w="2769" w:type="dxa"/>
          </w:tcPr>
          <w:p w:rsidR="001C615E" w:rsidRPr="0059512C" w:rsidP="004B401B">
            <w:pPr>
              <w:pStyle w:val="ParaNum"/>
              <w:numPr>
                <w:ilvl w:val="0"/>
                <w:numId w:val="0"/>
              </w:numPr>
              <w:rPr>
                <w:szCs w:val="22"/>
              </w:rPr>
            </w:pPr>
            <w:r w:rsidRPr="0059512C">
              <w:rPr>
                <w:szCs w:val="22"/>
              </w:rPr>
              <w:t>$2</w:t>
            </w:r>
            <w:r w:rsidRPr="0059512C" w:rsidR="00D7336C">
              <w:rPr>
                <w:szCs w:val="22"/>
              </w:rPr>
              <w:t>90</w:t>
            </w:r>
          </w:p>
        </w:tc>
      </w:tr>
      <w:tr w:rsidTr="00481045">
        <w:tblPrEx>
          <w:tblW w:w="0" w:type="auto"/>
          <w:tblInd w:w="990" w:type="dxa"/>
          <w:tblLook w:val="04A0"/>
        </w:tblPrEx>
        <w:tc>
          <w:tcPr>
            <w:tcW w:w="2830" w:type="dxa"/>
          </w:tcPr>
          <w:p w:rsidR="001C615E" w:rsidRPr="0059512C" w:rsidP="004B401B">
            <w:pPr>
              <w:pStyle w:val="ParaNum"/>
              <w:numPr>
                <w:ilvl w:val="0"/>
                <w:numId w:val="0"/>
              </w:numPr>
              <w:rPr>
                <w:szCs w:val="22"/>
              </w:rPr>
            </w:pPr>
            <w:r w:rsidRPr="0059512C">
              <w:rPr>
                <w:szCs w:val="22"/>
              </w:rPr>
              <w:t>FM translator, transfer of control</w:t>
            </w:r>
          </w:p>
        </w:tc>
        <w:tc>
          <w:tcPr>
            <w:tcW w:w="2761" w:type="dxa"/>
          </w:tcPr>
          <w:p w:rsidR="001C615E" w:rsidRPr="0059512C" w:rsidP="004B401B">
            <w:pPr>
              <w:pStyle w:val="ParaNum"/>
              <w:numPr>
                <w:ilvl w:val="0"/>
                <w:numId w:val="0"/>
              </w:numPr>
              <w:rPr>
                <w:szCs w:val="22"/>
              </w:rPr>
            </w:pPr>
            <w:r w:rsidRPr="0059512C">
              <w:rPr>
                <w:szCs w:val="22"/>
              </w:rPr>
              <w:t>$160</w:t>
            </w:r>
          </w:p>
        </w:tc>
        <w:tc>
          <w:tcPr>
            <w:tcW w:w="2769" w:type="dxa"/>
          </w:tcPr>
          <w:p w:rsidR="001C615E" w:rsidRPr="0059512C" w:rsidP="004B401B">
            <w:pPr>
              <w:pStyle w:val="ParaNum"/>
              <w:numPr>
                <w:ilvl w:val="0"/>
                <w:numId w:val="0"/>
              </w:numPr>
              <w:rPr>
                <w:szCs w:val="22"/>
              </w:rPr>
            </w:pPr>
            <w:r w:rsidRPr="0059512C">
              <w:rPr>
                <w:szCs w:val="22"/>
              </w:rPr>
              <w:t>$2</w:t>
            </w:r>
            <w:r w:rsidRPr="0059512C" w:rsidR="00D7336C">
              <w:rPr>
                <w:szCs w:val="22"/>
              </w:rPr>
              <w:t>90</w:t>
            </w:r>
          </w:p>
        </w:tc>
      </w:tr>
      <w:tr w:rsidTr="00481045">
        <w:tblPrEx>
          <w:tblW w:w="0" w:type="auto"/>
          <w:tblInd w:w="990" w:type="dxa"/>
          <w:tblLook w:val="04A0"/>
        </w:tblPrEx>
        <w:tc>
          <w:tcPr>
            <w:tcW w:w="2830" w:type="dxa"/>
          </w:tcPr>
          <w:p w:rsidR="001C615E" w:rsidRPr="0059512C" w:rsidP="004B401B">
            <w:pPr>
              <w:pStyle w:val="ParaNum"/>
              <w:numPr>
                <w:ilvl w:val="0"/>
                <w:numId w:val="0"/>
              </w:numPr>
              <w:rPr>
                <w:szCs w:val="22"/>
              </w:rPr>
            </w:pPr>
            <w:r w:rsidRPr="0059512C">
              <w:rPr>
                <w:szCs w:val="22"/>
              </w:rPr>
              <w:t>FM booster, new or major change construction permit</w:t>
            </w:r>
          </w:p>
        </w:tc>
        <w:tc>
          <w:tcPr>
            <w:tcW w:w="2761" w:type="dxa"/>
          </w:tcPr>
          <w:p w:rsidR="001C615E" w:rsidRPr="0059512C" w:rsidP="004B401B">
            <w:pPr>
              <w:pStyle w:val="ParaNum"/>
              <w:numPr>
                <w:ilvl w:val="0"/>
                <w:numId w:val="0"/>
              </w:numPr>
              <w:rPr>
                <w:szCs w:val="22"/>
              </w:rPr>
            </w:pPr>
            <w:r w:rsidRPr="0059512C">
              <w:rPr>
                <w:szCs w:val="22"/>
              </w:rPr>
              <w:t>$835</w:t>
            </w:r>
          </w:p>
        </w:tc>
        <w:tc>
          <w:tcPr>
            <w:tcW w:w="2769" w:type="dxa"/>
          </w:tcPr>
          <w:p w:rsidR="001C615E" w:rsidRPr="0059512C" w:rsidP="004B401B">
            <w:pPr>
              <w:pStyle w:val="ParaNum"/>
              <w:numPr>
                <w:ilvl w:val="0"/>
                <w:numId w:val="0"/>
              </w:numPr>
              <w:rPr>
                <w:szCs w:val="22"/>
              </w:rPr>
            </w:pPr>
            <w:r w:rsidRPr="0059512C">
              <w:rPr>
                <w:szCs w:val="22"/>
              </w:rPr>
              <w:t>$</w:t>
            </w:r>
            <w:r w:rsidRPr="0059512C" w:rsidR="00D7336C">
              <w:rPr>
                <w:szCs w:val="22"/>
              </w:rPr>
              <w:t>705</w:t>
            </w:r>
          </w:p>
        </w:tc>
      </w:tr>
      <w:tr w:rsidTr="00481045">
        <w:tblPrEx>
          <w:tblW w:w="0" w:type="auto"/>
          <w:tblInd w:w="990" w:type="dxa"/>
          <w:tblLook w:val="04A0"/>
        </w:tblPrEx>
        <w:tc>
          <w:tcPr>
            <w:tcW w:w="2830" w:type="dxa"/>
          </w:tcPr>
          <w:p w:rsidR="001C615E" w:rsidRPr="0059512C" w:rsidP="004B401B">
            <w:pPr>
              <w:pStyle w:val="ParaNum"/>
              <w:numPr>
                <w:ilvl w:val="0"/>
                <w:numId w:val="0"/>
              </w:numPr>
              <w:rPr>
                <w:szCs w:val="22"/>
              </w:rPr>
            </w:pPr>
            <w:r w:rsidRPr="0059512C">
              <w:rPr>
                <w:szCs w:val="22"/>
              </w:rPr>
              <w:t>FM booster, new license fee</w:t>
            </w:r>
          </w:p>
        </w:tc>
        <w:tc>
          <w:tcPr>
            <w:tcW w:w="2761" w:type="dxa"/>
          </w:tcPr>
          <w:p w:rsidR="001C615E" w:rsidRPr="0059512C" w:rsidP="004B401B">
            <w:pPr>
              <w:pStyle w:val="ParaNum"/>
              <w:numPr>
                <w:ilvl w:val="0"/>
                <w:numId w:val="0"/>
              </w:numPr>
              <w:rPr>
                <w:szCs w:val="22"/>
              </w:rPr>
            </w:pPr>
            <w:r w:rsidRPr="0059512C">
              <w:rPr>
                <w:szCs w:val="22"/>
              </w:rPr>
              <w:t>$170</w:t>
            </w:r>
          </w:p>
        </w:tc>
        <w:tc>
          <w:tcPr>
            <w:tcW w:w="2769" w:type="dxa"/>
          </w:tcPr>
          <w:p w:rsidR="001C615E" w:rsidRPr="0059512C" w:rsidP="004B401B">
            <w:pPr>
              <w:pStyle w:val="ParaNum"/>
              <w:numPr>
                <w:ilvl w:val="0"/>
                <w:numId w:val="0"/>
              </w:numPr>
              <w:rPr>
                <w:szCs w:val="22"/>
              </w:rPr>
            </w:pPr>
            <w:r w:rsidRPr="0059512C">
              <w:rPr>
                <w:szCs w:val="22"/>
              </w:rPr>
              <w:t>$1</w:t>
            </w:r>
            <w:r w:rsidRPr="0059512C" w:rsidR="00D7336C">
              <w:rPr>
                <w:szCs w:val="22"/>
              </w:rPr>
              <w:t>80</w:t>
            </w:r>
          </w:p>
        </w:tc>
      </w:tr>
      <w:tr w:rsidTr="00481045">
        <w:tblPrEx>
          <w:tblW w:w="0" w:type="auto"/>
          <w:tblInd w:w="990" w:type="dxa"/>
          <w:tblLook w:val="04A0"/>
        </w:tblPrEx>
        <w:tc>
          <w:tcPr>
            <w:tcW w:w="2830" w:type="dxa"/>
          </w:tcPr>
          <w:p w:rsidR="001C615E" w:rsidRPr="0059512C" w:rsidP="004B401B">
            <w:pPr>
              <w:pStyle w:val="ParaNum"/>
              <w:numPr>
                <w:ilvl w:val="0"/>
                <w:numId w:val="0"/>
              </w:numPr>
              <w:rPr>
                <w:szCs w:val="22"/>
              </w:rPr>
            </w:pPr>
            <w:r w:rsidRPr="0059512C">
              <w:rPr>
                <w:szCs w:val="22"/>
              </w:rPr>
              <w:t>FM booster, STA</w:t>
            </w:r>
          </w:p>
        </w:tc>
        <w:tc>
          <w:tcPr>
            <w:tcW w:w="2761" w:type="dxa"/>
          </w:tcPr>
          <w:p w:rsidR="001C615E" w:rsidRPr="0059512C" w:rsidP="004B401B">
            <w:pPr>
              <w:pStyle w:val="ParaNum"/>
              <w:numPr>
                <w:ilvl w:val="0"/>
                <w:numId w:val="0"/>
              </w:numPr>
              <w:rPr>
                <w:szCs w:val="22"/>
              </w:rPr>
            </w:pPr>
            <w:r w:rsidRPr="0059512C">
              <w:rPr>
                <w:szCs w:val="22"/>
              </w:rPr>
              <w:t>$200</w:t>
            </w:r>
          </w:p>
        </w:tc>
        <w:tc>
          <w:tcPr>
            <w:tcW w:w="2769" w:type="dxa"/>
          </w:tcPr>
          <w:p w:rsidR="001C615E" w:rsidRPr="0059512C" w:rsidP="004B401B">
            <w:pPr>
              <w:pStyle w:val="ParaNum"/>
              <w:numPr>
                <w:ilvl w:val="0"/>
                <w:numId w:val="0"/>
              </w:numPr>
              <w:rPr>
                <w:szCs w:val="22"/>
              </w:rPr>
            </w:pPr>
            <w:r w:rsidRPr="0059512C">
              <w:rPr>
                <w:szCs w:val="22"/>
              </w:rPr>
              <w:t>$1</w:t>
            </w:r>
            <w:r w:rsidRPr="0059512C" w:rsidR="00D7336C">
              <w:rPr>
                <w:szCs w:val="22"/>
              </w:rPr>
              <w:t>70</w:t>
            </w:r>
          </w:p>
        </w:tc>
      </w:tr>
    </w:tbl>
    <w:p w:rsidR="001C615E" w:rsidRPr="0059512C" w:rsidP="001C615E">
      <w:pPr>
        <w:pStyle w:val="ParaNum"/>
        <w:numPr>
          <w:ilvl w:val="0"/>
          <w:numId w:val="0"/>
        </w:numPr>
        <w:ind w:left="990"/>
        <w:rPr>
          <w:szCs w:val="22"/>
        </w:rPr>
      </w:pPr>
    </w:p>
    <w:p w:rsidR="00DA6909" w:rsidRPr="0059512C" w:rsidP="00164A23">
      <w:pPr>
        <w:pStyle w:val="ParaNum"/>
        <w:rPr>
          <w:szCs w:val="22"/>
        </w:rPr>
      </w:pPr>
      <w:r w:rsidRPr="0059512C">
        <w:rPr>
          <w:szCs w:val="22"/>
        </w:rPr>
        <w:t>A</w:t>
      </w:r>
      <w:r w:rsidR="007D40FA">
        <w:rPr>
          <w:szCs w:val="22"/>
        </w:rPr>
        <w:t>n a</w:t>
      </w:r>
      <w:r w:rsidRPr="0059512C" w:rsidR="00FD3FC3">
        <w:rPr>
          <w:szCs w:val="22"/>
        </w:rPr>
        <w:t xml:space="preserve">pplication for </w:t>
      </w:r>
      <w:r w:rsidRPr="0059512C" w:rsidR="0015305F">
        <w:rPr>
          <w:szCs w:val="22"/>
        </w:rPr>
        <w:t xml:space="preserve">either </w:t>
      </w:r>
      <w:r w:rsidRPr="0059512C" w:rsidR="00FD3FC3">
        <w:rPr>
          <w:szCs w:val="22"/>
        </w:rPr>
        <w:t xml:space="preserve">a new FM translator </w:t>
      </w:r>
      <w:r w:rsidRPr="0059512C" w:rsidR="0015305F">
        <w:rPr>
          <w:szCs w:val="22"/>
        </w:rPr>
        <w:t>or a</w:t>
      </w:r>
      <w:r w:rsidR="000F3A18">
        <w:rPr>
          <w:szCs w:val="22"/>
        </w:rPr>
        <w:t>n</w:t>
      </w:r>
      <w:r w:rsidRPr="0059512C" w:rsidR="0015305F">
        <w:rPr>
          <w:szCs w:val="22"/>
        </w:rPr>
        <w:t xml:space="preserve"> FM booster </w:t>
      </w:r>
      <w:r w:rsidRPr="0059512C" w:rsidR="00FD3FC3">
        <w:rPr>
          <w:szCs w:val="22"/>
        </w:rPr>
        <w:t>construction permit involve</w:t>
      </w:r>
      <w:r w:rsidR="000F3A18">
        <w:rPr>
          <w:szCs w:val="22"/>
        </w:rPr>
        <w:t>s</w:t>
      </w:r>
      <w:r w:rsidRPr="0059512C" w:rsidR="00FD3FC3">
        <w:rPr>
          <w:szCs w:val="22"/>
        </w:rPr>
        <w:t xml:space="preserve"> legal analysis and significant engineering review.  Some applications may involve petitions or objections after the application is filed.  We estimate that the Commission’s </w:t>
      </w:r>
      <w:r w:rsidRPr="0059512C" w:rsidR="0015305F">
        <w:rPr>
          <w:szCs w:val="22"/>
        </w:rPr>
        <w:t>resource</w:t>
      </w:r>
      <w:r w:rsidRPr="0059512C" w:rsidR="00FD3FC3">
        <w:rPr>
          <w:szCs w:val="22"/>
        </w:rPr>
        <w:t xml:space="preserve">s in processing </w:t>
      </w:r>
      <w:r w:rsidRPr="0059512C" w:rsidR="0015305F">
        <w:rPr>
          <w:szCs w:val="22"/>
        </w:rPr>
        <w:t xml:space="preserve">either </w:t>
      </w:r>
      <w:r w:rsidRPr="0059512C" w:rsidR="00FD3FC3">
        <w:rPr>
          <w:szCs w:val="22"/>
        </w:rPr>
        <w:t xml:space="preserve">an application for a new FM </w:t>
      </w:r>
      <w:r w:rsidRPr="0059512C">
        <w:rPr>
          <w:szCs w:val="22"/>
        </w:rPr>
        <w:t>t</w:t>
      </w:r>
      <w:r w:rsidRPr="0059512C" w:rsidR="00FD3FC3">
        <w:rPr>
          <w:szCs w:val="22"/>
        </w:rPr>
        <w:t xml:space="preserve">ranslator </w:t>
      </w:r>
      <w:r w:rsidRPr="0059512C" w:rsidR="0015305F">
        <w:rPr>
          <w:szCs w:val="22"/>
        </w:rPr>
        <w:t xml:space="preserve">or </w:t>
      </w:r>
      <w:r w:rsidR="000F3A18">
        <w:rPr>
          <w:szCs w:val="22"/>
        </w:rPr>
        <w:t xml:space="preserve">an </w:t>
      </w:r>
      <w:r w:rsidRPr="0059512C" w:rsidR="0015305F">
        <w:rPr>
          <w:szCs w:val="22"/>
        </w:rPr>
        <w:t xml:space="preserve">FM booster </w:t>
      </w:r>
      <w:r w:rsidRPr="0059512C">
        <w:rPr>
          <w:szCs w:val="22"/>
        </w:rPr>
        <w:t>c</w:t>
      </w:r>
      <w:r w:rsidRPr="0059512C" w:rsidR="00FD3FC3">
        <w:rPr>
          <w:szCs w:val="22"/>
        </w:rPr>
        <w:t xml:space="preserve">onstruction </w:t>
      </w:r>
      <w:r w:rsidRPr="0059512C">
        <w:rPr>
          <w:szCs w:val="22"/>
        </w:rPr>
        <w:t>p</w:t>
      </w:r>
      <w:r w:rsidRPr="0059512C" w:rsidR="00FD3FC3">
        <w:rPr>
          <w:szCs w:val="22"/>
        </w:rPr>
        <w:t>ermit consist of engineer</w:t>
      </w:r>
      <w:r w:rsidR="00D9403F">
        <w:rPr>
          <w:szCs w:val="22"/>
        </w:rPr>
        <w:t>ing</w:t>
      </w:r>
      <w:r w:rsidRPr="0059512C" w:rsidR="00FD3FC3">
        <w:rPr>
          <w:szCs w:val="22"/>
        </w:rPr>
        <w:t xml:space="preserve"> technical review, </w:t>
      </w:r>
      <w:r w:rsidR="000F3A18">
        <w:rPr>
          <w:szCs w:val="22"/>
        </w:rPr>
        <w:t xml:space="preserve">an </w:t>
      </w:r>
      <w:r w:rsidRPr="0059512C" w:rsidR="00FD3FC3">
        <w:rPr>
          <w:szCs w:val="22"/>
        </w:rPr>
        <w:t xml:space="preserve">attorney reviewing pleadings, and </w:t>
      </w:r>
      <w:r w:rsidR="000F3A18">
        <w:rPr>
          <w:szCs w:val="22"/>
        </w:rPr>
        <w:t xml:space="preserve">a </w:t>
      </w:r>
      <w:r w:rsidRPr="0059512C" w:rsidR="00FD3FC3">
        <w:rPr>
          <w:szCs w:val="22"/>
        </w:rPr>
        <w:t>supervisory attorney reviewing written disposition.  Our estimate is that the cost of this process is $</w:t>
      </w:r>
      <w:r w:rsidRPr="0059512C" w:rsidR="007A3BCA">
        <w:rPr>
          <w:szCs w:val="22"/>
        </w:rPr>
        <w:t>705</w:t>
      </w:r>
      <w:r w:rsidRPr="0059512C" w:rsidR="0015305F">
        <w:rPr>
          <w:szCs w:val="22"/>
        </w:rPr>
        <w:t xml:space="preserve"> for either a new FM translator or a</w:t>
      </w:r>
      <w:r w:rsidR="000F3A18">
        <w:rPr>
          <w:szCs w:val="22"/>
        </w:rPr>
        <w:t>n</w:t>
      </w:r>
      <w:r w:rsidRPr="0059512C" w:rsidR="0015305F">
        <w:rPr>
          <w:szCs w:val="22"/>
        </w:rPr>
        <w:t xml:space="preserve"> FM booster construction permit.  </w:t>
      </w:r>
      <w:r w:rsidRPr="0059512C" w:rsidR="00FD3FC3">
        <w:rPr>
          <w:i/>
          <w:szCs w:val="22"/>
        </w:rPr>
        <w:t xml:space="preserve"> </w:t>
      </w:r>
    </w:p>
    <w:p w:rsidR="0015305F" w:rsidRPr="0059512C" w:rsidP="0015305F">
      <w:pPr>
        <w:pStyle w:val="ParaNum"/>
        <w:rPr>
          <w:szCs w:val="22"/>
        </w:rPr>
      </w:pPr>
      <w:r w:rsidRPr="0059512C">
        <w:rPr>
          <w:szCs w:val="22"/>
        </w:rPr>
        <w:t>There is no current fee for</w:t>
      </w:r>
      <w:r w:rsidRPr="0059512C" w:rsidR="00DA6909">
        <w:rPr>
          <w:szCs w:val="22"/>
        </w:rPr>
        <w:t xml:space="preserve"> </w:t>
      </w:r>
      <w:r w:rsidR="000F3A18">
        <w:rPr>
          <w:szCs w:val="22"/>
        </w:rPr>
        <w:t xml:space="preserve">an application for a </w:t>
      </w:r>
      <w:r w:rsidRPr="0059512C" w:rsidR="00DA6909">
        <w:rPr>
          <w:szCs w:val="22"/>
        </w:rPr>
        <w:t>minor change FM translator construction permit</w:t>
      </w:r>
      <w:r w:rsidRPr="0059512C">
        <w:rPr>
          <w:szCs w:val="22"/>
        </w:rPr>
        <w:t>.  Over the past 20 years, the definiti</w:t>
      </w:r>
      <w:r w:rsidRPr="0059512C">
        <w:rPr>
          <w:szCs w:val="22"/>
        </w:rPr>
        <w:t xml:space="preserve">on of a </w:t>
      </w:r>
      <w:r w:rsidR="000F3A18">
        <w:rPr>
          <w:szCs w:val="22"/>
        </w:rPr>
        <w:t>m</w:t>
      </w:r>
      <w:r w:rsidRPr="0059512C">
        <w:rPr>
          <w:szCs w:val="22"/>
        </w:rPr>
        <w:t xml:space="preserve">inor </w:t>
      </w:r>
      <w:r w:rsidR="000F3A18">
        <w:rPr>
          <w:szCs w:val="22"/>
        </w:rPr>
        <w:t>c</w:t>
      </w:r>
      <w:r w:rsidRPr="0059512C">
        <w:rPr>
          <w:szCs w:val="22"/>
        </w:rPr>
        <w:t>hange for FM translators has changed significantly.  At the time this category of application was originally created, the definition of minor change was so narrow that very few such applications could be submitted.  Furthermore, because of t</w:t>
      </w:r>
      <w:r w:rsidRPr="0059512C">
        <w:rPr>
          <w:szCs w:val="22"/>
        </w:rPr>
        <w:t>he limited circumstances under which they could be filed, the engineering analysis required to review them was minimal.  The rule has been revised since that time to significantly increase the situations that can be filed as minor.  These FM translator min</w:t>
      </w:r>
      <w:r w:rsidRPr="0059512C">
        <w:rPr>
          <w:szCs w:val="22"/>
        </w:rPr>
        <w:t>or change applications involve some legal analysis and significant engineering review.  Some applications will involve petitions or objections, after the application is filed.  We estimate that the Commission’s resources in processing an FM translator mino</w:t>
      </w:r>
      <w:r w:rsidRPr="0059512C">
        <w:rPr>
          <w:szCs w:val="22"/>
        </w:rPr>
        <w:t>r modification application consist of engineer technical review, supervisory engineer review, attorney pleading review, and supervisory attorney written disposition review</w:t>
      </w:r>
      <w:r w:rsidRPr="0059512C">
        <w:rPr>
          <w:b/>
          <w:szCs w:val="22"/>
        </w:rPr>
        <w:t xml:space="preserve">. </w:t>
      </w:r>
      <w:r w:rsidRPr="0059512C">
        <w:rPr>
          <w:szCs w:val="22"/>
        </w:rPr>
        <w:t xml:space="preserve"> Our estimate is that the cost of this process is $2</w:t>
      </w:r>
      <w:r w:rsidRPr="0059512C" w:rsidR="007A3BCA">
        <w:rPr>
          <w:szCs w:val="22"/>
        </w:rPr>
        <w:t>10</w:t>
      </w:r>
      <w:r w:rsidRPr="0059512C">
        <w:rPr>
          <w:szCs w:val="22"/>
        </w:rPr>
        <w:t>.</w:t>
      </w:r>
    </w:p>
    <w:p w:rsidR="00FD3FC3" w:rsidRPr="0059512C" w:rsidP="00164A23">
      <w:pPr>
        <w:pStyle w:val="ParaNum"/>
        <w:rPr>
          <w:szCs w:val="22"/>
        </w:rPr>
      </w:pPr>
      <w:r w:rsidRPr="0059512C">
        <w:rPr>
          <w:szCs w:val="22"/>
        </w:rPr>
        <w:t>Applications for either new</w:t>
      </w:r>
      <w:r w:rsidRPr="0059512C">
        <w:rPr>
          <w:szCs w:val="22"/>
        </w:rPr>
        <w:t xml:space="preserve"> FM translator or FM booster licenses involve some engineering analysis. Some applications may involve petitions or objections, after the application is filed.  We estimate that the Commission’s resources in processing an application for either a</w:t>
      </w:r>
      <w:r w:rsidR="000F3A18">
        <w:rPr>
          <w:szCs w:val="22"/>
        </w:rPr>
        <w:t xml:space="preserve"> </w:t>
      </w:r>
      <w:r w:rsidRPr="0059512C">
        <w:rPr>
          <w:szCs w:val="22"/>
        </w:rPr>
        <w:t>n</w:t>
      </w:r>
      <w:r w:rsidR="000F3A18">
        <w:rPr>
          <w:szCs w:val="22"/>
        </w:rPr>
        <w:t>ew</w:t>
      </w:r>
      <w:r w:rsidRPr="0059512C">
        <w:rPr>
          <w:szCs w:val="22"/>
        </w:rPr>
        <w:t xml:space="preserve"> FM tr</w:t>
      </w:r>
      <w:r w:rsidRPr="0059512C">
        <w:rPr>
          <w:szCs w:val="22"/>
        </w:rPr>
        <w:t xml:space="preserve">anslator </w:t>
      </w:r>
      <w:r w:rsidR="000F3A18">
        <w:rPr>
          <w:szCs w:val="22"/>
        </w:rPr>
        <w:t xml:space="preserve">license </w:t>
      </w:r>
      <w:r w:rsidRPr="0059512C">
        <w:rPr>
          <w:szCs w:val="22"/>
        </w:rPr>
        <w:t xml:space="preserve">or </w:t>
      </w:r>
      <w:r w:rsidR="000F3A18">
        <w:rPr>
          <w:szCs w:val="22"/>
        </w:rPr>
        <w:t xml:space="preserve"> a new </w:t>
      </w:r>
      <w:r w:rsidRPr="0059512C">
        <w:rPr>
          <w:szCs w:val="22"/>
        </w:rPr>
        <w:t xml:space="preserve">FM booster license consist of </w:t>
      </w:r>
      <w:r w:rsidR="000F3A18">
        <w:rPr>
          <w:szCs w:val="22"/>
        </w:rPr>
        <w:t xml:space="preserve">an </w:t>
      </w:r>
      <w:r w:rsidRPr="0059512C">
        <w:rPr>
          <w:szCs w:val="22"/>
        </w:rPr>
        <w:t xml:space="preserve">analyst reviewing </w:t>
      </w:r>
      <w:r w:rsidR="000F3A18">
        <w:rPr>
          <w:szCs w:val="22"/>
        </w:rPr>
        <w:t xml:space="preserve">the </w:t>
      </w:r>
      <w:r w:rsidRPr="0059512C">
        <w:rPr>
          <w:szCs w:val="22"/>
        </w:rPr>
        <w:t xml:space="preserve">application, </w:t>
      </w:r>
      <w:r w:rsidRPr="00461F90" w:rsidR="000F3A18">
        <w:rPr>
          <w:szCs w:val="22"/>
        </w:rPr>
        <w:t xml:space="preserve">an </w:t>
      </w:r>
      <w:r w:rsidRPr="00461F90">
        <w:t>engineer supervising</w:t>
      </w:r>
      <w:r w:rsidRPr="00D9403F">
        <w:rPr>
          <w:szCs w:val="22"/>
        </w:rPr>
        <w:t>,</w:t>
      </w:r>
      <w:r w:rsidRPr="0059512C">
        <w:rPr>
          <w:szCs w:val="22"/>
        </w:rPr>
        <w:t xml:space="preserve"> </w:t>
      </w:r>
      <w:r w:rsidR="000F3A18">
        <w:rPr>
          <w:szCs w:val="22"/>
        </w:rPr>
        <w:t xml:space="preserve">an </w:t>
      </w:r>
      <w:r w:rsidRPr="0059512C">
        <w:rPr>
          <w:szCs w:val="22"/>
        </w:rPr>
        <w:t xml:space="preserve">attorney reviewing pleadings, and </w:t>
      </w:r>
      <w:r w:rsidR="000F3A18">
        <w:rPr>
          <w:szCs w:val="22"/>
        </w:rPr>
        <w:t xml:space="preserve">a </w:t>
      </w:r>
      <w:r w:rsidRPr="0059512C">
        <w:rPr>
          <w:szCs w:val="22"/>
        </w:rPr>
        <w:t>supervisory attorney reviewing written disposition.  Our estimate is that the cost of this proces</w:t>
      </w:r>
      <w:r w:rsidRPr="0059512C">
        <w:rPr>
          <w:szCs w:val="22"/>
        </w:rPr>
        <w:t>s is $1</w:t>
      </w:r>
      <w:r w:rsidRPr="0059512C" w:rsidR="007A3BCA">
        <w:rPr>
          <w:szCs w:val="22"/>
        </w:rPr>
        <w:t>80</w:t>
      </w:r>
      <w:r w:rsidRPr="0059512C">
        <w:rPr>
          <w:szCs w:val="22"/>
        </w:rPr>
        <w:t xml:space="preserve"> for either a new FM translator or a</w:t>
      </w:r>
      <w:r w:rsidR="000F3A18">
        <w:rPr>
          <w:szCs w:val="22"/>
        </w:rPr>
        <w:t xml:space="preserve"> new</w:t>
      </w:r>
      <w:r w:rsidRPr="0059512C">
        <w:rPr>
          <w:szCs w:val="22"/>
        </w:rPr>
        <w:t xml:space="preserve"> FM booster license.  </w:t>
      </w:r>
      <w:r w:rsidRPr="0059512C">
        <w:rPr>
          <w:iCs/>
          <w:szCs w:val="22"/>
        </w:rPr>
        <w:t>Ap</w:t>
      </w:r>
      <w:r w:rsidRPr="0059512C">
        <w:rPr>
          <w:szCs w:val="22"/>
        </w:rPr>
        <w:t xml:space="preserve">plications for </w:t>
      </w:r>
      <w:r w:rsidR="000F3A18">
        <w:rPr>
          <w:szCs w:val="22"/>
        </w:rPr>
        <w:t xml:space="preserve">renewal of existing </w:t>
      </w:r>
      <w:r w:rsidRPr="0059512C">
        <w:rPr>
          <w:szCs w:val="22"/>
        </w:rPr>
        <w:t>FM translator or FM booster license</w:t>
      </w:r>
      <w:r w:rsidR="000E1685">
        <w:rPr>
          <w:szCs w:val="22"/>
        </w:rPr>
        <w:t>s</w:t>
      </w:r>
      <w:r w:rsidRPr="0059512C">
        <w:rPr>
          <w:szCs w:val="22"/>
        </w:rPr>
        <w:t xml:space="preserve"> have a low level of complexity.  We estimate that the Commission’s resources in processing </w:t>
      </w:r>
      <w:r w:rsidR="000E1685">
        <w:rPr>
          <w:szCs w:val="22"/>
        </w:rPr>
        <w:t xml:space="preserve">either type of </w:t>
      </w:r>
      <w:r w:rsidRPr="0059512C">
        <w:rPr>
          <w:szCs w:val="22"/>
        </w:rPr>
        <w:t>appli</w:t>
      </w:r>
      <w:r w:rsidRPr="0059512C">
        <w:rPr>
          <w:szCs w:val="22"/>
        </w:rPr>
        <w:t xml:space="preserve">cation consist of </w:t>
      </w:r>
      <w:r w:rsidR="000E1685">
        <w:rPr>
          <w:szCs w:val="22"/>
        </w:rPr>
        <w:t xml:space="preserve">a </w:t>
      </w:r>
      <w:r w:rsidRPr="0059512C">
        <w:rPr>
          <w:szCs w:val="22"/>
        </w:rPr>
        <w:t xml:space="preserve">legal analyst reviewing </w:t>
      </w:r>
      <w:r w:rsidR="000E1685">
        <w:rPr>
          <w:szCs w:val="22"/>
        </w:rPr>
        <w:t xml:space="preserve">the </w:t>
      </w:r>
      <w:r w:rsidRPr="0059512C">
        <w:rPr>
          <w:szCs w:val="22"/>
        </w:rPr>
        <w:t xml:space="preserve">application, </w:t>
      </w:r>
      <w:r w:rsidRPr="00461F90" w:rsidR="000E1685">
        <w:rPr>
          <w:szCs w:val="22"/>
        </w:rPr>
        <w:t xml:space="preserve">an </w:t>
      </w:r>
      <w:r w:rsidRPr="00461F90">
        <w:t>attorney supervising</w:t>
      </w:r>
      <w:r w:rsidRPr="00D9403F">
        <w:rPr>
          <w:szCs w:val="22"/>
        </w:rPr>
        <w:t>,</w:t>
      </w:r>
      <w:r w:rsidRPr="0059512C">
        <w:rPr>
          <w:szCs w:val="22"/>
        </w:rPr>
        <w:t xml:space="preserve"> </w:t>
      </w:r>
      <w:r w:rsidR="000E1685">
        <w:rPr>
          <w:szCs w:val="22"/>
        </w:rPr>
        <w:t xml:space="preserve">an </w:t>
      </w:r>
      <w:r w:rsidRPr="0059512C">
        <w:rPr>
          <w:szCs w:val="22"/>
        </w:rPr>
        <w:t xml:space="preserve">attorney reviewing pleadings, and </w:t>
      </w:r>
      <w:r w:rsidR="000E1685">
        <w:rPr>
          <w:szCs w:val="22"/>
        </w:rPr>
        <w:t xml:space="preserve">an </w:t>
      </w:r>
      <w:r w:rsidRPr="0059512C">
        <w:rPr>
          <w:szCs w:val="22"/>
        </w:rPr>
        <w:t xml:space="preserve">attorney reviewing written disposition.  Our estimate is that the cost of this process for </w:t>
      </w:r>
      <w:r w:rsidR="000E1685">
        <w:rPr>
          <w:szCs w:val="22"/>
        </w:rPr>
        <w:t xml:space="preserve">renewal of </w:t>
      </w:r>
      <w:r w:rsidRPr="0059512C">
        <w:rPr>
          <w:szCs w:val="22"/>
        </w:rPr>
        <w:t>either a</w:t>
      </w:r>
      <w:r w:rsidR="000E1685">
        <w:rPr>
          <w:szCs w:val="22"/>
        </w:rPr>
        <w:t>n</w:t>
      </w:r>
      <w:r w:rsidRPr="0059512C">
        <w:rPr>
          <w:szCs w:val="22"/>
        </w:rPr>
        <w:t xml:space="preserve"> FM translator or a</w:t>
      </w:r>
      <w:r w:rsidR="000E1685">
        <w:rPr>
          <w:szCs w:val="22"/>
        </w:rPr>
        <w:t>n</w:t>
      </w:r>
      <w:r w:rsidRPr="0059512C">
        <w:rPr>
          <w:szCs w:val="22"/>
        </w:rPr>
        <w:t xml:space="preserve"> FM booster</w:t>
      </w:r>
      <w:r w:rsidR="000E1685">
        <w:rPr>
          <w:szCs w:val="22"/>
        </w:rPr>
        <w:t xml:space="preserve"> is $175</w:t>
      </w:r>
      <w:r w:rsidRPr="0059512C">
        <w:rPr>
          <w:szCs w:val="22"/>
        </w:rPr>
        <w:t>.</w:t>
      </w:r>
    </w:p>
    <w:p w:rsidR="00FD3FC3" w:rsidRPr="0059512C" w:rsidP="00FD3FC3">
      <w:pPr>
        <w:pStyle w:val="ParaNum"/>
        <w:rPr>
          <w:szCs w:val="22"/>
        </w:rPr>
      </w:pPr>
      <w:r w:rsidRPr="0059512C">
        <w:rPr>
          <w:szCs w:val="22"/>
        </w:rPr>
        <w:t xml:space="preserve">Applications for either FM translator or FM booster </w:t>
      </w:r>
      <w:r w:rsidRPr="0059512C" w:rsidR="00CD0104">
        <w:rPr>
          <w:szCs w:val="22"/>
        </w:rPr>
        <w:t>STA</w:t>
      </w:r>
      <w:r w:rsidRPr="0059512C">
        <w:rPr>
          <w:szCs w:val="22"/>
        </w:rPr>
        <w:t xml:space="preserve"> involve some engineering and legal analysis.  We</w:t>
      </w:r>
      <w:r w:rsidRPr="0059512C">
        <w:rPr>
          <w:szCs w:val="22"/>
        </w:rPr>
        <w:t xml:space="preserve"> estimate that the Commission’s resources in processing either </w:t>
      </w:r>
      <w:r w:rsidR="000E1685">
        <w:rPr>
          <w:szCs w:val="22"/>
        </w:rPr>
        <w:t xml:space="preserve">type of </w:t>
      </w:r>
      <w:r w:rsidRPr="0059512C">
        <w:rPr>
          <w:szCs w:val="22"/>
        </w:rPr>
        <w:t xml:space="preserve">STA </w:t>
      </w:r>
      <w:r w:rsidR="000E1685">
        <w:rPr>
          <w:szCs w:val="22"/>
        </w:rPr>
        <w:t xml:space="preserve">application </w:t>
      </w:r>
      <w:r w:rsidRPr="0059512C">
        <w:rPr>
          <w:szCs w:val="22"/>
        </w:rPr>
        <w:t>consist of engineer</w:t>
      </w:r>
      <w:r w:rsidR="00D9403F">
        <w:rPr>
          <w:szCs w:val="22"/>
        </w:rPr>
        <w:t>ing</w:t>
      </w:r>
      <w:r w:rsidRPr="0059512C">
        <w:rPr>
          <w:szCs w:val="22"/>
        </w:rPr>
        <w:t xml:space="preserve"> technical review, attorney pleading review, and supervisory attorney written disposition review.  Our estimate is that the cost of this process is</w:t>
      </w:r>
      <w:r w:rsidRPr="0059512C">
        <w:rPr>
          <w:szCs w:val="22"/>
        </w:rPr>
        <w:t xml:space="preserve"> $1</w:t>
      </w:r>
      <w:r w:rsidRPr="0059512C" w:rsidR="007A3BCA">
        <w:rPr>
          <w:szCs w:val="22"/>
        </w:rPr>
        <w:t>70</w:t>
      </w:r>
      <w:r w:rsidRPr="0059512C">
        <w:rPr>
          <w:szCs w:val="22"/>
        </w:rPr>
        <w:t xml:space="preserve"> for either a</w:t>
      </w:r>
      <w:r w:rsidR="007D40FA">
        <w:rPr>
          <w:szCs w:val="22"/>
        </w:rPr>
        <w:t>n</w:t>
      </w:r>
      <w:r w:rsidRPr="0059512C">
        <w:rPr>
          <w:szCs w:val="22"/>
        </w:rPr>
        <w:t xml:space="preserve"> FM translator </w:t>
      </w:r>
      <w:r w:rsidR="007D40FA">
        <w:rPr>
          <w:szCs w:val="22"/>
        </w:rPr>
        <w:t xml:space="preserve">STA </w:t>
      </w:r>
      <w:r w:rsidRPr="0059512C">
        <w:rPr>
          <w:szCs w:val="22"/>
        </w:rPr>
        <w:t xml:space="preserve">or </w:t>
      </w:r>
      <w:r w:rsidR="007D40FA">
        <w:rPr>
          <w:szCs w:val="22"/>
        </w:rPr>
        <w:t xml:space="preserve">an </w:t>
      </w:r>
      <w:r w:rsidRPr="0059512C">
        <w:rPr>
          <w:szCs w:val="22"/>
        </w:rPr>
        <w:t>FM booster STA.</w:t>
      </w:r>
    </w:p>
    <w:p w:rsidR="00FD3FC3" w:rsidRPr="0059512C" w:rsidP="00164A23">
      <w:pPr>
        <w:pStyle w:val="ParaNum"/>
        <w:rPr>
          <w:szCs w:val="22"/>
        </w:rPr>
      </w:pPr>
      <w:r w:rsidRPr="0059512C">
        <w:rPr>
          <w:szCs w:val="22"/>
        </w:rPr>
        <w:t>Applications for FM translator license assignments involve some legal analysis. Some assignments involve petitions or objections, after the application is filed.  We estimate that the Commission’s</w:t>
      </w:r>
      <w:r w:rsidRPr="0059512C">
        <w:rPr>
          <w:szCs w:val="22"/>
        </w:rPr>
        <w:t xml:space="preserve"> resources in processing an application for FM translator assignment consist of </w:t>
      </w:r>
      <w:r w:rsidR="000E1685">
        <w:rPr>
          <w:szCs w:val="22"/>
        </w:rPr>
        <w:t xml:space="preserve">a </w:t>
      </w:r>
      <w:r w:rsidRPr="0059512C">
        <w:rPr>
          <w:szCs w:val="22"/>
        </w:rPr>
        <w:t xml:space="preserve">legal analyst reviewing </w:t>
      </w:r>
      <w:r w:rsidR="000E1685">
        <w:rPr>
          <w:szCs w:val="22"/>
        </w:rPr>
        <w:t xml:space="preserve">the </w:t>
      </w:r>
      <w:r w:rsidRPr="0059512C">
        <w:rPr>
          <w:szCs w:val="22"/>
        </w:rPr>
        <w:t xml:space="preserve">application, </w:t>
      </w:r>
      <w:r w:rsidRPr="00461F90" w:rsidR="000E1685">
        <w:rPr>
          <w:szCs w:val="22"/>
        </w:rPr>
        <w:t xml:space="preserve">an </w:t>
      </w:r>
      <w:r w:rsidRPr="00461F90">
        <w:t>attorney supervising</w:t>
      </w:r>
      <w:r w:rsidRPr="00D9403F">
        <w:rPr>
          <w:szCs w:val="22"/>
        </w:rPr>
        <w:t>,</w:t>
      </w:r>
      <w:r w:rsidRPr="0059512C">
        <w:rPr>
          <w:szCs w:val="22"/>
        </w:rPr>
        <w:t xml:space="preserve"> </w:t>
      </w:r>
      <w:r w:rsidR="000E1685">
        <w:rPr>
          <w:szCs w:val="22"/>
        </w:rPr>
        <w:t xml:space="preserve">an </w:t>
      </w:r>
      <w:r w:rsidRPr="0059512C">
        <w:rPr>
          <w:szCs w:val="22"/>
        </w:rPr>
        <w:t xml:space="preserve">attorney reviewing pleadings, and </w:t>
      </w:r>
      <w:r w:rsidR="000E1685">
        <w:rPr>
          <w:szCs w:val="22"/>
        </w:rPr>
        <w:t xml:space="preserve">an </w:t>
      </w:r>
      <w:r w:rsidRPr="0059512C">
        <w:rPr>
          <w:szCs w:val="22"/>
        </w:rPr>
        <w:t>attorney reviewing written disposition.  Our estimate is that the co</w:t>
      </w:r>
      <w:r w:rsidRPr="0059512C">
        <w:rPr>
          <w:szCs w:val="22"/>
        </w:rPr>
        <w:t>st of this process is $2</w:t>
      </w:r>
      <w:r w:rsidRPr="0059512C" w:rsidR="007A3BCA">
        <w:rPr>
          <w:szCs w:val="22"/>
        </w:rPr>
        <w:t>90</w:t>
      </w:r>
      <w:r w:rsidRPr="0059512C">
        <w:rPr>
          <w:szCs w:val="22"/>
        </w:rPr>
        <w:t>.  Applications for FM translator transfers of control involve some legal analysis.  Some assignments involve petitions or objections, after the application is filed.  We estimate that the Commission’s resources in processing an a</w:t>
      </w:r>
      <w:r w:rsidRPr="0059512C">
        <w:rPr>
          <w:szCs w:val="22"/>
        </w:rPr>
        <w:t xml:space="preserve">pplication for </w:t>
      </w:r>
      <w:r w:rsidR="000E1685">
        <w:rPr>
          <w:szCs w:val="22"/>
        </w:rPr>
        <w:t xml:space="preserve">an </w:t>
      </w:r>
      <w:r w:rsidRPr="0059512C">
        <w:rPr>
          <w:szCs w:val="22"/>
        </w:rPr>
        <w:t xml:space="preserve">FM translator transfer of control consist of </w:t>
      </w:r>
      <w:r w:rsidR="000E1685">
        <w:rPr>
          <w:szCs w:val="22"/>
        </w:rPr>
        <w:t xml:space="preserve">a </w:t>
      </w:r>
      <w:r w:rsidRPr="0059512C">
        <w:rPr>
          <w:szCs w:val="22"/>
        </w:rPr>
        <w:t xml:space="preserve">legal analyst reviewing </w:t>
      </w:r>
      <w:r w:rsidR="000E1685">
        <w:rPr>
          <w:szCs w:val="22"/>
        </w:rPr>
        <w:t xml:space="preserve">the </w:t>
      </w:r>
      <w:r w:rsidRPr="0059512C">
        <w:rPr>
          <w:szCs w:val="22"/>
        </w:rPr>
        <w:t xml:space="preserve">application, </w:t>
      </w:r>
      <w:r w:rsidRPr="00461F90" w:rsidR="000E1685">
        <w:rPr>
          <w:szCs w:val="22"/>
        </w:rPr>
        <w:t xml:space="preserve">an </w:t>
      </w:r>
      <w:r w:rsidRPr="00461F90">
        <w:t>attorney supervising</w:t>
      </w:r>
      <w:r w:rsidRPr="00D9403F">
        <w:rPr>
          <w:szCs w:val="22"/>
        </w:rPr>
        <w:t>,</w:t>
      </w:r>
      <w:r w:rsidRPr="0059512C">
        <w:rPr>
          <w:szCs w:val="22"/>
        </w:rPr>
        <w:t xml:space="preserve"> </w:t>
      </w:r>
      <w:r w:rsidR="000E1685">
        <w:rPr>
          <w:szCs w:val="22"/>
        </w:rPr>
        <w:t xml:space="preserve">an </w:t>
      </w:r>
      <w:r w:rsidRPr="0059512C">
        <w:rPr>
          <w:szCs w:val="22"/>
        </w:rPr>
        <w:t xml:space="preserve">attorney reviewing pleadings, and </w:t>
      </w:r>
      <w:r w:rsidR="000E1685">
        <w:rPr>
          <w:szCs w:val="22"/>
        </w:rPr>
        <w:t xml:space="preserve">an </w:t>
      </w:r>
      <w:r w:rsidRPr="0059512C">
        <w:rPr>
          <w:szCs w:val="22"/>
        </w:rPr>
        <w:t>attorney reviewing written disposition.  Our estimate is that the cost of this proces</w:t>
      </w:r>
      <w:r w:rsidRPr="0059512C">
        <w:rPr>
          <w:szCs w:val="22"/>
        </w:rPr>
        <w:t>s is $2</w:t>
      </w:r>
      <w:r w:rsidRPr="0059512C" w:rsidR="007A3BCA">
        <w:rPr>
          <w:szCs w:val="22"/>
        </w:rPr>
        <w:t>90</w:t>
      </w:r>
      <w:r w:rsidRPr="0059512C">
        <w:rPr>
          <w:szCs w:val="22"/>
        </w:rPr>
        <w:t>.</w:t>
      </w:r>
    </w:p>
    <w:p w:rsidR="00953F1B" w:rsidP="009E553D">
      <w:pPr>
        <w:pStyle w:val="ParaNum"/>
        <w:rPr>
          <w:iCs/>
          <w:szCs w:val="22"/>
        </w:rPr>
      </w:pPr>
      <w:r w:rsidRPr="0059512C">
        <w:rPr>
          <w:iCs/>
          <w:szCs w:val="22"/>
        </w:rPr>
        <w:t>We seek comment on these propo</w:t>
      </w:r>
      <w:r w:rsidR="00181F47">
        <w:rPr>
          <w:iCs/>
          <w:szCs w:val="22"/>
        </w:rPr>
        <w:t>sed cost-based fees</w:t>
      </w:r>
      <w:r w:rsidRPr="0059512C" w:rsidR="009E553D">
        <w:rPr>
          <w:iCs/>
          <w:szCs w:val="22"/>
        </w:rPr>
        <w:t>.</w:t>
      </w:r>
      <w:r w:rsidRPr="006114A5" w:rsidR="006114A5">
        <w:rPr>
          <w:iCs/>
          <w:szCs w:val="22"/>
        </w:rPr>
        <w:t xml:space="preserve"> </w:t>
      </w:r>
      <w:r w:rsidR="006114A5">
        <w:rPr>
          <w:iCs/>
          <w:szCs w:val="22"/>
        </w:rPr>
        <w:t xml:space="preserve"> We also seek comment on whether we should consolidate and streamline these proposed fees to ease the burden of administration and simplify compliance.</w:t>
      </w:r>
    </w:p>
    <w:p w:rsidR="002C1FF7" w:rsidRPr="0059512C" w:rsidP="002C1FF7">
      <w:pPr>
        <w:pStyle w:val="Heading4"/>
        <w:rPr>
          <w:szCs w:val="22"/>
        </w:rPr>
      </w:pPr>
      <w:r>
        <w:rPr>
          <w:szCs w:val="22"/>
        </w:rPr>
        <w:t xml:space="preserve">Broadcast </w:t>
      </w:r>
      <w:r w:rsidR="00C12BDE">
        <w:rPr>
          <w:szCs w:val="22"/>
        </w:rPr>
        <w:t>Service</w:t>
      </w:r>
      <w:r>
        <w:rPr>
          <w:szCs w:val="22"/>
        </w:rPr>
        <w:t>s</w:t>
      </w:r>
      <w:r w:rsidR="00C12BDE">
        <w:rPr>
          <w:szCs w:val="22"/>
        </w:rPr>
        <w:t xml:space="preserve"> </w:t>
      </w:r>
      <w:r>
        <w:rPr>
          <w:szCs w:val="22"/>
        </w:rPr>
        <w:t xml:space="preserve">Auction Short Form Fees </w:t>
      </w:r>
    </w:p>
    <w:p w:rsidR="00005417" w:rsidRPr="00B24912" w:rsidP="00005417">
      <w:pPr>
        <w:pStyle w:val="ParaNum"/>
      </w:pPr>
      <w:r>
        <w:t>A party must submit an application in order to participate i</w:t>
      </w:r>
      <w:r>
        <w:t xml:space="preserve">n an auction for </w:t>
      </w:r>
      <w:r w:rsidR="00612902">
        <w:t>broadcast services</w:t>
      </w:r>
      <w:r>
        <w:t xml:space="preserve"> construction permits.  </w:t>
      </w:r>
      <w:r w:rsidRPr="00BA0B84">
        <w:rPr>
          <w:szCs w:val="22"/>
        </w:rPr>
        <w:t>We propose to adopt a cost-based application fee for all short-form applications</w:t>
      </w:r>
      <w:r w:rsidR="00523EB3">
        <w:rPr>
          <w:szCs w:val="22"/>
        </w:rPr>
        <w:t xml:space="preserve"> for such auctions</w:t>
      </w:r>
      <w:r w:rsidRPr="00BA0B84">
        <w:rPr>
          <w:szCs w:val="22"/>
        </w:rPr>
        <w:t>.  We estimate that the Commission’s costs in processing a short-form application to participate in</w:t>
      </w:r>
      <w:r w:rsidRPr="00BA0B84">
        <w:rPr>
          <w:szCs w:val="22"/>
        </w:rPr>
        <w:t xml:space="preserve"> an auction consist primarily of attorney review and attorney supervisor legal review.  Our estimate is that this process involves $575 in costs. </w:t>
      </w:r>
      <w:r>
        <w:rPr>
          <w:szCs w:val="22"/>
        </w:rPr>
        <w:t xml:space="preserve">We </w:t>
      </w:r>
      <w:r w:rsidRPr="00BA0B84">
        <w:rPr>
          <w:szCs w:val="22"/>
        </w:rPr>
        <w:t xml:space="preserve">seek comment on </w:t>
      </w:r>
      <w:r>
        <w:rPr>
          <w:szCs w:val="22"/>
        </w:rPr>
        <w:t>a</w:t>
      </w:r>
      <w:r w:rsidRPr="00BA0B84">
        <w:rPr>
          <w:szCs w:val="22"/>
        </w:rPr>
        <w:t xml:space="preserve"> cost-based fee of $575 for </w:t>
      </w:r>
      <w:r w:rsidR="00260415">
        <w:rPr>
          <w:szCs w:val="22"/>
        </w:rPr>
        <w:t>br</w:t>
      </w:r>
      <w:r w:rsidR="00F320CD">
        <w:rPr>
          <w:szCs w:val="22"/>
        </w:rPr>
        <w:t>oadcast services</w:t>
      </w:r>
      <w:r w:rsidRPr="00BA0B84">
        <w:rPr>
          <w:szCs w:val="22"/>
        </w:rPr>
        <w:t xml:space="preserve"> short-form auction applications.</w:t>
      </w:r>
    </w:p>
    <w:tbl>
      <w:tblPr>
        <w:tblStyle w:val="TableGrid"/>
        <w:tblW w:w="0" w:type="auto"/>
        <w:tblInd w:w="720" w:type="dxa"/>
        <w:tblLook w:val="04A0"/>
      </w:tblPr>
      <w:tblGrid>
        <w:gridCol w:w="2920"/>
        <w:gridCol w:w="2872"/>
        <w:gridCol w:w="2838"/>
      </w:tblGrid>
      <w:tr w:rsidTr="00661179">
        <w:tblPrEx>
          <w:tblW w:w="0" w:type="auto"/>
          <w:tblInd w:w="720" w:type="dxa"/>
          <w:tblLook w:val="04A0"/>
        </w:tblPrEx>
        <w:tc>
          <w:tcPr>
            <w:tcW w:w="2920" w:type="dxa"/>
          </w:tcPr>
          <w:p w:rsidR="00005417" w:rsidRPr="0059512C" w:rsidP="006C483B">
            <w:pPr>
              <w:pStyle w:val="ParaNum"/>
              <w:keepNext/>
              <w:widowControl/>
              <w:numPr>
                <w:ilvl w:val="0"/>
                <w:numId w:val="0"/>
              </w:numPr>
              <w:rPr>
                <w:b/>
                <w:szCs w:val="22"/>
              </w:rPr>
            </w:pPr>
            <w:r w:rsidRPr="0059512C">
              <w:rPr>
                <w:b/>
                <w:szCs w:val="22"/>
              </w:rPr>
              <w:t>Applicatio</w:t>
            </w:r>
            <w:r w:rsidRPr="0059512C">
              <w:rPr>
                <w:b/>
                <w:szCs w:val="22"/>
              </w:rPr>
              <w:t>n</w:t>
            </w:r>
          </w:p>
        </w:tc>
        <w:tc>
          <w:tcPr>
            <w:tcW w:w="2872" w:type="dxa"/>
          </w:tcPr>
          <w:p w:rsidR="00005417" w:rsidRPr="0059512C" w:rsidP="006C483B">
            <w:pPr>
              <w:pStyle w:val="ParaNum"/>
              <w:keepNext/>
              <w:widowControl/>
              <w:numPr>
                <w:ilvl w:val="0"/>
                <w:numId w:val="0"/>
              </w:numPr>
              <w:rPr>
                <w:b/>
                <w:szCs w:val="22"/>
              </w:rPr>
            </w:pPr>
            <w:r w:rsidRPr="0059512C">
              <w:rPr>
                <w:b/>
                <w:szCs w:val="22"/>
              </w:rPr>
              <w:t>Current Fee</w:t>
            </w:r>
          </w:p>
        </w:tc>
        <w:tc>
          <w:tcPr>
            <w:tcW w:w="2838" w:type="dxa"/>
          </w:tcPr>
          <w:p w:rsidR="00005417" w:rsidRPr="0059512C" w:rsidP="006C483B">
            <w:pPr>
              <w:pStyle w:val="ParaNum"/>
              <w:keepNext/>
              <w:widowControl/>
              <w:numPr>
                <w:ilvl w:val="0"/>
                <w:numId w:val="0"/>
              </w:numPr>
              <w:rPr>
                <w:b/>
                <w:szCs w:val="22"/>
              </w:rPr>
            </w:pPr>
            <w:r w:rsidRPr="0059512C">
              <w:rPr>
                <w:b/>
                <w:szCs w:val="22"/>
              </w:rPr>
              <w:t>Cost-based Fee</w:t>
            </w:r>
          </w:p>
        </w:tc>
      </w:tr>
      <w:tr w:rsidTr="00661179">
        <w:tblPrEx>
          <w:tblW w:w="0" w:type="auto"/>
          <w:tblInd w:w="720" w:type="dxa"/>
          <w:tblLook w:val="04A0"/>
        </w:tblPrEx>
        <w:tc>
          <w:tcPr>
            <w:tcW w:w="2920" w:type="dxa"/>
          </w:tcPr>
          <w:p w:rsidR="00005417" w:rsidRPr="0059512C" w:rsidP="00661179">
            <w:pPr>
              <w:pStyle w:val="ParaNum"/>
              <w:numPr>
                <w:ilvl w:val="0"/>
                <w:numId w:val="0"/>
              </w:numPr>
              <w:rPr>
                <w:b/>
                <w:szCs w:val="22"/>
              </w:rPr>
            </w:pPr>
            <w:r>
              <w:rPr>
                <w:szCs w:val="22"/>
              </w:rPr>
              <w:t xml:space="preserve">Broadcast Services Auction </w:t>
            </w:r>
            <w:r w:rsidRPr="0059512C">
              <w:rPr>
                <w:szCs w:val="22"/>
              </w:rPr>
              <w:t>Short-Form Application</w:t>
            </w:r>
          </w:p>
        </w:tc>
        <w:tc>
          <w:tcPr>
            <w:tcW w:w="2872" w:type="dxa"/>
          </w:tcPr>
          <w:p w:rsidR="00005417" w:rsidRPr="0059512C" w:rsidP="00661179">
            <w:pPr>
              <w:pStyle w:val="ParaNum"/>
              <w:numPr>
                <w:ilvl w:val="0"/>
                <w:numId w:val="0"/>
              </w:numPr>
              <w:rPr>
                <w:b/>
                <w:szCs w:val="22"/>
              </w:rPr>
            </w:pPr>
            <w:r w:rsidRPr="0059512C">
              <w:rPr>
                <w:szCs w:val="22"/>
              </w:rPr>
              <w:t>n/a</w:t>
            </w:r>
          </w:p>
        </w:tc>
        <w:tc>
          <w:tcPr>
            <w:tcW w:w="2838" w:type="dxa"/>
          </w:tcPr>
          <w:p w:rsidR="00005417" w:rsidRPr="0059512C" w:rsidP="00661179">
            <w:pPr>
              <w:pStyle w:val="ParaNum"/>
              <w:numPr>
                <w:ilvl w:val="0"/>
                <w:numId w:val="0"/>
              </w:numPr>
              <w:rPr>
                <w:b/>
                <w:szCs w:val="22"/>
              </w:rPr>
            </w:pPr>
            <w:r w:rsidRPr="0059512C">
              <w:rPr>
                <w:szCs w:val="22"/>
              </w:rPr>
              <w:t>$</w:t>
            </w:r>
            <w:r>
              <w:rPr>
                <w:szCs w:val="22"/>
              </w:rPr>
              <w:t>575</w:t>
            </w:r>
          </w:p>
        </w:tc>
      </w:tr>
    </w:tbl>
    <w:p w:rsidR="00005417" w:rsidRPr="00005417" w:rsidP="00B13758">
      <w:pPr>
        <w:pStyle w:val="ParaNum"/>
        <w:numPr>
          <w:ilvl w:val="0"/>
          <w:numId w:val="0"/>
        </w:numPr>
        <w:ind w:left="720"/>
        <w:rPr>
          <w:szCs w:val="22"/>
        </w:rPr>
      </w:pPr>
    </w:p>
    <w:p w:rsidR="00005417" w:rsidRPr="00BA0B84" w:rsidP="00005417">
      <w:pPr>
        <w:pStyle w:val="ParaNum"/>
        <w:rPr>
          <w:szCs w:val="22"/>
        </w:rPr>
      </w:pPr>
      <w:r>
        <w:t>Each winning bidder in a</w:t>
      </w:r>
      <w:r w:rsidR="000518C6">
        <w:t>n</w:t>
      </w:r>
      <w:r>
        <w:t xml:space="preserve"> auction</w:t>
      </w:r>
      <w:r w:rsidRPr="000518C6" w:rsidR="000518C6">
        <w:t xml:space="preserve"> </w:t>
      </w:r>
      <w:r w:rsidR="000518C6">
        <w:t>of construction permits for broadcast services</w:t>
      </w:r>
      <w:r>
        <w:t xml:space="preserve"> must also file a long-form application that is specific to the permit that is won at auction.  For example, winners of a Full Power TV Construction Permit auction would then pay the proposed </w:t>
      </w:r>
      <w:r w:rsidRPr="0059512C">
        <w:rPr>
          <w:szCs w:val="22"/>
        </w:rPr>
        <w:t xml:space="preserve">Full </w:t>
      </w:r>
      <w:r>
        <w:rPr>
          <w:szCs w:val="22"/>
        </w:rPr>
        <w:t>P</w:t>
      </w:r>
      <w:r w:rsidRPr="0059512C">
        <w:rPr>
          <w:szCs w:val="22"/>
        </w:rPr>
        <w:t>ower TV, Class A TV, new and major change construction per</w:t>
      </w:r>
      <w:r w:rsidRPr="0059512C">
        <w:rPr>
          <w:szCs w:val="22"/>
        </w:rPr>
        <w:t xml:space="preserve">mit </w:t>
      </w:r>
      <w:r>
        <w:rPr>
          <w:szCs w:val="22"/>
        </w:rPr>
        <w:t>application fee of $4,260</w:t>
      </w:r>
      <w:r>
        <w:t xml:space="preserve">.  </w:t>
      </w:r>
      <w:r w:rsidRPr="00BA0B84">
        <w:rPr>
          <w:szCs w:val="22"/>
        </w:rPr>
        <w:t xml:space="preserve">We seek comment on whether we should consolidate the </w:t>
      </w:r>
      <w:r>
        <w:rPr>
          <w:szCs w:val="22"/>
        </w:rPr>
        <w:t xml:space="preserve">Media Bureau </w:t>
      </w:r>
      <w:r w:rsidRPr="00BA0B84">
        <w:rPr>
          <w:szCs w:val="22"/>
        </w:rPr>
        <w:t>short-form and long-form auction application fees such that only winning bidders would be required to pay a combined application fee of the total of the short</w:t>
      </w:r>
      <w:r w:rsidRPr="00BA0B84">
        <w:rPr>
          <w:szCs w:val="22"/>
        </w:rPr>
        <w:t xml:space="preserve"> form application fee plus the applicable long form application fee.  Would a consolidated fee be consistent with amended section 8?  Would such an approach alleviate the possibility that establishing a fee for filing an auction application</w:t>
      </w:r>
      <w:r>
        <w:rPr>
          <w:szCs w:val="22"/>
        </w:rPr>
        <w:t xml:space="preserve"> </w:t>
      </w:r>
      <w:r w:rsidRPr="00BA0B84">
        <w:rPr>
          <w:szCs w:val="22"/>
        </w:rPr>
        <w:t>might discourag</w:t>
      </w:r>
      <w:r w:rsidRPr="00BA0B84">
        <w:rPr>
          <w:szCs w:val="22"/>
        </w:rPr>
        <w:t xml:space="preserve">e auction participation, particularly by small </w:t>
      </w:r>
      <w:r>
        <w:rPr>
          <w:szCs w:val="22"/>
        </w:rPr>
        <w:t>or</w:t>
      </w:r>
      <w:r w:rsidRPr="00BA0B84">
        <w:rPr>
          <w:szCs w:val="22"/>
        </w:rPr>
        <w:t xml:space="preserve"> minority-owned businesses.  Fewer applications may result in reduced competition in an auction</w:t>
      </w:r>
      <w:r w:rsidR="00741F7F">
        <w:rPr>
          <w:szCs w:val="22"/>
        </w:rPr>
        <w:t>,</w:t>
      </w:r>
      <w:r w:rsidRPr="00BA0B84">
        <w:rPr>
          <w:szCs w:val="22"/>
        </w:rPr>
        <w:t xml:space="preserve"> </w:t>
      </w:r>
      <w:r w:rsidRPr="00034649" w:rsidR="009F1CF6">
        <w:t>undermining the Commission’s ability to promote the various objectives of spectrum auctions enumerated in section 309(j)</w:t>
      </w:r>
      <w:r w:rsidRPr="003C1480" w:rsidR="009F1CF6">
        <w:t>.</w:t>
      </w:r>
      <w:r>
        <w:rPr>
          <w:rStyle w:val="FootnoteReference"/>
        </w:rPr>
        <w:footnoteReference w:id="54"/>
      </w:r>
      <w:r w:rsidRPr="003C1480" w:rsidR="009F1CF6">
        <w:t xml:space="preserve">  </w:t>
      </w:r>
      <w:r w:rsidRPr="00BA0B84">
        <w:rPr>
          <w:szCs w:val="22"/>
        </w:rPr>
        <w:t>Would a consolidated fee mitigate such potential harm?</w:t>
      </w:r>
      <w:r w:rsidRPr="00FC574D">
        <w:t xml:space="preserve"> </w:t>
      </w:r>
      <w:r>
        <w:t xml:space="preserve"> </w:t>
      </w:r>
    </w:p>
    <w:p w:rsidR="00005417" w:rsidRPr="0059512C" w:rsidP="00005417">
      <w:pPr>
        <w:pStyle w:val="ParaNum"/>
        <w:rPr>
          <w:szCs w:val="22"/>
        </w:rPr>
      </w:pPr>
      <w:r w:rsidRPr="0059512C">
        <w:rPr>
          <w:szCs w:val="22"/>
        </w:rPr>
        <w:t xml:space="preserve">Under such a consolidation there would be no short-form </w:t>
      </w:r>
      <w:r>
        <w:rPr>
          <w:szCs w:val="22"/>
        </w:rPr>
        <w:t xml:space="preserve">auction </w:t>
      </w:r>
      <w:r w:rsidRPr="0059512C">
        <w:rPr>
          <w:szCs w:val="22"/>
        </w:rPr>
        <w:t xml:space="preserve">application fee </w:t>
      </w:r>
      <w:r>
        <w:rPr>
          <w:szCs w:val="22"/>
        </w:rPr>
        <w:t xml:space="preserve">due </w:t>
      </w:r>
      <w:r w:rsidRPr="0059512C">
        <w:rPr>
          <w:szCs w:val="22"/>
        </w:rPr>
        <w:t xml:space="preserve">at </w:t>
      </w:r>
      <w:r w:rsidRPr="0059512C">
        <w:rPr>
          <w:szCs w:val="22"/>
        </w:rPr>
        <w:t xml:space="preserve">the time of filing; the fee would be due when the long-form application fee is due.   Commenters </w:t>
      </w:r>
      <w:r w:rsidRPr="0059512C">
        <w:rPr>
          <w:szCs w:val="22"/>
        </w:rPr>
        <w:t xml:space="preserve">should discuss whether this process, in which no fees would be assessed for short-form </w:t>
      </w:r>
      <w:r>
        <w:rPr>
          <w:szCs w:val="22"/>
        </w:rPr>
        <w:t xml:space="preserve">auction </w:t>
      </w:r>
      <w:r w:rsidRPr="0059512C">
        <w:rPr>
          <w:szCs w:val="22"/>
        </w:rPr>
        <w:t>applications when the applicant is not a winning bidder, would be consistent with the requirement in section 8(a) that the fees “recover the costs of the Commiss</w:t>
      </w:r>
      <w:r w:rsidRPr="0059512C">
        <w:rPr>
          <w:szCs w:val="22"/>
        </w:rPr>
        <w:t>ion to process applications.”</w:t>
      </w:r>
      <w:r>
        <w:rPr>
          <w:rStyle w:val="FootnoteReference"/>
          <w:sz w:val="22"/>
        </w:rPr>
        <w:footnoteReference w:id="55"/>
      </w:r>
      <w:r w:rsidRPr="0059512C">
        <w:rPr>
          <w:szCs w:val="22"/>
        </w:rPr>
        <w:t xml:space="preserve">  </w:t>
      </w:r>
    </w:p>
    <w:p w:rsidR="00E9694A" w:rsidRPr="0059512C" w:rsidP="00E9694A">
      <w:pPr>
        <w:pStyle w:val="Heading4"/>
        <w:rPr>
          <w:szCs w:val="22"/>
        </w:rPr>
      </w:pPr>
      <w:bookmarkStart w:id="200" w:name="_Toc35268572"/>
      <w:bookmarkStart w:id="201" w:name="_Toc42256287"/>
      <w:r>
        <w:rPr>
          <w:szCs w:val="22"/>
        </w:rPr>
        <w:t xml:space="preserve">Media </w:t>
      </w:r>
      <w:r w:rsidR="00E266C4">
        <w:rPr>
          <w:szCs w:val="22"/>
        </w:rPr>
        <w:t>Service</w:t>
      </w:r>
      <w:r w:rsidR="00F320CD">
        <w:rPr>
          <w:szCs w:val="22"/>
        </w:rPr>
        <w:t>s</w:t>
      </w:r>
      <w:r w:rsidR="00E266C4">
        <w:rPr>
          <w:szCs w:val="22"/>
        </w:rPr>
        <w:t xml:space="preserve"> </w:t>
      </w:r>
      <w:r w:rsidR="0083500A">
        <w:rPr>
          <w:szCs w:val="22"/>
        </w:rPr>
        <w:t>Foreign Ownership Petitions</w:t>
      </w:r>
    </w:p>
    <w:p w:rsidR="00E9694A" w:rsidRPr="0059512C" w:rsidP="00E9694A">
      <w:pPr>
        <w:pStyle w:val="ParaNum"/>
        <w:rPr>
          <w:szCs w:val="22"/>
        </w:rPr>
      </w:pPr>
      <w:r>
        <w:rPr>
          <w:szCs w:val="22"/>
        </w:rPr>
        <w:t>W</w:t>
      </w:r>
      <w:r w:rsidRPr="0059512C">
        <w:rPr>
          <w:szCs w:val="22"/>
        </w:rPr>
        <w:t>e propose adding a new category for foreign ownership petitions for declaratory ruling filed pursuant to section 310(b)(4) of the Act.</w:t>
      </w:r>
      <w:r>
        <w:rPr>
          <w:rStyle w:val="FootnoteReference"/>
        </w:rPr>
        <w:footnoteReference w:id="56"/>
      </w:r>
      <w:r w:rsidRPr="0059512C">
        <w:rPr>
          <w:szCs w:val="22"/>
        </w:rPr>
        <w:t xml:space="preserve">  This proposed fee is a separate fee in addition to the fee required for the underlying application, if any.</w:t>
      </w:r>
      <w:r>
        <w:rPr>
          <w:rStyle w:val="FootnoteReference"/>
        </w:rPr>
        <w:footnoteReference w:id="57"/>
      </w:r>
      <w:r w:rsidRPr="0059512C">
        <w:rPr>
          <w:szCs w:val="22"/>
        </w:rPr>
        <w:t xml:space="preserve">  Since 2016, the Media Bureau has processed petitions for declaratory rulings to exceed the section 310(b)(4) foreign ownership benchmark under </w:t>
      </w:r>
      <w:r w:rsidRPr="0059512C">
        <w:rPr>
          <w:szCs w:val="22"/>
        </w:rPr>
        <w:t>the streamlined foreign ownership rules and procedures.</w:t>
      </w:r>
      <w:r>
        <w:rPr>
          <w:rStyle w:val="FootnoteReference"/>
        </w:rPr>
        <w:footnoteReference w:id="58"/>
      </w:r>
      <w:r w:rsidRPr="0059512C">
        <w:rPr>
          <w:szCs w:val="22"/>
        </w:rPr>
        <w:t xml:space="preserve">  </w:t>
      </w:r>
    </w:p>
    <w:tbl>
      <w:tblPr>
        <w:tblStyle w:val="TableGrid"/>
        <w:tblW w:w="0" w:type="auto"/>
        <w:tblInd w:w="720" w:type="dxa"/>
        <w:tblLook w:val="04A0"/>
      </w:tblPr>
      <w:tblGrid>
        <w:gridCol w:w="2920"/>
        <w:gridCol w:w="2872"/>
        <w:gridCol w:w="2838"/>
      </w:tblGrid>
      <w:tr w:rsidTr="00A01C27">
        <w:tblPrEx>
          <w:tblW w:w="0" w:type="auto"/>
          <w:tblInd w:w="720" w:type="dxa"/>
          <w:tblLook w:val="04A0"/>
        </w:tblPrEx>
        <w:tc>
          <w:tcPr>
            <w:tcW w:w="2920" w:type="dxa"/>
          </w:tcPr>
          <w:p w:rsidR="00E9694A" w:rsidRPr="0059512C" w:rsidP="00A01C27">
            <w:pPr>
              <w:pStyle w:val="ParaNum"/>
              <w:numPr>
                <w:ilvl w:val="0"/>
                <w:numId w:val="0"/>
              </w:numPr>
              <w:rPr>
                <w:b/>
                <w:szCs w:val="22"/>
              </w:rPr>
            </w:pPr>
            <w:r w:rsidRPr="0059512C">
              <w:rPr>
                <w:b/>
                <w:szCs w:val="22"/>
              </w:rPr>
              <w:t>Application</w:t>
            </w:r>
          </w:p>
        </w:tc>
        <w:tc>
          <w:tcPr>
            <w:tcW w:w="2872" w:type="dxa"/>
          </w:tcPr>
          <w:p w:rsidR="00E9694A" w:rsidRPr="0059512C" w:rsidP="00A01C27">
            <w:pPr>
              <w:pStyle w:val="ParaNum"/>
              <w:numPr>
                <w:ilvl w:val="0"/>
                <w:numId w:val="0"/>
              </w:numPr>
              <w:rPr>
                <w:b/>
                <w:szCs w:val="22"/>
              </w:rPr>
            </w:pPr>
            <w:r w:rsidRPr="0059512C">
              <w:rPr>
                <w:b/>
                <w:szCs w:val="22"/>
              </w:rPr>
              <w:t>Current Fee</w:t>
            </w:r>
          </w:p>
        </w:tc>
        <w:tc>
          <w:tcPr>
            <w:tcW w:w="2838" w:type="dxa"/>
          </w:tcPr>
          <w:p w:rsidR="00E9694A" w:rsidRPr="0059512C" w:rsidP="00A01C27">
            <w:pPr>
              <w:pStyle w:val="ParaNum"/>
              <w:numPr>
                <w:ilvl w:val="0"/>
                <w:numId w:val="0"/>
              </w:numPr>
              <w:rPr>
                <w:b/>
                <w:szCs w:val="22"/>
              </w:rPr>
            </w:pPr>
            <w:r w:rsidRPr="0059512C">
              <w:rPr>
                <w:b/>
                <w:szCs w:val="22"/>
              </w:rPr>
              <w:t>Cost-based Fee</w:t>
            </w:r>
          </w:p>
        </w:tc>
      </w:tr>
      <w:tr w:rsidTr="00A01C27">
        <w:tblPrEx>
          <w:tblW w:w="0" w:type="auto"/>
          <w:tblInd w:w="720" w:type="dxa"/>
          <w:tblLook w:val="04A0"/>
        </w:tblPrEx>
        <w:tc>
          <w:tcPr>
            <w:tcW w:w="2920" w:type="dxa"/>
          </w:tcPr>
          <w:p w:rsidR="00E9694A" w:rsidRPr="0059512C" w:rsidP="00E9694A">
            <w:pPr>
              <w:pStyle w:val="ParaNum"/>
              <w:numPr>
                <w:ilvl w:val="0"/>
                <w:numId w:val="0"/>
              </w:numPr>
              <w:rPr>
                <w:b/>
                <w:szCs w:val="22"/>
              </w:rPr>
            </w:pPr>
            <w:r>
              <w:rPr>
                <w:szCs w:val="22"/>
              </w:rPr>
              <w:t>Media</w:t>
            </w:r>
            <w:r w:rsidRPr="0059512C">
              <w:rPr>
                <w:szCs w:val="22"/>
              </w:rPr>
              <w:t xml:space="preserve"> </w:t>
            </w:r>
            <w:r>
              <w:rPr>
                <w:szCs w:val="22"/>
              </w:rPr>
              <w:t>S</w:t>
            </w:r>
            <w:r w:rsidRPr="0059512C">
              <w:rPr>
                <w:szCs w:val="22"/>
              </w:rPr>
              <w:t>e</w:t>
            </w:r>
            <w:r w:rsidR="00BD7E57">
              <w:rPr>
                <w:szCs w:val="22"/>
              </w:rPr>
              <w:t>rvice</w:t>
            </w:r>
            <w:r w:rsidR="00F320CD">
              <w:rPr>
                <w:szCs w:val="22"/>
              </w:rPr>
              <w:t xml:space="preserve">s </w:t>
            </w:r>
            <w:r w:rsidRPr="0059512C">
              <w:rPr>
                <w:szCs w:val="22"/>
              </w:rPr>
              <w:t xml:space="preserve"> 310(b) petitions for declaratory ruling</w:t>
            </w:r>
          </w:p>
        </w:tc>
        <w:tc>
          <w:tcPr>
            <w:tcW w:w="2872" w:type="dxa"/>
          </w:tcPr>
          <w:p w:rsidR="00E9694A" w:rsidRPr="0059512C" w:rsidP="00E9694A">
            <w:pPr>
              <w:pStyle w:val="ParaNum"/>
              <w:numPr>
                <w:ilvl w:val="0"/>
                <w:numId w:val="0"/>
              </w:numPr>
              <w:rPr>
                <w:b/>
                <w:szCs w:val="22"/>
              </w:rPr>
            </w:pPr>
            <w:r w:rsidRPr="0059512C">
              <w:rPr>
                <w:szCs w:val="22"/>
              </w:rPr>
              <w:t>n/a</w:t>
            </w:r>
          </w:p>
        </w:tc>
        <w:tc>
          <w:tcPr>
            <w:tcW w:w="2838" w:type="dxa"/>
          </w:tcPr>
          <w:p w:rsidR="00E9694A" w:rsidRPr="0059512C" w:rsidP="00E9694A">
            <w:pPr>
              <w:pStyle w:val="ParaNum"/>
              <w:numPr>
                <w:ilvl w:val="0"/>
                <w:numId w:val="0"/>
              </w:numPr>
              <w:rPr>
                <w:b/>
                <w:szCs w:val="22"/>
              </w:rPr>
            </w:pPr>
            <w:r w:rsidRPr="0059512C">
              <w:rPr>
                <w:szCs w:val="22"/>
              </w:rPr>
              <w:t>$2,485</w:t>
            </w:r>
          </w:p>
        </w:tc>
      </w:tr>
    </w:tbl>
    <w:p w:rsidR="00E9694A" w:rsidRPr="00005417" w:rsidP="00E9694A">
      <w:pPr>
        <w:pStyle w:val="ParaNum"/>
        <w:numPr>
          <w:ilvl w:val="0"/>
          <w:numId w:val="0"/>
        </w:numPr>
        <w:ind w:left="720"/>
        <w:rPr>
          <w:szCs w:val="22"/>
        </w:rPr>
      </w:pPr>
    </w:p>
    <w:p w:rsidR="00E9694A" w:rsidRPr="00E9694A" w:rsidP="006C483B">
      <w:pPr>
        <w:pStyle w:val="ParaNum"/>
      </w:pPr>
      <w:r w:rsidRPr="00E9694A">
        <w:t xml:space="preserve">Currently, there is no fee for a section 310(b)(4) petition for declaratory </w:t>
      </w:r>
      <w:r w:rsidRPr="00E9694A">
        <w:t>ruling.  Typically, the petition includes complex ownership structures and requires substantial review by staff.  We estimate the Commission’s resources in processing a section 310(b) petition for declaratory ruling consist of attorney legal review, attorn</w:t>
      </w:r>
      <w:r w:rsidRPr="00E9694A">
        <w:t>ey coordination with other agencies, attorney pleading review, and attorney written disposition review.  Our estimate is that the cost of this process is $2,485.</w:t>
      </w:r>
    </w:p>
    <w:p w:rsidR="00953F1B" w:rsidRPr="0059512C" w:rsidP="00953F1B">
      <w:pPr>
        <w:pStyle w:val="Heading3"/>
        <w:rPr>
          <w:szCs w:val="22"/>
        </w:rPr>
      </w:pPr>
      <w:bookmarkStart w:id="202" w:name="_Toc44581652"/>
      <w:r w:rsidRPr="0059512C">
        <w:rPr>
          <w:szCs w:val="22"/>
        </w:rPr>
        <w:t>Equipment Approval Fees</w:t>
      </w:r>
      <w:bookmarkEnd w:id="200"/>
      <w:bookmarkEnd w:id="201"/>
      <w:bookmarkEnd w:id="202"/>
    </w:p>
    <w:p w:rsidR="00E32855" w:rsidRPr="0059512C" w:rsidP="00E32855">
      <w:pPr>
        <w:pStyle w:val="ParaNum"/>
        <w:rPr>
          <w:szCs w:val="22"/>
        </w:rPr>
      </w:pPr>
      <w:r w:rsidRPr="0059512C">
        <w:rPr>
          <w:szCs w:val="22"/>
        </w:rPr>
        <w:t>The Office of Engineering and Technology processes applications for the approval of equipment through the equipment authorization program under part 2 of the FCC rules.</w:t>
      </w:r>
      <w:r>
        <w:rPr>
          <w:rStyle w:val="FootnoteReference"/>
          <w:sz w:val="22"/>
        </w:rPr>
        <w:footnoteReference w:id="59"/>
      </w:r>
      <w:r w:rsidRPr="0059512C">
        <w:rPr>
          <w:szCs w:val="22"/>
        </w:rPr>
        <w:t xml:space="preserve">  The equipment authorization program is one of the principal ways the Commission ensu</w:t>
      </w:r>
      <w:r w:rsidRPr="0059512C">
        <w:rPr>
          <w:szCs w:val="22"/>
        </w:rPr>
        <w:t xml:space="preserve">res that </w:t>
      </w:r>
      <w:r w:rsidR="000363E0">
        <w:rPr>
          <w:szCs w:val="22"/>
        </w:rPr>
        <w:t>radiofrequency (</w:t>
      </w:r>
      <w:r w:rsidRPr="0059512C">
        <w:rPr>
          <w:szCs w:val="22"/>
        </w:rPr>
        <w:t>RF</w:t>
      </w:r>
      <w:r w:rsidR="000363E0">
        <w:rPr>
          <w:szCs w:val="22"/>
        </w:rPr>
        <w:t>)</w:t>
      </w:r>
      <w:r w:rsidRPr="0059512C">
        <w:rPr>
          <w:szCs w:val="22"/>
        </w:rPr>
        <w:t xml:space="preserve"> devices operate effectively without causing harmful interference and otherwise comply with the Commission’s rules.  RF devices are generally subject to equipment authorization must comply with the Commission’s technical require</w:t>
      </w:r>
      <w:r w:rsidRPr="0059512C">
        <w:rPr>
          <w:szCs w:val="22"/>
        </w:rPr>
        <w:t>ments prior to importation or marketing.</w:t>
      </w:r>
      <w:r>
        <w:rPr>
          <w:rStyle w:val="FootnoteReference"/>
          <w:sz w:val="22"/>
        </w:rPr>
        <w:footnoteReference w:id="60"/>
      </w:r>
      <w:r w:rsidRPr="0059512C">
        <w:rPr>
          <w:szCs w:val="22"/>
        </w:rPr>
        <w:t xml:space="preserve">  Equipment that contains an RF device and is subject to authorization requirements must be authorized in accordance with the appropriate procedures specified in part 2, subpart J of the Commission’s rules.  These </w:t>
      </w:r>
      <w:r w:rsidRPr="0059512C">
        <w:rPr>
          <w:szCs w:val="22"/>
        </w:rPr>
        <w:t>requirements not only minimize the potential for harmful interference, but also ensure that the equipment complies with the rules that address other policy objectives</w:t>
      </w:r>
      <w:r w:rsidR="002910D3">
        <w:rPr>
          <w:szCs w:val="22"/>
        </w:rPr>
        <w:t xml:space="preserve">, </w:t>
      </w:r>
      <w:r w:rsidRPr="0059512C">
        <w:rPr>
          <w:szCs w:val="22"/>
        </w:rPr>
        <w:t>such as human RF exposure limits and hearing aid compatibility with wireless handsets.</w:t>
      </w:r>
    </w:p>
    <w:p w:rsidR="00094146" w:rsidRPr="0059512C" w:rsidP="00E32855">
      <w:pPr>
        <w:pStyle w:val="ParaNum"/>
        <w:rPr>
          <w:szCs w:val="22"/>
        </w:rPr>
      </w:pPr>
      <w:r w:rsidRPr="0059512C">
        <w:rPr>
          <w:szCs w:val="22"/>
        </w:rPr>
        <w:t>W</w:t>
      </w:r>
      <w:r w:rsidRPr="0059512C">
        <w:rPr>
          <w:szCs w:val="22"/>
        </w:rPr>
        <w:t>e propose to begin charging a cost-based fee for applications for the assignment of a grantee code and to eliminate the fee associated with the certification of subscription TV systems, as that service is no longer performed by the Commission.</w:t>
      </w:r>
    </w:p>
    <w:p w:rsidR="00953F1B" w:rsidRPr="0059512C" w:rsidP="00953F1B">
      <w:pPr>
        <w:pStyle w:val="Heading4"/>
        <w:rPr>
          <w:szCs w:val="22"/>
        </w:rPr>
      </w:pPr>
      <w:bookmarkStart w:id="203" w:name="_Toc35268573"/>
      <w:r w:rsidRPr="0059512C">
        <w:rPr>
          <w:szCs w:val="22"/>
        </w:rPr>
        <w:t>Certificatio</w:t>
      </w:r>
      <w:r w:rsidRPr="0059512C">
        <w:rPr>
          <w:szCs w:val="22"/>
        </w:rPr>
        <w:t>n and Advance Approval of Subscription TV Systems</w:t>
      </w:r>
      <w:bookmarkEnd w:id="203"/>
    </w:p>
    <w:p w:rsidR="00953F1B" w:rsidRPr="002910D3" w:rsidP="002910D3">
      <w:pPr>
        <w:pStyle w:val="ParaNum"/>
        <w:rPr>
          <w:szCs w:val="22"/>
        </w:rPr>
      </w:pPr>
      <w:r w:rsidRPr="0059512C">
        <w:rPr>
          <w:szCs w:val="22"/>
        </w:rPr>
        <w:t>The equipment certification functions were mostly shifted from the Commission to Telecommunications Certification Bodies (TCB) in 1999 and fully shifted to the TCB</w:t>
      </w:r>
      <w:r w:rsidRPr="0059512C" w:rsidR="000026C1">
        <w:rPr>
          <w:szCs w:val="22"/>
        </w:rPr>
        <w:t>s</w:t>
      </w:r>
      <w:r w:rsidRPr="0059512C">
        <w:rPr>
          <w:szCs w:val="22"/>
        </w:rPr>
        <w:t xml:space="preserve"> in 2014.</w:t>
      </w:r>
      <w:r>
        <w:rPr>
          <w:rStyle w:val="FootnoteReference"/>
          <w:sz w:val="22"/>
        </w:rPr>
        <w:footnoteReference w:id="61"/>
      </w:r>
      <w:r w:rsidRPr="0059512C">
        <w:rPr>
          <w:szCs w:val="22"/>
        </w:rPr>
        <w:t xml:space="preserve">  Since that time, certificatio</w:t>
      </w:r>
      <w:r w:rsidRPr="0059512C">
        <w:rPr>
          <w:szCs w:val="22"/>
        </w:rPr>
        <w:t xml:space="preserve">n services have been provided by accredited </w:t>
      </w:r>
      <w:r w:rsidR="000363E0">
        <w:rPr>
          <w:szCs w:val="22"/>
        </w:rPr>
        <w:t>TCBs</w:t>
      </w:r>
      <w:r w:rsidRPr="0059512C">
        <w:rPr>
          <w:szCs w:val="22"/>
        </w:rPr>
        <w:t xml:space="preserve"> which are approved by the Commission and the Commission retains oversight of the program through routine guidance to the TCBs and test labs as well as participation in regular teleconferences as well as TCB </w:t>
      </w:r>
      <w:r w:rsidRPr="0059512C">
        <w:rPr>
          <w:szCs w:val="22"/>
        </w:rPr>
        <w:t xml:space="preserve">workshops.  Additionally, the Commission no longer performs advance approval of subscription TV systems. </w:t>
      </w:r>
      <w:r w:rsidR="002910D3">
        <w:rPr>
          <w:szCs w:val="22"/>
        </w:rPr>
        <w:t xml:space="preserve"> </w:t>
      </w:r>
      <w:r w:rsidRPr="0059512C">
        <w:rPr>
          <w:szCs w:val="22"/>
        </w:rPr>
        <w:t xml:space="preserve">As these services are no longer performed by </w:t>
      </w:r>
      <w:r w:rsidR="000E1685">
        <w:rPr>
          <w:szCs w:val="22"/>
        </w:rPr>
        <w:t xml:space="preserve">the </w:t>
      </w:r>
      <w:r w:rsidRPr="0059512C">
        <w:rPr>
          <w:szCs w:val="22"/>
        </w:rPr>
        <w:t>O</w:t>
      </w:r>
      <w:r w:rsidR="000E1685">
        <w:rPr>
          <w:szCs w:val="22"/>
        </w:rPr>
        <w:t xml:space="preserve">ffice of </w:t>
      </w:r>
      <w:r w:rsidRPr="0059512C">
        <w:rPr>
          <w:szCs w:val="22"/>
        </w:rPr>
        <w:t>E</w:t>
      </w:r>
      <w:r w:rsidR="000E1685">
        <w:rPr>
          <w:szCs w:val="22"/>
        </w:rPr>
        <w:t xml:space="preserve">ngineering and </w:t>
      </w:r>
      <w:r w:rsidRPr="0059512C">
        <w:rPr>
          <w:szCs w:val="22"/>
        </w:rPr>
        <w:t>T</w:t>
      </w:r>
      <w:r w:rsidR="000E1685">
        <w:rPr>
          <w:szCs w:val="22"/>
        </w:rPr>
        <w:t>echnology</w:t>
      </w:r>
      <w:r w:rsidRPr="0059512C">
        <w:rPr>
          <w:szCs w:val="22"/>
        </w:rPr>
        <w:t xml:space="preserve">, we propose to remove these categories from </w:t>
      </w:r>
      <w:r w:rsidRPr="0059512C" w:rsidR="00E32855">
        <w:rPr>
          <w:szCs w:val="22"/>
        </w:rPr>
        <w:t xml:space="preserve">the Commission’s schedule of </w:t>
      </w:r>
      <w:r w:rsidRPr="0059512C">
        <w:rPr>
          <w:szCs w:val="22"/>
        </w:rPr>
        <w:t xml:space="preserve">application fees.  </w:t>
      </w:r>
      <w:r w:rsidRPr="002910D3">
        <w:rPr>
          <w:szCs w:val="22"/>
        </w:rPr>
        <w:t>We seek comment on this proposal.</w:t>
      </w:r>
    </w:p>
    <w:p w:rsidR="00F977EE" w:rsidRPr="0059512C" w:rsidP="00600DEC">
      <w:pPr>
        <w:pStyle w:val="Heading4"/>
        <w:rPr>
          <w:szCs w:val="22"/>
        </w:rPr>
      </w:pPr>
      <w:bookmarkStart w:id="204" w:name="_Toc35268574"/>
      <w:r w:rsidRPr="0059512C">
        <w:rPr>
          <w:szCs w:val="22"/>
        </w:rPr>
        <w:t>Assignment of Grantee Code</w:t>
      </w:r>
      <w:bookmarkEnd w:id="204"/>
    </w:p>
    <w:tbl>
      <w:tblPr>
        <w:tblStyle w:val="TableGrid"/>
        <w:tblW w:w="0" w:type="auto"/>
        <w:tblInd w:w="990" w:type="dxa"/>
        <w:tblLook w:val="04A0"/>
      </w:tblPr>
      <w:tblGrid>
        <w:gridCol w:w="2296"/>
        <w:gridCol w:w="2135"/>
        <w:gridCol w:w="2880"/>
      </w:tblGrid>
      <w:tr w:rsidTr="00CE4BFB">
        <w:tblPrEx>
          <w:tblW w:w="0" w:type="auto"/>
          <w:tblInd w:w="990" w:type="dxa"/>
          <w:tblLook w:val="04A0"/>
        </w:tblPrEx>
        <w:tc>
          <w:tcPr>
            <w:tcW w:w="2296" w:type="dxa"/>
          </w:tcPr>
          <w:p w:rsidR="00F364EF" w:rsidRPr="0059512C" w:rsidP="002643FA">
            <w:pPr>
              <w:pStyle w:val="ParaNum"/>
              <w:numPr>
                <w:ilvl w:val="0"/>
                <w:numId w:val="0"/>
              </w:numPr>
              <w:rPr>
                <w:b/>
                <w:szCs w:val="22"/>
              </w:rPr>
            </w:pPr>
            <w:r w:rsidRPr="0059512C">
              <w:rPr>
                <w:b/>
                <w:szCs w:val="22"/>
              </w:rPr>
              <w:t>Application</w:t>
            </w:r>
          </w:p>
        </w:tc>
        <w:tc>
          <w:tcPr>
            <w:tcW w:w="2135" w:type="dxa"/>
          </w:tcPr>
          <w:p w:rsidR="00F364EF" w:rsidRPr="0059512C" w:rsidP="002643FA">
            <w:pPr>
              <w:pStyle w:val="ParaNum"/>
              <w:numPr>
                <w:ilvl w:val="0"/>
                <w:numId w:val="0"/>
              </w:numPr>
              <w:rPr>
                <w:b/>
                <w:szCs w:val="22"/>
              </w:rPr>
            </w:pPr>
            <w:r w:rsidRPr="0059512C">
              <w:rPr>
                <w:b/>
                <w:szCs w:val="22"/>
              </w:rPr>
              <w:t>Current Fee</w:t>
            </w:r>
          </w:p>
        </w:tc>
        <w:tc>
          <w:tcPr>
            <w:tcW w:w="2880" w:type="dxa"/>
          </w:tcPr>
          <w:p w:rsidR="00F364EF" w:rsidRPr="0059512C" w:rsidP="002643FA">
            <w:pPr>
              <w:pStyle w:val="ParaNum"/>
              <w:numPr>
                <w:ilvl w:val="0"/>
                <w:numId w:val="0"/>
              </w:numPr>
              <w:rPr>
                <w:b/>
                <w:szCs w:val="22"/>
              </w:rPr>
            </w:pPr>
            <w:r w:rsidRPr="0059512C">
              <w:rPr>
                <w:b/>
                <w:szCs w:val="22"/>
              </w:rPr>
              <w:t>Cost-based Fee</w:t>
            </w:r>
          </w:p>
        </w:tc>
      </w:tr>
      <w:tr w:rsidTr="00CE4BFB">
        <w:tblPrEx>
          <w:tblW w:w="0" w:type="auto"/>
          <w:tblInd w:w="990" w:type="dxa"/>
          <w:tblLook w:val="04A0"/>
        </w:tblPrEx>
        <w:tc>
          <w:tcPr>
            <w:tcW w:w="2296" w:type="dxa"/>
          </w:tcPr>
          <w:p w:rsidR="00F364EF" w:rsidRPr="0059512C" w:rsidP="002643FA">
            <w:pPr>
              <w:pStyle w:val="ParaNum"/>
              <w:numPr>
                <w:ilvl w:val="0"/>
                <w:numId w:val="0"/>
              </w:numPr>
              <w:rPr>
                <w:szCs w:val="22"/>
              </w:rPr>
            </w:pPr>
            <w:r w:rsidRPr="0059512C">
              <w:rPr>
                <w:szCs w:val="22"/>
              </w:rPr>
              <w:t>Assignment of Grantee Code</w:t>
            </w:r>
          </w:p>
        </w:tc>
        <w:tc>
          <w:tcPr>
            <w:tcW w:w="2135" w:type="dxa"/>
          </w:tcPr>
          <w:p w:rsidR="00F364EF" w:rsidRPr="0059512C" w:rsidP="002643FA">
            <w:pPr>
              <w:pStyle w:val="ParaNum"/>
              <w:numPr>
                <w:ilvl w:val="0"/>
                <w:numId w:val="0"/>
              </w:numPr>
              <w:rPr>
                <w:szCs w:val="22"/>
              </w:rPr>
            </w:pPr>
            <w:r w:rsidRPr="0059512C">
              <w:rPr>
                <w:szCs w:val="22"/>
              </w:rPr>
              <w:t>n/a</w:t>
            </w:r>
          </w:p>
        </w:tc>
        <w:tc>
          <w:tcPr>
            <w:tcW w:w="2880" w:type="dxa"/>
          </w:tcPr>
          <w:p w:rsidR="00F364EF" w:rsidRPr="0059512C" w:rsidP="002643FA">
            <w:pPr>
              <w:pStyle w:val="ParaNum"/>
              <w:numPr>
                <w:ilvl w:val="0"/>
                <w:numId w:val="0"/>
              </w:numPr>
              <w:rPr>
                <w:szCs w:val="22"/>
              </w:rPr>
            </w:pPr>
            <w:r w:rsidRPr="0059512C">
              <w:rPr>
                <w:szCs w:val="22"/>
              </w:rPr>
              <w:t>$</w:t>
            </w:r>
            <w:r w:rsidR="003951F6">
              <w:rPr>
                <w:szCs w:val="22"/>
              </w:rPr>
              <w:t>5</w:t>
            </w:r>
            <w:r w:rsidRPr="0059512C">
              <w:rPr>
                <w:szCs w:val="22"/>
              </w:rPr>
              <w:t>0</w:t>
            </w:r>
          </w:p>
        </w:tc>
      </w:tr>
    </w:tbl>
    <w:p w:rsidR="007B20E4" w:rsidRPr="0059512C" w:rsidP="007B20E4">
      <w:pPr>
        <w:pStyle w:val="ParaNum"/>
        <w:numPr>
          <w:ilvl w:val="0"/>
          <w:numId w:val="0"/>
        </w:numPr>
        <w:ind w:left="720"/>
        <w:rPr>
          <w:szCs w:val="22"/>
        </w:rPr>
      </w:pPr>
    </w:p>
    <w:p w:rsidR="007B5429" w:rsidRPr="002910D3" w:rsidP="002910D3">
      <w:pPr>
        <w:pStyle w:val="ParaNum"/>
        <w:rPr>
          <w:szCs w:val="22"/>
        </w:rPr>
      </w:pPr>
      <w:r w:rsidRPr="0059512C">
        <w:rPr>
          <w:szCs w:val="22"/>
        </w:rPr>
        <w:t xml:space="preserve">The fee for </w:t>
      </w:r>
      <w:r w:rsidR="007D40FA">
        <w:rPr>
          <w:szCs w:val="22"/>
        </w:rPr>
        <w:t>an a</w:t>
      </w:r>
      <w:r w:rsidRPr="0059512C">
        <w:rPr>
          <w:szCs w:val="22"/>
        </w:rPr>
        <w:t xml:space="preserve">ssignment of </w:t>
      </w:r>
      <w:r w:rsidR="007D40FA">
        <w:rPr>
          <w:szCs w:val="22"/>
        </w:rPr>
        <w:t>g</w:t>
      </w:r>
      <w:r w:rsidRPr="0059512C">
        <w:rPr>
          <w:szCs w:val="22"/>
        </w:rPr>
        <w:t xml:space="preserve">rantee </w:t>
      </w:r>
      <w:r w:rsidR="007D40FA">
        <w:rPr>
          <w:szCs w:val="22"/>
        </w:rPr>
        <w:t>c</w:t>
      </w:r>
      <w:r w:rsidRPr="0059512C">
        <w:rPr>
          <w:szCs w:val="22"/>
        </w:rPr>
        <w:t xml:space="preserve">ode is assessed automatically after an applicant (or their authorized agent) files for a </w:t>
      </w:r>
      <w:r w:rsidR="000363E0">
        <w:rPr>
          <w:szCs w:val="22"/>
        </w:rPr>
        <w:t>g</w:t>
      </w:r>
      <w:r w:rsidRPr="0059512C">
        <w:rPr>
          <w:szCs w:val="22"/>
        </w:rPr>
        <w:t xml:space="preserve">rantee </w:t>
      </w:r>
      <w:r w:rsidR="000363E0">
        <w:rPr>
          <w:szCs w:val="22"/>
        </w:rPr>
        <w:t>c</w:t>
      </w:r>
      <w:r w:rsidRPr="0059512C">
        <w:rPr>
          <w:szCs w:val="22"/>
        </w:rPr>
        <w:t xml:space="preserve">ode on the FCC Equipment Authorization Electronic Filing System (EAS) website.  Approximately 4,000 new </w:t>
      </w:r>
      <w:r w:rsidR="000363E0">
        <w:rPr>
          <w:szCs w:val="22"/>
        </w:rPr>
        <w:t>g</w:t>
      </w:r>
      <w:r w:rsidRPr="0059512C">
        <w:rPr>
          <w:szCs w:val="22"/>
        </w:rPr>
        <w:t xml:space="preserve">rantee </w:t>
      </w:r>
      <w:r w:rsidR="000363E0">
        <w:rPr>
          <w:szCs w:val="22"/>
        </w:rPr>
        <w:t>c</w:t>
      </w:r>
      <w:r w:rsidRPr="0059512C">
        <w:rPr>
          <w:szCs w:val="22"/>
        </w:rPr>
        <w:t xml:space="preserve">odes are assigned each </w:t>
      </w:r>
      <w:r w:rsidRPr="0059512C">
        <w:rPr>
          <w:szCs w:val="22"/>
        </w:rPr>
        <w:t xml:space="preserve">year.  This process generally </w:t>
      </w:r>
      <w:r w:rsidRPr="0059512C" w:rsidR="00C323D1">
        <w:rPr>
          <w:szCs w:val="22"/>
        </w:rPr>
        <w:t xml:space="preserve">does not require intervention by </w:t>
      </w:r>
      <w:r w:rsidRPr="0059512C">
        <w:rPr>
          <w:szCs w:val="22"/>
        </w:rPr>
        <w:t xml:space="preserve">Commission staff.  However, staff must intervene if an applicant encounters a payment issue or if special action is necessary after a grantee code is assigned, such as a grantee name change or </w:t>
      </w:r>
      <w:r w:rsidRPr="0059512C">
        <w:rPr>
          <w:szCs w:val="22"/>
        </w:rPr>
        <w:t>a transfer of control transaction.  Such issues arise approximately 500</w:t>
      </w:r>
      <w:r w:rsidR="00680AFB">
        <w:rPr>
          <w:szCs w:val="22"/>
        </w:rPr>
        <w:t xml:space="preserve"> to</w:t>
      </w:r>
      <w:r w:rsidRPr="0059512C">
        <w:rPr>
          <w:szCs w:val="22"/>
        </w:rPr>
        <w:t>700 times per year and staff time to address these issues, when required, is nominal.  For this largely automated process, we propose a nominal application fee of $</w:t>
      </w:r>
      <w:r w:rsidR="003951F6">
        <w:rPr>
          <w:szCs w:val="22"/>
        </w:rPr>
        <w:t>5</w:t>
      </w:r>
      <w:r w:rsidRPr="0059512C">
        <w:rPr>
          <w:szCs w:val="22"/>
        </w:rPr>
        <w:t xml:space="preserve">0, which </w:t>
      </w:r>
      <w:r w:rsidRPr="0059512C" w:rsidR="00C323D1">
        <w:rPr>
          <w:szCs w:val="22"/>
        </w:rPr>
        <w:t xml:space="preserve">will cover </w:t>
      </w:r>
      <w:r w:rsidRPr="0059512C">
        <w:rPr>
          <w:szCs w:val="22"/>
        </w:rPr>
        <w:t xml:space="preserve">staff costs </w:t>
      </w:r>
      <w:r w:rsidRPr="0059512C" w:rsidR="00C323D1">
        <w:rPr>
          <w:szCs w:val="22"/>
        </w:rPr>
        <w:t>associated with</w:t>
      </w:r>
      <w:r w:rsidRPr="0059512C">
        <w:rPr>
          <w:szCs w:val="22"/>
        </w:rPr>
        <w:t xml:space="preserve"> name change requests, transfers of control issues, </w:t>
      </w:r>
      <w:r w:rsidRPr="0059512C" w:rsidR="007438F7">
        <w:rPr>
          <w:szCs w:val="22"/>
        </w:rPr>
        <w:t>and</w:t>
      </w:r>
      <w:r w:rsidRPr="0059512C">
        <w:rPr>
          <w:szCs w:val="22"/>
        </w:rPr>
        <w:t xml:space="preserve"> payment problems that arise.  </w:t>
      </w:r>
      <w:r w:rsidRPr="002910D3">
        <w:rPr>
          <w:szCs w:val="22"/>
        </w:rPr>
        <w:t xml:space="preserve">We seek comment on this proposal.  </w:t>
      </w:r>
    </w:p>
    <w:p w:rsidR="007B5429" w:rsidRPr="0059512C" w:rsidP="007B5429">
      <w:pPr>
        <w:pStyle w:val="Heading3"/>
        <w:rPr>
          <w:szCs w:val="22"/>
        </w:rPr>
      </w:pPr>
      <w:bookmarkStart w:id="205" w:name="_Toc35268575"/>
      <w:bookmarkStart w:id="206" w:name="_Toc42256288"/>
      <w:bookmarkStart w:id="207" w:name="_Toc44581653"/>
      <w:r w:rsidRPr="0059512C">
        <w:rPr>
          <w:szCs w:val="22"/>
        </w:rPr>
        <w:t>Domestic Service Fees</w:t>
      </w:r>
      <w:bookmarkEnd w:id="205"/>
      <w:bookmarkEnd w:id="206"/>
      <w:bookmarkEnd w:id="207"/>
    </w:p>
    <w:p w:rsidR="00D33D9A" w:rsidRPr="0059512C" w:rsidP="00376B4A">
      <w:pPr>
        <w:pStyle w:val="ParaNum"/>
        <w:rPr>
          <w:szCs w:val="22"/>
        </w:rPr>
      </w:pPr>
      <w:r w:rsidRPr="0059512C">
        <w:rPr>
          <w:szCs w:val="22"/>
        </w:rPr>
        <w:t>The Commission processes a wide range of application</w:t>
      </w:r>
      <w:r w:rsidRPr="0059512C" w:rsidR="00FB6C51">
        <w:rPr>
          <w:szCs w:val="22"/>
        </w:rPr>
        <w:t>s</w:t>
      </w:r>
      <w:r w:rsidRPr="0059512C">
        <w:rPr>
          <w:szCs w:val="22"/>
        </w:rPr>
        <w:t xml:space="preserve"> not directly related to the issuance of licenses.  In this section, we propose </w:t>
      </w:r>
      <w:r w:rsidR="00CD3686">
        <w:rPr>
          <w:szCs w:val="22"/>
        </w:rPr>
        <w:t>to update the</w:t>
      </w:r>
      <w:r w:rsidRPr="0059512C">
        <w:rPr>
          <w:szCs w:val="22"/>
        </w:rPr>
        <w:t xml:space="preserve"> application fees for matters overseen by the Wireline Competition Bureau, Enforcement Bureau, and Public Safety and Homeland Security Bureau.</w:t>
      </w:r>
      <w:r w:rsidRPr="0059512C" w:rsidR="00094146">
        <w:rPr>
          <w:szCs w:val="22"/>
        </w:rPr>
        <w:t xml:space="preserve">  Where appropriate, we propose to add</w:t>
      </w:r>
      <w:r w:rsidRPr="0059512C" w:rsidR="006F0EDB">
        <w:rPr>
          <w:szCs w:val="22"/>
        </w:rPr>
        <w:t xml:space="preserve">, in accordance with the new law, </w:t>
      </w:r>
      <w:r w:rsidRPr="0059512C" w:rsidR="00094146">
        <w:rPr>
          <w:szCs w:val="22"/>
        </w:rPr>
        <w:t>cost-based fees for services the Commission performs but are not included within the current fee schedule.</w:t>
      </w:r>
      <w:r w:rsidRPr="0059512C" w:rsidR="006F0EDB">
        <w:rPr>
          <w:szCs w:val="22"/>
        </w:rPr>
        <w:t xml:space="preserve">  We also propose to eliminate fees for services </w:t>
      </w:r>
      <w:r w:rsidR="00CD3686">
        <w:rPr>
          <w:szCs w:val="22"/>
        </w:rPr>
        <w:t>as appropriate.</w:t>
      </w:r>
      <w:r w:rsidRPr="0059512C" w:rsidR="006F0EDB">
        <w:rPr>
          <w:szCs w:val="22"/>
        </w:rPr>
        <w:t xml:space="preserve">  </w:t>
      </w:r>
      <w:r w:rsidRPr="0059512C" w:rsidR="00094146">
        <w:rPr>
          <w:szCs w:val="22"/>
        </w:rPr>
        <w:t xml:space="preserve"> </w:t>
      </w:r>
      <w:bookmarkStart w:id="208" w:name="_Toc16611319"/>
      <w:bookmarkStart w:id="209" w:name="_Toc17709350"/>
      <w:bookmarkStart w:id="210" w:name="_Toc17972529"/>
      <w:bookmarkStart w:id="211" w:name="_Toc18066921"/>
      <w:bookmarkStart w:id="212" w:name="_Toc18939782"/>
      <w:bookmarkStart w:id="213" w:name="_Toc19795085"/>
      <w:bookmarkStart w:id="214" w:name="_Toc19796450"/>
      <w:bookmarkStart w:id="215" w:name="_Toc19796808"/>
      <w:bookmarkStart w:id="216" w:name="_Toc22299866"/>
      <w:bookmarkStart w:id="217" w:name="_Toc24453218"/>
      <w:bookmarkStart w:id="218" w:name="_Toc28005098"/>
      <w:bookmarkStart w:id="219" w:name="_Toc29557396"/>
      <w:bookmarkStart w:id="220" w:name="_Toc30085374"/>
      <w:bookmarkStart w:id="221" w:name="_Toc31033140"/>
      <w:bookmarkStart w:id="222" w:name="_Toc31288152"/>
      <w:bookmarkStart w:id="223" w:name="_Toc31980686"/>
    </w:p>
    <w:p w:rsidR="007B5429" w:rsidRPr="0059512C" w:rsidP="007B5429">
      <w:pPr>
        <w:pStyle w:val="Heading4"/>
        <w:rPr>
          <w:szCs w:val="22"/>
        </w:rPr>
      </w:pPr>
      <w:bookmarkStart w:id="224" w:name="_Toc35268577"/>
      <w:r w:rsidRPr="0059512C">
        <w:rPr>
          <w:szCs w:val="22"/>
        </w:rPr>
        <w:t>Wireline Competition Services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7B5429" w:rsidRPr="00F83453" w:rsidP="00F83453">
      <w:pPr>
        <w:pStyle w:val="ParaNum"/>
        <w:rPr>
          <w:szCs w:val="22"/>
        </w:rPr>
      </w:pPr>
      <w:r w:rsidRPr="0059512C">
        <w:rPr>
          <w:szCs w:val="22"/>
        </w:rPr>
        <w:t>T</w:t>
      </w:r>
      <w:r w:rsidRPr="0059512C">
        <w:rPr>
          <w:szCs w:val="22"/>
        </w:rPr>
        <w:t>he Wireline Competition Bureau processes applications for the services currently listed in section 1.1105 of the Commission’s rules.</w:t>
      </w:r>
      <w:r>
        <w:rPr>
          <w:rStyle w:val="FootnoteReference"/>
        </w:rPr>
        <w:footnoteReference w:id="62"/>
      </w:r>
      <w:r w:rsidRPr="0059512C">
        <w:rPr>
          <w:szCs w:val="22"/>
        </w:rPr>
        <w:t xml:space="preserve">  Specifically, it processes </w:t>
      </w:r>
      <w:r w:rsidRPr="0059512C" w:rsidR="00D33D9A">
        <w:rPr>
          <w:szCs w:val="22"/>
        </w:rPr>
        <w:t>d</w:t>
      </w:r>
      <w:r w:rsidRPr="0059512C">
        <w:rPr>
          <w:szCs w:val="22"/>
        </w:rPr>
        <w:t xml:space="preserve">omestic 214 </w:t>
      </w:r>
      <w:r w:rsidRPr="0059512C" w:rsidR="00D33D9A">
        <w:rPr>
          <w:szCs w:val="22"/>
        </w:rPr>
        <w:t>a</w:t>
      </w:r>
      <w:r w:rsidRPr="0059512C">
        <w:rPr>
          <w:szCs w:val="22"/>
        </w:rPr>
        <w:t xml:space="preserve">pplications, </w:t>
      </w:r>
      <w:r w:rsidRPr="0059512C" w:rsidR="00BB531E">
        <w:rPr>
          <w:szCs w:val="22"/>
        </w:rPr>
        <w:t>t</w:t>
      </w:r>
      <w:r w:rsidRPr="0059512C">
        <w:rPr>
          <w:szCs w:val="22"/>
        </w:rPr>
        <w:t xml:space="preserve">ariff </w:t>
      </w:r>
      <w:r w:rsidRPr="0059512C" w:rsidR="00D33D9A">
        <w:rPr>
          <w:szCs w:val="22"/>
        </w:rPr>
        <w:t>f</w:t>
      </w:r>
      <w:r w:rsidRPr="0059512C">
        <w:rPr>
          <w:szCs w:val="22"/>
        </w:rPr>
        <w:t xml:space="preserve">ilings, </w:t>
      </w:r>
      <w:r w:rsidRPr="0059512C" w:rsidR="00D33D9A">
        <w:rPr>
          <w:szCs w:val="22"/>
        </w:rPr>
        <w:t>a</w:t>
      </w:r>
      <w:r w:rsidRPr="0059512C">
        <w:rPr>
          <w:szCs w:val="22"/>
        </w:rPr>
        <w:t xml:space="preserve">pplications for </w:t>
      </w:r>
      <w:r w:rsidRPr="0059512C" w:rsidR="00D33D9A">
        <w:rPr>
          <w:szCs w:val="22"/>
        </w:rPr>
        <w:t>s</w:t>
      </w:r>
      <w:r w:rsidRPr="0059512C">
        <w:rPr>
          <w:szCs w:val="22"/>
        </w:rPr>
        <w:t xml:space="preserve">pecial </w:t>
      </w:r>
      <w:r w:rsidRPr="0059512C" w:rsidR="00D33D9A">
        <w:rPr>
          <w:szCs w:val="22"/>
        </w:rPr>
        <w:t>p</w:t>
      </w:r>
      <w:r w:rsidRPr="0059512C">
        <w:rPr>
          <w:szCs w:val="22"/>
        </w:rPr>
        <w:t xml:space="preserve">ermission for </w:t>
      </w:r>
      <w:r w:rsidRPr="0059512C" w:rsidR="00D33D9A">
        <w:rPr>
          <w:szCs w:val="22"/>
        </w:rPr>
        <w:t>w</w:t>
      </w:r>
      <w:r w:rsidRPr="0059512C">
        <w:rPr>
          <w:szCs w:val="22"/>
        </w:rPr>
        <w:t xml:space="preserve">aiver of </w:t>
      </w:r>
      <w:r w:rsidRPr="0059512C" w:rsidR="00D33D9A">
        <w:rPr>
          <w:szCs w:val="22"/>
        </w:rPr>
        <w:t>t</w:t>
      </w:r>
      <w:r w:rsidRPr="0059512C">
        <w:rPr>
          <w:szCs w:val="22"/>
        </w:rPr>
        <w:t xml:space="preserve">ariff </w:t>
      </w:r>
      <w:r w:rsidRPr="0059512C" w:rsidR="00D33D9A">
        <w:rPr>
          <w:szCs w:val="22"/>
        </w:rPr>
        <w:t>r</w:t>
      </w:r>
      <w:r w:rsidRPr="0059512C">
        <w:rPr>
          <w:szCs w:val="22"/>
        </w:rPr>
        <w:t xml:space="preserve">ules, </w:t>
      </w:r>
      <w:r w:rsidRPr="0059512C" w:rsidR="00D33D9A">
        <w:rPr>
          <w:szCs w:val="22"/>
        </w:rPr>
        <w:t>l</w:t>
      </w:r>
      <w:r w:rsidRPr="0059512C">
        <w:rPr>
          <w:szCs w:val="22"/>
        </w:rPr>
        <w:t>ong</w:t>
      </w:r>
      <w:r w:rsidR="00741F7F">
        <w:rPr>
          <w:szCs w:val="22"/>
        </w:rPr>
        <w:t>-</w:t>
      </w:r>
      <w:r w:rsidRPr="0059512C" w:rsidR="00D33D9A">
        <w:rPr>
          <w:szCs w:val="22"/>
        </w:rPr>
        <w:t>f</w:t>
      </w:r>
      <w:r w:rsidRPr="0059512C">
        <w:rPr>
          <w:szCs w:val="22"/>
        </w:rPr>
        <w:t xml:space="preserve">orm </w:t>
      </w:r>
      <w:r w:rsidRPr="0059512C" w:rsidR="00D33D9A">
        <w:rPr>
          <w:szCs w:val="22"/>
        </w:rPr>
        <w:t>a</w:t>
      </w:r>
      <w:r w:rsidRPr="0059512C">
        <w:rPr>
          <w:szCs w:val="22"/>
        </w:rPr>
        <w:t xml:space="preserve">pplications for </w:t>
      </w:r>
      <w:r w:rsidR="000363E0">
        <w:rPr>
          <w:szCs w:val="22"/>
        </w:rPr>
        <w:t>Universal Service Fund (</w:t>
      </w:r>
      <w:r w:rsidRPr="0059512C">
        <w:rPr>
          <w:szCs w:val="22"/>
        </w:rPr>
        <w:t>USF</w:t>
      </w:r>
      <w:r w:rsidR="000363E0">
        <w:rPr>
          <w:szCs w:val="22"/>
        </w:rPr>
        <w:t>)</w:t>
      </w:r>
      <w:r w:rsidRPr="0059512C">
        <w:rPr>
          <w:szCs w:val="22"/>
        </w:rPr>
        <w:t xml:space="preserve"> auction winners, and </w:t>
      </w:r>
      <w:r w:rsidRPr="0059512C" w:rsidR="00D33D9A">
        <w:rPr>
          <w:szCs w:val="22"/>
        </w:rPr>
        <w:t>a</w:t>
      </w:r>
      <w:r w:rsidRPr="0059512C">
        <w:rPr>
          <w:szCs w:val="22"/>
        </w:rPr>
        <w:t xml:space="preserve">ccounting </w:t>
      </w:r>
      <w:r w:rsidRPr="0059512C" w:rsidR="00D33D9A">
        <w:rPr>
          <w:szCs w:val="22"/>
        </w:rPr>
        <w:t>a</w:t>
      </w:r>
      <w:r w:rsidRPr="0059512C">
        <w:rPr>
          <w:szCs w:val="22"/>
        </w:rPr>
        <w:t xml:space="preserve">pplications.  In addition to proposing adjustments to existing application fees based on costs, we propose to add fees for applications that were established </w:t>
      </w:r>
      <w:r w:rsidRPr="0059512C">
        <w:rPr>
          <w:szCs w:val="22"/>
        </w:rPr>
        <w:t>after the current schedule was put in place and recommend elimination of fees that have become obs</w:t>
      </w:r>
      <w:r w:rsidRPr="0059512C">
        <w:rPr>
          <w:szCs w:val="22"/>
        </w:rPr>
        <w:t xml:space="preserve">olete.  </w:t>
      </w:r>
    </w:p>
    <w:p w:rsidR="00481045" w:rsidRPr="0059512C" w:rsidP="00481045">
      <w:pPr>
        <w:pStyle w:val="ParaNum"/>
        <w:rPr>
          <w:szCs w:val="22"/>
        </w:rPr>
      </w:pPr>
      <w:bookmarkStart w:id="225" w:name="_Toc18066922"/>
      <w:bookmarkStart w:id="226" w:name="_Toc18939783"/>
      <w:bookmarkStart w:id="227" w:name="_Toc19795086"/>
      <w:bookmarkStart w:id="228" w:name="_Toc19796451"/>
      <w:bookmarkStart w:id="229" w:name="_Toc19796809"/>
      <w:bookmarkStart w:id="230" w:name="_Toc28005099"/>
      <w:bookmarkStart w:id="231" w:name="_Toc29557397"/>
      <w:bookmarkStart w:id="232" w:name="_Toc35268578"/>
      <w:r w:rsidRPr="0060706A">
        <w:rPr>
          <w:i/>
        </w:rPr>
        <w:t>Transfers of Control</w:t>
      </w:r>
      <w:bookmarkEnd w:id="225"/>
      <w:bookmarkEnd w:id="226"/>
      <w:bookmarkEnd w:id="227"/>
      <w:bookmarkEnd w:id="228"/>
      <w:bookmarkEnd w:id="229"/>
      <w:bookmarkEnd w:id="230"/>
      <w:bookmarkEnd w:id="231"/>
      <w:bookmarkEnd w:id="232"/>
      <w:r>
        <w:rPr>
          <w:szCs w:val="22"/>
        </w:rPr>
        <w:t xml:space="preserve">.  </w:t>
      </w:r>
      <w:r w:rsidRPr="0059512C" w:rsidR="007B5429">
        <w:rPr>
          <w:szCs w:val="22"/>
        </w:rPr>
        <w:t>Under sections 63.03-63.04 of the Commission’s rules, a carrier seeking domestic section 214 authorization for a transfer of control must file an application providing certain information about the parties and the transaction.</w:t>
      </w:r>
      <w:r>
        <w:rPr>
          <w:rStyle w:val="FootnoteReference"/>
        </w:rPr>
        <w:footnoteReference w:id="63"/>
      </w:r>
      <w:r w:rsidRPr="0059512C" w:rsidR="007B5429">
        <w:rPr>
          <w:szCs w:val="22"/>
        </w:rPr>
        <w:t xml:space="preserve">  Referring to section 1.1105 of the Commission’s rules, we propose to rename </w:t>
      </w:r>
      <w:r w:rsidR="000363E0">
        <w:rPr>
          <w:szCs w:val="22"/>
        </w:rPr>
        <w:t>“</w:t>
      </w:r>
      <w:r w:rsidRPr="0059512C" w:rsidR="007B5429">
        <w:rPr>
          <w:szCs w:val="22"/>
        </w:rPr>
        <w:t>Domestic 214 Applications</w:t>
      </w:r>
      <w:r w:rsidR="000363E0">
        <w:rPr>
          <w:szCs w:val="22"/>
        </w:rPr>
        <w:t>”</w:t>
      </w:r>
      <w:r w:rsidRPr="0059512C" w:rsidR="007B5429">
        <w:rPr>
          <w:szCs w:val="22"/>
        </w:rPr>
        <w:t xml:space="preserve"> as “Domestic 214 Applications-Part 63 Transfers of Control” to more clearly specify the applications subject to the fee.</w:t>
      </w:r>
      <w:r>
        <w:rPr>
          <w:rStyle w:val="FootnoteReference"/>
        </w:rPr>
        <w:footnoteReference w:id="64"/>
      </w:r>
      <w:r w:rsidRPr="0059512C" w:rsidR="007B5429">
        <w:rPr>
          <w:szCs w:val="22"/>
        </w:rPr>
        <w:t xml:space="preserve">  </w:t>
      </w:r>
      <w:r w:rsidRPr="0059512C">
        <w:rPr>
          <w:szCs w:val="22"/>
        </w:rPr>
        <w:t>We propose and seek co</w:t>
      </w:r>
      <w:r w:rsidRPr="0059512C">
        <w:rPr>
          <w:szCs w:val="22"/>
        </w:rPr>
        <w:t>mment on adopting the following cost-based fees for these applications—and we give as an example the current fee</w:t>
      </w:r>
      <w:r w:rsidRPr="0059512C" w:rsidR="00505679">
        <w:rPr>
          <w:szCs w:val="22"/>
        </w:rPr>
        <w:t>s</w:t>
      </w:r>
      <w:r w:rsidRPr="0059512C">
        <w:rPr>
          <w:szCs w:val="22"/>
        </w:rPr>
        <w:t xml:space="preserve"> for these services.  </w:t>
      </w:r>
    </w:p>
    <w:tbl>
      <w:tblPr>
        <w:tblStyle w:val="TableGrid"/>
        <w:tblW w:w="8630" w:type="dxa"/>
        <w:tblInd w:w="720" w:type="dxa"/>
        <w:tblLook w:val="04A0"/>
      </w:tblPr>
      <w:tblGrid>
        <w:gridCol w:w="2944"/>
        <w:gridCol w:w="2841"/>
        <w:gridCol w:w="2838"/>
        <w:gridCol w:w="7"/>
      </w:tblGrid>
      <w:tr w:rsidTr="00B13758">
        <w:tblPrEx>
          <w:tblW w:w="8630" w:type="dxa"/>
          <w:tblInd w:w="720" w:type="dxa"/>
          <w:tblLook w:val="04A0"/>
        </w:tblPrEx>
        <w:trPr>
          <w:gridAfter w:val="1"/>
          <w:wAfter w:w="7" w:type="dxa"/>
        </w:trPr>
        <w:tc>
          <w:tcPr>
            <w:tcW w:w="2944" w:type="dxa"/>
          </w:tcPr>
          <w:p w:rsidR="007D49BB" w:rsidRPr="0059512C" w:rsidP="002643FA">
            <w:pPr>
              <w:pStyle w:val="ParaNum"/>
              <w:numPr>
                <w:ilvl w:val="0"/>
                <w:numId w:val="0"/>
              </w:numPr>
              <w:rPr>
                <w:b/>
                <w:szCs w:val="22"/>
              </w:rPr>
            </w:pPr>
            <w:r w:rsidRPr="0059512C">
              <w:rPr>
                <w:b/>
                <w:szCs w:val="22"/>
              </w:rPr>
              <w:t>Application</w:t>
            </w:r>
          </w:p>
        </w:tc>
        <w:tc>
          <w:tcPr>
            <w:tcW w:w="2841" w:type="dxa"/>
          </w:tcPr>
          <w:p w:rsidR="007D49BB" w:rsidRPr="0059512C" w:rsidP="002643FA">
            <w:pPr>
              <w:pStyle w:val="ParaNum"/>
              <w:numPr>
                <w:ilvl w:val="0"/>
                <w:numId w:val="0"/>
              </w:numPr>
              <w:rPr>
                <w:b/>
                <w:szCs w:val="22"/>
              </w:rPr>
            </w:pPr>
            <w:r w:rsidRPr="0059512C">
              <w:rPr>
                <w:b/>
                <w:szCs w:val="22"/>
              </w:rPr>
              <w:t>Current Fee</w:t>
            </w:r>
          </w:p>
        </w:tc>
        <w:tc>
          <w:tcPr>
            <w:tcW w:w="2838" w:type="dxa"/>
          </w:tcPr>
          <w:p w:rsidR="007D49BB" w:rsidRPr="0059512C" w:rsidP="002643FA">
            <w:pPr>
              <w:pStyle w:val="ParaNum"/>
              <w:numPr>
                <w:ilvl w:val="0"/>
                <w:numId w:val="0"/>
              </w:numPr>
              <w:rPr>
                <w:b/>
                <w:szCs w:val="22"/>
              </w:rPr>
            </w:pPr>
            <w:r w:rsidRPr="0059512C">
              <w:rPr>
                <w:b/>
                <w:szCs w:val="22"/>
              </w:rPr>
              <w:t>Cost-based Fee</w:t>
            </w:r>
          </w:p>
        </w:tc>
      </w:tr>
      <w:tr w:rsidTr="00B13758">
        <w:tblPrEx>
          <w:tblW w:w="8630" w:type="dxa"/>
          <w:tblInd w:w="720" w:type="dxa"/>
          <w:tblLook w:val="04A0"/>
        </w:tblPrEx>
        <w:tc>
          <w:tcPr>
            <w:tcW w:w="2944" w:type="dxa"/>
          </w:tcPr>
          <w:p w:rsidR="006E6A02" w:rsidRPr="0059512C" w:rsidP="002643FA">
            <w:pPr>
              <w:pStyle w:val="ParaNum"/>
              <w:numPr>
                <w:ilvl w:val="0"/>
                <w:numId w:val="0"/>
              </w:numPr>
              <w:rPr>
                <w:szCs w:val="22"/>
              </w:rPr>
            </w:pPr>
            <w:r w:rsidRPr="0059512C">
              <w:rPr>
                <w:szCs w:val="22"/>
              </w:rPr>
              <w:t>Domestic 214 Applications-Part 63 Transfers of Control</w:t>
            </w:r>
          </w:p>
        </w:tc>
        <w:tc>
          <w:tcPr>
            <w:tcW w:w="2841" w:type="dxa"/>
          </w:tcPr>
          <w:p w:rsidR="006E6A02" w:rsidRPr="0059512C" w:rsidP="002643FA">
            <w:pPr>
              <w:pStyle w:val="ParaNum"/>
              <w:numPr>
                <w:ilvl w:val="0"/>
                <w:numId w:val="0"/>
              </w:numPr>
              <w:rPr>
                <w:szCs w:val="22"/>
              </w:rPr>
            </w:pPr>
            <w:r w:rsidRPr="0059512C">
              <w:rPr>
                <w:szCs w:val="22"/>
              </w:rPr>
              <w:t>$1,195</w:t>
            </w:r>
          </w:p>
        </w:tc>
        <w:tc>
          <w:tcPr>
            <w:tcW w:w="2845" w:type="dxa"/>
            <w:gridSpan w:val="2"/>
          </w:tcPr>
          <w:p w:rsidR="006E6A02" w:rsidRPr="0059512C" w:rsidP="002643FA">
            <w:pPr>
              <w:pStyle w:val="ParaNum"/>
              <w:numPr>
                <w:ilvl w:val="0"/>
                <w:numId w:val="0"/>
              </w:numPr>
              <w:rPr>
                <w:szCs w:val="22"/>
              </w:rPr>
            </w:pPr>
            <w:r w:rsidRPr="0059512C">
              <w:rPr>
                <w:szCs w:val="22"/>
              </w:rPr>
              <w:t>$</w:t>
            </w:r>
            <w:r w:rsidR="00016F96">
              <w:rPr>
                <w:szCs w:val="22"/>
              </w:rPr>
              <w:t>1,230</w:t>
            </w:r>
          </w:p>
        </w:tc>
      </w:tr>
      <w:tr w:rsidTr="00B13758">
        <w:tblPrEx>
          <w:tblW w:w="8630" w:type="dxa"/>
          <w:tblInd w:w="720" w:type="dxa"/>
          <w:tblLook w:val="04A0"/>
        </w:tblPrEx>
        <w:tc>
          <w:tcPr>
            <w:tcW w:w="2944" w:type="dxa"/>
          </w:tcPr>
          <w:p w:rsidR="006E6A02" w:rsidRPr="0059512C" w:rsidP="002643FA">
            <w:pPr>
              <w:pStyle w:val="ParaNum"/>
              <w:numPr>
                <w:ilvl w:val="0"/>
                <w:numId w:val="0"/>
              </w:numPr>
              <w:rPr>
                <w:szCs w:val="22"/>
              </w:rPr>
            </w:pPr>
            <w:r w:rsidRPr="0059512C">
              <w:rPr>
                <w:szCs w:val="22"/>
              </w:rPr>
              <w:t>Domestic 214 Applications-Special Temporary Authority</w:t>
            </w:r>
          </w:p>
        </w:tc>
        <w:tc>
          <w:tcPr>
            <w:tcW w:w="2841" w:type="dxa"/>
          </w:tcPr>
          <w:p w:rsidR="006E6A02" w:rsidRPr="0059512C" w:rsidP="002643FA">
            <w:pPr>
              <w:pStyle w:val="ParaNum"/>
              <w:numPr>
                <w:ilvl w:val="0"/>
                <w:numId w:val="0"/>
              </w:numPr>
              <w:rPr>
                <w:szCs w:val="22"/>
              </w:rPr>
            </w:pPr>
            <w:r w:rsidRPr="0059512C">
              <w:rPr>
                <w:szCs w:val="22"/>
              </w:rPr>
              <w:t>n/a</w:t>
            </w:r>
          </w:p>
        </w:tc>
        <w:tc>
          <w:tcPr>
            <w:tcW w:w="2845" w:type="dxa"/>
            <w:gridSpan w:val="2"/>
          </w:tcPr>
          <w:p w:rsidR="006E6A02" w:rsidRPr="0059512C" w:rsidP="002643FA">
            <w:pPr>
              <w:pStyle w:val="ParaNum"/>
              <w:numPr>
                <w:ilvl w:val="0"/>
                <w:numId w:val="0"/>
              </w:numPr>
              <w:rPr>
                <w:szCs w:val="22"/>
              </w:rPr>
            </w:pPr>
            <w:r w:rsidRPr="0059512C">
              <w:rPr>
                <w:szCs w:val="22"/>
              </w:rPr>
              <w:t>$</w:t>
            </w:r>
            <w:r w:rsidR="00016F96">
              <w:rPr>
                <w:szCs w:val="22"/>
              </w:rPr>
              <w:t>675</w:t>
            </w:r>
          </w:p>
        </w:tc>
      </w:tr>
    </w:tbl>
    <w:p w:rsidR="007D49BB" w:rsidRPr="0059512C" w:rsidP="007D49BB">
      <w:pPr>
        <w:pStyle w:val="ParaNum"/>
        <w:numPr>
          <w:ilvl w:val="0"/>
          <w:numId w:val="0"/>
        </w:numPr>
        <w:rPr>
          <w:szCs w:val="22"/>
        </w:rPr>
      </w:pPr>
    </w:p>
    <w:p w:rsidR="007B5429" w:rsidRPr="0059512C" w:rsidP="007B5429">
      <w:pPr>
        <w:pStyle w:val="ParaNum"/>
        <w:rPr>
          <w:szCs w:val="22"/>
        </w:rPr>
      </w:pPr>
      <w:r>
        <w:t>Applicants submit applications to transfer control of domestic section 214 authorizations into the Electronic Comment Filing System (ECFS), and staff then undertakes a manual review of the ap</w:t>
      </w:r>
      <w:r>
        <w:t>plication.</w:t>
      </w:r>
      <w:r>
        <w:rPr>
          <w:rStyle w:val="FootnoteReference"/>
        </w:rPr>
        <w:footnoteReference w:id="65"/>
      </w:r>
      <w:r>
        <w:t xml:space="preserve">  An applicant may submit an application to transfer only a domestic authorization or may file a joint application to transfer both domestic and international section 214 authorizations, as permitted in section 63.04 of the Commission’s rules.</w:t>
      </w:r>
      <w:r>
        <w:rPr>
          <w:rStyle w:val="FootnoteReference"/>
        </w:rPr>
        <w:footnoteReference w:id="66"/>
      </w:r>
      <w:r>
        <w:t xml:space="preserve">  An applicant submits copies of a joint application in both ECFS and in the International Bureau Filing System (IBFS) and pays separate fees applicable to each filing.  In addition to reviewing all applications for compliance with specific domestic secti</w:t>
      </w:r>
      <w:r>
        <w:t>on 214 requirements, we routinely coordinate the public interest review of joint applications with the International Bureau.  The Wireline Competition Bureau review process is similar to the review process undertaken by the International Bureau and include</w:t>
      </w:r>
      <w:r>
        <w:t>s industry analyst processing and review, staff attorney review, and supervisory review.  We estimate that this process involves approximately $1,230 in costs for all domestic section 214 transfer of control applications, whether filed as a single domestic</w:t>
      </w:r>
      <w:r>
        <w:t xml:space="preserve"> application or as a joint domestic/international application. </w:t>
      </w:r>
    </w:p>
    <w:p w:rsidR="00B006AD" w:rsidRPr="00B006AD" w:rsidP="00F638C5">
      <w:pPr>
        <w:pStyle w:val="ParaNum"/>
        <w:rPr>
          <w:szCs w:val="22"/>
        </w:rPr>
      </w:pPr>
      <w:r>
        <w:t>A domestic section 214 authorization holder or applicant may request an STA in certain situations, such as to provide service prior to Commission action on an underlying domestic section 214 t</w:t>
      </w:r>
      <w:r>
        <w:t xml:space="preserve">ransfer of control application.  Domestic wireline carriers typically file STA requests with their underlying applications in pleading or letter form, </w:t>
      </w:r>
      <w:r w:rsidRPr="00ED2E78">
        <w:t xml:space="preserve">using </w:t>
      </w:r>
      <w:r>
        <w:t xml:space="preserve">ECFS.  While STA requests associated with international section 214 applications have a </w:t>
      </w:r>
      <w:r>
        <w:t>filing fee,</w:t>
      </w:r>
      <w:r>
        <w:rPr>
          <w:rStyle w:val="FootnoteReference"/>
        </w:rPr>
        <w:footnoteReference w:id="67"/>
      </w:r>
      <w:r>
        <w:t xml:space="preserve"> there is currently no filing fee for STA requests associated with domestic section 214 transfer of control applications.</w:t>
      </w:r>
      <w:r>
        <w:rPr>
          <w:rStyle w:val="FootnoteReference"/>
        </w:rPr>
        <w:footnoteReference w:id="68"/>
      </w:r>
      <w:r>
        <w:t xml:space="preserve">  Similar to the International </w:t>
      </w:r>
      <w:r>
        <w:t>Bureau, we estimate the Commission’s resources for processing a typical domestic STA cons</w:t>
      </w:r>
      <w:r>
        <w:t>ist of the following:  industry analyst processing and review, staff attorney review, and supervisory review.  We estimate  that this process involves approximately $675 in costs.</w:t>
      </w:r>
    </w:p>
    <w:p w:rsidR="00EF62C6" w:rsidRPr="00F638C5" w:rsidP="00F638C5">
      <w:pPr>
        <w:pStyle w:val="ParaNum"/>
        <w:rPr>
          <w:szCs w:val="22"/>
        </w:rPr>
      </w:pPr>
      <w:r w:rsidRPr="00255556">
        <w:t xml:space="preserve">We seek comment on </w:t>
      </w:r>
      <w:r>
        <w:t>these</w:t>
      </w:r>
      <w:r w:rsidRPr="00255556">
        <w:t xml:space="preserve"> proposal</w:t>
      </w:r>
      <w:r>
        <w:t>s</w:t>
      </w:r>
      <w:r w:rsidRPr="00255556">
        <w:t>.</w:t>
      </w:r>
    </w:p>
    <w:p w:rsidR="000C1C8A" w:rsidRPr="0059512C" w:rsidP="00505679">
      <w:pPr>
        <w:pStyle w:val="ParaNum"/>
        <w:rPr>
          <w:szCs w:val="22"/>
        </w:rPr>
      </w:pPr>
      <w:bookmarkStart w:id="233" w:name="_Toc35268579"/>
      <w:r w:rsidRPr="0060706A">
        <w:rPr>
          <w:i/>
        </w:rPr>
        <w:t>Discontinuance of Service</w:t>
      </w:r>
      <w:bookmarkEnd w:id="233"/>
      <w:r>
        <w:rPr>
          <w:i/>
          <w:iCs/>
          <w:szCs w:val="22"/>
        </w:rPr>
        <w:t xml:space="preserve">.  </w:t>
      </w:r>
      <w:r w:rsidRPr="0059512C" w:rsidR="007B5429">
        <w:rPr>
          <w:szCs w:val="22"/>
        </w:rPr>
        <w:t>Under section 63.71 of the Commission’s rules, any domestic carrier that seeks to discontinue, reduce, or impair service must provide notice, as specified in section 63.71(a),</w:t>
      </w:r>
      <w:r>
        <w:rPr>
          <w:rStyle w:val="FootnoteReference"/>
        </w:rPr>
        <w:footnoteReference w:id="69"/>
      </w:r>
      <w:r w:rsidRPr="0059512C" w:rsidR="007B5429">
        <w:rPr>
          <w:szCs w:val="22"/>
        </w:rPr>
        <w:t xml:space="preserve"> and file an application with the Commission.</w:t>
      </w:r>
      <w:r>
        <w:rPr>
          <w:rStyle w:val="FootnoteReference"/>
          <w:sz w:val="22"/>
        </w:rPr>
        <w:footnoteReference w:id="70"/>
      </w:r>
      <w:r w:rsidRPr="0059512C" w:rsidR="007B5429">
        <w:rPr>
          <w:szCs w:val="22"/>
        </w:rPr>
        <w:t xml:space="preserve">  </w:t>
      </w:r>
      <w:r w:rsidRPr="0059512C">
        <w:rPr>
          <w:szCs w:val="22"/>
        </w:rPr>
        <w:t xml:space="preserve">We </w:t>
      </w:r>
      <w:r w:rsidRPr="0059512C" w:rsidR="00D97BD0">
        <w:rPr>
          <w:szCs w:val="22"/>
        </w:rPr>
        <w:t>propose to add “</w:t>
      </w:r>
      <w:r w:rsidRPr="0059512C">
        <w:rPr>
          <w:szCs w:val="22"/>
        </w:rPr>
        <w:t>Domestic 214 Applicatio</w:t>
      </w:r>
      <w:r w:rsidRPr="0059512C">
        <w:rPr>
          <w:szCs w:val="22"/>
        </w:rPr>
        <w:t>ns-Part 63 Discontinuances” as a service requiring an application fee in section 1.1105 of our rules and set that application fee based on our cost estimates.  We seek comment on whether adding this fee could act as a disincentive to filers to provide time</w:t>
      </w:r>
      <w:r w:rsidRPr="0059512C">
        <w:rPr>
          <w:szCs w:val="22"/>
        </w:rPr>
        <w:t xml:space="preserve">ly notice of service discontinuances to their end user customers, and if so, whether we have authority to consider such a disincentive in making our fee determination.  </w:t>
      </w:r>
      <w:r w:rsidRPr="0059512C" w:rsidR="00505679">
        <w:rPr>
          <w:szCs w:val="22"/>
        </w:rPr>
        <w:t xml:space="preserve">We propose and seek comment on adopting the following cost-based fee for </w:t>
      </w:r>
      <w:r w:rsidR="0092576C">
        <w:rPr>
          <w:szCs w:val="22"/>
        </w:rPr>
        <w:t>these</w:t>
      </w:r>
      <w:r w:rsidRPr="0059512C" w:rsidR="0092576C">
        <w:rPr>
          <w:szCs w:val="22"/>
        </w:rPr>
        <w:t xml:space="preserve"> </w:t>
      </w:r>
      <w:r w:rsidRPr="0059512C" w:rsidR="00505679">
        <w:rPr>
          <w:szCs w:val="22"/>
        </w:rPr>
        <w:t xml:space="preserve">application.  </w:t>
      </w:r>
    </w:p>
    <w:tbl>
      <w:tblPr>
        <w:tblStyle w:val="TableGrid"/>
        <w:tblW w:w="8630" w:type="dxa"/>
        <w:tblInd w:w="720" w:type="dxa"/>
        <w:tblLook w:val="04A0"/>
      </w:tblPr>
      <w:tblGrid>
        <w:gridCol w:w="2944"/>
        <w:gridCol w:w="2841"/>
        <w:gridCol w:w="2838"/>
        <w:gridCol w:w="7"/>
      </w:tblGrid>
      <w:tr w:rsidTr="00B13758">
        <w:tblPrEx>
          <w:tblW w:w="8630" w:type="dxa"/>
          <w:tblInd w:w="720" w:type="dxa"/>
          <w:tblLook w:val="04A0"/>
        </w:tblPrEx>
        <w:trPr>
          <w:gridAfter w:val="1"/>
          <w:wAfter w:w="7" w:type="dxa"/>
        </w:trPr>
        <w:tc>
          <w:tcPr>
            <w:tcW w:w="2944" w:type="dxa"/>
          </w:tcPr>
          <w:p w:rsidR="007D49BB" w:rsidRPr="0059512C" w:rsidP="002643FA">
            <w:pPr>
              <w:pStyle w:val="ParaNum"/>
              <w:numPr>
                <w:ilvl w:val="0"/>
                <w:numId w:val="0"/>
              </w:numPr>
              <w:rPr>
                <w:b/>
                <w:szCs w:val="22"/>
              </w:rPr>
            </w:pPr>
            <w:r w:rsidRPr="0059512C">
              <w:rPr>
                <w:b/>
                <w:szCs w:val="22"/>
              </w:rPr>
              <w:t>Application</w:t>
            </w:r>
          </w:p>
        </w:tc>
        <w:tc>
          <w:tcPr>
            <w:tcW w:w="2841" w:type="dxa"/>
          </w:tcPr>
          <w:p w:rsidR="007D49BB" w:rsidRPr="0059512C" w:rsidP="002643FA">
            <w:pPr>
              <w:pStyle w:val="ParaNum"/>
              <w:numPr>
                <w:ilvl w:val="0"/>
                <w:numId w:val="0"/>
              </w:numPr>
              <w:rPr>
                <w:b/>
                <w:szCs w:val="22"/>
              </w:rPr>
            </w:pPr>
            <w:r w:rsidRPr="0059512C">
              <w:rPr>
                <w:b/>
                <w:szCs w:val="22"/>
              </w:rPr>
              <w:t>Current Fee</w:t>
            </w:r>
          </w:p>
        </w:tc>
        <w:tc>
          <w:tcPr>
            <w:tcW w:w="2838" w:type="dxa"/>
          </w:tcPr>
          <w:p w:rsidR="007D49BB" w:rsidRPr="0059512C" w:rsidP="002643FA">
            <w:pPr>
              <w:pStyle w:val="ParaNum"/>
              <w:numPr>
                <w:ilvl w:val="0"/>
                <w:numId w:val="0"/>
              </w:numPr>
              <w:rPr>
                <w:b/>
                <w:szCs w:val="22"/>
              </w:rPr>
            </w:pPr>
            <w:r w:rsidRPr="0059512C">
              <w:rPr>
                <w:b/>
                <w:szCs w:val="22"/>
              </w:rPr>
              <w:t>Cost-based Fee</w:t>
            </w:r>
          </w:p>
        </w:tc>
      </w:tr>
      <w:tr w:rsidTr="00B13758">
        <w:tblPrEx>
          <w:tblW w:w="8630" w:type="dxa"/>
          <w:tblInd w:w="720" w:type="dxa"/>
          <w:tblLook w:val="04A0"/>
        </w:tblPrEx>
        <w:tc>
          <w:tcPr>
            <w:tcW w:w="2944" w:type="dxa"/>
          </w:tcPr>
          <w:p w:rsidR="006E6A02" w:rsidRPr="0059512C" w:rsidP="002643FA">
            <w:pPr>
              <w:pStyle w:val="ParaNum"/>
              <w:numPr>
                <w:ilvl w:val="0"/>
                <w:numId w:val="0"/>
              </w:numPr>
              <w:rPr>
                <w:szCs w:val="22"/>
              </w:rPr>
            </w:pPr>
            <w:r w:rsidRPr="0059512C">
              <w:rPr>
                <w:szCs w:val="22"/>
              </w:rPr>
              <w:t xml:space="preserve">Domestic 214 Applications-Part 63 Discontinuances </w:t>
            </w:r>
            <w:r w:rsidRPr="0059512C" w:rsidR="00165C21">
              <w:rPr>
                <w:szCs w:val="22"/>
              </w:rPr>
              <w:t xml:space="preserve"> </w:t>
            </w:r>
            <w:r w:rsidR="00165C21">
              <w:rPr>
                <w:szCs w:val="22"/>
              </w:rPr>
              <w:t>(Non-Standard</w:t>
            </w:r>
            <w:r w:rsidR="00F134DA">
              <w:rPr>
                <w:szCs w:val="22"/>
              </w:rPr>
              <w:t xml:space="preserve"> </w:t>
            </w:r>
            <w:r w:rsidR="00165C21">
              <w:rPr>
                <w:szCs w:val="22"/>
              </w:rPr>
              <w:t>Review)</w:t>
            </w:r>
          </w:p>
        </w:tc>
        <w:tc>
          <w:tcPr>
            <w:tcW w:w="2841" w:type="dxa"/>
          </w:tcPr>
          <w:p w:rsidR="006E6A02" w:rsidRPr="0059512C" w:rsidP="002643FA">
            <w:pPr>
              <w:pStyle w:val="ParaNum"/>
              <w:numPr>
                <w:ilvl w:val="0"/>
                <w:numId w:val="0"/>
              </w:numPr>
              <w:rPr>
                <w:szCs w:val="22"/>
              </w:rPr>
            </w:pPr>
            <w:r w:rsidRPr="0059512C">
              <w:rPr>
                <w:szCs w:val="22"/>
              </w:rPr>
              <w:t>n/a</w:t>
            </w:r>
          </w:p>
        </w:tc>
        <w:tc>
          <w:tcPr>
            <w:tcW w:w="2845" w:type="dxa"/>
            <w:gridSpan w:val="2"/>
          </w:tcPr>
          <w:p w:rsidR="006E6A02" w:rsidRPr="0059512C" w:rsidP="002643FA">
            <w:pPr>
              <w:pStyle w:val="ParaNum"/>
              <w:numPr>
                <w:ilvl w:val="0"/>
                <w:numId w:val="0"/>
              </w:numPr>
              <w:rPr>
                <w:szCs w:val="22"/>
              </w:rPr>
            </w:pPr>
            <w:r w:rsidRPr="0059512C">
              <w:rPr>
                <w:szCs w:val="22"/>
              </w:rPr>
              <w:t>$1,</w:t>
            </w:r>
            <w:r w:rsidR="00CD20B4">
              <w:rPr>
                <w:szCs w:val="22"/>
              </w:rPr>
              <w:t>230</w:t>
            </w:r>
          </w:p>
        </w:tc>
      </w:tr>
      <w:tr w:rsidTr="006C483B">
        <w:tblPrEx>
          <w:tblW w:w="8630" w:type="dxa"/>
          <w:tblInd w:w="720" w:type="dxa"/>
          <w:tblLook w:val="04A0"/>
        </w:tblPrEx>
        <w:tc>
          <w:tcPr>
            <w:tcW w:w="2944" w:type="dxa"/>
          </w:tcPr>
          <w:p w:rsidR="00165C21" w:rsidRPr="0059512C" w:rsidP="00165C21">
            <w:pPr>
              <w:pStyle w:val="ParaNum"/>
              <w:numPr>
                <w:ilvl w:val="0"/>
                <w:numId w:val="0"/>
              </w:numPr>
              <w:rPr>
                <w:szCs w:val="22"/>
              </w:rPr>
            </w:pPr>
            <w:r w:rsidRPr="0059512C">
              <w:rPr>
                <w:szCs w:val="22"/>
              </w:rPr>
              <w:t>Domestic 214 Applications-Part 63 Discontinuances</w:t>
            </w:r>
            <w:r>
              <w:rPr>
                <w:szCs w:val="22"/>
              </w:rPr>
              <w:t xml:space="preserve"> (Standard Streamlined Review)</w:t>
            </w:r>
          </w:p>
        </w:tc>
        <w:tc>
          <w:tcPr>
            <w:tcW w:w="2841" w:type="dxa"/>
          </w:tcPr>
          <w:p w:rsidR="00165C21" w:rsidRPr="0059512C" w:rsidP="00165C21">
            <w:pPr>
              <w:pStyle w:val="ParaNum"/>
              <w:numPr>
                <w:ilvl w:val="0"/>
                <w:numId w:val="0"/>
              </w:numPr>
              <w:rPr>
                <w:szCs w:val="22"/>
              </w:rPr>
            </w:pPr>
            <w:r>
              <w:rPr>
                <w:szCs w:val="22"/>
              </w:rPr>
              <w:t>n/a</w:t>
            </w:r>
          </w:p>
        </w:tc>
        <w:tc>
          <w:tcPr>
            <w:tcW w:w="2845" w:type="dxa"/>
            <w:gridSpan w:val="2"/>
          </w:tcPr>
          <w:p w:rsidR="00165C21" w:rsidRPr="0059512C" w:rsidP="00165C21">
            <w:pPr>
              <w:pStyle w:val="ParaNum"/>
              <w:numPr>
                <w:ilvl w:val="0"/>
                <w:numId w:val="0"/>
              </w:numPr>
              <w:rPr>
                <w:szCs w:val="22"/>
              </w:rPr>
            </w:pPr>
            <w:r>
              <w:rPr>
                <w:szCs w:val="22"/>
              </w:rPr>
              <w:t>$335</w:t>
            </w:r>
          </w:p>
        </w:tc>
      </w:tr>
    </w:tbl>
    <w:p w:rsidR="007D49BB" w:rsidRPr="0059512C" w:rsidP="007D49BB">
      <w:pPr>
        <w:pStyle w:val="ParaNum"/>
        <w:numPr>
          <w:ilvl w:val="0"/>
          <w:numId w:val="0"/>
        </w:numPr>
        <w:rPr>
          <w:szCs w:val="22"/>
        </w:rPr>
      </w:pPr>
    </w:p>
    <w:p w:rsidR="007B5429" w:rsidRPr="00F638C5" w:rsidP="00F638C5">
      <w:pPr>
        <w:pStyle w:val="ParaNum"/>
        <w:rPr>
          <w:szCs w:val="22"/>
        </w:rPr>
      </w:pPr>
      <w:r>
        <w:t xml:space="preserve">Similar to the processing of the other </w:t>
      </w:r>
      <w:r w:rsidR="00FC7F71">
        <w:t xml:space="preserve">domestic </w:t>
      </w:r>
      <w:r>
        <w:t>section 214 applications required by Part 63 of our rules, processing section 214 discontinuance applications includes industry analyst processing and review, staff attorney review, and supervisory review.</w:t>
      </w:r>
      <w:r>
        <w:rPr>
          <w:rStyle w:val="FootnoteReference"/>
        </w:rPr>
        <w:footnoteReference w:id="71"/>
      </w:r>
      <w:r>
        <w:t xml:space="preserve"> </w:t>
      </w:r>
      <w:r>
        <w:t xml:space="preserve"> We estimate that this process involves $1,230 </w:t>
      </w:r>
      <w:r w:rsidR="00FC7F71">
        <w:t xml:space="preserve">in costs for review and coordination on section 214 discontinuance </w:t>
      </w:r>
      <w:bookmarkStart w:id="234" w:name="_Hlk43809976"/>
      <w:r w:rsidR="00FC7F71">
        <w:t>filings that address technology transitions subject to the adequate replacement test under section 63.71(f)(2)(i)</w:t>
      </w:r>
      <w:bookmarkEnd w:id="234"/>
      <w:r w:rsidR="00FC7F71">
        <w:t>, for section 214 discontinuance filings that address technology transitions that are not subject to any streamlined processing, and for section 214 discontinuance filings from dominant carriers.  We estimate that this process involves $335 in costs for review of all other domestic 214 discontinuance filings including streamlined filings from non-dominant carriers and interconnected VoIP service providers, filings for the emergency discontinuance of service under section 63.63, filings that meet the alternative options test for streamlined processing under section 63.71(f)(2)(ii), filings subject to copper retirement auto grant under section 63.71(i), and filings for the discontinuance or grandfathering of voice or data services under sections 63.71(k) or 63.71(l).</w:t>
      </w:r>
    </w:p>
    <w:p w:rsidR="007B5429" w:rsidRPr="0059512C" w:rsidP="007B5429">
      <w:pPr>
        <w:pStyle w:val="ParaNum"/>
        <w:rPr>
          <w:szCs w:val="22"/>
        </w:rPr>
      </w:pPr>
      <w:bookmarkStart w:id="235" w:name="_Toc35268581"/>
      <w:bookmarkStart w:id="236" w:name="_Toc18066925"/>
      <w:bookmarkStart w:id="237" w:name="_Toc18939786"/>
      <w:bookmarkStart w:id="238" w:name="_Toc19795089"/>
      <w:bookmarkStart w:id="239" w:name="_Toc19796454"/>
      <w:bookmarkStart w:id="240" w:name="_Toc19796812"/>
      <w:bookmarkStart w:id="241" w:name="_Toc28005102"/>
      <w:bookmarkStart w:id="242" w:name="_Toc29557400"/>
      <w:r w:rsidRPr="0060706A">
        <w:rPr>
          <w:i/>
        </w:rPr>
        <w:t>Voice over Internet P</w:t>
      </w:r>
      <w:r w:rsidRPr="0060706A">
        <w:rPr>
          <w:i/>
        </w:rPr>
        <w:t>rotocol Numbering</w:t>
      </w:r>
      <w:bookmarkEnd w:id="235"/>
      <w:bookmarkEnd w:id="236"/>
      <w:bookmarkEnd w:id="237"/>
      <w:bookmarkEnd w:id="238"/>
      <w:bookmarkEnd w:id="239"/>
      <w:bookmarkEnd w:id="240"/>
      <w:bookmarkEnd w:id="241"/>
      <w:bookmarkEnd w:id="242"/>
      <w:r>
        <w:rPr>
          <w:szCs w:val="22"/>
        </w:rPr>
        <w:t xml:space="preserve">.  </w:t>
      </w:r>
      <w:r w:rsidRPr="0059512C">
        <w:rPr>
          <w:szCs w:val="22"/>
        </w:rPr>
        <w:t>Interconnected Voice over Internet Protocol (VoIP) providers seeking to obtain numbering resources directly from the North American Numbering Plan Administrator (or the Pooling Administrator</w:t>
      </w:r>
      <w:r w:rsidR="00741F7F">
        <w:rPr>
          <w:szCs w:val="22"/>
        </w:rPr>
        <w:t>)</w:t>
      </w:r>
      <w:r w:rsidRPr="0059512C">
        <w:rPr>
          <w:szCs w:val="22"/>
        </w:rPr>
        <w:t xml:space="preserve"> must first receive authorization from the </w:t>
      </w:r>
      <w:r w:rsidRPr="0059512C">
        <w:rPr>
          <w:szCs w:val="22"/>
        </w:rPr>
        <w:t>Co</w:t>
      </w:r>
      <w:r w:rsidRPr="0059512C">
        <w:rPr>
          <w:szCs w:val="22"/>
        </w:rPr>
        <w:t>mmission.</w:t>
      </w:r>
      <w:r>
        <w:rPr>
          <w:rStyle w:val="FootnoteReference"/>
        </w:rPr>
        <w:footnoteReference w:id="72"/>
      </w:r>
      <w:r w:rsidRPr="0059512C">
        <w:rPr>
          <w:szCs w:val="22"/>
        </w:rPr>
        <w:t xml:space="preserve">  This nationwide authorization is designed to assess the eligibility of an interconnected VoIP provider to obtain numbers directly and will fulfill the requirement under the Commission’s rules to provide evidence of authorization to provide ser</w:t>
      </w:r>
      <w:r w:rsidRPr="0059512C">
        <w:rPr>
          <w:szCs w:val="22"/>
        </w:rPr>
        <w:t>vice.  Under section 52.15(g)(2) and (3), a VoIP provider must file an application for numbering resources.</w:t>
      </w:r>
      <w:r>
        <w:rPr>
          <w:rStyle w:val="FootnoteReference"/>
        </w:rPr>
        <w:footnoteReference w:id="73"/>
      </w:r>
      <w:r w:rsidRPr="0059512C" w:rsidR="00D97BD0">
        <w:rPr>
          <w:szCs w:val="22"/>
        </w:rPr>
        <w:t xml:space="preserve">  We propose to add “Interconnected VoIP Numbering Authorization Applications-Part 51” as a service requiring an application fee in section 1.1105 of our rules and set that application fee based on our cost estimates.  </w:t>
      </w:r>
    </w:p>
    <w:tbl>
      <w:tblPr>
        <w:tblStyle w:val="TableGrid"/>
        <w:tblW w:w="0" w:type="auto"/>
        <w:tblInd w:w="720" w:type="dxa"/>
        <w:tblLook w:val="04A0"/>
      </w:tblPr>
      <w:tblGrid>
        <w:gridCol w:w="2920"/>
        <w:gridCol w:w="2841"/>
        <w:gridCol w:w="2838"/>
        <w:gridCol w:w="7"/>
      </w:tblGrid>
      <w:tr w:rsidTr="00B13758">
        <w:tblPrEx>
          <w:tblW w:w="0" w:type="auto"/>
          <w:tblInd w:w="720" w:type="dxa"/>
          <w:tblLook w:val="04A0"/>
        </w:tblPrEx>
        <w:trPr>
          <w:gridAfter w:val="1"/>
          <w:wAfter w:w="7" w:type="dxa"/>
        </w:trPr>
        <w:tc>
          <w:tcPr>
            <w:tcW w:w="2920" w:type="dxa"/>
          </w:tcPr>
          <w:p w:rsidR="007D49BB" w:rsidRPr="0059512C" w:rsidP="002643FA">
            <w:pPr>
              <w:pStyle w:val="ParaNum"/>
              <w:numPr>
                <w:ilvl w:val="0"/>
                <w:numId w:val="0"/>
              </w:numPr>
              <w:rPr>
                <w:b/>
                <w:szCs w:val="22"/>
              </w:rPr>
            </w:pPr>
            <w:r w:rsidRPr="0059512C">
              <w:rPr>
                <w:b/>
                <w:szCs w:val="22"/>
              </w:rPr>
              <w:t>Application</w:t>
            </w:r>
          </w:p>
        </w:tc>
        <w:tc>
          <w:tcPr>
            <w:tcW w:w="2841" w:type="dxa"/>
          </w:tcPr>
          <w:p w:rsidR="007D49BB" w:rsidRPr="0059512C" w:rsidP="002643FA">
            <w:pPr>
              <w:pStyle w:val="ParaNum"/>
              <w:numPr>
                <w:ilvl w:val="0"/>
                <w:numId w:val="0"/>
              </w:numPr>
              <w:rPr>
                <w:b/>
                <w:szCs w:val="22"/>
              </w:rPr>
            </w:pPr>
            <w:r w:rsidRPr="0059512C">
              <w:rPr>
                <w:b/>
                <w:szCs w:val="22"/>
              </w:rPr>
              <w:t>Current Fee</w:t>
            </w:r>
          </w:p>
        </w:tc>
        <w:tc>
          <w:tcPr>
            <w:tcW w:w="2838" w:type="dxa"/>
          </w:tcPr>
          <w:p w:rsidR="007D49BB" w:rsidRPr="0059512C" w:rsidP="002643FA">
            <w:pPr>
              <w:pStyle w:val="ParaNum"/>
              <w:numPr>
                <w:ilvl w:val="0"/>
                <w:numId w:val="0"/>
              </w:numPr>
              <w:rPr>
                <w:b/>
                <w:szCs w:val="22"/>
              </w:rPr>
            </w:pPr>
            <w:r w:rsidRPr="0059512C">
              <w:rPr>
                <w:b/>
                <w:szCs w:val="22"/>
              </w:rPr>
              <w:t>Cost-based Fee</w:t>
            </w:r>
          </w:p>
        </w:tc>
      </w:tr>
      <w:tr w:rsidTr="00B13758">
        <w:tblPrEx>
          <w:tblW w:w="0" w:type="auto"/>
          <w:tblInd w:w="720" w:type="dxa"/>
          <w:tblLook w:val="04A0"/>
        </w:tblPrEx>
        <w:tc>
          <w:tcPr>
            <w:tcW w:w="2920" w:type="dxa"/>
          </w:tcPr>
          <w:p w:rsidR="006E6A02" w:rsidRPr="0059512C" w:rsidP="002643FA">
            <w:pPr>
              <w:pStyle w:val="ParaNum"/>
              <w:numPr>
                <w:ilvl w:val="0"/>
                <w:numId w:val="0"/>
              </w:numPr>
              <w:rPr>
                <w:szCs w:val="22"/>
              </w:rPr>
            </w:pPr>
            <w:r w:rsidRPr="0059512C">
              <w:rPr>
                <w:szCs w:val="22"/>
              </w:rPr>
              <w:t>Interconnected VoIP Numbering Authorization Applications-Part 51</w:t>
            </w:r>
          </w:p>
        </w:tc>
        <w:tc>
          <w:tcPr>
            <w:tcW w:w="2841" w:type="dxa"/>
          </w:tcPr>
          <w:p w:rsidR="006E6A02" w:rsidRPr="0059512C" w:rsidP="002643FA">
            <w:pPr>
              <w:pStyle w:val="ParaNum"/>
              <w:numPr>
                <w:ilvl w:val="0"/>
                <w:numId w:val="0"/>
              </w:numPr>
              <w:rPr>
                <w:szCs w:val="22"/>
              </w:rPr>
            </w:pPr>
            <w:r w:rsidRPr="0059512C">
              <w:rPr>
                <w:szCs w:val="22"/>
              </w:rPr>
              <w:t>n/a</w:t>
            </w:r>
          </w:p>
        </w:tc>
        <w:tc>
          <w:tcPr>
            <w:tcW w:w="2845" w:type="dxa"/>
            <w:gridSpan w:val="2"/>
          </w:tcPr>
          <w:p w:rsidR="006E6A02" w:rsidRPr="0059512C" w:rsidP="002643FA">
            <w:pPr>
              <w:pStyle w:val="ParaNum"/>
              <w:numPr>
                <w:ilvl w:val="0"/>
                <w:numId w:val="0"/>
              </w:numPr>
              <w:rPr>
                <w:szCs w:val="22"/>
              </w:rPr>
            </w:pPr>
            <w:r w:rsidRPr="0059512C">
              <w:rPr>
                <w:szCs w:val="22"/>
              </w:rPr>
              <w:t>$1,</w:t>
            </w:r>
            <w:r w:rsidRPr="0059512C" w:rsidR="009F0CE0">
              <w:rPr>
                <w:szCs w:val="22"/>
              </w:rPr>
              <w:t>330</w:t>
            </w:r>
          </w:p>
        </w:tc>
      </w:tr>
    </w:tbl>
    <w:p w:rsidR="007D49BB" w:rsidRPr="0059512C" w:rsidP="007D49BB">
      <w:pPr>
        <w:pStyle w:val="ParaNum"/>
        <w:numPr>
          <w:ilvl w:val="0"/>
          <w:numId w:val="0"/>
        </w:numPr>
        <w:rPr>
          <w:szCs w:val="22"/>
        </w:rPr>
      </w:pPr>
    </w:p>
    <w:p w:rsidR="007B5429" w:rsidRPr="00CF61A1" w:rsidP="00CF61A1">
      <w:pPr>
        <w:pStyle w:val="ParaNum"/>
        <w:rPr>
          <w:szCs w:val="22"/>
        </w:rPr>
      </w:pPr>
      <w:r w:rsidRPr="0059512C">
        <w:rPr>
          <w:szCs w:val="22"/>
        </w:rPr>
        <w:t xml:space="preserve">We estimate that the Commission’s </w:t>
      </w:r>
      <w:r w:rsidRPr="0059512C" w:rsidR="000C1C8A">
        <w:rPr>
          <w:szCs w:val="22"/>
        </w:rPr>
        <w:t>resource</w:t>
      </w:r>
      <w:r w:rsidRPr="0059512C">
        <w:rPr>
          <w:szCs w:val="22"/>
        </w:rPr>
        <w:t>s in processing a typical VoIP numbering application consist of the following:  program analyst assisting applicants with filing, application input, application intake, draft initial accepted for filing public noti</w:t>
      </w:r>
      <w:r w:rsidRPr="0059512C">
        <w:rPr>
          <w:szCs w:val="22"/>
        </w:rPr>
        <w:t>ce, legal analysis and application review by staff attorney, staff attorney coordinating with counsel and other Bureaus/Offices, reviewing supplemental filing, and editing accepted for filing public notice, program analyst releasing and posting the accepte</w:t>
      </w:r>
      <w:r w:rsidRPr="0059512C">
        <w:rPr>
          <w:szCs w:val="22"/>
        </w:rPr>
        <w:t>d for filing public notice, and supervision of this process by a first level supervisor.  Our estimate is that this process involves $1,</w:t>
      </w:r>
      <w:r w:rsidRPr="0059512C" w:rsidR="00C84E5F">
        <w:rPr>
          <w:szCs w:val="22"/>
        </w:rPr>
        <w:t>330</w:t>
      </w:r>
      <w:r w:rsidRPr="0059512C">
        <w:rPr>
          <w:szCs w:val="22"/>
        </w:rPr>
        <w:t xml:space="preserve"> in costs.  </w:t>
      </w:r>
      <w:r w:rsidRPr="00CF61A1" w:rsidR="00EF62C6">
        <w:rPr>
          <w:szCs w:val="22"/>
        </w:rPr>
        <w:t xml:space="preserve">We seek comment on this proposal.  </w:t>
      </w:r>
    </w:p>
    <w:p w:rsidR="007B5429" w:rsidRPr="0059512C" w:rsidP="007B5429">
      <w:pPr>
        <w:pStyle w:val="ParaNum"/>
        <w:rPr>
          <w:szCs w:val="22"/>
        </w:rPr>
      </w:pPr>
      <w:bookmarkStart w:id="243" w:name="_Toc18066926"/>
      <w:bookmarkStart w:id="244" w:name="_Toc18939787"/>
      <w:bookmarkStart w:id="245" w:name="_Toc19795090"/>
      <w:bookmarkStart w:id="246" w:name="_Toc19796455"/>
      <w:bookmarkStart w:id="247" w:name="_Toc19796813"/>
      <w:bookmarkStart w:id="248" w:name="_Toc28005103"/>
      <w:bookmarkStart w:id="249" w:name="_Toc29557401"/>
      <w:bookmarkStart w:id="250" w:name="_Toc35268582"/>
      <w:r w:rsidRPr="0060706A">
        <w:rPr>
          <w:i/>
        </w:rPr>
        <w:t>Tariffs</w:t>
      </w:r>
      <w:bookmarkEnd w:id="243"/>
      <w:bookmarkEnd w:id="244"/>
      <w:bookmarkEnd w:id="245"/>
      <w:bookmarkEnd w:id="246"/>
      <w:bookmarkEnd w:id="247"/>
      <w:bookmarkEnd w:id="248"/>
      <w:bookmarkEnd w:id="249"/>
      <w:bookmarkEnd w:id="250"/>
      <w:r>
        <w:rPr>
          <w:szCs w:val="22"/>
        </w:rPr>
        <w:t xml:space="preserve">.  </w:t>
      </w:r>
      <w:r w:rsidRPr="0059512C">
        <w:rPr>
          <w:szCs w:val="22"/>
        </w:rPr>
        <w:t>Tariffs contain the rates, terms, and conditions of certain</w:t>
      </w:r>
      <w:r w:rsidRPr="0059512C">
        <w:rPr>
          <w:szCs w:val="22"/>
        </w:rPr>
        <w:t xml:space="preserve"> services provided by telecommunications carriers. Tariffs for interstate local access service are filed by local exchange carriers, or LECs.  The access services include end user access, switched access, and special access. Tariffs must be just and reason</w:t>
      </w:r>
      <w:r w:rsidRPr="0059512C">
        <w:rPr>
          <w:szCs w:val="22"/>
        </w:rPr>
        <w:t xml:space="preserve">able and may not be unjustly or unreasonably discriminatory under sections 201(b) and 202(a) of the Communications Act.  Tariffs are typically filed under a process that gives the public 15 days’ notice on proposed price increases and changes in terms and </w:t>
      </w:r>
      <w:r w:rsidRPr="0059512C">
        <w:rPr>
          <w:szCs w:val="22"/>
        </w:rPr>
        <w:t xml:space="preserve">conditions; and seven days’ notice on proposed price reductions.  Carriers file tariffs using the Commission’s Electronic Tariff Filing System .  Tariff filings are reviewed by staff and by industry.  If staff takes no action, filings become effective and </w:t>
      </w:r>
      <w:r w:rsidRPr="0059512C">
        <w:rPr>
          <w:szCs w:val="22"/>
        </w:rPr>
        <w:t>may be deemed lawful.</w:t>
      </w:r>
      <w:r>
        <w:rPr>
          <w:rStyle w:val="FootnoteReference"/>
          <w:sz w:val="22"/>
        </w:rPr>
        <w:footnoteReference w:id="74"/>
      </w:r>
      <w:r w:rsidRPr="0059512C">
        <w:rPr>
          <w:szCs w:val="22"/>
        </w:rPr>
        <w:t xml:space="preserve">  Staff can suspend or reject tariffs.      </w:t>
      </w:r>
    </w:p>
    <w:p w:rsidR="008146B7" w:rsidRPr="0059512C" w:rsidP="004904EA">
      <w:pPr>
        <w:pStyle w:val="ParaNum"/>
        <w:rPr>
          <w:szCs w:val="22"/>
        </w:rPr>
      </w:pPr>
      <w:r w:rsidRPr="0059512C">
        <w:rPr>
          <w:szCs w:val="22"/>
        </w:rPr>
        <w:t xml:space="preserve">The following table summarizes the current application fees and the proposed cost-based fees.  </w:t>
      </w:r>
      <w:r w:rsidRPr="0059512C" w:rsidR="004904EA">
        <w:rPr>
          <w:szCs w:val="22"/>
        </w:rPr>
        <w:t xml:space="preserve">We propose and seek comment on adopting the following cost-based fees for these applications—and we give as an example the current fees for these services.  </w:t>
      </w:r>
    </w:p>
    <w:tbl>
      <w:tblPr>
        <w:tblStyle w:val="TableGrid"/>
        <w:tblW w:w="0" w:type="auto"/>
        <w:tblInd w:w="720" w:type="dxa"/>
        <w:tblLook w:val="04A0"/>
      </w:tblPr>
      <w:tblGrid>
        <w:gridCol w:w="2920"/>
        <w:gridCol w:w="24"/>
        <w:gridCol w:w="2841"/>
        <w:gridCol w:w="7"/>
        <w:gridCol w:w="2838"/>
      </w:tblGrid>
      <w:tr w:rsidTr="006E6A02">
        <w:tblPrEx>
          <w:tblW w:w="0" w:type="auto"/>
          <w:tblInd w:w="720" w:type="dxa"/>
          <w:tblLook w:val="04A0"/>
        </w:tblPrEx>
        <w:tc>
          <w:tcPr>
            <w:tcW w:w="2920" w:type="dxa"/>
          </w:tcPr>
          <w:p w:rsidR="007D49BB" w:rsidRPr="0059512C" w:rsidP="00B13758">
            <w:pPr>
              <w:pStyle w:val="ParaNum"/>
              <w:keepNext/>
              <w:widowControl/>
              <w:numPr>
                <w:ilvl w:val="0"/>
                <w:numId w:val="0"/>
              </w:numPr>
              <w:rPr>
                <w:b/>
                <w:szCs w:val="22"/>
              </w:rPr>
            </w:pPr>
            <w:r w:rsidRPr="0059512C">
              <w:rPr>
                <w:b/>
                <w:szCs w:val="22"/>
              </w:rPr>
              <w:t>Application</w:t>
            </w:r>
          </w:p>
        </w:tc>
        <w:tc>
          <w:tcPr>
            <w:tcW w:w="2872" w:type="dxa"/>
            <w:gridSpan w:val="3"/>
          </w:tcPr>
          <w:p w:rsidR="007D49BB" w:rsidRPr="0059512C" w:rsidP="00B13758">
            <w:pPr>
              <w:pStyle w:val="ParaNum"/>
              <w:keepNext/>
              <w:widowControl/>
              <w:numPr>
                <w:ilvl w:val="0"/>
                <w:numId w:val="0"/>
              </w:numPr>
              <w:rPr>
                <w:b/>
                <w:szCs w:val="22"/>
              </w:rPr>
            </w:pPr>
            <w:r w:rsidRPr="0059512C">
              <w:rPr>
                <w:b/>
                <w:szCs w:val="22"/>
              </w:rPr>
              <w:t>Current Fee</w:t>
            </w:r>
          </w:p>
        </w:tc>
        <w:tc>
          <w:tcPr>
            <w:tcW w:w="2838" w:type="dxa"/>
          </w:tcPr>
          <w:p w:rsidR="007D49BB" w:rsidRPr="0059512C" w:rsidP="00B13758">
            <w:pPr>
              <w:pStyle w:val="ParaNum"/>
              <w:keepNext/>
              <w:widowControl/>
              <w:numPr>
                <w:ilvl w:val="0"/>
                <w:numId w:val="0"/>
              </w:numPr>
              <w:rPr>
                <w:b/>
                <w:szCs w:val="22"/>
              </w:rPr>
            </w:pPr>
            <w:r w:rsidRPr="0059512C">
              <w:rPr>
                <w:b/>
                <w:szCs w:val="22"/>
              </w:rPr>
              <w:t>Cost-based Fee</w:t>
            </w:r>
          </w:p>
        </w:tc>
      </w:tr>
      <w:tr w:rsidTr="006E6A02">
        <w:tblPrEx>
          <w:tblW w:w="0" w:type="auto"/>
          <w:tblInd w:w="720" w:type="dxa"/>
          <w:tblLook w:val="04A0"/>
        </w:tblPrEx>
        <w:tc>
          <w:tcPr>
            <w:tcW w:w="2944" w:type="dxa"/>
            <w:gridSpan w:val="2"/>
          </w:tcPr>
          <w:p w:rsidR="006E6A02" w:rsidRPr="0059512C" w:rsidP="002643FA">
            <w:pPr>
              <w:pStyle w:val="ParaNum"/>
              <w:numPr>
                <w:ilvl w:val="0"/>
                <w:numId w:val="0"/>
              </w:numPr>
              <w:rPr>
                <w:szCs w:val="22"/>
              </w:rPr>
            </w:pPr>
            <w:r w:rsidRPr="0059512C">
              <w:rPr>
                <w:szCs w:val="22"/>
              </w:rPr>
              <w:t>Tariff Filing</w:t>
            </w:r>
          </w:p>
        </w:tc>
        <w:tc>
          <w:tcPr>
            <w:tcW w:w="2841" w:type="dxa"/>
          </w:tcPr>
          <w:p w:rsidR="006E6A02" w:rsidRPr="0059512C" w:rsidP="002643FA">
            <w:pPr>
              <w:pStyle w:val="ParaNum"/>
              <w:numPr>
                <w:ilvl w:val="0"/>
                <w:numId w:val="0"/>
              </w:numPr>
              <w:rPr>
                <w:szCs w:val="22"/>
              </w:rPr>
            </w:pPr>
            <w:r w:rsidRPr="0059512C">
              <w:rPr>
                <w:szCs w:val="22"/>
              </w:rPr>
              <w:t>$960</w:t>
            </w:r>
          </w:p>
        </w:tc>
        <w:tc>
          <w:tcPr>
            <w:tcW w:w="2845" w:type="dxa"/>
            <w:gridSpan w:val="2"/>
          </w:tcPr>
          <w:p w:rsidR="006E6A02" w:rsidRPr="0059512C" w:rsidP="002643FA">
            <w:pPr>
              <w:pStyle w:val="ParaNum"/>
              <w:numPr>
                <w:ilvl w:val="0"/>
                <w:numId w:val="0"/>
              </w:numPr>
              <w:rPr>
                <w:szCs w:val="22"/>
              </w:rPr>
            </w:pPr>
            <w:r w:rsidRPr="0059512C">
              <w:rPr>
                <w:szCs w:val="22"/>
              </w:rPr>
              <w:t>$</w:t>
            </w:r>
            <w:r w:rsidRPr="0059512C" w:rsidR="00E15DD0">
              <w:rPr>
                <w:szCs w:val="22"/>
              </w:rPr>
              <w:t>9</w:t>
            </w:r>
            <w:r w:rsidRPr="0059512C" w:rsidR="009F0CE0">
              <w:rPr>
                <w:szCs w:val="22"/>
              </w:rPr>
              <w:t>3</w:t>
            </w:r>
            <w:r w:rsidRPr="0059512C" w:rsidR="00E15DD0">
              <w:rPr>
                <w:szCs w:val="22"/>
              </w:rPr>
              <w:t>0</w:t>
            </w:r>
          </w:p>
        </w:tc>
      </w:tr>
      <w:tr w:rsidTr="006E6A02">
        <w:tblPrEx>
          <w:tblW w:w="0" w:type="auto"/>
          <w:tblInd w:w="720" w:type="dxa"/>
          <w:tblLook w:val="04A0"/>
        </w:tblPrEx>
        <w:tc>
          <w:tcPr>
            <w:tcW w:w="2944" w:type="dxa"/>
            <w:gridSpan w:val="2"/>
          </w:tcPr>
          <w:p w:rsidR="006E6A02" w:rsidRPr="0059512C" w:rsidP="002643FA">
            <w:pPr>
              <w:pStyle w:val="ParaNum"/>
              <w:numPr>
                <w:ilvl w:val="0"/>
                <w:numId w:val="0"/>
              </w:numPr>
              <w:rPr>
                <w:szCs w:val="22"/>
              </w:rPr>
            </w:pPr>
            <w:r w:rsidRPr="0059512C">
              <w:rPr>
                <w:szCs w:val="22"/>
              </w:rPr>
              <w:t>Complex Tariff Filing</w:t>
            </w:r>
            <w:r w:rsidRPr="0059512C" w:rsidR="00B91F92">
              <w:rPr>
                <w:szCs w:val="22"/>
              </w:rPr>
              <w:t xml:space="preserve"> (Large)</w:t>
            </w:r>
          </w:p>
        </w:tc>
        <w:tc>
          <w:tcPr>
            <w:tcW w:w="2841" w:type="dxa"/>
          </w:tcPr>
          <w:p w:rsidR="006E6A02" w:rsidRPr="0059512C" w:rsidP="002643FA">
            <w:pPr>
              <w:pStyle w:val="ParaNum"/>
              <w:numPr>
                <w:ilvl w:val="0"/>
                <w:numId w:val="0"/>
              </w:numPr>
              <w:rPr>
                <w:szCs w:val="22"/>
              </w:rPr>
            </w:pPr>
            <w:r w:rsidRPr="0059512C">
              <w:rPr>
                <w:szCs w:val="22"/>
              </w:rPr>
              <w:t>n/a</w:t>
            </w:r>
          </w:p>
        </w:tc>
        <w:tc>
          <w:tcPr>
            <w:tcW w:w="2845" w:type="dxa"/>
            <w:gridSpan w:val="2"/>
          </w:tcPr>
          <w:p w:rsidR="006E6A02" w:rsidRPr="0059512C" w:rsidP="002643FA">
            <w:pPr>
              <w:pStyle w:val="ParaNum"/>
              <w:numPr>
                <w:ilvl w:val="0"/>
                <w:numId w:val="0"/>
              </w:numPr>
              <w:rPr>
                <w:szCs w:val="22"/>
              </w:rPr>
            </w:pPr>
            <w:r w:rsidRPr="0059512C">
              <w:rPr>
                <w:szCs w:val="22"/>
              </w:rPr>
              <w:t>$6,</w:t>
            </w:r>
            <w:r w:rsidRPr="0059512C" w:rsidR="009F0CE0">
              <w:rPr>
                <w:szCs w:val="22"/>
              </w:rPr>
              <w:t>540</w:t>
            </w:r>
          </w:p>
        </w:tc>
      </w:tr>
      <w:tr w:rsidTr="006E6A02">
        <w:tblPrEx>
          <w:tblW w:w="0" w:type="auto"/>
          <w:tblInd w:w="720" w:type="dxa"/>
          <w:tblLook w:val="04A0"/>
        </w:tblPrEx>
        <w:tc>
          <w:tcPr>
            <w:tcW w:w="2944" w:type="dxa"/>
            <w:gridSpan w:val="2"/>
          </w:tcPr>
          <w:p w:rsidR="00005F53" w:rsidRPr="0059512C" w:rsidP="002643FA">
            <w:pPr>
              <w:pStyle w:val="ParaNum"/>
              <w:numPr>
                <w:ilvl w:val="0"/>
                <w:numId w:val="0"/>
              </w:numPr>
              <w:rPr>
                <w:szCs w:val="22"/>
              </w:rPr>
            </w:pPr>
            <w:r w:rsidRPr="0059512C">
              <w:rPr>
                <w:szCs w:val="22"/>
              </w:rPr>
              <w:t>Complex Tariff Filing (Small)</w:t>
            </w:r>
          </w:p>
        </w:tc>
        <w:tc>
          <w:tcPr>
            <w:tcW w:w="2841" w:type="dxa"/>
          </w:tcPr>
          <w:p w:rsidR="00005F53" w:rsidRPr="0059512C" w:rsidP="002643FA">
            <w:pPr>
              <w:pStyle w:val="ParaNum"/>
              <w:numPr>
                <w:ilvl w:val="0"/>
                <w:numId w:val="0"/>
              </w:numPr>
              <w:rPr>
                <w:szCs w:val="22"/>
              </w:rPr>
            </w:pPr>
            <w:r w:rsidRPr="0059512C">
              <w:rPr>
                <w:szCs w:val="22"/>
              </w:rPr>
              <w:t>n/a</w:t>
            </w:r>
          </w:p>
        </w:tc>
        <w:tc>
          <w:tcPr>
            <w:tcW w:w="2845" w:type="dxa"/>
            <w:gridSpan w:val="2"/>
          </w:tcPr>
          <w:p w:rsidR="00005F53" w:rsidRPr="0059512C" w:rsidP="002643FA">
            <w:pPr>
              <w:pStyle w:val="ParaNum"/>
              <w:numPr>
                <w:ilvl w:val="0"/>
                <w:numId w:val="0"/>
              </w:numPr>
              <w:rPr>
                <w:szCs w:val="22"/>
              </w:rPr>
            </w:pPr>
            <w:r w:rsidRPr="0059512C">
              <w:rPr>
                <w:szCs w:val="22"/>
              </w:rPr>
              <w:t>$3,</w:t>
            </w:r>
            <w:r w:rsidRPr="0059512C" w:rsidR="009F0CE0">
              <w:rPr>
                <w:szCs w:val="22"/>
              </w:rPr>
              <w:t>270</w:t>
            </w:r>
          </w:p>
        </w:tc>
      </w:tr>
      <w:tr w:rsidTr="006E6A02">
        <w:tblPrEx>
          <w:tblW w:w="0" w:type="auto"/>
          <w:tblInd w:w="720" w:type="dxa"/>
          <w:tblLook w:val="04A0"/>
        </w:tblPrEx>
        <w:tc>
          <w:tcPr>
            <w:tcW w:w="2944" w:type="dxa"/>
            <w:gridSpan w:val="2"/>
          </w:tcPr>
          <w:p w:rsidR="006E6A02" w:rsidRPr="0059512C" w:rsidP="002643FA">
            <w:pPr>
              <w:pStyle w:val="ParaNum"/>
              <w:numPr>
                <w:ilvl w:val="0"/>
                <w:numId w:val="0"/>
              </w:numPr>
              <w:rPr>
                <w:szCs w:val="22"/>
              </w:rPr>
            </w:pPr>
            <w:r w:rsidRPr="0059512C">
              <w:rPr>
                <w:szCs w:val="22"/>
              </w:rPr>
              <w:t xml:space="preserve">Application for Special </w:t>
            </w:r>
            <w:r w:rsidRPr="0059512C">
              <w:rPr>
                <w:szCs w:val="22"/>
              </w:rPr>
              <w:t>Permission for Waiver of Tariff Rules</w:t>
            </w:r>
          </w:p>
        </w:tc>
        <w:tc>
          <w:tcPr>
            <w:tcW w:w="2841" w:type="dxa"/>
          </w:tcPr>
          <w:p w:rsidR="006E6A02" w:rsidRPr="0059512C" w:rsidP="002643FA">
            <w:pPr>
              <w:pStyle w:val="ParaNum"/>
              <w:numPr>
                <w:ilvl w:val="0"/>
                <w:numId w:val="0"/>
              </w:numPr>
              <w:rPr>
                <w:szCs w:val="22"/>
              </w:rPr>
            </w:pPr>
            <w:r w:rsidRPr="0059512C">
              <w:rPr>
                <w:szCs w:val="22"/>
              </w:rPr>
              <w:t>$960</w:t>
            </w:r>
          </w:p>
        </w:tc>
        <w:tc>
          <w:tcPr>
            <w:tcW w:w="2845" w:type="dxa"/>
            <w:gridSpan w:val="2"/>
          </w:tcPr>
          <w:p w:rsidR="006E6A02" w:rsidRPr="0059512C" w:rsidP="002643FA">
            <w:pPr>
              <w:pStyle w:val="ParaNum"/>
              <w:numPr>
                <w:ilvl w:val="0"/>
                <w:numId w:val="0"/>
              </w:numPr>
              <w:rPr>
                <w:szCs w:val="22"/>
              </w:rPr>
            </w:pPr>
            <w:r w:rsidRPr="0059512C">
              <w:rPr>
                <w:szCs w:val="22"/>
              </w:rPr>
              <w:t>$3</w:t>
            </w:r>
            <w:r w:rsidRPr="0059512C" w:rsidR="009F0CE0">
              <w:rPr>
                <w:szCs w:val="22"/>
              </w:rPr>
              <w:t>75</w:t>
            </w:r>
          </w:p>
        </w:tc>
      </w:tr>
    </w:tbl>
    <w:p w:rsidR="007D49BB" w:rsidRPr="0059512C" w:rsidP="007D49BB">
      <w:pPr>
        <w:pStyle w:val="ParaNum"/>
        <w:numPr>
          <w:ilvl w:val="0"/>
          <w:numId w:val="0"/>
        </w:numPr>
        <w:rPr>
          <w:szCs w:val="22"/>
        </w:rPr>
      </w:pPr>
    </w:p>
    <w:p w:rsidR="007B5429" w:rsidRPr="0059512C" w:rsidP="007B5429">
      <w:pPr>
        <w:pStyle w:val="ParaNum"/>
        <w:rPr>
          <w:szCs w:val="22"/>
        </w:rPr>
      </w:pPr>
      <w:r w:rsidRPr="0059512C">
        <w:rPr>
          <w:szCs w:val="22"/>
        </w:rPr>
        <w:t xml:space="preserve">We estimate that the Commission’s </w:t>
      </w:r>
      <w:r w:rsidRPr="0059512C" w:rsidR="00CC6A61">
        <w:rPr>
          <w:szCs w:val="22"/>
        </w:rPr>
        <w:t>resources</w:t>
      </w:r>
      <w:r w:rsidRPr="0059512C">
        <w:rPr>
          <w:szCs w:val="22"/>
        </w:rPr>
        <w:t xml:space="preserve"> in processing a</w:t>
      </w:r>
      <w:r w:rsidRPr="0059512C" w:rsidR="00CC6A61">
        <w:rPr>
          <w:szCs w:val="22"/>
        </w:rPr>
        <w:t xml:space="preserve"> typical</w:t>
      </w:r>
      <w:r w:rsidRPr="0059512C">
        <w:rPr>
          <w:szCs w:val="22"/>
        </w:rPr>
        <w:t xml:space="preserve"> tariff filing consist </w:t>
      </w:r>
      <w:r w:rsidRPr="0059512C">
        <w:rPr>
          <w:szCs w:val="22"/>
        </w:rPr>
        <w:t xml:space="preserve">of the following:  public utility specialist assisting applicants with filing, public utility specialist </w:t>
      </w:r>
      <w:r w:rsidRPr="0059512C">
        <w:rPr>
          <w:szCs w:val="22"/>
        </w:rPr>
        <w:t>reviewing the record, and supervision of this entire process by an attorney.  Our estimate is that the cost of this process for a tariff filing is $</w:t>
      </w:r>
      <w:r w:rsidRPr="0059512C" w:rsidR="00DD54B8">
        <w:rPr>
          <w:szCs w:val="22"/>
        </w:rPr>
        <w:t>9</w:t>
      </w:r>
      <w:r w:rsidRPr="0059512C" w:rsidR="00C84E5F">
        <w:rPr>
          <w:szCs w:val="22"/>
        </w:rPr>
        <w:t>3</w:t>
      </w:r>
      <w:r w:rsidRPr="0059512C" w:rsidR="00DD54B8">
        <w:rPr>
          <w:szCs w:val="22"/>
        </w:rPr>
        <w:t>0</w:t>
      </w:r>
      <w:r w:rsidRPr="0059512C">
        <w:rPr>
          <w:szCs w:val="22"/>
        </w:rPr>
        <w:t xml:space="preserve">.  </w:t>
      </w:r>
    </w:p>
    <w:p w:rsidR="007B5429" w:rsidRPr="0059512C" w:rsidP="007B5429">
      <w:pPr>
        <w:pStyle w:val="ParaNum"/>
        <w:rPr>
          <w:szCs w:val="22"/>
        </w:rPr>
      </w:pPr>
      <w:r w:rsidRPr="0059512C">
        <w:rPr>
          <w:szCs w:val="22"/>
        </w:rPr>
        <w:t>Carriers also file tariffs that are more complex and require more review by Bureau staff than a typic</w:t>
      </w:r>
      <w:r w:rsidRPr="0059512C">
        <w:rPr>
          <w:szCs w:val="22"/>
        </w:rPr>
        <w:t>al tariff filing.  One such category would include the filing of the annual access charge tariffs</w:t>
      </w:r>
      <w:r w:rsidRPr="0059512C" w:rsidR="003C672C">
        <w:rPr>
          <w:szCs w:val="22"/>
        </w:rPr>
        <w:t xml:space="preserve"> by incumbent LECs</w:t>
      </w:r>
      <w:r w:rsidRPr="0059512C">
        <w:rPr>
          <w:szCs w:val="22"/>
        </w:rPr>
        <w:t xml:space="preserve">. </w:t>
      </w:r>
      <w:r w:rsidRPr="0059512C" w:rsidR="003C672C">
        <w:rPr>
          <w:szCs w:val="22"/>
        </w:rPr>
        <w:t xml:space="preserve"> </w:t>
      </w:r>
      <w:r w:rsidRPr="0059512C">
        <w:rPr>
          <w:szCs w:val="22"/>
        </w:rPr>
        <w:t>Other types of more complex filings could include the introduction of new rate plans or the restructuring of existing rate plans.  We esti</w:t>
      </w:r>
      <w:r w:rsidRPr="0059512C">
        <w:rPr>
          <w:szCs w:val="22"/>
        </w:rPr>
        <w:t xml:space="preserve">mate that the Commission’s </w:t>
      </w:r>
      <w:r w:rsidRPr="0059512C" w:rsidR="00CC6A61">
        <w:rPr>
          <w:szCs w:val="22"/>
        </w:rPr>
        <w:t>resources</w:t>
      </w:r>
      <w:r w:rsidRPr="0059512C">
        <w:rPr>
          <w:szCs w:val="22"/>
        </w:rPr>
        <w:t xml:space="preserve"> in processing a more complex filing consist of the following:  public utility specialist assisting applicants with filing, public utility specialist/attorney reviewing the record, and supervision of this entire process </w:t>
      </w:r>
      <w:r w:rsidRPr="0059512C">
        <w:rPr>
          <w:szCs w:val="22"/>
        </w:rPr>
        <w:t xml:space="preserve">by an attorney.  </w:t>
      </w:r>
      <w:r w:rsidRPr="0059512C" w:rsidR="00165AB0">
        <w:rPr>
          <w:szCs w:val="22"/>
        </w:rPr>
        <w:t>The cost for these filings will vary based on the size of the carrier or the number of entities included in a tariff filing.  We propose to create two categories of complex tariff filers</w:t>
      </w:r>
      <w:r w:rsidR="00A24E70">
        <w:rPr>
          <w:szCs w:val="22"/>
        </w:rPr>
        <w:t>:</w:t>
      </w:r>
      <w:r w:rsidRPr="0059512C" w:rsidR="00165AB0">
        <w:rPr>
          <w:szCs w:val="22"/>
        </w:rPr>
        <w:t xml:space="preserve">  one composed of price cap LECs and complex tariff filings by entities involving more than 100 </w:t>
      </w:r>
      <w:r w:rsidR="00741F7F">
        <w:rPr>
          <w:szCs w:val="22"/>
        </w:rPr>
        <w:t>LECs</w:t>
      </w:r>
      <w:r w:rsidRPr="0059512C" w:rsidR="00165AB0">
        <w:rPr>
          <w:szCs w:val="22"/>
        </w:rPr>
        <w:t xml:space="preserve"> (Complex Large), and a second category for other entities filing a complex tariff (Complex Small).  Our estimate is that the cost of this process for a </w:t>
      </w:r>
      <w:r w:rsidR="00A24E70">
        <w:rPr>
          <w:szCs w:val="22"/>
        </w:rPr>
        <w:t>C</w:t>
      </w:r>
      <w:r w:rsidRPr="0059512C" w:rsidR="00165AB0">
        <w:rPr>
          <w:szCs w:val="22"/>
        </w:rPr>
        <w:t xml:space="preserve">omplex </w:t>
      </w:r>
      <w:r w:rsidR="00A24E70">
        <w:rPr>
          <w:szCs w:val="22"/>
        </w:rPr>
        <w:t>L</w:t>
      </w:r>
      <w:r w:rsidRPr="0059512C" w:rsidR="00165AB0">
        <w:rPr>
          <w:szCs w:val="22"/>
        </w:rPr>
        <w:t>arge tariff filing is $6,</w:t>
      </w:r>
      <w:r w:rsidRPr="0059512C" w:rsidR="00C84E5F">
        <w:rPr>
          <w:szCs w:val="22"/>
        </w:rPr>
        <w:t>540</w:t>
      </w:r>
      <w:r w:rsidRPr="0059512C" w:rsidR="00165AB0">
        <w:rPr>
          <w:szCs w:val="22"/>
        </w:rPr>
        <w:t xml:space="preserve">, and that for a </w:t>
      </w:r>
      <w:r w:rsidR="00A24E70">
        <w:rPr>
          <w:szCs w:val="22"/>
        </w:rPr>
        <w:t>C</w:t>
      </w:r>
      <w:r w:rsidRPr="0059512C" w:rsidR="00165AB0">
        <w:rPr>
          <w:szCs w:val="22"/>
        </w:rPr>
        <w:t xml:space="preserve">omplex </w:t>
      </w:r>
      <w:r w:rsidR="00A24E70">
        <w:rPr>
          <w:szCs w:val="22"/>
        </w:rPr>
        <w:t>S</w:t>
      </w:r>
      <w:r w:rsidRPr="0059512C" w:rsidR="00165AB0">
        <w:rPr>
          <w:szCs w:val="22"/>
        </w:rPr>
        <w:t>mall filing is $3,</w:t>
      </w:r>
      <w:r w:rsidRPr="0059512C" w:rsidR="00C84E5F">
        <w:rPr>
          <w:szCs w:val="22"/>
        </w:rPr>
        <w:t>27</w:t>
      </w:r>
      <w:r w:rsidRPr="0059512C" w:rsidR="00165AB0">
        <w:rPr>
          <w:szCs w:val="22"/>
        </w:rPr>
        <w:t>0.</w:t>
      </w:r>
      <w:r w:rsidRPr="0059512C">
        <w:rPr>
          <w:szCs w:val="22"/>
        </w:rPr>
        <w:t xml:space="preserve"> </w:t>
      </w:r>
    </w:p>
    <w:p w:rsidR="007B5429" w:rsidP="00446296">
      <w:pPr>
        <w:pStyle w:val="ParaNum"/>
        <w:widowControl/>
        <w:spacing w:line="259" w:lineRule="auto"/>
        <w:rPr>
          <w:szCs w:val="22"/>
        </w:rPr>
      </w:pPr>
      <w:r w:rsidRPr="0059512C">
        <w:rPr>
          <w:szCs w:val="22"/>
        </w:rPr>
        <w:t xml:space="preserve">Parties can also file an </w:t>
      </w:r>
      <w:r w:rsidR="00A24E70">
        <w:rPr>
          <w:szCs w:val="22"/>
        </w:rPr>
        <w:t>a</w:t>
      </w:r>
      <w:r w:rsidRPr="0059512C">
        <w:rPr>
          <w:szCs w:val="22"/>
        </w:rPr>
        <w:t xml:space="preserve">pplication for </w:t>
      </w:r>
      <w:r w:rsidR="00A24E70">
        <w:rPr>
          <w:szCs w:val="22"/>
        </w:rPr>
        <w:t>s</w:t>
      </w:r>
      <w:r w:rsidRPr="0059512C">
        <w:rPr>
          <w:szCs w:val="22"/>
        </w:rPr>
        <w:t xml:space="preserve">pecial </w:t>
      </w:r>
      <w:r w:rsidR="00A24E70">
        <w:rPr>
          <w:szCs w:val="22"/>
        </w:rPr>
        <w:t>p</w:t>
      </w:r>
      <w:r w:rsidRPr="0059512C">
        <w:rPr>
          <w:szCs w:val="22"/>
        </w:rPr>
        <w:t xml:space="preserve">ermission to request a waiver of the tariff filing rules.  We estimate that the Commission’s </w:t>
      </w:r>
      <w:r w:rsidRPr="0059512C" w:rsidR="00CC6A61">
        <w:rPr>
          <w:szCs w:val="22"/>
        </w:rPr>
        <w:t>resources</w:t>
      </w:r>
      <w:r w:rsidRPr="0059512C">
        <w:rPr>
          <w:szCs w:val="22"/>
        </w:rPr>
        <w:t xml:space="preserve"> in processing a typical special permission request consist of the following:  public utility specialist assisting applicants with filing, public utility </w:t>
      </w:r>
      <w:r w:rsidRPr="0059512C">
        <w:rPr>
          <w:szCs w:val="22"/>
        </w:rPr>
        <w:t>specialist reviewing and acting on the request, and attorney supervising the process.  Our estimate is that the cost of this process for a special permission request is  $3</w:t>
      </w:r>
      <w:r w:rsidRPr="0059512C" w:rsidR="00C84E5F">
        <w:rPr>
          <w:szCs w:val="22"/>
        </w:rPr>
        <w:t>75</w:t>
      </w:r>
      <w:r w:rsidRPr="0059512C">
        <w:rPr>
          <w:szCs w:val="22"/>
        </w:rPr>
        <w:t xml:space="preserve">.  </w:t>
      </w:r>
      <w:r w:rsidRPr="00446296" w:rsidR="00EF62C6">
        <w:rPr>
          <w:szCs w:val="22"/>
        </w:rPr>
        <w:t>We seek comment on th</w:t>
      </w:r>
      <w:r w:rsidRPr="00446296" w:rsidR="00004434">
        <w:rPr>
          <w:szCs w:val="22"/>
        </w:rPr>
        <w:t>ese</w:t>
      </w:r>
      <w:r w:rsidRPr="00446296" w:rsidR="00EF62C6">
        <w:rPr>
          <w:szCs w:val="22"/>
        </w:rPr>
        <w:t xml:space="preserve"> proposal</w:t>
      </w:r>
      <w:r w:rsidRPr="00446296" w:rsidR="00004434">
        <w:rPr>
          <w:szCs w:val="22"/>
        </w:rPr>
        <w:t>s</w:t>
      </w:r>
      <w:r w:rsidRPr="00446296" w:rsidR="00EF62C6">
        <w:rPr>
          <w:szCs w:val="22"/>
        </w:rPr>
        <w:t xml:space="preserve">.  </w:t>
      </w:r>
    </w:p>
    <w:p w:rsidR="009B0FDA" w:rsidRPr="00B13758" w:rsidP="00B13758">
      <w:pPr>
        <w:pStyle w:val="ParaNum"/>
        <w:widowControl/>
        <w:spacing w:line="259" w:lineRule="auto"/>
      </w:pPr>
      <w:bookmarkStart w:id="251" w:name="_Toc18066927"/>
      <w:bookmarkStart w:id="252" w:name="_Toc18939788"/>
      <w:bookmarkStart w:id="253" w:name="_Toc19795091"/>
      <w:bookmarkStart w:id="254" w:name="_Toc19796456"/>
      <w:bookmarkStart w:id="255" w:name="_Toc19796814"/>
      <w:bookmarkStart w:id="256" w:name="_Toc28005104"/>
      <w:bookmarkStart w:id="257" w:name="_Toc29557402"/>
      <w:bookmarkStart w:id="258" w:name="_Toc35268583"/>
      <w:r w:rsidRPr="00B40B97">
        <w:rPr>
          <w:bCs/>
          <w:i/>
        </w:rPr>
        <w:t>Waivers</w:t>
      </w:r>
      <w:bookmarkEnd w:id="251"/>
      <w:bookmarkEnd w:id="252"/>
      <w:bookmarkEnd w:id="253"/>
      <w:bookmarkEnd w:id="254"/>
      <w:bookmarkEnd w:id="255"/>
      <w:bookmarkEnd w:id="256"/>
      <w:bookmarkEnd w:id="257"/>
      <w:bookmarkEnd w:id="258"/>
      <w:r>
        <w:rPr>
          <w:szCs w:val="22"/>
        </w:rPr>
        <w:t xml:space="preserve">.  </w:t>
      </w:r>
      <w:r w:rsidR="007C07ED">
        <w:t xml:space="preserve">Parties may file petitions seeking waivers of the Commission’s rules in parts 61 and 69.  </w:t>
      </w:r>
      <w:r w:rsidRPr="000C0972" w:rsidR="007C07ED">
        <w:rPr>
          <w:snapToGrid/>
          <w:kern w:val="0"/>
        </w:rPr>
        <w:t>Because parties may generally seek waiver of many Commission rules without paying a fee, we propose to eliminate the fees associated with the general Part 61 and Part 69 waiver requests as follows</w:t>
      </w:r>
      <w:r w:rsidR="007C07ED">
        <w:rPr>
          <w:snapToGrid/>
          <w:kern w:val="0"/>
        </w:rPr>
        <w:t>.</w:t>
      </w:r>
    </w:p>
    <w:tbl>
      <w:tblPr>
        <w:tblStyle w:val="TableGrid"/>
        <w:tblW w:w="8630" w:type="dxa"/>
        <w:tblInd w:w="720" w:type="dxa"/>
        <w:tblLook w:val="04A0"/>
      </w:tblPr>
      <w:tblGrid>
        <w:gridCol w:w="2944"/>
        <w:gridCol w:w="2841"/>
        <w:gridCol w:w="2838"/>
        <w:gridCol w:w="7"/>
      </w:tblGrid>
      <w:tr w:rsidTr="00B13758">
        <w:tblPrEx>
          <w:tblW w:w="8630" w:type="dxa"/>
          <w:tblInd w:w="720" w:type="dxa"/>
          <w:tblLook w:val="04A0"/>
        </w:tblPrEx>
        <w:trPr>
          <w:gridAfter w:val="1"/>
          <w:wAfter w:w="7" w:type="dxa"/>
        </w:trPr>
        <w:tc>
          <w:tcPr>
            <w:tcW w:w="2944" w:type="dxa"/>
          </w:tcPr>
          <w:p w:rsidR="00F57F28" w:rsidRPr="00B2412B" w:rsidP="00D9403F">
            <w:pPr>
              <w:pStyle w:val="ParaNum"/>
              <w:numPr>
                <w:ilvl w:val="0"/>
                <w:numId w:val="0"/>
              </w:numPr>
              <w:rPr>
                <w:b/>
              </w:rPr>
            </w:pPr>
            <w:r w:rsidRPr="00B2412B">
              <w:rPr>
                <w:b/>
              </w:rPr>
              <w:t>Application</w:t>
            </w:r>
          </w:p>
        </w:tc>
        <w:tc>
          <w:tcPr>
            <w:tcW w:w="2841" w:type="dxa"/>
          </w:tcPr>
          <w:p w:rsidR="00F57F28" w:rsidRPr="00B2412B" w:rsidP="00D9403F">
            <w:pPr>
              <w:pStyle w:val="ParaNum"/>
              <w:numPr>
                <w:ilvl w:val="0"/>
                <w:numId w:val="0"/>
              </w:numPr>
              <w:rPr>
                <w:b/>
              </w:rPr>
            </w:pPr>
            <w:r w:rsidRPr="00B2412B">
              <w:rPr>
                <w:b/>
              </w:rPr>
              <w:t xml:space="preserve">Current </w:t>
            </w:r>
            <w:r>
              <w:rPr>
                <w:b/>
              </w:rPr>
              <w:t>Fe</w:t>
            </w:r>
            <w:r w:rsidRPr="00B2412B">
              <w:rPr>
                <w:b/>
              </w:rPr>
              <w:t>e</w:t>
            </w:r>
          </w:p>
        </w:tc>
        <w:tc>
          <w:tcPr>
            <w:tcW w:w="2838" w:type="dxa"/>
          </w:tcPr>
          <w:p w:rsidR="00F57F28" w:rsidRPr="00B2412B" w:rsidP="00D9403F">
            <w:pPr>
              <w:pStyle w:val="ParaNum"/>
              <w:numPr>
                <w:ilvl w:val="0"/>
                <w:numId w:val="0"/>
              </w:numPr>
              <w:rPr>
                <w:b/>
              </w:rPr>
            </w:pPr>
            <w:r w:rsidRPr="00B2412B">
              <w:rPr>
                <w:b/>
              </w:rPr>
              <w:t xml:space="preserve">Cost-based </w:t>
            </w:r>
            <w:r>
              <w:rPr>
                <w:b/>
              </w:rPr>
              <w:t>Fee</w:t>
            </w:r>
          </w:p>
        </w:tc>
      </w:tr>
      <w:tr w:rsidTr="00B13758">
        <w:tblPrEx>
          <w:tblW w:w="8630" w:type="dxa"/>
          <w:tblInd w:w="720" w:type="dxa"/>
          <w:tblLook w:val="04A0"/>
        </w:tblPrEx>
        <w:tc>
          <w:tcPr>
            <w:tcW w:w="2944" w:type="dxa"/>
          </w:tcPr>
          <w:p w:rsidR="00F57F28" w:rsidP="00D9403F">
            <w:pPr>
              <w:pStyle w:val="ParaNum"/>
              <w:numPr>
                <w:ilvl w:val="0"/>
                <w:numId w:val="0"/>
              </w:numPr>
            </w:pPr>
            <w:r>
              <w:t>Waivers, Part 61 and Part 69</w:t>
            </w:r>
          </w:p>
        </w:tc>
        <w:tc>
          <w:tcPr>
            <w:tcW w:w="2841" w:type="dxa"/>
          </w:tcPr>
          <w:p w:rsidR="00F57F28" w:rsidP="00D9403F">
            <w:pPr>
              <w:pStyle w:val="ParaNum"/>
              <w:numPr>
                <w:ilvl w:val="0"/>
                <w:numId w:val="0"/>
              </w:numPr>
            </w:pPr>
            <w:r>
              <w:t xml:space="preserve">$960 </w:t>
            </w:r>
          </w:p>
        </w:tc>
        <w:tc>
          <w:tcPr>
            <w:tcW w:w="2845" w:type="dxa"/>
            <w:gridSpan w:val="2"/>
          </w:tcPr>
          <w:p w:rsidR="00F57F28" w:rsidP="00D9403F">
            <w:pPr>
              <w:pStyle w:val="ParaNum"/>
              <w:numPr>
                <w:ilvl w:val="0"/>
                <w:numId w:val="0"/>
              </w:numPr>
            </w:pPr>
            <w:r>
              <w:t>Remove</w:t>
            </w:r>
          </w:p>
        </w:tc>
      </w:tr>
    </w:tbl>
    <w:p w:rsidR="00F57F28" w:rsidP="00F57F28">
      <w:pPr>
        <w:pStyle w:val="ParaNum"/>
        <w:numPr>
          <w:ilvl w:val="0"/>
          <w:numId w:val="0"/>
        </w:numPr>
      </w:pPr>
    </w:p>
    <w:p w:rsidR="00F57F28" w:rsidP="00F57F28">
      <w:pPr>
        <w:pStyle w:val="ParaNum"/>
      </w:pPr>
      <w:r>
        <w:t>We seek comment on this proposal.</w:t>
      </w:r>
    </w:p>
    <w:p w:rsidR="009B0FDA" w:rsidP="00B13758">
      <w:pPr>
        <w:pStyle w:val="ParaNum"/>
      </w:pPr>
      <w:bookmarkStart w:id="259" w:name="_Toc35268584"/>
      <w:bookmarkStart w:id="260" w:name="_Toc18066928"/>
      <w:bookmarkStart w:id="261" w:name="_Toc18939789"/>
      <w:bookmarkStart w:id="262" w:name="_Toc19795092"/>
      <w:bookmarkStart w:id="263" w:name="_Toc19796457"/>
      <w:bookmarkStart w:id="264" w:name="_Toc19796815"/>
      <w:bookmarkStart w:id="265" w:name="_Toc28005105"/>
      <w:bookmarkStart w:id="266" w:name="_Toc29557403"/>
      <w:r w:rsidRPr="00B13758">
        <w:rPr>
          <w:i/>
        </w:rPr>
        <w:t>Universal Service Fund Auctions</w:t>
      </w:r>
      <w:bookmarkEnd w:id="259"/>
      <w:r>
        <w:t xml:space="preserve">.  </w:t>
      </w:r>
      <w:bookmarkStart w:id="267" w:name="_Hlk43472609"/>
      <w:r>
        <w:t xml:space="preserve">A party must submit an application in order to participate in competitive bidding for universal service support.  </w:t>
      </w:r>
      <w:bookmarkEnd w:id="267"/>
      <w:r>
        <w:t>The Commission’s rules require that each universal service auction applicant submit specific information on its legal, financial, and technica</w:t>
      </w:r>
      <w:r>
        <w:t>l qualifications to participate in an auction.</w:t>
      </w:r>
      <w:r>
        <w:rPr>
          <w:rStyle w:val="FootnoteReference"/>
        </w:rPr>
        <w:footnoteReference w:id="75"/>
      </w:r>
      <w:r>
        <w:t xml:space="preserve">  Such applications are commonly referred to as a short-form application.  The Commission does not currently apply a fee to universal service auction short-form applications.  We propose to add a cost-based s</w:t>
      </w:r>
      <w:r>
        <w:t xml:space="preserve">hort-form application fee.  </w:t>
      </w:r>
    </w:p>
    <w:p w:rsidR="009B0FDA" w:rsidP="009B0FDA">
      <w:pPr>
        <w:pStyle w:val="ParaNum"/>
      </w:pPr>
      <w:r w:rsidRPr="00BA7BC6">
        <w:t>We estimate that the Commission’s costs in processing</w:t>
      </w:r>
      <w:r>
        <w:t xml:space="preserve"> a short-form application to participate in an auction for universal service support consist of attorney review, engineer technical review, and attorney supervisor legal revi</w:t>
      </w:r>
      <w:r>
        <w:t xml:space="preserve">ew.  Our estimate is that this process involves approximately $1,030 in costs.  </w:t>
      </w:r>
    </w:p>
    <w:p w:rsidR="009B0FDA" w:rsidP="009B0FDA">
      <w:pPr>
        <w:pStyle w:val="ParaNum"/>
      </w:pPr>
      <w:r>
        <w:t>Universal service auction winners are required to be authorized to receive universal service support through an application commonly referred to as a long-form application.  T</w:t>
      </w:r>
      <w:r>
        <w:t>he Commission reviews this application to determine if a winning bidder should be authorized to receive universal service support for its winning bids.  The Commission does not currently apply a fee to USF long form applications.  We propose to add a cost-</w:t>
      </w:r>
      <w:r>
        <w:t xml:space="preserve">based long form application fee.  </w:t>
      </w:r>
    </w:p>
    <w:p w:rsidR="009B0FDA" w:rsidP="009B0FDA">
      <w:pPr>
        <w:pStyle w:val="ParaNum"/>
      </w:pPr>
      <w:r w:rsidRPr="00BA7BC6">
        <w:t xml:space="preserve">We estimate that the Commission’s </w:t>
      </w:r>
      <w:r>
        <w:t>resource</w:t>
      </w:r>
      <w:r w:rsidRPr="00BA7BC6">
        <w:t>s in processing</w:t>
      </w:r>
      <w:r>
        <w:t xml:space="preserve"> a long-form application of a winning bidder after the auction to consist of the following: attorney review, engineer technical review, </w:t>
      </w:r>
      <w:r>
        <w:t>and attorney supervisor legal review.  Our estimate is that this process involves approximately $1,935 in costs.</w:t>
      </w:r>
    </w:p>
    <w:tbl>
      <w:tblPr>
        <w:tblStyle w:val="TableGrid"/>
        <w:tblW w:w="8690" w:type="dxa"/>
        <w:tblInd w:w="720" w:type="dxa"/>
        <w:tblLook w:val="04A0"/>
      </w:tblPr>
      <w:tblGrid>
        <w:gridCol w:w="2944"/>
        <w:gridCol w:w="2901"/>
        <w:gridCol w:w="2838"/>
        <w:gridCol w:w="7"/>
      </w:tblGrid>
      <w:tr w:rsidTr="00B13758">
        <w:tblPrEx>
          <w:tblW w:w="8690" w:type="dxa"/>
          <w:tblInd w:w="720" w:type="dxa"/>
          <w:tblLook w:val="04A0"/>
        </w:tblPrEx>
        <w:trPr>
          <w:gridAfter w:val="1"/>
          <w:wAfter w:w="7" w:type="dxa"/>
        </w:trPr>
        <w:tc>
          <w:tcPr>
            <w:tcW w:w="2944" w:type="dxa"/>
          </w:tcPr>
          <w:p w:rsidR="009B0FDA" w:rsidRPr="00B2412B" w:rsidP="009B0FDA">
            <w:pPr>
              <w:pStyle w:val="ParaNum"/>
              <w:numPr>
                <w:ilvl w:val="0"/>
                <w:numId w:val="0"/>
              </w:numPr>
              <w:rPr>
                <w:b/>
              </w:rPr>
            </w:pPr>
            <w:r w:rsidRPr="00B2412B">
              <w:rPr>
                <w:b/>
              </w:rPr>
              <w:t>Application</w:t>
            </w:r>
          </w:p>
        </w:tc>
        <w:tc>
          <w:tcPr>
            <w:tcW w:w="2901" w:type="dxa"/>
          </w:tcPr>
          <w:p w:rsidR="009B0FDA" w:rsidRPr="00B2412B" w:rsidP="009B0FDA">
            <w:pPr>
              <w:pStyle w:val="ParaNum"/>
              <w:numPr>
                <w:ilvl w:val="0"/>
                <w:numId w:val="0"/>
              </w:numPr>
              <w:rPr>
                <w:b/>
              </w:rPr>
            </w:pPr>
            <w:r w:rsidRPr="00B2412B">
              <w:rPr>
                <w:b/>
              </w:rPr>
              <w:t xml:space="preserve">Current </w:t>
            </w:r>
            <w:r>
              <w:rPr>
                <w:b/>
              </w:rPr>
              <w:t>Fe</w:t>
            </w:r>
            <w:r w:rsidRPr="00B2412B">
              <w:rPr>
                <w:b/>
              </w:rPr>
              <w:t>e</w:t>
            </w:r>
          </w:p>
        </w:tc>
        <w:tc>
          <w:tcPr>
            <w:tcW w:w="2838" w:type="dxa"/>
          </w:tcPr>
          <w:p w:rsidR="009B0FDA" w:rsidRPr="00B2412B" w:rsidP="009B0FDA">
            <w:pPr>
              <w:pStyle w:val="ParaNum"/>
              <w:numPr>
                <w:ilvl w:val="0"/>
                <w:numId w:val="0"/>
              </w:numPr>
              <w:rPr>
                <w:b/>
              </w:rPr>
            </w:pPr>
            <w:r w:rsidRPr="00B2412B">
              <w:rPr>
                <w:b/>
              </w:rPr>
              <w:t xml:space="preserve">Cost-based </w:t>
            </w:r>
            <w:r>
              <w:rPr>
                <w:b/>
              </w:rPr>
              <w:t>Fee</w:t>
            </w:r>
          </w:p>
        </w:tc>
      </w:tr>
      <w:tr w:rsidTr="006C483B">
        <w:tblPrEx>
          <w:tblW w:w="8690" w:type="dxa"/>
          <w:tblInd w:w="720" w:type="dxa"/>
          <w:tblLook w:val="04A0"/>
        </w:tblPrEx>
        <w:trPr>
          <w:gridAfter w:val="1"/>
          <w:wAfter w:w="7" w:type="dxa"/>
        </w:trPr>
        <w:tc>
          <w:tcPr>
            <w:tcW w:w="2944" w:type="dxa"/>
          </w:tcPr>
          <w:p w:rsidR="009B0FDA" w:rsidRPr="00B2412B" w:rsidP="009B0FDA">
            <w:pPr>
              <w:pStyle w:val="ParaNum"/>
              <w:numPr>
                <w:ilvl w:val="0"/>
                <w:numId w:val="0"/>
              </w:numPr>
              <w:rPr>
                <w:b/>
              </w:rPr>
            </w:pPr>
            <w:r>
              <w:t>Universal Service Short-Form Auction Application</w:t>
            </w:r>
          </w:p>
        </w:tc>
        <w:tc>
          <w:tcPr>
            <w:tcW w:w="2901" w:type="dxa"/>
          </w:tcPr>
          <w:p w:rsidR="009B0FDA" w:rsidRPr="00B2412B" w:rsidP="009B0FDA">
            <w:pPr>
              <w:pStyle w:val="ParaNum"/>
              <w:numPr>
                <w:ilvl w:val="0"/>
                <w:numId w:val="0"/>
              </w:numPr>
              <w:rPr>
                <w:b/>
              </w:rPr>
            </w:pPr>
            <w:r>
              <w:t>n/a</w:t>
            </w:r>
          </w:p>
        </w:tc>
        <w:tc>
          <w:tcPr>
            <w:tcW w:w="2838" w:type="dxa"/>
          </w:tcPr>
          <w:p w:rsidR="009B0FDA" w:rsidRPr="00B2412B" w:rsidP="009B0FDA">
            <w:pPr>
              <w:pStyle w:val="ParaNum"/>
              <w:numPr>
                <w:ilvl w:val="0"/>
                <w:numId w:val="0"/>
              </w:numPr>
              <w:rPr>
                <w:b/>
              </w:rPr>
            </w:pPr>
            <w:r>
              <w:t>$1,030</w:t>
            </w:r>
          </w:p>
        </w:tc>
      </w:tr>
      <w:tr w:rsidTr="00B13758">
        <w:tblPrEx>
          <w:tblW w:w="8690" w:type="dxa"/>
          <w:tblInd w:w="720" w:type="dxa"/>
          <w:tblLook w:val="04A0"/>
        </w:tblPrEx>
        <w:tc>
          <w:tcPr>
            <w:tcW w:w="2944" w:type="dxa"/>
          </w:tcPr>
          <w:p w:rsidR="009B0FDA" w:rsidP="009B0FDA">
            <w:pPr>
              <w:pStyle w:val="ParaNum"/>
              <w:numPr>
                <w:ilvl w:val="0"/>
                <w:numId w:val="0"/>
              </w:numPr>
            </w:pPr>
            <w:r>
              <w:t>Universal Service Long Form Auction Application</w:t>
            </w:r>
          </w:p>
        </w:tc>
        <w:tc>
          <w:tcPr>
            <w:tcW w:w="2901" w:type="dxa"/>
          </w:tcPr>
          <w:p w:rsidR="009B0FDA" w:rsidP="009B0FDA">
            <w:pPr>
              <w:pStyle w:val="ParaNum"/>
              <w:numPr>
                <w:ilvl w:val="0"/>
                <w:numId w:val="0"/>
              </w:numPr>
            </w:pPr>
            <w:r>
              <w:t>n/a</w:t>
            </w:r>
          </w:p>
        </w:tc>
        <w:tc>
          <w:tcPr>
            <w:tcW w:w="2845" w:type="dxa"/>
            <w:gridSpan w:val="2"/>
          </w:tcPr>
          <w:p w:rsidR="009B0FDA" w:rsidP="009B0FDA">
            <w:pPr>
              <w:pStyle w:val="ParaNum"/>
              <w:numPr>
                <w:ilvl w:val="0"/>
                <w:numId w:val="0"/>
              </w:numPr>
            </w:pPr>
            <w:r>
              <w:t>$1,935</w:t>
            </w:r>
          </w:p>
        </w:tc>
      </w:tr>
    </w:tbl>
    <w:p w:rsidR="009B0FDA" w:rsidP="009B0FDA">
      <w:pPr>
        <w:pStyle w:val="ParaNum"/>
        <w:numPr>
          <w:ilvl w:val="0"/>
          <w:numId w:val="0"/>
        </w:numPr>
      </w:pPr>
    </w:p>
    <w:p w:rsidR="009B0FDA" w:rsidP="009B0FDA">
      <w:pPr>
        <w:pStyle w:val="ParaNum"/>
      </w:pPr>
      <w:r w:rsidRPr="00255556">
        <w:t>We seek comment on this proposal.</w:t>
      </w:r>
      <w:r>
        <w:t xml:space="preserve">  As with auctions for spectrum licenses, should we consider consolidating the short-form and long-form application fees so that only winning bidders would be required to pay a combined application fee?  Would such an approach alleviate the possibility tha</w:t>
      </w:r>
      <w:r>
        <w:t xml:space="preserve">t establishing a fee for filing an auction application—regardless of whether support is ultimately won—might suppress competition in an auction and </w:t>
      </w:r>
      <w:r w:rsidRPr="00034649">
        <w:t>reduce the cost-efficiencies and other benefits that would otherwise be achieved by using competitive biddin</w:t>
      </w:r>
      <w:r w:rsidRPr="00034649">
        <w:t>g</w:t>
      </w:r>
      <w:r w:rsidR="00741F7F">
        <w:t>?</w:t>
      </w:r>
      <w:r w:rsidRPr="00CB14D9">
        <w:t xml:space="preserve">  Could this approach reduce the likelihood that the amendment of </w:t>
      </w:r>
      <w:r>
        <w:t>s</w:t>
      </w:r>
      <w:r w:rsidRPr="00CB14D9">
        <w:t>ection 8 would have the unint</w:t>
      </w:r>
      <w:r w:rsidRPr="00ED08B7">
        <w:t xml:space="preserve">ended consequence of raising additional funds for the U.S. Treasury at the expense of a less efficient distribution of universal service support funds?  </w:t>
      </w:r>
    </w:p>
    <w:p w:rsidR="007B5429" w:rsidRPr="0059512C" w:rsidP="007B5429">
      <w:pPr>
        <w:pStyle w:val="ParaNum"/>
        <w:widowControl/>
        <w:spacing w:line="259" w:lineRule="auto"/>
        <w:rPr>
          <w:szCs w:val="22"/>
        </w:rPr>
      </w:pPr>
      <w:bookmarkStart w:id="268" w:name="_Toc35268585"/>
      <w:r w:rsidRPr="0060706A">
        <w:rPr>
          <w:i/>
        </w:rPr>
        <w:t>Acco</w:t>
      </w:r>
      <w:r w:rsidRPr="0060706A">
        <w:rPr>
          <w:i/>
        </w:rPr>
        <w:t>unting</w:t>
      </w:r>
      <w:bookmarkEnd w:id="260"/>
      <w:bookmarkEnd w:id="261"/>
      <w:bookmarkEnd w:id="262"/>
      <w:bookmarkEnd w:id="263"/>
      <w:bookmarkEnd w:id="264"/>
      <w:bookmarkEnd w:id="265"/>
      <w:bookmarkEnd w:id="266"/>
      <w:bookmarkEnd w:id="268"/>
      <w:r w:rsidRPr="00B13758" w:rsidR="00A57A27">
        <w:rPr>
          <w:i/>
        </w:rPr>
        <w:t>.</w:t>
      </w:r>
      <w:r>
        <w:rPr>
          <w:szCs w:val="22"/>
        </w:rPr>
        <w:t xml:space="preserve"> </w:t>
      </w:r>
      <w:r w:rsidR="00A57A27">
        <w:rPr>
          <w:szCs w:val="22"/>
        </w:rPr>
        <w:t xml:space="preserve"> </w:t>
      </w:r>
      <w:r w:rsidRPr="0059512C">
        <w:rPr>
          <w:szCs w:val="22"/>
        </w:rPr>
        <w:t>Currently, the fee for review of a depreciation update study for a single state is $40,465.  The fee for each additional state is $1,335.  We have not had an application for a depreciation update study in many years and we propose to eliminate the</w:t>
      </w:r>
      <w:r w:rsidRPr="0059512C">
        <w:rPr>
          <w:szCs w:val="22"/>
        </w:rPr>
        <w:t xml:space="preserve">se application fees from the fee schedule.  </w:t>
      </w:r>
    </w:p>
    <w:p w:rsidR="007D49BB" w:rsidRPr="0059512C" w:rsidP="00864296">
      <w:pPr>
        <w:pStyle w:val="ParaNum"/>
        <w:rPr>
          <w:szCs w:val="22"/>
        </w:rPr>
      </w:pPr>
      <w:r w:rsidRPr="0059512C">
        <w:rPr>
          <w:szCs w:val="22"/>
        </w:rPr>
        <w:t>Parties may petition for a waiver of part 69 accounting rules, part 32 accounting rules, part 43 reporting requirements, part 64 allocation of costs rules, part 65 rate of return rules, or part 36 of the separat</w:t>
      </w:r>
      <w:r w:rsidRPr="0059512C">
        <w:rPr>
          <w:szCs w:val="22"/>
        </w:rPr>
        <w:t xml:space="preserve">ion rules.  </w:t>
      </w:r>
      <w:r w:rsidR="00F57F28">
        <w:t xml:space="preserve">The Commission has a complex set of accounting requirements and proposes assessment of a fee for requests for deviation from such requirements. </w:t>
      </w:r>
      <w:r w:rsidRPr="0059512C" w:rsidR="00864296">
        <w:rPr>
          <w:szCs w:val="22"/>
        </w:rPr>
        <w:t xml:space="preserve">We propose and seek comment on adopting the following cost-based fees for these applications—and we give as an example the current fees for these services.  </w:t>
      </w:r>
    </w:p>
    <w:tbl>
      <w:tblPr>
        <w:tblStyle w:val="TableGrid"/>
        <w:tblW w:w="8545" w:type="dxa"/>
        <w:tblInd w:w="720" w:type="dxa"/>
        <w:tblLook w:val="04A0"/>
      </w:tblPr>
      <w:tblGrid>
        <w:gridCol w:w="2944"/>
        <w:gridCol w:w="2841"/>
        <w:gridCol w:w="2760"/>
      </w:tblGrid>
      <w:tr w:rsidTr="00B13758">
        <w:tblPrEx>
          <w:tblW w:w="8545" w:type="dxa"/>
          <w:tblInd w:w="720" w:type="dxa"/>
          <w:tblLook w:val="04A0"/>
        </w:tblPrEx>
        <w:tc>
          <w:tcPr>
            <w:tcW w:w="2944" w:type="dxa"/>
          </w:tcPr>
          <w:p w:rsidR="007D49BB" w:rsidRPr="0059512C" w:rsidP="002643FA">
            <w:pPr>
              <w:pStyle w:val="ParaNum"/>
              <w:numPr>
                <w:ilvl w:val="0"/>
                <w:numId w:val="0"/>
              </w:numPr>
              <w:rPr>
                <w:b/>
                <w:szCs w:val="22"/>
              </w:rPr>
            </w:pPr>
            <w:r w:rsidRPr="0059512C">
              <w:rPr>
                <w:b/>
                <w:szCs w:val="22"/>
              </w:rPr>
              <w:t>Application</w:t>
            </w:r>
          </w:p>
        </w:tc>
        <w:tc>
          <w:tcPr>
            <w:tcW w:w="2841" w:type="dxa"/>
          </w:tcPr>
          <w:p w:rsidR="007D49BB" w:rsidRPr="0059512C" w:rsidP="002643FA">
            <w:pPr>
              <w:pStyle w:val="ParaNum"/>
              <w:numPr>
                <w:ilvl w:val="0"/>
                <w:numId w:val="0"/>
              </w:numPr>
              <w:rPr>
                <w:b/>
                <w:szCs w:val="22"/>
              </w:rPr>
            </w:pPr>
            <w:r w:rsidRPr="0059512C">
              <w:rPr>
                <w:b/>
                <w:szCs w:val="22"/>
              </w:rPr>
              <w:t>Current Fee</w:t>
            </w:r>
          </w:p>
        </w:tc>
        <w:tc>
          <w:tcPr>
            <w:tcW w:w="2760" w:type="dxa"/>
          </w:tcPr>
          <w:p w:rsidR="007D49BB" w:rsidRPr="0059512C" w:rsidP="002643FA">
            <w:pPr>
              <w:pStyle w:val="ParaNum"/>
              <w:numPr>
                <w:ilvl w:val="0"/>
                <w:numId w:val="0"/>
              </w:numPr>
              <w:rPr>
                <w:b/>
                <w:szCs w:val="22"/>
              </w:rPr>
            </w:pPr>
            <w:r w:rsidRPr="0059512C">
              <w:rPr>
                <w:b/>
                <w:szCs w:val="22"/>
              </w:rPr>
              <w:t>Cost-based Fee</w:t>
            </w:r>
          </w:p>
        </w:tc>
      </w:tr>
      <w:tr w:rsidTr="00B13758">
        <w:tblPrEx>
          <w:tblW w:w="8545" w:type="dxa"/>
          <w:tblInd w:w="720" w:type="dxa"/>
          <w:tblLook w:val="04A0"/>
        </w:tblPrEx>
        <w:tc>
          <w:tcPr>
            <w:tcW w:w="2944" w:type="dxa"/>
          </w:tcPr>
          <w:p w:rsidR="00F0706D" w:rsidRPr="0059512C" w:rsidP="002643FA">
            <w:pPr>
              <w:pStyle w:val="ParaNum"/>
              <w:numPr>
                <w:ilvl w:val="0"/>
                <w:numId w:val="0"/>
              </w:numPr>
              <w:rPr>
                <w:szCs w:val="22"/>
              </w:rPr>
            </w:pPr>
            <w:r w:rsidRPr="0059512C">
              <w:rPr>
                <w:szCs w:val="22"/>
              </w:rPr>
              <w:t>Accounting studies-Depreciation Update Study</w:t>
            </w:r>
          </w:p>
        </w:tc>
        <w:tc>
          <w:tcPr>
            <w:tcW w:w="2841" w:type="dxa"/>
          </w:tcPr>
          <w:p w:rsidR="00F0706D" w:rsidRPr="0059512C" w:rsidP="002643FA">
            <w:pPr>
              <w:pStyle w:val="ParaNum"/>
              <w:numPr>
                <w:ilvl w:val="0"/>
                <w:numId w:val="0"/>
              </w:numPr>
              <w:rPr>
                <w:szCs w:val="22"/>
              </w:rPr>
            </w:pPr>
            <w:r w:rsidRPr="0059512C">
              <w:rPr>
                <w:szCs w:val="22"/>
              </w:rPr>
              <w:t>$40,465</w:t>
            </w:r>
          </w:p>
        </w:tc>
        <w:tc>
          <w:tcPr>
            <w:tcW w:w="2760" w:type="dxa"/>
          </w:tcPr>
          <w:p w:rsidR="00F0706D" w:rsidRPr="0059512C" w:rsidP="002643FA">
            <w:pPr>
              <w:pStyle w:val="ParaNum"/>
              <w:numPr>
                <w:ilvl w:val="0"/>
                <w:numId w:val="0"/>
              </w:numPr>
              <w:rPr>
                <w:szCs w:val="22"/>
              </w:rPr>
            </w:pPr>
            <w:r w:rsidRPr="0059512C">
              <w:rPr>
                <w:szCs w:val="22"/>
              </w:rPr>
              <w:t>Remove</w:t>
            </w:r>
          </w:p>
        </w:tc>
      </w:tr>
      <w:tr w:rsidTr="00B13758">
        <w:tblPrEx>
          <w:tblW w:w="8545" w:type="dxa"/>
          <w:tblInd w:w="720" w:type="dxa"/>
          <w:tblLook w:val="04A0"/>
        </w:tblPrEx>
        <w:tc>
          <w:tcPr>
            <w:tcW w:w="2944" w:type="dxa"/>
          </w:tcPr>
          <w:p w:rsidR="00F0706D" w:rsidRPr="0059512C" w:rsidP="002643FA">
            <w:pPr>
              <w:pStyle w:val="ParaNum"/>
              <w:numPr>
                <w:ilvl w:val="0"/>
                <w:numId w:val="0"/>
              </w:numPr>
              <w:rPr>
                <w:szCs w:val="22"/>
              </w:rPr>
            </w:pPr>
            <w:r w:rsidRPr="0059512C">
              <w:rPr>
                <w:szCs w:val="22"/>
              </w:rPr>
              <w:t>Waiver of Accounting Rules</w:t>
            </w:r>
          </w:p>
        </w:tc>
        <w:tc>
          <w:tcPr>
            <w:tcW w:w="2841" w:type="dxa"/>
          </w:tcPr>
          <w:p w:rsidR="00F0706D" w:rsidRPr="0059512C" w:rsidP="002643FA">
            <w:pPr>
              <w:pStyle w:val="ParaNum"/>
              <w:numPr>
                <w:ilvl w:val="0"/>
                <w:numId w:val="0"/>
              </w:numPr>
              <w:rPr>
                <w:szCs w:val="22"/>
              </w:rPr>
            </w:pPr>
            <w:r w:rsidRPr="0059512C">
              <w:rPr>
                <w:szCs w:val="22"/>
              </w:rPr>
              <w:t>$9,120</w:t>
            </w:r>
          </w:p>
        </w:tc>
        <w:tc>
          <w:tcPr>
            <w:tcW w:w="2760" w:type="dxa"/>
          </w:tcPr>
          <w:p w:rsidR="00F0706D" w:rsidRPr="0059512C" w:rsidP="002643FA">
            <w:pPr>
              <w:pStyle w:val="ParaNum"/>
              <w:numPr>
                <w:ilvl w:val="0"/>
                <w:numId w:val="0"/>
              </w:numPr>
              <w:rPr>
                <w:szCs w:val="22"/>
              </w:rPr>
            </w:pPr>
            <w:r w:rsidRPr="0059512C">
              <w:rPr>
                <w:szCs w:val="22"/>
              </w:rPr>
              <w:t>$4,</w:t>
            </w:r>
            <w:r w:rsidRPr="0059512C" w:rsidR="009F0CE0">
              <w:rPr>
                <w:szCs w:val="22"/>
              </w:rPr>
              <w:t>415</w:t>
            </w:r>
          </w:p>
        </w:tc>
      </w:tr>
    </w:tbl>
    <w:p w:rsidR="007D49BB" w:rsidRPr="0059512C" w:rsidP="007D49BB">
      <w:pPr>
        <w:pStyle w:val="ParaNum"/>
        <w:numPr>
          <w:ilvl w:val="0"/>
          <w:numId w:val="0"/>
        </w:numPr>
        <w:rPr>
          <w:szCs w:val="22"/>
        </w:rPr>
      </w:pPr>
    </w:p>
    <w:p w:rsidR="00EF62C6" w:rsidRPr="004E3D8B" w:rsidP="004E3D8B">
      <w:pPr>
        <w:pStyle w:val="ParaNum"/>
        <w:rPr>
          <w:szCs w:val="22"/>
        </w:rPr>
      </w:pPr>
      <w:r w:rsidRPr="0059512C">
        <w:rPr>
          <w:szCs w:val="22"/>
        </w:rPr>
        <w:t>P</w:t>
      </w:r>
      <w:r w:rsidRPr="0059512C" w:rsidR="007B5429">
        <w:rPr>
          <w:szCs w:val="22"/>
        </w:rPr>
        <w:t xml:space="preserve">etitions </w:t>
      </w:r>
      <w:r w:rsidRPr="0059512C">
        <w:rPr>
          <w:szCs w:val="22"/>
        </w:rPr>
        <w:t xml:space="preserve">for waiver </w:t>
      </w:r>
      <w:r w:rsidRPr="0059512C" w:rsidR="007B5429">
        <w:rPr>
          <w:szCs w:val="22"/>
        </w:rPr>
        <w:t xml:space="preserve">are reviewed by staff who draft a </w:t>
      </w:r>
      <w:r w:rsidR="007E6F96">
        <w:rPr>
          <w:szCs w:val="22"/>
        </w:rPr>
        <w:t>b</w:t>
      </w:r>
      <w:r w:rsidRPr="0059512C" w:rsidR="007B5429">
        <w:rPr>
          <w:szCs w:val="22"/>
        </w:rPr>
        <w:t xml:space="preserve">ureau or Commission level order addressing the petition.  We estimate that the Commission’s </w:t>
      </w:r>
      <w:r w:rsidRPr="0059512C" w:rsidR="005E326F">
        <w:rPr>
          <w:szCs w:val="22"/>
        </w:rPr>
        <w:t>resources</w:t>
      </w:r>
      <w:r w:rsidRPr="0059512C" w:rsidR="007B5429">
        <w:rPr>
          <w:szCs w:val="22"/>
        </w:rPr>
        <w:t xml:space="preserve"> in processing a typical waiver application for one of these categories consist of the following:  attorney/accountant assisting applicants with filing, application input, application intake, attorney/accountant drafting and releasing a public notice, reviewing the record, and drafting an order, attorney/accountant coordinating order, program specialist releasing order and posting on website, and supervision of this entire process by an attorney/accountant.  Our estimate is that the cost of this process is $4,</w:t>
      </w:r>
      <w:r w:rsidRPr="0059512C" w:rsidR="00C84E5F">
        <w:rPr>
          <w:szCs w:val="22"/>
        </w:rPr>
        <w:t>415</w:t>
      </w:r>
      <w:r w:rsidRPr="0059512C" w:rsidR="007B5429">
        <w:rPr>
          <w:szCs w:val="22"/>
        </w:rPr>
        <w:t xml:space="preserve">.  </w:t>
      </w:r>
      <w:r w:rsidRPr="004E3D8B">
        <w:rPr>
          <w:szCs w:val="22"/>
        </w:rPr>
        <w:t>We seek comment on th</w:t>
      </w:r>
      <w:r w:rsidRPr="004E3D8B" w:rsidR="00F62A58">
        <w:rPr>
          <w:szCs w:val="22"/>
        </w:rPr>
        <w:t>ese</w:t>
      </w:r>
      <w:r w:rsidRPr="004E3D8B">
        <w:rPr>
          <w:szCs w:val="22"/>
        </w:rPr>
        <w:t xml:space="preserve"> proposal</w:t>
      </w:r>
      <w:r w:rsidRPr="004E3D8B" w:rsidR="00F62A58">
        <w:rPr>
          <w:szCs w:val="22"/>
        </w:rPr>
        <w:t>s</w:t>
      </w:r>
      <w:r w:rsidRPr="004E3D8B">
        <w:rPr>
          <w:szCs w:val="22"/>
        </w:rPr>
        <w:t xml:space="preserve">.  </w:t>
      </w:r>
    </w:p>
    <w:p w:rsidR="007B5429" w:rsidRPr="0059512C" w:rsidP="007B5429">
      <w:pPr>
        <w:pStyle w:val="Heading4"/>
        <w:rPr>
          <w:szCs w:val="22"/>
        </w:rPr>
      </w:pPr>
      <w:bookmarkStart w:id="269" w:name="_Toc16611320"/>
      <w:bookmarkStart w:id="270" w:name="_Toc17709351"/>
      <w:bookmarkStart w:id="271" w:name="_Toc17972530"/>
      <w:bookmarkStart w:id="272" w:name="_Toc18066929"/>
      <w:bookmarkStart w:id="273" w:name="_Toc18939790"/>
      <w:bookmarkStart w:id="274" w:name="_Toc19795093"/>
      <w:bookmarkStart w:id="275" w:name="_Toc19796458"/>
      <w:bookmarkStart w:id="276" w:name="_Toc19796816"/>
      <w:bookmarkStart w:id="277" w:name="_Toc22299867"/>
      <w:bookmarkStart w:id="278" w:name="_Toc24453219"/>
      <w:bookmarkStart w:id="279" w:name="_Toc28005106"/>
      <w:bookmarkStart w:id="280" w:name="_Toc29557404"/>
      <w:bookmarkStart w:id="281" w:name="_Toc30085375"/>
      <w:bookmarkStart w:id="282" w:name="_Toc31033141"/>
      <w:bookmarkStart w:id="283" w:name="_Toc31288153"/>
      <w:bookmarkStart w:id="284" w:name="_Toc31980687"/>
      <w:bookmarkStart w:id="285" w:name="_Toc35268586"/>
      <w:r w:rsidRPr="0059512C">
        <w:rPr>
          <w:szCs w:val="22"/>
        </w:rPr>
        <w:t>Enforcement Services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59512C" w:rsidR="00FD431E">
        <w:rPr>
          <w:szCs w:val="22"/>
        </w:rPr>
        <w:t xml:space="preserve"> </w:t>
      </w:r>
    </w:p>
    <w:p w:rsidR="000B46AA" w:rsidRPr="00F4003D" w:rsidP="000A75E5">
      <w:pPr>
        <w:pStyle w:val="ParaNum"/>
        <w:rPr>
          <w:szCs w:val="22"/>
        </w:rPr>
      </w:pPr>
      <w:r w:rsidRPr="0059512C">
        <w:t>The Enforcement Bureau processes applications for t</w:t>
      </w:r>
      <w:r w:rsidRPr="0059512C">
        <w:t>he services listed in section 1.1106 of the Commission’s rules</w:t>
      </w:r>
      <w:r w:rsidR="007E6F96">
        <w:t>, s</w:t>
      </w:r>
      <w:r w:rsidRPr="0059512C" w:rsidR="007E6F96">
        <w:t xml:space="preserve">pecifically, </w:t>
      </w:r>
      <w:r w:rsidR="007E6F96">
        <w:t>F</w:t>
      </w:r>
      <w:r w:rsidRPr="0059512C" w:rsidR="007E6F96">
        <w:t xml:space="preserve">ormal </w:t>
      </w:r>
      <w:r w:rsidR="007E6F96">
        <w:t>C</w:t>
      </w:r>
      <w:r w:rsidRPr="0059512C" w:rsidR="007E6F96">
        <w:t xml:space="preserve">omplaints, </w:t>
      </w:r>
      <w:r w:rsidR="007E6F96">
        <w:t>A</w:t>
      </w:r>
      <w:r w:rsidRPr="0059512C" w:rsidR="007E6F96">
        <w:t xml:space="preserve">ccounting and </w:t>
      </w:r>
      <w:r w:rsidR="007E6F96">
        <w:t>A</w:t>
      </w:r>
      <w:r w:rsidRPr="0059512C" w:rsidR="007E6F96">
        <w:t>udits, Development and Review of Agreed upon Procedures Engagement, and Pole Attachment Complain</w:t>
      </w:r>
      <w:r w:rsidR="007E6F96">
        <w:t>ts</w:t>
      </w:r>
      <w:r w:rsidRPr="0059512C">
        <w:t>.</w:t>
      </w:r>
      <w:r>
        <w:rPr>
          <w:rStyle w:val="FootnoteReference"/>
        </w:rPr>
        <w:footnoteReference w:id="76"/>
      </w:r>
      <w:r w:rsidRPr="0059512C">
        <w:t xml:space="preserve"> </w:t>
      </w:r>
      <w:r w:rsidRPr="0059512C" w:rsidR="00DD4028">
        <w:t xml:space="preserve"> </w:t>
      </w:r>
    </w:p>
    <w:p w:rsidR="007B5429" w:rsidRPr="000A75E5" w:rsidP="000A75E5">
      <w:pPr>
        <w:pStyle w:val="ParaNum"/>
        <w:rPr>
          <w:szCs w:val="22"/>
        </w:rPr>
      </w:pPr>
      <w:r w:rsidRPr="00B97438">
        <w:rPr>
          <w:szCs w:val="22"/>
        </w:rPr>
        <w:t xml:space="preserve">The Commission also processes </w:t>
      </w:r>
      <w:r w:rsidRPr="00B97438">
        <w:rPr>
          <w:szCs w:val="22"/>
        </w:rPr>
        <w:t>informal consumer complaints through the Consumer and Governmental Affairs Bureau’s Consumer Complaint Center.</w:t>
      </w:r>
      <w:r>
        <w:rPr>
          <w:rStyle w:val="FootnoteReference"/>
          <w:szCs w:val="22"/>
        </w:rPr>
        <w:footnoteReference w:id="77"/>
      </w:r>
      <w:r w:rsidRPr="00B97438">
        <w:rPr>
          <w:szCs w:val="22"/>
        </w:rPr>
        <w:t xml:space="preserve">  The informal consumer complaint process provides consumers with an efficient and effective way to file complaints involving various telecommun</w:t>
      </w:r>
      <w:r w:rsidRPr="00B97438">
        <w:rPr>
          <w:szCs w:val="22"/>
        </w:rPr>
        <w:t>ications issues. Informal consumer complaints involving billing and service issues are served on the consumer’s provider.  The provider is required to respond to the consumer and the Commission within 30 days.  Other informal consumer complaints, including</w:t>
      </w:r>
      <w:r w:rsidRPr="00B97438">
        <w:rPr>
          <w:szCs w:val="22"/>
        </w:rPr>
        <w:t xml:space="preserve"> unwanted call complaints, are shared among Commission </w:t>
      </w:r>
      <w:r w:rsidR="007E6F96">
        <w:rPr>
          <w:szCs w:val="22"/>
        </w:rPr>
        <w:t>b</w:t>
      </w:r>
      <w:r w:rsidRPr="00B97438">
        <w:rPr>
          <w:szCs w:val="22"/>
        </w:rPr>
        <w:t xml:space="preserve">ureaus and </w:t>
      </w:r>
      <w:r w:rsidR="007E6F96">
        <w:rPr>
          <w:szCs w:val="22"/>
        </w:rPr>
        <w:t>o</w:t>
      </w:r>
      <w:r w:rsidRPr="00B97438">
        <w:rPr>
          <w:szCs w:val="22"/>
        </w:rPr>
        <w:t>ffices to inform policy and potential enforcement actions.  Informal consumer complaints provide the Commission with relevant data that helps us keep a pulse on what consumers are experien</w:t>
      </w:r>
      <w:r w:rsidRPr="00B97438">
        <w:rPr>
          <w:szCs w:val="22"/>
        </w:rPr>
        <w:t xml:space="preserve">cing, and serves as a deterrent to the companies the Commission regulates.  We do find that such informal consumer complaints are </w:t>
      </w:r>
      <w:r w:rsidR="000B46AA">
        <w:rPr>
          <w:szCs w:val="22"/>
        </w:rPr>
        <w:t xml:space="preserve">not </w:t>
      </w:r>
      <w:r w:rsidRPr="00B97438">
        <w:rPr>
          <w:szCs w:val="22"/>
        </w:rPr>
        <w:t>applications as contemplated under section 8 of the Act</w:t>
      </w:r>
      <w:r w:rsidR="009F6361">
        <w:rPr>
          <w:szCs w:val="22"/>
        </w:rPr>
        <w:t xml:space="preserve">. </w:t>
      </w:r>
      <w:r w:rsidRPr="00B97438">
        <w:rPr>
          <w:szCs w:val="22"/>
        </w:rPr>
        <w:t xml:space="preserve"> </w:t>
      </w:r>
      <w:r w:rsidR="009F6361">
        <w:rPr>
          <w:szCs w:val="22"/>
        </w:rPr>
        <w:t>Moreover, we believe</w:t>
      </w:r>
      <w:r w:rsidRPr="00B97438" w:rsidR="009F6361">
        <w:rPr>
          <w:szCs w:val="22"/>
        </w:rPr>
        <w:t xml:space="preserve"> </w:t>
      </w:r>
      <w:r w:rsidRPr="00B97438">
        <w:rPr>
          <w:szCs w:val="22"/>
        </w:rPr>
        <w:t xml:space="preserve">that the public interest would be served </w:t>
      </w:r>
      <w:r w:rsidR="009F6361">
        <w:rPr>
          <w:szCs w:val="22"/>
        </w:rPr>
        <w:t xml:space="preserve">best </w:t>
      </w:r>
      <w:r w:rsidRPr="00B97438">
        <w:rPr>
          <w:szCs w:val="22"/>
        </w:rPr>
        <w:t xml:space="preserve">by assessing </w:t>
      </w:r>
      <w:r w:rsidR="009F6361">
        <w:rPr>
          <w:szCs w:val="22"/>
        </w:rPr>
        <w:t xml:space="preserve">no </w:t>
      </w:r>
      <w:r w:rsidRPr="00B97438">
        <w:rPr>
          <w:szCs w:val="22"/>
        </w:rPr>
        <w:t>fee</w:t>
      </w:r>
      <w:r w:rsidR="009F6361">
        <w:rPr>
          <w:szCs w:val="22"/>
        </w:rPr>
        <w:t xml:space="preserve"> whatsoever</w:t>
      </w:r>
      <w:r w:rsidRPr="00B97438">
        <w:rPr>
          <w:szCs w:val="22"/>
        </w:rPr>
        <w:t xml:space="preserve"> for </w:t>
      </w:r>
      <w:r w:rsidR="009F6361">
        <w:rPr>
          <w:szCs w:val="22"/>
        </w:rPr>
        <w:t xml:space="preserve">the submission of </w:t>
      </w:r>
      <w:r w:rsidRPr="00B97438">
        <w:rPr>
          <w:szCs w:val="22"/>
        </w:rPr>
        <w:t>informal consumer complaints</w:t>
      </w:r>
      <w:r w:rsidR="000A75E5">
        <w:rPr>
          <w:szCs w:val="22"/>
        </w:rPr>
        <w:t>.</w:t>
      </w:r>
      <w:r w:rsidRPr="00B97438">
        <w:rPr>
          <w:szCs w:val="22"/>
        </w:rPr>
        <w:t xml:space="preserve">  </w:t>
      </w:r>
    </w:p>
    <w:p w:rsidR="007B5429" w:rsidRPr="0059512C" w:rsidP="00864296">
      <w:pPr>
        <w:pStyle w:val="ParaNum"/>
        <w:rPr>
          <w:szCs w:val="22"/>
        </w:rPr>
      </w:pPr>
      <w:bookmarkStart w:id="286" w:name="_Toc18066930"/>
      <w:bookmarkStart w:id="287" w:name="_Toc18939791"/>
      <w:bookmarkStart w:id="288" w:name="_Toc19795094"/>
      <w:bookmarkStart w:id="289" w:name="_Toc19796459"/>
      <w:bookmarkStart w:id="290" w:name="_Toc19796817"/>
      <w:bookmarkStart w:id="291" w:name="_Toc28005107"/>
      <w:bookmarkStart w:id="292" w:name="_Toc29557405"/>
      <w:bookmarkStart w:id="293" w:name="_Toc35268587"/>
      <w:r w:rsidRPr="00B40B97">
        <w:rPr>
          <w:bCs/>
          <w:i/>
        </w:rPr>
        <w:t>Formal Complaints and Pole Attachment Complaints</w:t>
      </w:r>
      <w:bookmarkEnd w:id="286"/>
      <w:bookmarkEnd w:id="287"/>
      <w:bookmarkEnd w:id="288"/>
      <w:bookmarkEnd w:id="289"/>
      <w:bookmarkEnd w:id="290"/>
      <w:bookmarkEnd w:id="291"/>
      <w:bookmarkEnd w:id="292"/>
      <w:bookmarkEnd w:id="293"/>
      <w:r>
        <w:rPr>
          <w:szCs w:val="22"/>
        </w:rPr>
        <w:t xml:space="preserve">.  </w:t>
      </w:r>
      <w:r w:rsidRPr="0059512C">
        <w:rPr>
          <w:szCs w:val="22"/>
        </w:rPr>
        <w:t xml:space="preserve">Section 208 of the Act provides for the filing of </w:t>
      </w:r>
      <w:r w:rsidRPr="0059512C" w:rsidR="00DD4028">
        <w:rPr>
          <w:szCs w:val="22"/>
        </w:rPr>
        <w:t xml:space="preserve">formal </w:t>
      </w:r>
      <w:r w:rsidRPr="0059512C">
        <w:rPr>
          <w:szCs w:val="22"/>
        </w:rPr>
        <w:t xml:space="preserve">complaints against common carriers.  Section 224 of the Act </w:t>
      </w:r>
      <w:r w:rsidRPr="0059512C">
        <w:rPr>
          <w:szCs w:val="22"/>
        </w:rPr>
        <w:t>states that the Commission has a duty to ensure that the rates, terms, and conditions for pole attachments are just and reasonable, and that cable television systems and telecommunications carriers have non-discriminatory access to utility poles, ducts, co</w:t>
      </w:r>
      <w:r w:rsidRPr="0059512C">
        <w:rPr>
          <w:szCs w:val="22"/>
        </w:rPr>
        <w:t xml:space="preserve">nduits, and rights-of-way.  Sections 1.720-1.740 and 1.1401-1.1414 of the Commission’s rules govern formal section 208 and section 224 complaints.  The rules require the filing of a complaint, </w:t>
      </w:r>
      <w:r w:rsidR="007E6F96">
        <w:rPr>
          <w:szCs w:val="22"/>
        </w:rPr>
        <w:t xml:space="preserve">an </w:t>
      </w:r>
      <w:r w:rsidRPr="0059512C">
        <w:rPr>
          <w:szCs w:val="22"/>
        </w:rPr>
        <w:t xml:space="preserve">answer, </w:t>
      </w:r>
      <w:r w:rsidR="007E6F96">
        <w:rPr>
          <w:szCs w:val="22"/>
        </w:rPr>
        <w:t xml:space="preserve">a </w:t>
      </w:r>
      <w:r w:rsidRPr="0059512C">
        <w:rPr>
          <w:szCs w:val="22"/>
        </w:rPr>
        <w:t xml:space="preserve">reply, and often discovery, motions, and briefs.  </w:t>
      </w:r>
      <w:r w:rsidRPr="0059512C">
        <w:rPr>
          <w:szCs w:val="22"/>
        </w:rPr>
        <w:t xml:space="preserve">A formal complaint must contain as much factual support as possible at the filing stage, including specific facts and proof regarding all claims in the complaint.  </w:t>
      </w:r>
      <w:r w:rsidRPr="0059512C" w:rsidR="00191B91">
        <w:rPr>
          <w:szCs w:val="22"/>
        </w:rPr>
        <w:t xml:space="preserve">The following table summarizes the current application fees and the proposed cost-based fees.  </w:t>
      </w:r>
      <w:r w:rsidRPr="0059512C" w:rsidR="00864296">
        <w:rPr>
          <w:szCs w:val="22"/>
        </w:rPr>
        <w:t xml:space="preserve">We propose and seek comment on adopting the following cost-based fees for these applications—and we give as an example the current fees for these services.  </w:t>
      </w:r>
    </w:p>
    <w:tbl>
      <w:tblPr>
        <w:tblStyle w:val="TableGrid"/>
        <w:tblW w:w="0" w:type="auto"/>
        <w:tblInd w:w="720" w:type="dxa"/>
        <w:tblLook w:val="04A0"/>
      </w:tblPr>
      <w:tblGrid>
        <w:gridCol w:w="2920"/>
        <w:gridCol w:w="24"/>
        <w:gridCol w:w="2841"/>
        <w:gridCol w:w="7"/>
        <w:gridCol w:w="2838"/>
      </w:tblGrid>
      <w:tr w:rsidTr="00F62A58">
        <w:tblPrEx>
          <w:tblW w:w="0" w:type="auto"/>
          <w:tblInd w:w="720" w:type="dxa"/>
          <w:tblLook w:val="04A0"/>
        </w:tblPrEx>
        <w:tc>
          <w:tcPr>
            <w:tcW w:w="2920" w:type="dxa"/>
          </w:tcPr>
          <w:p w:rsidR="006E6A02" w:rsidRPr="0059512C" w:rsidP="00B13758">
            <w:pPr>
              <w:pStyle w:val="ParaNum"/>
              <w:keepNext/>
              <w:widowControl/>
              <w:numPr>
                <w:ilvl w:val="0"/>
                <w:numId w:val="0"/>
              </w:numPr>
              <w:rPr>
                <w:b/>
                <w:szCs w:val="22"/>
              </w:rPr>
            </w:pPr>
            <w:r w:rsidRPr="0059512C">
              <w:rPr>
                <w:b/>
                <w:szCs w:val="22"/>
              </w:rPr>
              <w:t>Application</w:t>
            </w:r>
          </w:p>
        </w:tc>
        <w:tc>
          <w:tcPr>
            <w:tcW w:w="2872" w:type="dxa"/>
            <w:gridSpan w:val="3"/>
          </w:tcPr>
          <w:p w:rsidR="006E6A02" w:rsidRPr="0059512C" w:rsidP="00B13758">
            <w:pPr>
              <w:pStyle w:val="ParaNum"/>
              <w:keepNext/>
              <w:widowControl/>
              <w:numPr>
                <w:ilvl w:val="0"/>
                <w:numId w:val="0"/>
              </w:numPr>
              <w:rPr>
                <w:b/>
                <w:szCs w:val="22"/>
              </w:rPr>
            </w:pPr>
            <w:r w:rsidRPr="0059512C">
              <w:rPr>
                <w:b/>
                <w:szCs w:val="22"/>
              </w:rPr>
              <w:t>Current Fee</w:t>
            </w:r>
          </w:p>
        </w:tc>
        <w:tc>
          <w:tcPr>
            <w:tcW w:w="2838" w:type="dxa"/>
          </w:tcPr>
          <w:p w:rsidR="006E6A02" w:rsidRPr="0059512C" w:rsidP="00B13758">
            <w:pPr>
              <w:pStyle w:val="ParaNum"/>
              <w:keepNext/>
              <w:widowControl/>
              <w:numPr>
                <w:ilvl w:val="0"/>
                <w:numId w:val="0"/>
              </w:numPr>
              <w:rPr>
                <w:b/>
                <w:szCs w:val="22"/>
              </w:rPr>
            </w:pPr>
            <w:r w:rsidRPr="0059512C">
              <w:rPr>
                <w:b/>
                <w:szCs w:val="22"/>
              </w:rPr>
              <w:t>Cost-based Fee</w:t>
            </w:r>
          </w:p>
        </w:tc>
      </w:tr>
      <w:tr w:rsidTr="00955DE9">
        <w:tblPrEx>
          <w:tblW w:w="0" w:type="auto"/>
          <w:tblInd w:w="720" w:type="dxa"/>
          <w:tblLook w:val="04A0"/>
        </w:tblPrEx>
        <w:tc>
          <w:tcPr>
            <w:tcW w:w="2944" w:type="dxa"/>
            <w:gridSpan w:val="2"/>
          </w:tcPr>
          <w:p w:rsidR="00F62A58" w:rsidRPr="0059512C" w:rsidP="00955DE9">
            <w:pPr>
              <w:pStyle w:val="ParaNum"/>
              <w:numPr>
                <w:ilvl w:val="0"/>
                <w:numId w:val="0"/>
              </w:numPr>
              <w:rPr>
                <w:szCs w:val="22"/>
              </w:rPr>
            </w:pPr>
            <w:r w:rsidRPr="0059512C">
              <w:rPr>
                <w:szCs w:val="22"/>
              </w:rPr>
              <w:t>Section 208 Formal Complaint</w:t>
            </w:r>
          </w:p>
        </w:tc>
        <w:tc>
          <w:tcPr>
            <w:tcW w:w="2841" w:type="dxa"/>
          </w:tcPr>
          <w:p w:rsidR="00F62A58" w:rsidRPr="0059512C" w:rsidP="00955DE9">
            <w:pPr>
              <w:pStyle w:val="ParaNum"/>
              <w:numPr>
                <w:ilvl w:val="0"/>
                <w:numId w:val="0"/>
              </w:numPr>
              <w:rPr>
                <w:szCs w:val="22"/>
              </w:rPr>
            </w:pPr>
            <w:r w:rsidRPr="0059512C">
              <w:rPr>
                <w:szCs w:val="22"/>
              </w:rPr>
              <w:t>$235</w:t>
            </w:r>
          </w:p>
        </w:tc>
        <w:tc>
          <w:tcPr>
            <w:tcW w:w="2845" w:type="dxa"/>
            <w:gridSpan w:val="2"/>
          </w:tcPr>
          <w:p w:rsidR="00F62A58" w:rsidRPr="0059512C" w:rsidP="00955DE9">
            <w:pPr>
              <w:pStyle w:val="ParaNum"/>
              <w:numPr>
                <w:ilvl w:val="0"/>
                <w:numId w:val="0"/>
              </w:numPr>
              <w:rPr>
                <w:szCs w:val="22"/>
              </w:rPr>
            </w:pPr>
            <w:r w:rsidRPr="0059512C">
              <w:rPr>
                <w:szCs w:val="22"/>
              </w:rPr>
              <w:t>$5</w:t>
            </w:r>
            <w:r w:rsidRPr="0059512C" w:rsidR="009F0CE0">
              <w:rPr>
                <w:szCs w:val="22"/>
              </w:rPr>
              <w:t>40</w:t>
            </w:r>
          </w:p>
        </w:tc>
      </w:tr>
      <w:tr w:rsidTr="00072E3D">
        <w:tblPrEx>
          <w:tblW w:w="0" w:type="auto"/>
          <w:tblInd w:w="720" w:type="dxa"/>
          <w:tblLook w:val="04A0"/>
        </w:tblPrEx>
        <w:tc>
          <w:tcPr>
            <w:tcW w:w="2944" w:type="dxa"/>
            <w:gridSpan w:val="2"/>
          </w:tcPr>
          <w:p w:rsidR="00191B91" w:rsidRPr="0059512C" w:rsidP="00072E3D">
            <w:pPr>
              <w:pStyle w:val="ParaNum"/>
              <w:numPr>
                <w:ilvl w:val="0"/>
                <w:numId w:val="0"/>
              </w:numPr>
              <w:rPr>
                <w:szCs w:val="22"/>
              </w:rPr>
            </w:pPr>
            <w:r w:rsidRPr="0059512C">
              <w:rPr>
                <w:szCs w:val="22"/>
              </w:rPr>
              <w:t xml:space="preserve">Section 224 </w:t>
            </w:r>
            <w:r w:rsidR="007E6F96">
              <w:rPr>
                <w:szCs w:val="22"/>
              </w:rPr>
              <w:t>Pole Attachment Complaint</w:t>
            </w:r>
          </w:p>
        </w:tc>
        <w:tc>
          <w:tcPr>
            <w:tcW w:w="2841" w:type="dxa"/>
          </w:tcPr>
          <w:p w:rsidR="00191B91" w:rsidRPr="0059512C" w:rsidP="00072E3D">
            <w:pPr>
              <w:pStyle w:val="ParaNum"/>
              <w:numPr>
                <w:ilvl w:val="0"/>
                <w:numId w:val="0"/>
              </w:numPr>
              <w:rPr>
                <w:szCs w:val="22"/>
              </w:rPr>
            </w:pPr>
            <w:r w:rsidRPr="0059512C">
              <w:rPr>
                <w:szCs w:val="22"/>
              </w:rPr>
              <w:t>$295</w:t>
            </w:r>
          </w:p>
        </w:tc>
        <w:tc>
          <w:tcPr>
            <w:tcW w:w="2845" w:type="dxa"/>
            <w:gridSpan w:val="2"/>
          </w:tcPr>
          <w:p w:rsidR="00191B91" w:rsidRPr="0059512C" w:rsidP="00072E3D">
            <w:pPr>
              <w:pStyle w:val="ParaNum"/>
              <w:numPr>
                <w:ilvl w:val="0"/>
                <w:numId w:val="0"/>
              </w:numPr>
              <w:rPr>
                <w:szCs w:val="22"/>
              </w:rPr>
            </w:pPr>
            <w:r w:rsidRPr="0059512C">
              <w:rPr>
                <w:szCs w:val="22"/>
              </w:rPr>
              <w:t>$5</w:t>
            </w:r>
            <w:r w:rsidRPr="0059512C" w:rsidR="009F0CE0">
              <w:rPr>
                <w:szCs w:val="22"/>
              </w:rPr>
              <w:t>40</w:t>
            </w:r>
          </w:p>
        </w:tc>
      </w:tr>
    </w:tbl>
    <w:p w:rsidR="006E6A02" w:rsidRPr="0059512C" w:rsidP="006E6A02">
      <w:pPr>
        <w:pStyle w:val="ParaNum"/>
        <w:numPr>
          <w:ilvl w:val="0"/>
          <w:numId w:val="0"/>
        </w:numPr>
        <w:rPr>
          <w:szCs w:val="22"/>
        </w:rPr>
      </w:pPr>
    </w:p>
    <w:p w:rsidR="007B5429" w:rsidRPr="0059512C" w:rsidP="007B5429">
      <w:pPr>
        <w:pStyle w:val="ParaNum"/>
        <w:rPr>
          <w:szCs w:val="22"/>
        </w:rPr>
      </w:pPr>
      <w:r w:rsidRPr="0059512C">
        <w:rPr>
          <w:szCs w:val="22"/>
        </w:rPr>
        <w:t xml:space="preserve">Filing of the application for a formal section 208 complaint or a section 224 pole attachment complaint is automated using the Commission’s ECFS’s Non-Docketed </w:t>
      </w:r>
      <w:r w:rsidR="007E6F96">
        <w:rPr>
          <w:szCs w:val="22"/>
        </w:rPr>
        <w:t xml:space="preserve">Filing </w:t>
      </w:r>
      <w:r w:rsidRPr="0059512C">
        <w:rPr>
          <w:szCs w:val="22"/>
        </w:rPr>
        <w:t xml:space="preserve">portal.  In nearly all instances, </w:t>
      </w:r>
      <w:r w:rsidR="007E6F96">
        <w:rPr>
          <w:szCs w:val="22"/>
        </w:rPr>
        <w:t xml:space="preserve">the </w:t>
      </w:r>
      <w:r w:rsidRPr="0059512C">
        <w:rPr>
          <w:szCs w:val="22"/>
        </w:rPr>
        <w:t xml:space="preserve">FCC Fee Filer system is used separately to collect </w:t>
      </w:r>
      <w:r w:rsidRPr="0059512C">
        <w:rPr>
          <w:szCs w:val="22"/>
        </w:rPr>
        <w:t xml:space="preserve">the fee.  The Enforcement Bureau retrieves each filed </w:t>
      </w:r>
      <w:r w:rsidRPr="0059512C" w:rsidR="00351543">
        <w:rPr>
          <w:szCs w:val="22"/>
        </w:rPr>
        <w:t xml:space="preserve">formal </w:t>
      </w:r>
      <w:r w:rsidRPr="0059512C">
        <w:rPr>
          <w:szCs w:val="22"/>
        </w:rPr>
        <w:t xml:space="preserve">complaint </w:t>
      </w:r>
      <w:r w:rsidRPr="0059512C" w:rsidR="00351543">
        <w:rPr>
          <w:szCs w:val="22"/>
        </w:rPr>
        <w:t xml:space="preserve">and pole attachment complaint </w:t>
      </w:r>
      <w:r w:rsidRPr="0059512C">
        <w:rPr>
          <w:szCs w:val="22"/>
        </w:rPr>
        <w:t xml:space="preserve">from the </w:t>
      </w:r>
      <w:r w:rsidR="00576EE0">
        <w:rPr>
          <w:szCs w:val="22"/>
        </w:rPr>
        <w:t xml:space="preserve">ECFS </w:t>
      </w:r>
      <w:r w:rsidRPr="0059512C">
        <w:rPr>
          <w:szCs w:val="22"/>
        </w:rPr>
        <w:t xml:space="preserve">Non-Docketed </w:t>
      </w:r>
      <w:r w:rsidR="007E6F96">
        <w:rPr>
          <w:szCs w:val="22"/>
        </w:rPr>
        <w:t xml:space="preserve">Filing </w:t>
      </w:r>
      <w:r w:rsidRPr="0059512C">
        <w:rPr>
          <w:szCs w:val="22"/>
        </w:rPr>
        <w:t xml:space="preserve">portal and confirms payment.  </w:t>
      </w:r>
      <w:r w:rsidRPr="0059512C" w:rsidR="00E61260">
        <w:rPr>
          <w:szCs w:val="22"/>
        </w:rPr>
        <w:t>S</w:t>
      </w:r>
      <w:r w:rsidRPr="0059512C">
        <w:rPr>
          <w:szCs w:val="22"/>
        </w:rPr>
        <w:t>taff then reviews th</w:t>
      </w:r>
      <w:r w:rsidRPr="0059512C" w:rsidR="00351543">
        <w:rPr>
          <w:szCs w:val="22"/>
        </w:rPr>
        <w:t xml:space="preserve">e </w:t>
      </w:r>
      <w:r w:rsidRPr="0059512C">
        <w:rPr>
          <w:szCs w:val="22"/>
        </w:rPr>
        <w:t>complaint for general conformance with the Commission’s complaint ru</w:t>
      </w:r>
      <w:r w:rsidRPr="0059512C">
        <w:rPr>
          <w:szCs w:val="22"/>
        </w:rPr>
        <w:t>les to determine if it is accepted for adjudication.</w:t>
      </w:r>
      <w:r>
        <w:rPr>
          <w:rStyle w:val="FootnoteReference"/>
          <w:sz w:val="22"/>
        </w:rPr>
        <w:footnoteReference w:id="78"/>
      </w:r>
      <w:r w:rsidRPr="0059512C">
        <w:rPr>
          <w:szCs w:val="22"/>
        </w:rPr>
        <w:t xml:space="preserve">  If the </w:t>
      </w:r>
      <w:r w:rsidRPr="0059512C" w:rsidR="00351543">
        <w:rPr>
          <w:szCs w:val="22"/>
        </w:rPr>
        <w:t xml:space="preserve">formal </w:t>
      </w:r>
      <w:r w:rsidRPr="0059512C">
        <w:rPr>
          <w:szCs w:val="22"/>
        </w:rPr>
        <w:t>complaint</w:t>
      </w:r>
      <w:r w:rsidRPr="0059512C" w:rsidR="00351543">
        <w:rPr>
          <w:szCs w:val="22"/>
        </w:rPr>
        <w:t xml:space="preserve"> or pole attachment complaint</w:t>
      </w:r>
      <w:r w:rsidRPr="0059512C">
        <w:rPr>
          <w:szCs w:val="22"/>
        </w:rPr>
        <w:t xml:space="preserve"> is accepted, staff arranges for its placement in a case-specific ECFS docket. </w:t>
      </w:r>
      <w:r w:rsidRPr="0059512C" w:rsidR="00E61260">
        <w:rPr>
          <w:szCs w:val="22"/>
        </w:rPr>
        <w:t xml:space="preserve"> S</w:t>
      </w:r>
      <w:r w:rsidRPr="0059512C">
        <w:rPr>
          <w:szCs w:val="22"/>
        </w:rPr>
        <w:t xml:space="preserve">taff drafts a letter to the parties indicating that the filing has </w:t>
      </w:r>
      <w:r w:rsidRPr="0059512C">
        <w:rPr>
          <w:szCs w:val="22"/>
        </w:rPr>
        <w:t>been accepted or rejected and posts that letter in ECFS.</w:t>
      </w:r>
    </w:p>
    <w:p w:rsidR="007B5429" w:rsidRPr="0059512C" w:rsidP="007B5429">
      <w:pPr>
        <w:pStyle w:val="ParaNum"/>
        <w:rPr>
          <w:szCs w:val="22"/>
        </w:rPr>
      </w:pPr>
      <w:r w:rsidRPr="0059512C">
        <w:rPr>
          <w:szCs w:val="22"/>
        </w:rPr>
        <w:t xml:space="preserve">We propose to consolidate the section 208 </w:t>
      </w:r>
      <w:r w:rsidRPr="0059512C" w:rsidR="00235C84">
        <w:rPr>
          <w:szCs w:val="22"/>
        </w:rPr>
        <w:t xml:space="preserve">formal </w:t>
      </w:r>
      <w:r w:rsidRPr="0059512C">
        <w:rPr>
          <w:szCs w:val="22"/>
        </w:rPr>
        <w:t>complaints and section 224 pole attachment complaints in the new section 8 application fee schedule.  We seek comment on this proposal.</w:t>
      </w:r>
    </w:p>
    <w:p w:rsidR="00E61260" w:rsidRPr="009C76E7" w:rsidP="009C76E7">
      <w:pPr>
        <w:pStyle w:val="ParaNum"/>
        <w:rPr>
          <w:szCs w:val="22"/>
        </w:rPr>
      </w:pPr>
      <w:r w:rsidRPr="0059512C">
        <w:rPr>
          <w:szCs w:val="22"/>
        </w:rPr>
        <w:t>We estimate that the Commission’s resources in processing a formal complaint or a pole attachment complaint consist of the following: analyst review, attorney review and attorney supervisory review.  Based on staff analysis, we estimate this cost to be $5</w:t>
      </w:r>
      <w:r w:rsidRPr="0059512C" w:rsidR="00C84E5F">
        <w:rPr>
          <w:szCs w:val="22"/>
        </w:rPr>
        <w:t>40</w:t>
      </w:r>
      <w:r w:rsidRPr="0059512C">
        <w:rPr>
          <w:szCs w:val="22"/>
        </w:rPr>
        <w:t xml:space="preserve"> for either formal complaints or pole </w:t>
      </w:r>
      <w:r w:rsidRPr="0059512C">
        <w:rPr>
          <w:szCs w:val="22"/>
        </w:rPr>
        <w:t xml:space="preserve">attachment complaints.  </w:t>
      </w:r>
      <w:r w:rsidRPr="009C76E7">
        <w:rPr>
          <w:szCs w:val="22"/>
        </w:rPr>
        <w:t xml:space="preserve">We seek comment on this proposal. </w:t>
      </w:r>
    </w:p>
    <w:p w:rsidR="007B5429" w:rsidRPr="00C437CB" w:rsidP="00C437CB">
      <w:pPr>
        <w:pStyle w:val="ParaNum"/>
        <w:rPr>
          <w:szCs w:val="22"/>
        </w:rPr>
      </w:pPr>
      <w:bookmarkStart w:id="294" w:name="_Toc18066931"/>
      <w:bookmarkStart w:id="295" w:name="_Toc18939792"/>
      <w:bookmarkStart w:id="296" w:name="_Toc19795095"/>
      <w:bookmarkStart w:id="297" w:name="_Toc19796460"/>
      <w:bookmarkStart w:id="298" w:name="_Toc19796818"/>
      <w:bookmarkStart w:id="299" w:name="_Toc28005108"/>
      <w:bookmarkStart w:id="300" w:name="_Toc29557406"/>
      <w:bookmarkStart w:id="301" w:name="_Toc35268588"/>
      <w:r w:rsidRPr="00B40B97">
        <w:rPr>
          <w:bCs/>
          <w:i/>
        </w:rPr>
        <w:t>Accounting and Audits and Agreed upon Procedures Engagement</w:t>
      </w:r>
      <w:bookmarkEnd w:id="294"/>
      <w:bookmarkEnd w:id="295"/>
      <w:bookmarkEnd w:id="296"/>
      <w:bookmarkEnd w:id="297"/>
      <w:bookmarkEnd w:id="298"/>
      <w:bookmarkEnd w:id="299"/>
      <w:bookmarkEnd w:id="300"/>
      <w:bookmarkEnd w:id="301"/>
      <w:r w:rsidRPr="00C122D0">
        <w:rPr>
          <w:bCs/>
          <w:szCs w:val="22"/>
        </w:rPr>
        <w:t>.</w:t>
      </w:r>
      <w:r>
        <w:rPr>
          <w:szCs w:val="22"/>
        </w:rPr>
        <w:t xml:space="preserve">  </w:t>
      </w:r>
      <w:r w:rsidRPr="0059512C">
        <w:rPr>
          <w:szCs w:val="22"/>
        </w:rPr>
        <w:t>Currently, the application fee for a field audit is $121,845 and for review of an attest audit i</w:t>
      </w:r>
      <w:r w:rsidRPr="0059512C">
        <w:rPr>
          <w:szCs w:val="22"/>
        </w:rPr>
        <w:t xml:space="preserve">s $66,510.  The application fee for the development and review of an agreed upon procedures engagement is $66,510.  We propose to eliminate these applications from the application fee schedule because no applications have been filed in many years.  </w:t>
      </w:r>
      <w:r w:rsidRPr="00C437CB">
        <w:rPr>
          <w:szCs w:val="22"/>
        </w:rPr>
        <w:t>We seek</w:t>
      </w:r>
      <w:r w:rsidRPr="00C437CB">
        <w:rPr>
          <w:szCs w:val="22"/>
        </w:rPr>
        <w:t xml:space="preserve"> comment on this proposal. </w:t>
      </w:r>
    </w:p>
    <w:p w:rsidR="007B5429" w:rsidRPr="0059512C" w:rsidP="007B5429">
      <w:pPr>
        <w:pStyle w:val="Heading4"/>
        <w:rPr>
          <w:szCs w:val="22"/>
        </w:rPr>
      </w:pPr>
      <w:bookmarkStart w:id="302" w:name="_Toc22299869"/>
      <w:bookmarkStart w:id="303" w:name="_Toc24453221"/>
      <w:bookmarkStart w:id="304" w:name="_Toc28005124"/>
      <w:bookmarkStart w:id="305" w:name="_Toc29557422"/>
      <w:bookmarkStart w:id="306" w:name="_Toc30085376"/>
      <w:bookmarkStart w:id="307" w:name="_Toc31033142"/>
      <w:bookmarkStart w:id="308" w:name="_Toc31288154"/>
      <w:bookmarkStart w:id="309" w:name="_Toc31980688"/>
      <w:bookmarkStart w:id="310" w:name="_Toc35268589"/>
      <w:r w:rsidRPr="0059512C">
        <w:rPr>
          <w:szCs w:val="22"/>
        </w:rPr>
        <w:t>Petition</w:t>
      </w:r>
      <w:r>
        <w:rPr>
          <w:szCs w:val="22"/>
        </w:rPr>
        <w:t>s regarding Law Enforcement Assistance Capability</w:t>
      </w:r>
      <w:bookmarkEnd w:id="302"/>
      <w:bookmarkEnd w:id="303"/>
      <w:bookmarkEnd w:id="304"/>
      <w:bookmarkEnd w:id="305"/>
      <w:bookmarkEnd w:id="306"/>
      <w:bookmarkEnd w:id="307"/>
      <w:bookmarkEnd w:id="308"/>
      <w:bookmarkEnd w:id="309"/>
      <w:bookmarkEnd w:id="310"/>
    </w:p>
    <w:p w:rsidR="00AF61F0" w:rsidRPr="0059512C" w:rsidP="002A3DA5">
      <w:pPr>
        <w:pStyle w:val="ParaNum"/>
        <w:rPr>
          <w:szCs w:val="22"/>
        </w:rPr>
      </w:pPr>
      <w:r>
        <w:rPr>
          <w:szCs w:val="22"/>
        </w:rPr>
        <w:t xml:space="preserve">The </w:t>
      </w:r>
      <w:r w:rsidRPr="0059512C" w:rsidR="007B5429">
        <w:rPr>
          <w:szCs w:val="22"/>
        </w:rPr>
        <w:t>Communications Assistance for Law Enforcement</w:t>
      </w:r>
      <w:r>
        <w:rPr>
          <w:szCs w:val="22"/>
        </w:rPr>
        <w:t xml:space="preserve"> Act</w:t>
      </w:r>
      <w:r w:rsidRPr="0059512C" w:rsidR="007B5429">
        <w:rPr>
          <w:szCs w:val="22"/>
        </w:rPr>
        <w:t xml:space="preserve"> (CALEA) preserves the ability of law enforcement agencies to conduct lawfully authorized electronic surveillance while protecting the privacy of information outside the scope of the authorization.  CALEA imposes law-enforcement-assistance capability requirements on common carriers as the Commission has interpreted that term under CALEA.</w:t>
      </w:r>
      <w:r>
        <w:rPr>
          <w:rStyle w:val="FootnoteReference"/>
        </w:rPr>
        <w:footnoteReference w:id="79"/>
      </w:r>
      <w:r w:rsidRPr="0059512C" w:rsidR="007B5429">
        <w:rPr>
          <w:szCs w:val="22"/>
        </w:rPr>
        <w:t xml:space="preserve">  Any person may petition the Commission to issue technical standards for capability assistance that the person believes are deficient</w:t>
      </w:r>
      <w:r>
        <w:rPr>
          <w:rStyle w:val="FootnoteReference"/>
        </w:rPr>
        <w:footnoteReference w:id="80"/>
      </w:r>
      <w:r w:rsidRPr="0059512C" w:rsidR="007B5429">
        <w:rPr>
          <w:szCs w:val="22"/>
        </w:rPr>
        <w:t xml:space="preserve"> and telecommunications carriers and other interested persons may petition for a determination of whether an assistance capability is “reasonably achievable,” and the Commission must reach a determination on such petitions within one year.</w:t>
      </w:r>
      <w:r>
        <w:rPr>
          <w:rStyle w:val="FootnoteReference"/>
        </w:rPr>
        <w:footnoteReference w:id="81"/>
      </w:r>
      <w:r w:rsidRPr="0059512C" w:rsidR="007B5429">
        <w:rPr>
          <w:szCs w:val="22"/>
        </w:rPr>
        <w:t xml:space="preserve">  </w:t>
      </w:r>
      <w:r w:rsidRPr="0059512C" w:rsidR="002A3DA5">
        <w:rPr>
          <w:szCs w:val="22"/>
        </w:rPr>
        <w:t>We propose and seek comment on adopting the following cost-based fe</w:t>
      </w:r>
      <w:r w:rsidRPr="0059512C" w:rsidR="00B94608">
        <w:rPr>
          <w:szCs w:val="22"/>
        </w:rPr>
        <w:t>e</w:t>
      </w:r>
      <w:r w:rsidRPr="0059512C" w:rsidR="002A3DA5">
        <w:rPr>
          <w:szCs w:val="22"/>
        </w:rPr>
        <w:t>s for this application—and we give as an example the current fee for this service.</w:t>
      </w:r>
      <w:r>
        <w:rPr>
          <w:rStyle w:val="FootnoteReference"/>
        </w:rPr>
        <w:footnoteReference w:id="82"/>
      </w:r>
      <w:r w:rsidRPr="0059512C" w:rsidR="002A3DA5">
        <w:rPr>
          <w:szCs w:val="22"/>
        </w:rPr>
        <w:t xml:space="preserve">  </w:t>
      </w:r>
    </w:p>
    <w:tbl>
      <w:tblPr>
        <w:tblStyle w:val="TableGrid"/>
        <w:tblW w:w="0" w:type="auto"/>
        <w:tblInd w:w="720" w:type="dxa"/>
        <w:tblLook w:val="04A0"/>
      </w:tblPr>
      <w:tblGrid>
        <w:gridCol w:w="2920"/>
        <w:gridCol w:w="24"/>
        <w:gridCol w:w="2841"/>
        <w:gridCol w:w="7"/>
        <w:gridCol w:w="2838"/>
      </w:tblGrid>
      <w:tr w:rsidTr="000112C4">
        <w:tblPrEx>
          <w:tblW w:w="0" w:type="auto"/>
          <w:tblInd w:w="720" w:type="dxa"/>
          <w:tblLook w:val="04A0"/>
        </w:tblPrEx>
        <w:tc>
          <w:tcPr>
            <w:tcW w:w="2920" w:type="dxa"/>
          </w:tcPr>
          <w:p w:rsidR="006E6A02" w:rsidRPr="0059512C" w:rsidP="002643FA">
            <w:pPr>
              <w:pStyle w:val="ParaNum"/>
              <w:numPr>
                <w:ilvl w:val="0"/>
                <w:numId w:val="0"/>
              </w:numPr>
              <w:rPr>
                <w:b/>
                <w:szCs w:val="22"/>
              </w:rPr>
            </w:pPr>
            <w:r w:rsidRPr="0059512C">
              <w:rPr>
                <w:b/>
                <w:szCs w:val="22"/>
              </w:rPr>
              <w:t>Applicatio</w:t>
            </w:r>
            <w:r w:rsidRPr="0059512C">
              <w:rPr>
                <w:b/>
                <w:szCs w:val="22"/>
              </w:rPr>
              <w:t>n</w:t>
            </w:r>
          </w:p>
        </w:tc>
        <w:tc>
          <w:tcPr>
            <w:tcW w:w="2872" w:type="dxa"/>
            <w:gridSpan w:val="3"/>
          </w:tcPr>
          <w:p w:rsidR="006E6A02" w:rsidRPr="0059512C" w:rsidP="002643FA">
            <w:pPr>
              <w:pStyle w:val="ParaNum"/>
              <w:numPr>
                <w:ilvl w:val="0"/>
                <w:numId w:val="0"/>
              </w:numPr>
              <w:rPr>
                <w:b/>
                <w:szCs w:val="22"/>
              </w:rPr>
            </w:pPr>
            <w:r w:rsidRPr="0059512C">
              <w:rPr>
                <w:b/>
                <w:szCs w:val="22"/>
              </w:rPr>
              <w:t>Current Fee</w:t>
            </w:r>
          </w:p>
        </w:tc>
        <w:tc>
          <w:tcPr>
            <w:tcW w:w="2838" w:type="dxa"/>
          </w:tcPr>
          <w:p w:rsidR="006E6A02" w:rsidRPr="0059512C" w:rsidP="002643FA">
            <w:pPr>
              <w:pStyle w:val="ParaNum"/>
              <w:numPr>
                <w:ilvl w:val="0"/>
                <w:numId w:val="0"/>
              </w:numPr>
              <w:rPr>
                <w:b/>
                <w:szCs w:val="22"/>
              </w:rPr>
            </w:pPr>
            <w:r w:rsidRPr="0059512C">
              <w:rPr>
                <w:b/>
                <w:szCs w:val="22"/>
              </w:rPr>
              <w:t>Cost-based Fee</w:t>
            </w:r>
          </w:p>
        </w:tc>
      </w:tr>
      <w:tr w:rsidTr="00955DE9">
        <w:tblPrEx>
          <w:tblW w:w="0" w:type="auto"/>
          <w:tblInd w:w="720" w:type="dxa"/>
          <w:tblLook w:val="04A0"/>
        </w:tblPrEx>
        <w:tc>
          <w:tcPr>
            <w:tcW w:w="2944" w:type="dxa"/>
            <w:gridSpan w:val="2"/>
          </w:tcPr>
          <w:p w:rsidR="000112C4" w:rsidRPr="0059512C" w:rsidP="00955DE9">
            <w:pPr>
              <w:pStyle w:val="ParaNum"/>
              <w:numPr>
                <w:ilvl w:val="0"/>
                <w:numId w:val="0"/>
              </w:numPr>
              <w:rPr>
                <w:szCs w:val="22"/>
              </w:rPr>
            </w:pPr>
            <w:r w:rsidRPr="0059512C">
              <w:rPr>
                <w:szCs w:val="22"/>
              </w:rPr>
              <w:t>Petition</w:t>
            </w:r>
            <w:r w:rsidR="007B0725">
              <w:rPr>
                <w:szCs w:val="22"/>
              </w:rPr>
              <w:t xml:space="preserve"> regarding law enforcement assistance</w:t>
            </w:r>
            <w:r w:rsidR="006507EF">
              <w:rPr>
                <w:szCs w:val="22"/>
              </w:rPr>
              <w:t xml:space="preserve"> </w:t>
            </w:r>
            <w:r w:rsidR="007B0725">
              <w:rPr>
                <w:szCs w:val="22"/>
              </w:rPr>
              <w:t>capability</w:t>
            </w:r>
            <w:r w:rsidR="00513BEC">
              <w:rPr>
                <w:szCs w:val="22"/>
              </w:rPr>
              <w:t xml:space="preserve"> (CALEA)</w:t>
            </w:r>
          </w:p>
        </w:tc>
        <w:tc>
          <w:tcPr>
            <w:tcW w:w="2841" w:type="dxa"/>
          </w:tcPr>
          <w:p w:rsidR="000112C4" w:rsidRPr="0059512C" w:rsidP="00955DE9">
            <w:pPr>
              <w:pStyle w:val="ParaNum"/>
              <w:numPr>
                <w:ilvl w:val="0"/>
                <w:numId w:val="0"/>
              </w:numPr>
              <w:rPr>
                <w:szCs w:val="22"/>
              </w:rPr>
            </w:pPr>
            <w:r w:rsidRPr="0059512C">
              <w:rPr>
                <w:szCs w:val="22"/>
              </w:rPr>
              <w:t>$6,945</w:t>
            </w:r>
          </w:p>
        </w:tc>
        <w:tc>
          <w:tcPr>
            <w:tcW w:w="2845" w:type="dxa"/>
            <w:gridSpan w:val="2"/>
          </w:tcPr>
          <w:p w:rsidR="000112C4" w:rsidRPr="0059512C" w:rsidP="00955DE9">
            <w:pPr>
              <w:pStyle w:val="ParaNum"/>
              <w:numPr>
                <w:ilvl w:val="0"/>
                <w:numId w:val="0"/>
              </w:numPr>
              <w:rPr>
                <w:szCs w:val="22"/>
              </w:rPr>
            </w:pPr>
            <w:r w:rsidRPr="0059512C">
              <w:rPr>
                <w:szCs w:val="22"/>
              </w:rPr>
              <w:t>$3,</w:t>
            </w:r>
            <w:r w:rsidRPr="0059512C" w:rsidR="009F0CE0">
              <w:rPr>
                <w:szCs w:val="22"/>
              </w:rPr>
              <w:t>875</w:t>
            </w:r>
          </w:p>
        </w:tc>
      </w:tr>
    </w:tbl>
    <w:p w:rsidR="006E6A02" w:rsidRPr="0059512C" w:rsidP="006E6A02">
      <w:pPr>
        <w:pStyle w:val="ParaNum"/>
        <w:widowControl/>
        <w:numPr>
          <w:ilvl w:val="0"/>
          <w:numId w:val="0"/>
        </w:numPr>
        <w:rPr>
          <w:iCs/>
          <w:szCs w:val="22"/>
        </w:rPr>
      </w:pPr>
    </w:p>
    <w:p w:rsidR="00214F26" w:rsidRPr="00214F26" w:rsidP="0060706A">
      <w:pPr>
        <w:pStyle w:val="ParaNum"/>
      </w:pPr>
      <w:r w:rsidRPr="0060706A">
        <w:rPr>
          <w:bCs/>
          <w:szCs w:val="22"/>
        </w:rPr>
        <w:t>We estimate</w:t>
      </w:r>
      <w:r w:rsidRPr="0059512C">
        <w:rPr>
          <w:szCs w:val="22"/>
        </w:rPr>
        <w:t xml:space="preserve"> that the Commission’s </w:t>
      </w:r>
      <w:r w:rsidRPr="0059512C" w:rsidR="00AF61F0">
        <w:rPr>
          <w:szCs w:val="22"/>
        </w:rPr>
        <w:t>reso</w:t>
      </w:r>
      <w:r w:rsidRPr="0059512C" w:rsidR="00191B91">
        <w:rPr>
          <w:szCs w:val="22"/>
        </w:rPr>
        <w:t>ur</w:t>
      </w:r>
      <w:r w:rsidRPr="0059512C" w:rsidR="00AF61F0">
        <w:rPr>
          <w:szCs w:val="22"/>
        </w:rPr>
        <w:t>ces</w:t>
      </w:r>
      <w:r w:rsidRPr="0059512C">
        <w:rPr>
          <w:szCs w:val="22"/>
        </w:rPr>
        <w:t xml:space="preserve"> in processing a typical </w:t>
      </w:r>
      <w:r w:rsidR="007B0725">
        <w:rPr>
          <w:szCs w:val="22"/>
        </w:rPr>
        <w:t>p</w:t>
      </w:r>
      <w:r w:rsidRPr="0059512C" w:rsidR="007B0725">
        <w:rPr>
          <w:szCs w:val="22"/>
        </w:rPr>
        <w:t>etition</w:t>
      </w:r>
      <w:r w:rsidR="007B0725">
        <w:rPr>
          <w:szCs w:val="22"/>
        </w:rPr>
        <w:t xml:space="preserve"> regarding law enforcement assistance capability </w:t>
      </w:r>
      <w:r w:rsidRPr="0059512C">
        <w:rPr>
          <w:szCs w:val="22"/>
        </w:rPr>
        <w:t>consist of the following: analyst review petition, process, and distribute petition; economist evaluate financial information submitted; engineer review; attorney determining rule compliance and conducting a</w:t>
      </w:r>
      <w:r w:rsidRPr="0059512C">
        <w:rPr>
          <w:szCs w:val="22"/>
        </w:rPr>
        <w:t xml:space="preserve"> preliminary evaluation of the scope and nature of the request for understanding of rules and issues implicated; attorney evaluating the nature and scope of the request and identifying issues presented; and review by supervisor.  We estimate that this proc</w:t>
      </w:r>
      <w:r w:rsidRPr="0059512C">
        <w:rPr>
          <w:szCs w:val="22"/>
        </w:rPr>
        <w:t xml:space="preserve">ess will </w:t>
      </w:r>
      <w:r w:rsidRPr="0059512C" w:rsidR="00AF61F0">
        <w:rPr>
          <w:szCs w:val="22"/>
        </w:rPr>
        <w:t>cost</w:t>
      </w:r>
      <w:r w:rsidRPr="0059512C">
        <w:rPr>
          <w:szCs w:val="22"/>
        </w:rPr>
        <w:t xml:space="preserve"> $3,</w:t>
      </w:r>
      <w:r w:rsidRPr="0059512C" w:rsidR="009F0CE0">
        <w:rPr>
          <w:szCs w:val="22"/>
        </w:rPr>
        <w:t>875</w:t>
      </w:r>
      <w:r w:rsidRPr="0059512C">
        <w:rPr>
          <w:szCs w:val="22"/>
        </w:rPr>
        <w:t xml:space="preserve">.  </w:t>
      </w:r>
      <w:r w:rsidRPr="009F155D">
        <w:rPr>
          <w:szCs w:val="22"/>
        </w:rPr>
        <w:t>We seek comment on this proposal.</w:t>
      </w:r>
    </w:p>
    <w:p w:rsidR="001D4BF8" w:rsidRPr="0059512C" w:rsidP="00020760">
      <w:pPr>
        <w:pStyle w:val="Heading3"/>
        <w:rPr>
          <w:szCs w:val="22"/>
        </w:rPr>
      </w:pPr>
      <w:bookmarkStart w:id="311" w:name="_Toc35268590"/>
      <w:bookmarkStart w:id="312" w:name="_Toc42256289"/>
      <w:bookmarkStart w:id="313" w:name="_Toc44581654"/>
      <w:r w:rsidRPr="0059512C">
        <w:rPr>
          <w:szCs w:val="22"/>
        </w:rPr>
        <w:t>International Service Fees</w:t>
      </w:r>
      <w:bookmarkEnd w:id="311"/>
      <w:bookmarkEnd w:id="312"/>
      <w:bookmarkEnd w:id="313"/>
    </w:p>
    <w:p w:rsidR="001D4BF8" w:rsidRPr="0059512C" w:rsidP="001D4BF8">
      <w:pPr>
        <w:pStyle w:val="ParaNum"/>
        <w:rPr>
          <w:szCs w:val="22"/>
        </w:rPr>
      </w:pPr>
      <w:r w:rsidRPr="0059512C">
        <w:rPr>
          <w:szCs w:val="22"/>
        </w:rPr>
        <w:t>The International Bureau administers international telecommunications and satellite programs and policies, including licensing and regulatory functions.</w:t>
      </w:r>
      <w:r>
        <w:rPr>
          <w:rStyle w:val="FootnoteReference"/>
        </w:rPr>
        <w:footnoteReference w:id="83"/>
      </w:r>
      <w:r w:rsidRPr="0059512C" w:rsidR="008E0CFE">
        <w:rPr>
          <w:szCs w:val="22"/>
        </w:rPr>
        <w:t xml:space="preserve">  </w:t>
      </w:r>
      <w:r w:rsidRPr="0059512C">
        <w:rPr>
          <w:szCs w:val="22"/>
        </w:rPr>
        <w:t xml:space="preserve">We seek comment </w:t>
      </w:r>
      <w:r w:rsidRPr="0059512C">
        <w:rPr>
          <w:szCs w:val="22"/>
        </w:rPr>
        <w:t xml:space="preserve">on cost-based application fees for international services, including </w:t>
      </w:r>
      <w:r w:rsidR="004A2E99">
        <w:rPr>
          <w:szCs w:val="22"/>
        </w:rPr>
        <w:t xml:space="preserve">our proposals to </w:t>
      </w:r>
      <w:r w:rsidRPr="0059512C" w:rsidR="002F4988">
        <w:rPr>
          <w:szCs w:val="22"/>
        </w:rPr>
        <w:t>creat</w:t>
      </w:r>
      <w:r w:rsidR="004A2E99">
        <w:rPr>
          <w:szCs w:val="22"/>
        </w:rPr>
        <w:t>e</w:t>
      </w:r>
      <w:r w:rsidRPr="0059512C" w:rsidR="002F4988">
        <w:rPr>
          <w:szCs w:val="22"/>
        </w:rPr>
        <w:t xml:space="preserve"> a separate fee category for applications related to </w:t>
      </w:r>
      <w:r w:rsidRPr="0059512C">
        <w:rPr>
          <w:szCs w:val="22"/>
        </w:rPr>
        <w:t xml:space="preserve">cable landing </w:t>
      </w:r>
      <w:r w:rsidRPr="0059512C" w:rsidR="002F4988">
        <w:rPr>
          <w:szCs w:val="22"/>
        </w:rPr>
        <w:t xml:space="preserve">licenses, a new category for section 310(b) foreign ownership review, </w:t>
      </w:r>
      <w:r w:rsidRPr="0059512C">
        <w:rPr>
          <w:szCs w:val="22"/>
        </w:rPr>
        <w:t>and to adopt fees for inter</w:t>
      </w:r>
      <w:r w:rsidRPr="0059512C">
        <w:rPr>
          <w:szCs w:val="22"/>
        </w:rPr>
        <w:t xml:space="preserve">national services that now do not </w:t>
      </w:r>
      <w:r w:rsidRPr="0059512C" w:rsidR="003D3581">
        <w:rPr>
          <w:szCs w:val="22"/>
        </w:rPr>
        <w:t xml:space="preserve">currently </w:t>
      </w:r>
      <w:r w:rsidRPr="0059512C">
        <w:rPr>
          <w:szCs w:val="22"/>
        </w:rPr>
        <w:t>have an application fee</w:t>
      </w:r>
      <w:r w:rsidRPr="0059512C" w:rsidR="002F4988">
        <w:rPr>
          <w:szCs w:val="22"/>
        </w:rPr>
        <w:t xml:space="preserve"> such as</w:t>
      </w:r>
      <w:r w:rsidRPr="0059512C">
        <w:rPr>
          <w:szCs w:val="22"/>
        </w:rPr>
        <w:t xml:space="preserve"> </w:t>
      </w:r>
      <w:r w:rsidRPr="0059512C" w:rsidR="002F4988">
        <w:rPr>
          <w:szCs w:val="22"/>
        </w:rPr>
        <w:t>foreign carrier affiliation notifications and request</w:t>
      </w:r>
      <w:r w:rsidRPr="0059512C" w:rsidR="003653C4">
        <w:rPr>
          <w:szCs w:val="22"/>
        </w:rPr>
        <w:t>s</w:t>
      </w:r>
      <w:r w:rsidRPr="0059512C" w:rsidR="002F4988">
        <w:rPr>
          <w:szCs w:val="22"/>
        </w:rPr>
        <w:t xml:space="preserve"> to become a </w:t>
      </w:r>
      <w:r w:rsidR="00431767">
        <w:rPr>
          <w:szCs w:val="22"/>
        </w:rPr>
        <w:t>r</w:t>
      </w:r>
      <w:r w:rsidRPr="0059512C" w:rsidR="002F4988">
        <w:rPr>
          <w:szCs w:val="22"/>
        </w:rPr>
        <w:t xml:space="preserve">ecognized </w:t>
      </w:r>
      <w:r w:rsidR="00431767">
        <w:rPr>
          <w:szCs w:val="22"/>
        </w:rPr>
        <w:t>o</w:t>
      </w:r>
      <w:r w:rsidRPr="0059512C" w:rsidR="002F4988">
        <w:rPr>
          <w:szCs w:val="22"/>
        </w:rPr>
        <w:t xml:space="preserve">perating </w:t>
      </w:r>
      <w:r w:rsidR="00431767">
        <w:rPr>
          <w:szCs w:val="22"/>
        </w:rPr>
        <w:t>a</w:t>
      </w:r>
      <w:r w:rsidRPr="0059512C" w:rsidR="002F4988">
        <w:rPr>
          <w:szCs w:val="22"/>
        </w:rPr>
        <w:t xml:space="preserve">gency (ROA).  We also propose to eliminate some fees and </w:t>
      </w:r>
      <w:r w:rsidRPr="0059512C" w:rsidR="004E5A04">
        <w:rPr>
          <w:szCs w:val="22"/>
        </w:rPr>
        <w:t>consolidate fees for earth stations and space stations.  With respect to earth stations, we propose to create a new application fee for typical applicat</w:t>
      </w:r>
      <w:r w:rsidRPr="0059512C" w:rsidR="00E01708">
        <w:rPr>
          <w:szCs w:val="22"/>
        </w:rPr>
        <w:t>i</w:t>
      </w:r>
      <w:r w:rsidRPr="0059512C" w:rsidR="004E5A04">
        <w:rPr>
          <w:szCs w:val="22"/>
        </w:rPr>
        <w:t xml:space="preserve">ons for initial authority for earth stations with multiple sites, per call sign, including fixed and temporary fixed and </w:t>
      </w:r>
      <w:r w:rsidRPr="0059512C" w:rsidR="004E5A04">
        <w:rPr>
          <w:szCs w:val="22"/>
        </w:rPr>
        <w:t xml:space="preserve">transmit and transmit/receive earth stations.  </w:t>
      </w:r>
      <w:r w:rsidRPr="0059512C" w:rsidR="00B90F52">
        <w:rPr>
          <w:szCs w:val="22"/>
        </w:rPr>
        <w:t xml:space="preserve">We also seek comment on the elimination of some current filing fees and the creation of new cost-based filing fees.  For space stations, we seek comment on a new fee category:  Application for authority to operate, per satellite, a space station that is already in orbit as a U.S. licensed space station.  We propose to remove the separate application fee for extension of launch authority, which is already covered as a space station modification.  </w:t>
      </w:r>
      <w:r w:rsidRPr="0059512C" w:rsidR="00DB6DDB">
        <w:rPr>
          <w:szCs w:val="22"/>
        </w:rPr>
        <w:t>In addition, we seek comment on adopting a new application fee for petitions for declaratory ruling to access the U.S. market by foreign</w:t>
      </w:r>
      <w:r w:rsidRPr="0059512C" w:rsidR="00C61CED">
        <w:rPr>
          <w:szCs w:val="22"/>
        </w:rPr>
        <w:t>-</w:t>
      </w:r>
      <w:r w:rsidRPr="0059512C" w:rsidR="00DB6DDB">
        <w:rPr>
          <w:szCs w:val="22"/>
        </w:rPr>
        <w:t>licensed space sta</w:t>
      </w:r>
      <w:r w:rsidRPr="0059512C" w:rsidR="00C61CED">
        <w:rPr>
          <w:szCs w:val="22"/>
        </w:rPr>
        <w:t>t</w:t>
      </w:r>
      <w:r w:rsidRPr="0059512C" w:rsidR="00DB6DDB">
        <w:rPr>
          <w:szCs w:val="22"/>
        </w:rPr>
        <w:t xml:space="preserve">ions.  </w:t>
      </w:r>
      <w:r w:rsidRPr="0059512C" w:rsidR="00C61CED">
        <w:rPr>
          <w:szCs w:val="22"/>
        </w:rPr>
        <w:t>We</w:t>
      </w:r>
      <w:r w:rsidRPr="0059512C" w:rsidR="00DB6DDB">
        <w:rPr>
          <w:szCs w:val="22"/>
        </w:rPr>
        <w:t xml:space="preserve"> pro</w:t>
      </w:r>
      <w:r w:rsidRPr="0059512C" w:rsidR="00C61CED">
        <w:rPr>
          <w:szCs w:val="22"/>
        </w:rPr>
        <w:t>p</w:t>
      </w:r>
      <w:r w:rsidRPr="0059512C" w:rsidR="00DB6DDB">
        <w:rPr>
          <w:szCs w:val="22"/>
        </w:rPr>
        <w:t>ose new cost-based rules for satellites that may be lice</w:t>
      </w:r>
      <w:r w:rsidRPr="0059512C" w:rsidR="00C61CED">
        <w:rPr>
          <w:szCs w:val="22"/>
        </w:rPr>
        <w:t>n</w:t>
      </w:r>
      <w:r w:rsidRPr="0059512C" w:rsidR="00DB6DDB">
        <w:rPr>
          <w:szCs w:val="22"/>
        </w:rPr>
        <w:t>s</w:t>
      </w:r>
      <w:r w:rsidRPr="0059512C" w:rsidR="00C61CED">
        <w:rPr>
          <w:szCs w:val="22"/>
        </w:rPr>
        <w:t>e</w:t>
      </w:r>
      <w:r w:rsidRPr="0059512C" w:rsidR="00DB6DDB">
        <w:rPr>
          <w:szCs w:val="22"/>
        </w:rPr>
        <w:t>d under the Commission’s small satellite rules.  F</w:t>
      </w:r>
      <w:r w:rsidRPr="0059512C" w:rsidR="00C61CED">
        <w:rPr>
          <w:szCs w:val="22"/>
        </w:rPr>
        <w:t>i</w:t>
      </w:r>
      <w:r w:rsidRPr="0059512C" w:rsidR="00DB6DDB">
        <w:rPr>
          <w:szCs w:val="22"/>
        </w:rPr>
        <w:t>nally, w</w:t>
      </w:r>
      <w:r w:rsidRPr="0059512C" w:rsidR="00C61CED">
        <w:rPr>
          <w:szCs w:val="22"/>
        </w:rPr>
        <w:t>e</w:t>
      </w:r>
      <w:r w:rsidRPr="0059512C" w:rsidR="00DB6DDB">
        <w:rPr>
          <w:szCs w:val="22"/>
        </w:rPr>
        <w:t xml:space="preserve"> prop</w:t>
      </w:r>
      <w:r w:rsidRPr="0059512C" w:rsidR="00C61CED">
        <w:rPr>
          <w:szCs w:val="22"/>
        </w:rPr>
        <w:t>o</w:t>
      </w:r>
      <w:r w:rsidRPr="0059512C" w:rsidR="00DB6DDB">
        <w:rPr>
          <w:szCs w:val="22"/>
        </w:rPr>
        <w:t xml:space="preserve">se to create </w:t>
      </w:r>
      <w:r w:rsidRPr="0059512C" w:rsidR="00C61CED">
        <w:rPr>
          <w:szCs w:val="22"/>
        </w:rPr>
        <w:t>s</w:t>
      </w:r>
      <w:r w:rsidRPr="0059512C" w:rsidR="00DB6DDB">
        <w:rPr>
          <w:szCs w:val="22"/>
        </w:rPr>
        <w:t>eparate fee categories for all amendments</w:t>
      </w:r>
      <w:r w:rsidRPr="0059512C" w:rsidR="00C61CED">
        <w:rPr>
          <w:szCs w:val="22"/>
        </w:rPr>
        <w:t xml:space="preserve"> </w:t>
      </w:r>
      <w:r w:rsidRPr="0059512C" w:rsidR="00DB6DDB">
        <w:rPr>
          <w:szCs w:val="22"/>
        </w:rPr>
        <w:t>and all m</w:t>
      </w:r>
      <w:r w:rsidRPr="0059512C" w:rsidR="00C61CED">
        <w:rPr>
          <w:szCs w:val="22"/>
        </w:rPr>
        <w:t>o</w:t>
      </w:r>
      <w:r w:rsidRPr="0059512C" w:rsidR="00DB6DDB">
        <w:rPr>
          <w:szCs w:val="22"/>
        </w:rPr>
        <w:t>difica</w:t>
      </w:r>
      <w:r w:rsidRPr="0059512C" w:rsidR="00C61CED">
        <w:rPr>
          <w:szCs w:val="22"/>
        </w:rPr>
        <w:t>t</w:t>
      </w:r>
      <w:r w:rsidRPr="0059512C" w:rsidR="00DB6DDB">
        <w:rPr>
          <w:szCs w:val="22"/>
        </w:rPr>
        <w:t>ion</w:t>
      </w:r>
      <w:r w:rsidRPr="0059512C" w:rsidR="00C61CED">
        <w:rPr>
          <w:szCs w:val="22"/>
        </w:rPr>
        <w:t>s</w:t>
      </w:r>
      <w:r w:rsidRPr="0059512C" w:rsidR="00DB6DDB">
        <w:rPr>
          <w:szCs w:val="22"/>
        </w:rPr>
        <w:t xml:space="preserve">, regardless whether the space station involved is </w:t>
      </w:r>
      <w:r w:rsidR="004A2E99">
        <w:rPr>
          <w:szCs w:val="22"/>
        </w:rPr>
        <w:t>a geostationary orbit satellite or a nongeostationary orbit satellit</w:t>
      </w:r>
      <w:r w:rsidR="00C63849">
        <w:rPr>
          <w:szCs w:val="22"/>
        </w:rPr>
        <w:t>e</w:t>
      </w:r>
      <w:r w:rsidRPr="0059512C" w:rsidR="00764A89">
        <w:rPr>
          <w:szCs w:val="22"/>
        </w:rPr>
        <w:t>.</w:t>
      </w:r>
    </w:p>
    <w:p w:rsidR="001D4BF8" w:rsidRPr="0059512C" w:rsidP="00020760">
      <w:pPr>
        <w:pStyle w:val="Heading4"/>
        <w:rPr>
          <w:szCs w:val="22"/>
        </w:rPr>
      </w:pPr>
      <w:bookmarkStart w:id="314" w:name="_Toc18066934"/>
      <w:bookmarkStart w:id="315" w:name="_Toc18939795"/>
      <w:bookmarkStart w:id="316" w:name="_Toc19795098"/>
      <w:bookmarkStart w:id="317" w:name="_Toc19796463"/>
      <w:bookmarkStart w:id="318" w:name="_Toc19796821"/>
      <w:bookmarkStart w:id="319" w:name="_Toc28005111"/>
      <w:bookmarkStart w:id="320" w:name="_Toc29557409"/>
      <w:bookmarkStart w:id="321" w:name="_Toc35268592"/>
      <w:r w:rsidRPr="0059512C">
        <w:rPr>
          <w:szCs w:val="22"/>
        </w:rPr>
        <w:t>Cable Landing License</w:t>
      </w:r>
      <w:bookmarkEnd w:id="314"/>
      <w:bookmarkEnd w:id="315"/>
      <w:bookmarkEnd w:id="316"/>
      <w:bookmarkEnd w:id="317"/>
      <w:bookmarkEnd w:id="318"/>
      <w:bookmarkEnd w:id="319"/>
      <w:bookmarkEnd w:id="320"/>
      <w:bookmarkEnd w:id="321"/>
    </w:p>
    <w:p w:rsidR="001D4BF8" w:rsidRPr="0059512C" w:rsidP="001D4BF8">
      <w:pPr>
        <w:pStyle w:val="ParaNum"/>
        <w:rPr>
          <w:szCs w:val="22"/>
        </w:rPr>
      </w:pPr>
      <w:bookmarkStart w:id="322" w:name="_Toc18066935"/>
      <w:bookmarkStart w:id="323" w:name="_Toc18939796"/>
      <w:bookmarkStart w:id="324" w:name="_Toc19795099"/>
      <w:bookmarkStart w:id="325" w:name="_Toc19796464"/>
      <w:bookmarkStart w:id="326" w:name="_Toc19796822"/>
      <w:r w:rsidRPr="0059512C">
        <w:rPr>
          <w:szCs w:val="22"/>
        </w:rPr>
        <w:t>To land or operate a submarine cable in the United States, submarine cable operators must obtain a cable landing license from the Commission pursuant to the Cable Landing Licensing Act of 1921</w:t>
      </w:r>
      <w:r>
        <w:rPr>
          <w:rStyle w:val="FootnoteReference"/>
        </w:rPr>
        <w:footnoteReference w:id="84"/>
      </w:r>
      <w:r w:rsidR="00F134DA">
        <w:rPr>
          <w:szCs w:val="22"/>
        </w:rPr>
        <w:t xml:space="preserve"> </w:t>
      </w:r>
      <w:r w:rsidRPr="0059512C">
        <w:rPr>
          <w:szCs w:val="22"/>
        </w:rPr>
        <w:t>and Executive Order No. 10530.</w:t>
      </w:r>
      <w:r>
        <w:rPr>
          <w:rStyle w:val="FootnoteReference"/>
        </w:rPr>
        <w:footnoteReference w:id="85"/>
      </w:r>
      <w:r w:rsidRPr="0059512C">
        <w:rPr>
          <w:szCs w:val="22"/>
        </w:rPr>
        <w:t xml:space="preserve">  The Commission also authorizes assignments or transfers of existing cable landing licenses and modifications of licenses.</w:t>
      </w:r>
      <w:r>
        <w:rPr>
          <w:rStyle w:val="FootnoteReference"/>
          <w:sz w:val="22"/>
        </w:rPr>
        <w:footnoteReference w:id="86"/>
      </w:r>
      <w:r w:rsidRPr="0059512C">
        <w:rPr>
          <w:szCs w:val="22"/>
        </w:rPr>
        <w:t xml:space="preserve">  The Commission coordinates the applications with the Department of State</w:t>
      </w:r>
      <w:r>
        <w:rPr>
          <w:rStyle w:val="FootnoteReference"/>
          <w:sz w:val="22"/>
        </w:rPr>
        <w:footnoteReference w:id="87"/>
      </w:r>
      <w:r w:rsidRPr="0059512C">
        <w:rPr>
          <w:szCs w:val="22"/>
        </w:rPr>
        <w:t xml:space="preserve"> and any other federal agencies, as necessary.</w:t>
      </w:r>
      <w:r>
        <w:rPr>
          <w:rStyle w:val="FootnoteReference"/>
        </w:rPr>
        <w:footnoteReference w:id="88"/>
      </w:r>
      <w:r w:rsidRPr="0059512C">
        <w:rPr>
          <w:szCs w:val="22"/>
        </w:rPr>
        <w:t xml:space="preserve">  The r</w:t>
      </w:r>
      <w:r w:rsidRPr="0059512C">
        <w:rPr>
          <w:szCs w:val="22"/>
        </w:rPr>
        <w:t xml:space="preserve">equirements for filing an application for a new cable landing license, assignments or </w:t>
      </w:r>
      <w:r w:rsidRPr="0059512C" w:rsidR="00241CE0">
        <w:rPr>
          <w:szCs w:val="22"/>
        </w:rPr>
        <w:t xml:space="preserve">transfers or </w:t>
      </w:r>
      <w:r w:rsidRPr="0059512C">
        <w:rPr>
          <w:szCs w:val="22"/>
        </w:rPr>
        <w:t>modifications of existing cable landing licenses are set out in section 1.767 of the Commission’s rules.</w:t>
      </w:r>
      <w:r>
        <w:rPr>
          <w:rStyle w:val="FootnoteReference"/>
        </w:rPr>
        <w:footnoteReference w:id="89"/>
      </w:r>
      <w:r w:rsidRPr="0059512C">
        <w:rPr>
          <w:szCs w:val="22"/>
        </w:rPr>
        <w:t xml:space="preserve">  Currently, there</w:t>
      </w:r>
      <w:r w:rsidRPr="0059512C" w:rsidR="00FB62B0">
        <w:rPr>
          <w:szCs w:val="22"/>
        </w:rPr>
        <w:t xml:space="preserve"> are different</w:t>
      </w:r>
      <w:r w:rsidRPr="0059512C">
        <w:rPr>
          <w:szCs w:val="22"/>
        </w:rPr>
        <w:t xml:space="preserve"> application fee</w:t>
      </w:r>
      <w:r w:rsidRPr="0059512C" w:rsidR="00FB62B0">
        <w:rPr>
          <w:szCs w:val="22"/>
        </w:rPr>
        <w:t>s</w:t>
      </w:r>
      <w:r w:rsidRPr="0059512C">
        <w:rPr>
          <w:szCs w:val="22"/>
        </w:rPr>
        <w:t xml:space="preserve"> f</w:t>
      </w:r>
      <w:r w:rsidRPr="0059512C">
        <w:rPr>
          <w:szCs w:val="22"/>
        </w:rPr>
        <w:t>or new licenses based on whether the license is for a common carrier or non-common carrier license</w:t>
      </w:r>
      <w:r w:rsidRPr="0059512C" w:rsidR="00661ECE">
        <w:rPr>
          <w:szCs w:val="22"/>
        </w:rPr>
        <w:t>.</w:t>
      </w:r>
      <w:r>
        <w:rPr>
          <w:rStyle w:val="FootnoteReference"/>
        </w:rPr>
        <w:footnoteReference w:id="90"/>
      </w:r>
      <w:r w:rsidRPr="0059512C">
        <w:rPr>
          <w:szCs w:val="22"/>
        </w:rPr>
        <w:t xml:space="preserve"> </w:t>
      </w:r>
      <w:r w:rsidRPr="0059512C" w:rsidR="00661ECE">
        <w:rPr>
          <w:szCs w:val="22"/>
        </w:rPr>
        <w:t xml:space="preserve"> There are also fees </w:t>
      </w:r>
      <w:r w:rsidRPr="0059512C">
        <w:rPr>
          <w:szCs w:val="22"/>
        </w:rPr>
        <w:t>for substantive assignments or transfers of control of a license, and requests for</w:t>
      </w:r>
      <w:r w:rsidRPr="0059512C" w:rsidR="00554A51">
        <w:rPr>
          <w:szCs w:val="22"/>
        </w:rPr>
        <w:t xml:space="preserve"> STA</w:t>
      </w:r>
      <w:r w:rsidRPr="0059512C">
        <w:rPr>
          <w:szCs w:val="22"/>
        </w:rPr>
        <w:t>.</w:t>
      </w:r>
      <w:r>
        <w:rPr>
          <w:rStyle w:val="FootnoteReference"/>
        </w:rPr>
        <w:footnoteReference w:id="91"/>
      </w:r>
      <w:r w:rsidRPr="0059512C">
        <w:rPr>
          <w:szCs w:val="22"/>
        </w:rPr>
        <w:t xml:space="preserve">    </w:t>
      </w:r>
    </w:p>
    <w:p w:rsidR="001D4BF8" w:rsidRPr="0059512C" w:rsidP="00FA188D">
      <w:pPr>
        <w:pStyle w:val="ParaNum"/>
        <w:rPr>
          <w:szCs w:val="22"/>
        </w:rPr>
      </w:pPr>
      <w:r w:rsidRPr="0059512C">
        <w:rPr>
          <w:i/>
          <w:szCs w:val="22"/>
        </w:rPr>
        <w:t xml:space="preserve">New Cable Landing </w:t>
      </w:r>
      <w:r w:rsidRPr="0059512C" w:rsidR="00522766">
        <w:rPr>
          <w:i/>
          <w:szCs w:val="22"/>
        </w:rPr>
        <w:t xml:space="preserve">License </w:t>
      </w:r>
      <w:r w:rsidRPr="0059512C">
        <w:rPr>
          <w:i/>
          <w:szCs w:val="22"/>
        </w:rPr>
        <w:t>Category.</w:t>
      </w:r>
      <w:r w:rsidRPr="0059512C">
        <w:rPr>
          <w:szCs w:val="22"/>
        </w:rPr>
        <w:t xml:space="preserve">  We</w:t>
      </w:r>
      <w:r w:rsidRPr="0059512C">
        <w:rPr>
          <w:szCs w:val="22"/>
        </w:rPr>
        <w:t xml:space="preserve"> propose to create a new cable landing </w:t>
      </w:r>
      <w:r w:rsidRPr="0059512C" w:rsidR="00D92900">
        <w:rPr>
          <w:szCs w:val="22"/>
        </w:rPr>
        <w:t xml:space="preserve">license </w:t>
      </w:r>
      <w:r w:rsidRPr="0059512C">
        <w:rPr>
          <w:szCs w:val="22"/>
        </w:rPr>
        <w:t xml:space="preserve">category.  Historically, application fees for cable landing licenses have been included as part of the fee category for </w:t>
      </w:r>
      <w:r w:rsidR="009C0D26">
        <w:rPr>
          <w:szCs w:val="22"/>
        </w:rPr>
        <w:t>s</w:t>
      </w:r>
      <w:r w:rsidRPr="0059512C">
        <w:rPr>
          <w:szCs w:val="22"/>
        </w:rPr>
        <w:t xml:space="preserve">ection 214 </w:t>
      </w:r>
      <w:r w:rsidR="009C0D26">
        <w:rPr>
          <w:szCs w:val="22"/>
        </w:rPr>
        <w:t>a</w:t>
      </w:r>
      <w:r w:rsidRPr="0059512C">
        <w:rPr>
          <w:szCs w:val="22"/>
        </w:rPr>
        <w:t>pplications in former section 158(g) of the Communications Act.</w:t>
      </w:r>
      <w:r>
        <w:rPr>
          <w:rStyle w:val="FootnoteReference"/>
        </w:rPr>
        <w:footnoteReference w:id="92"/>
      </w:r>
      <w:r w:rsidRPr="0059512C">
        <w:rPr>
          <w:szCs w:val="22"/>
        </w:rPr>
        <w:t xml:space="preserve">  Now that </w:t>
      </w:r>
      <w:r w:rsidRPr="0059512C">
        <w:rPr>
          <w:szCs w:val="22"/>
        </w:rPr>
        <w:t>the RAY BAUM’S Act has authorized us to adopt a new schedule of application fees,</w:t>
      </w:r>
      <w:r>
        <w:rPr>
          <w:rStyle w:val="FootnoteReference"/>
        </w:rPr>
        <w:footnoteReference w:id="93"/>
      </w:r>
      <w:r w:rsidRPr="0059512C">
        <w:rPr>
          <w:szCs w:val="22"/>
        </w:rPr>
        <w:t xml:space="preserve"> we propose to create a separate fee category for all </w:t>
      </w:r>
      <w:r w:rsidR="009C0D26">
        <w:rPr>
          <w:szCs w:val="22"/>
        </w:rPr>
        <w:t>c</w:t>
      </w:r>
      <w:r w:rsidRPr="0059512C">
        <w:rPr>
          <w:szCs w:val="22"/>
        </w:rPr>
        <w:t xml:space="preserve">able </w:t>
      </w:r>
      <w:r w:rsidR="009C0D26">
        <w:rPr>
          <w:szCs w:val="22"/>
        </w:rPr>
        <w:t>l</w:t>
      </w:r>
      <w:r w:rsidRPr="0059512C">
        <w:rPr>
          <w:szCs w:val="22"/>
        </w:rPr>
        <w:t xml:space="preserve">anding </w:t>
      </w:r>
      <w:r w:rsidR="009C0D26">
        <w:rPr>
          <w:szCs w:val="22"/>
        </w:rPr>
        <w:t>l</w:t>
      </w:r>
      <w:r w:rsidRPr="0059512C">
        <w:rPr>
          <w:szCs w:val="22"/>
        </w:rPr>
        <w:t xml:space="preserve">icense applications because </w:t>
      </w:r>
      <w:r w:rsidRPr="0059512C" w:rsidR="00220A4C">
        <w:rPr>
          <w:szCs w:val="22"/>
        </w:rPr>
        <w:t xml:space="preserve">the processing of those </w:t>
      </w:r>
      <w:r w:rsidRPr="0059512C" w:rsidR="00220A4C">
        <w:rPr>
          <w:szCs w:val="22"/>
        </w:rPr>
        <w:t>applications differs significantly from the processing of internation</w:t>
      </w:r>
      <w:r w:rsidRPr="0059512C" w:rsidR="003C0D27">
        <w:rPr>
          <w:szCs w:val="22"/>
        </w:rPr>
        <w:t>al</w:t>
      </w:r>
      <w:r w:rsidRPr="0059512C" w:rsidR="00220A4C">
        <w:rPr>
          <w:szCs w:val="22"/>
        </w:rPr>
        <w:t xml:space="preserve"> section 214 applications  For instance, we are required to coordinate cable landing license applications with </w:t>
      </w:r>
      <w:r w:rsidRPr="0059512C" w:rsidR="003C0D27">
        <w:rPr>
          <w:szCs w:val="22"/>
        </w:rPr>
        <w:t>t</w:t>
      </w:r>
      <w:r w:rsidRPr="0059512C" w:rsidR="00220A4C">
        <w:rPr>
          <w:szCs w:val="22"/>
        </w:rPr>
        <w:t>he State Department.  In addition, new cable landing license applications typically have multiple applicants seeking to become licensees, which requires more extensive staff review.</w:t>
      </w:r>
      <w:r>
        <w:rPr>
          <w:rStyle w:val="FootnoteReference"/>
        </w:rPr>
        <w:footnoteReference w:id="94"/>
      </w:r>
      <w:r w:rsidRPr="0059512C" w:rsidR="00220A4C">
        <w:rPr>
          <w:szCs w:val="22"/>
        </w:rPr>
        <w:t xml:space="preserve">  W</w:t>
      </w:r>
      <w:r w:rsidRPr="0059512C" w:rsidR="00A6735F">
        <w:rPr>
          <w:szCs w:val="22"/>
        </w:rPr>
        <w:t xml:space="preserve">e propose and seek comment on adopting the following cost-based fees for these applications—and we give as an example the current fees for these services.  </w:t>
      </w:r>
    </w:p>
    <w:tbl>
      <w:tblPr>
        <w:tblStyle w:val="TableGrid"/>
        <w:tblW w:w="0" w:type="auto"/>
        <w:tblInd w:w="720" w:type="dxa"/>
        <w:tblLook w:val="04A0"/>
      </w:tblPr>
      <w:tblGrid>
        <w:gridCol w:w="2896"/>
        <w:gridCol w:w="2849"/>
        <w:gridCol w:w="2885"/>
      </w:tblGrid>
      <w:tr w:rsidTr="004B401B">
        <w:tblPrEx>
          <w:tblW w:w="0" w:type="auto"/>
          <w:tblInd w:w="720" w:type="dxa"/>
          <w:tblLook w:val="04A0"/>
        </w:tblPrEx>
        <w:tc>
          <w:tcPr>
            <w:tcW w:w="2896" w:type="dxa"/>
          </w:tcPr>
          <w:p w:rsidR="001D4BF8" w:rsidRPr="0059512C" w:rsidP="004B401B">
            <w:pPr>
              <w:pStyle w:val="ParaNum"/>
              <w:numPr>
                <w:ilvl w:val="0"/>
                <w:numId w:val="0"/>
              </w:numPr>
              <w:rPr>
                <w:b/>
                <w:szCs w:val="22"/>
              </w:rPr>
            </w:pPr>
            <w:r w:rsidRPr="0059512C">
              <w:rPr>
                <w:b/>
                <w:bCs/>
                <w:szCs w:val="22"/>
              </w:rPr>
              <w:t>Ap</w:t>
            </w:r>
            <w:r w:rsidRPr="0059512C">
              <w:rPr>
                <w:b/>
                <w:szCs w:val="22"/>
              </w:rPr>
              <w:t>plication</w:t>
            </w:r>
          </w:p>
        </w:tc>
        <w:tc>
          <w:tcPr>
            <w:tcW w:w="2849" w:type="dxa"/>
          </w:tcPr>
          <w:p w:rsidR="001D4BF8" w:rsidRPr="0059512C" w:rsidP="004B401B">
            <w:pPr>
              <w:pStyle w:val="ParaNum"/>
              <w:numPr>
                <w:ilvl w:val="0"/>
                <w:numId w:val="0"/>
              </w:numPr>
              <w:rPr>
                <w:b/>
                <w:szCs w:val="22"/>
              </w:rPr>
            </w:pPr>
            <w:r w:rsidRPr="0059512C">
              <w:rPr>
                <w:b/>
                <w:szCs w:val="22"/>
              </w:rPr>
              <w:t xml:space="preserve">Current </w:t>
            </w:r>
            <w:r w:rsidRPr="0059512C" w:rsidR="00DE6BE9">
              <w:rPr>
                <w:b/>
                <w:szCs w:val="22"/>
              </w:rPr>
              <w:t>F</w:t>
            </w:r>
            <w:r w:rsidRPr="0059512C">
              <w:rPr>
                <w:b/>
                <w:szCs w:val="22"/>
              </w:rPr>
              <w:t>ee</w:t>
            </w:r>
          </w:p>
        </w:tc>
        <w:tc>
          <w:tcPr>
            <w:tcW w:w="2885" w:type="dxa"/>
          </w:tcPr>
          <w:p w:rsidR="001D4BF8" w:rsidRPr="0059512C" w:rsidP="004B401B">
            <w:pPr>
              <w:pStyle w:val="ParaNum"/>
              <w:numPr>
                <w:ilvl w:val="0"/>
                <w:numId w:val="0"/>
              </w:numPr>
              <w:rPr>
                <w:b/>
                <w:szCs w:val="22"/>
              </w:rPr>
            </w:pPr>
            <w:r w:rsidRPr="0059512C">
              <w:rPr>
                <w:b/>
                <w:szCs w:val="22"/>
              </w:rPr>
              <w:t>Cost-base</w:t>
            </w:r>
            <w:r w:rsidRPr="0059512C">
              <w:rPr>
                <w:b/>
                <w:szCs w:val="22"/>
              </w:rPr>
              <w:t xml:space="preserve">d </w:t>
            </w:r>
            <w:r w:rsidRPr="0059512C" w:rsidR="00DE6BE9">
              <w:rPr>
                <w:b/>
                <w:szCs w:val="22"/>
              </w:rPr>
              <w:t>Fee</w:t>
            </w:r>
          </w:p>
        </w:tc>
      </w:tr>
      <w:tr w:rsidTr="004B401B">
        <w:tblPrEx>
          <w:tblW w:w="0" w:type="auto"/>
          <w:tblInd w:w="720" w:type="dxa"/>
          <w:tblLook w:val="04A0"/>
        </w:tblPrEx>
        <w:tc>
          <w:tcPr>
            <w:tcW w:w="2896" w:type="dxa"/>
          </w:tcPr>
          <w:p w:rsidR="001D4BF8" w:rsidRPr="0059512C" w:rsidP="004B401B">
            <w:pPr>
              <w:pStyle w:val="ParaNum"/>
              <w:numPr>
                <w:ilvl w:val="0"/>
                <w:numId w:val="0"/>
              </w:numPr>
              <w:rPr>
                <w:szCs w:val="22"/>
              </w:rPr>
            </w:pPr>
            <w:r w:rsidRPr="0059512C">
              <w:rPr>
                <w:szCs w:val="22"/>
              </w:rPr>
              <w:t>Single cable landing , new license</w:t>
            </w:r>
          </w:p>
        </w:tc>
        <w:tc>
          <w:tcPr>
            <w:tcW w:w="2849" w:type="dxa"/>
          </w:tcPr>
          <w:p w:rsidR="001D4BF8" w:rsidRPr="0059512C" w:rsidP="004B401B">
            <w:pPr>
              <w:pStyle w:val="ParaNum"/>
              <w:numPr>
                <w:ilvl w:val="0"/>
                <w:numId w:val="0"/>
              </w:numPr>
              <w:rPr>
                <w:szCs w:val="22"/>
              </w:rPr>
            </w:pPr>
            <w:r w:rsidRPr="0059512C">
              <w:rPr>
                <w:szCs w:val="22"/>
              </w:rPr>
              <w:t>$19,855</w:t>
            </w:r>
          </w:p>
        </w:tc>
        <w:tc>
          <w:tcPr>
            <w:tcW w:w="2885" w:type="dxa"/>
          </w:tcPr>
          <w:p w:rsidR="001D4BF8" w:rsidRPr="0059512C" w:rsidP="004B401B">
            <w:pPr>
              <w:pStyle w:val="ParaNum"/>
              <w:numPr>
                <w:ilvl w:val="0"/>
                <w:numId w:val="0"/>
              </w:numPr>
              <w:rPr>
                <w:szCs w:val="22"/>
              </w:rPr>
            </w:pPr>
            <w:r w:rsidRPr="0059512C">
              <w:rPr>
                <w:szCs w:val="22"/>
              </w:rPr>
              <w:t>$3,</w:t>
            </w:r>
            <w:r w:rsidRPr="0059512C" w:rsidR="009F0CE0">
              <w:rPr>
                <w:szCs w:val="22"/>
              </w:rPr>
              <w:t>835</w:t>
            </w:r>
          </w:p>
        </w:tc>
      </w:tr>
      <w:tr w:rsidTr="004B401B">
        <w:tblPrEx>
          <w:tblW w:w="0" w:type="auto"/>
          <w:tblInd w:w="720" w:type="dxa"/>
          <w:tblLook w:val="04A0"/>
        </w:tblPrEx>
        <w:tc>
          <w:tcPr>
            <w:tcW w:w="2896" w:type="dxa"/>
          </w:tcPr>
          <w:p w:rsidR="001D4BF8" w:rsidRPr="0059512C" w:rsidP="004B401B">
            <w:pPr>
              <w:pStyle w:val="ParaNum"/>
              <w:numPr>
                <w:ilvl w:val="0"/>
                <w:numId w:val="0"/>
              </w:numPr>
              <w:rPr>
                <w:szCs w:val="22"/>
              </w:rPr>
            </w:pPr>
            <w:r w:rsidRPr="0059512C">
              <w:rPr>
                <w:szCs w:val="22"/>
              </w:rPr>
              <w:t>Assignment/transfer of control, substantive</w:t>
            </w:r>
          </w:p>
        </w:tc>
        <w:tc>
          <w:tcPr>
            <w:tcW w:w="2849" w:type="dxa"/>
          </w:tcPr>
          <w:p w:rsidR="001D4BF8" w:rsidRPr="0059512C" w:rsidP="004B401B">
            <w:pPr>
              <w:pStyle w:val="ParaNum"/>
              <w:numPr>
                <w:ilvl w:val="0"/>
                <w:numId w:val="0"/>
              </w:numPr>
              <w:rPr>
                <w:szCs w:val="22"/>
              </w:rPr>
            </w:pPr>
            <w:r w:rsidRPr="0059512C">
              <w:rPr>
                <w:szCs w:val="22"/>
              </w:rPr>
              <w:t xml:space="preserve">$1,195 </w:t>
            </w:r>
          </w:p>
        </w:tc>
        <w:tc>
          <w:tcPr>
            <w:tcW w:w="2885" w:type="dxa"/>
          </w:tcPr>
          <w:p w:rsidR="001D4BF8" w:rsidRPr="0059512C" w:rsidP="004B401B">
            <w:pPr>
              <w:pStyle w:val="ParaNum"/>
              <w:numPr>
                <w:ilvl w:val="0"/>
                <w:numId w:val="0"/>
              </w:numPr>
              <w:rPr>
                <w:szCs w:val="22"/>
              </w:rPr>
            </w:pPr>
            <w:r w:rsidRPr="0059512C">
              <w:rPr>
                <w:szCs w:val="22"/>
              </w:rPr>
              <w:t>$1,</w:t>
            </w:r>
            <w:r w:rsidRPr="0059512C" w:rsidR="009F0CE0">
              <w:rPr>
                <w:szCs w:val="22"/>
              </w:rPr>
              <w:t>23</w:t>
            </w:r>
            <w:r w:rsidRPr="0059512C" w:rsidR="005C1A3D">
              <w:rPr>
                <w:szCs w:val="22"/>
              </w:rPr>
              <w:t>0</w:t>
            </w:r>
            <w:r w:rsidRPr="0059512C">
              <w:rPr>
                <w:szCs w:val="22"/>
              </w:rPr>
              <w:t xml:space="preserve">  </w:t>
            </w:r>
          </w:p>
        </w:tc>
      </w:tr>
      <w:tr w:rsidTr="004B401B">
        <w:tblPrEx>
          <w:tblW w:w="0" w:type="auto"/>
          <w:tblInd w:w="720" w:type="dxa"/>
          <w:tblLook w:val="04A0"/>
        </w:tblPrEx>
        <w:tc>
          <w:tcPr>
            <w:tcW w:w="2896" w:type="dxa"/>
          </w:tcPr>
          <w:p w:rsidR="001D4BF8" w:rsidRPr="0059512C" w:rsidP="004B401B">
            <w:pPr>
              <w:pStyle w:val="ParaNum"/>
              <w:numPr>
                <w:ilvl w:val="0"/>
                <w:numId w:val="0"/>
              </w:numPr>
              <w:rPr>
                <w:szCs w:val="22"/>
              </w:rPr>
            </w:pPr>
            <w:r w:rsidRPr="0059512C">
              <w:rPr>
                <w:szCs w:val="22"/>
              </w:rPr>
              <w:t>Assignment/transfer of control, pro forma</w:t>
            </w:r>
          </w:p>
        </w:tc>
        <w:tc>
          <w:tcPr>
            <w:tcW w:w="2849" w:type="dxa"/>
          </w:tcPr>
          <w:p w:rsidR="001D4BF8" w:rsidRPr="0059512C" w:rsidP="004B401B">
            <w:pPr>
              <w:pStyle w:val="ParaNum"/>
              <w:numPr>
                <w:ilvl w:val="0"/>
                <w:numId w:val="0"/>
              </w:numPr>
              <w:rPr>
                <w:szCs w:val="22"/>
              </w:rPr>
            </w:pPr>
            <w:r w:rsidRPr="0059512C">
              <w:rPr>
                <w:szCs w:val="22"/>
              </w:rPr>
              <w:t>n/a</w:t>
            </w:r>
          </w:p>
        </w:tc>
        <w:tc>
          <w:tcPr>
            <w:tcW w:w="2885" w:type="dxa"/>
          </w:tcPr>
          <w:p w:rsidR="001D4BF8" w:rsidRPr="0059512C" w:rsidP="004B401B">
            <w:pPr>
              <w:pStyle w:val="ParaNum"/>
              <w:numPr>
                <w:ilvl w:val="0"/>
                <w:numId w:val="0"/>
              </w:numPr>
              <w:rPr>
                <w:szCs w:val="22"/>
              </w:rPr>
            </w:pPr>
            <w:r w:rsidRPr="0059512C">
              <w:rPr>
                <w:szCs w:val="22"/>
              </w:rPr>
              <w:t>$6</w:t>
            </w:r>
            <w:r w:rsidRPr="0059512C" w:rsidR="009F0CE0">
              <w:rPr>
                <w:szCs w:val="22"/>
              </w:rPr>
              <w:t>75</w:t>
            </w:r>
          </w:p>
        </w:tc>
      </w:tr>
      <w:tr w:rsidTr="004B401B">
        <w:tblPrEx>
          <w:tblW w:w="0" w:type="auto"/>
          <w:tblInd w:w="720" w:type="dxa"/>
          <w:tblLook w:val="04A0"/>
        </w:tblPrEx>
        <w:tc>
          <w:tcPr>
            <w:tcW w:w="2896" w:type="dxa"/>
          </w:tcPr>
          <w:p w:rsidR="001D4BF8" w:rsidRPr="0059512C" w:rsidP="004B401B">
            <w:pPr>
              <w:pStyle w:val="ParaNum"/>
              <w:numPr>
                <w:ilvl w:val="0"/>
                <w:numId w:val="0"/>
              </w:numPr>
              <w:rPr>
                <w:szCs w:val="22"/>
              </w:rPr>
            </w:pPr>
            <w:r w:rsidRPr="0059512C">
              <w:rPr>
                <w:szCs w:val="22"/>
              </w:rPr>
              <w:t>Foreign Carrier Affiliation Notification</w:t>
            </w:r>
          </w:p>
        </w:tc>
        <w:tc>
          <w:tcPr>
            <w:tcW w:w="2849" w:type="dxa"/>
          </w:tcPr>
          <w:p w:rsidR="001D4BF8" w:rsidRPr="0059512C" w:rsidP="004B401B">
            <w:pPr>
              <w:pStyle w:val="ParaNum"/>
              <w:numPr>
                <w:ilvl w:val="0"/>
                <w:numId w:val="0"/>
              </w:numPr>
              <w:rPr>
                <w:szCs w:val="22"/>
              </w:rPr>
            </w:pPr>
            <w:r w:rsidRPr="0059512C">
              <w:rPr>
                <w:szCs w:val="22"/>
              </w:rPr>
              <w:t>n/a</w:t>
            </w:r>
          </w:p>
        </w:tc>
        <w:tc>
          <w:tcPr>
            <w:tcW w:w="2885" w:type="dxa"/>
          </w:tcPr>
          <w:p w:rsidR="001D4BF8" w:rsidRPr="0059512C" w:rsidP="004B401B">
            <w:pPr>
              <w:pStyle w:val="ParaNum"/>
              <w:numPr>
                <w:ilvl w:val="0"/>
                <w:numId w:val="0"/>
              </w:numPr>
              <w:rPr>
                <w:szCs w:val="22"/>
              </w:rPr>
            </w:pPr>
            <w:r w:rsidRPr="0059512C">
              <w:rPr>
                <w:szCs w:val="22"/>
              </w:rPr>
              <w:t>$</w:t>
            </w:r>
            <w:r w:rsidRPr="0059512C" w:rsidR="005C1A3D">
              <w:rPr>
                <w:szCs w:val="22"/>
              </w:rPr>
              <w:t>4</w:t>
            </w:r>
            <w:r w:rsidRPr="0059512C" w:rsidR="009F0CE0">
              <w:rPr>
                <w:szCs w:val="22"/>
              </w:rPr>
              <w:t>95</w:t>
            </w:r>
          </w:p>
        </w:tc>
      </w:tr>
      <w:tr w:rsidTr="004B401B">
        <w:tblPrEx>
          <w:tblW w:w="0" w:type="auto"/>
          <w:tblInd w:w="720" w:type="dxa"/>
          <w:tblLook w:val="04A0"/>
        </w:tblPrEx>
        <w:tc>
          <w:tcPr>
            <w:tcW w:w="2896" w:type="dxa"/>
          </w:tcPr>
          <w:p w:rsidR="001D4BF8" w:rsidRPr="0059512C" w:rsidP="004B401B">
            <w:pPr>
              <w:pStyle w:val="ParaNum"/>
              <w:numPr>
                <w:ilvl w:val="0"/>
                <w:numId w:val="0"/>
              </w:numPr>
              <w:rPr>
                <w:szCs w:val="22"/>
              </w:rPr>
            </w:pPr>
            <w:r w:rsidRPr="0059512C">
              <w:rPr>
                <w:szCs w:val="22"/>
              </w:rPr>
              <w:t>Modification</w:t>
            </w:r>
          </w:p>
        </w:tc>
        <w:tc>
          <w:tcPr>
            <w:tcW w:w="2849" w:type="dxa"/>
          </w:tcPr>
          <w:p w:rsidR="001D4BF8" w:rsidRPr="0059512C" w:rsidP="004B401B">
            <w:pPr>
              <w:pStyle w:val="ParaNum"/>
              <w:numPr>
                <w:ilvl w:val="0"/>
                <w:numId w:val="0"/>
              </w:numPr>
              <w:rPr>
                <w:szCs w:val="22"/>
              </w:rPr>
            </w:pPr>
            <w:r w:rsidRPr="0059512C">
              <w:rPr>
                <w:szCs w:val="22"/>
              </w:rPr>
              <w:t>n/a</w:t>
            </w:r>
          </w:p>
        </w:tc>
        <w:tc>
          <w:tcPr>
            <w:tcW w:w="2885" w:type="dxa"/>
          </w:tcPr>
          <w:p w:rsidR="001D4BF8" w:rsidRPr="0059512C" w:rsidP="004B401B">
            <w:pPr>
              <w:pStyle w:val="ParaNum"/>
              <w:numPr>
                <w:ilvl w:val="0"/>
                <w:numId w:val="0"/>
              </w:numPr>
              <w:rPr>
                <w:szCs w:val="22"/>
              </w:rPr>
            </w:pPr>
            <w:r w:rsidRPr="0059512C">
              <w:rPr>
                <w:szCs w:val="22"/>
              </w:rPr>
              <w:t>$1,</w:t>
            </w:r>
            <w:r w:rsidRPr="0059512C" w:rsidR="009F0CE0">
              <w:rPr>
                <w:szCs w:val="22"/>
              </w:rPr>
              <w:t>230</w:t>
            </w:r>
          </w:p>
        </w:tc>
      </w:tr>
      <w:tr w:rsidTr="004B401B">
        <w:tblPrEx>
          <w:tblW w:w="0" w:type="auto"/>
          <w:tblInd w:w="720" w:type="dxa"/>
          <w:tblLook w:val="04A0"/>
        </w:tblPrEx>
        <w:tc>
          <w:tcPr>
            <w:tcW w:w="2896" w:type="dxa"/>
          </w:tcPr>
          <w:p w:rsidR="001D4BF8" w:rsidRPr="0059512C" w:rsidP="004B401B">
            <w:pPr>
              <w:pStyle w:val="ParaNum"/>
              <w:numPr>
                <w:ilvl w:val="0"/>
                <w:numId w:val="0"/>
              </w:numPr>
              <w:rPr>
                <w:szCs w:val="22"/>
              </w:rPr>
            </w:pPr>
            <w:r w:rsidRPr="0059512C">
              <w:rPr>
                <w:szCs w:val="22"/>
              </w:rPr>
              <w:t>Renewal</w:t>
            </w:r>
          </w:p>
        </w:tc>
        <w:tc>
          <w:tcPr>
            <w:tcW w:w="2849" w:type="dxa"/>
          </w:tcPr>
          <w:p w:rsidR="001D4BF8" w:rsidRPr="0059512C" w:rsidP="004B401B">
            <w:pPr>
              <w:pStyle w:val="ParaNum"/>
              <w:numPr>
                <w:ilvl w:val="0"/>
                <w:numId w:val="0"/>
              </w:numPr>
              <w:rPr>
                <w:szCs w:val="22"/>
              </w:rPr>
            </w:pPr>
            <w:r w:rsidRPr="0059512C">
              <w:rPr>
                <w:szCs w:val="22"/>
              </w:rPr>
              <w:t>n/a</w:t>
            </w:r>
          </w:p>
        </w:tc>
        <w:tc>
          <w:tcPr>
            <w:tcW w:w="2885" w:type="dxa"/>
          </w:tcPr>
          <w:p w:rsidR="001D4BF8" w:rsidRPr="0059512C" w:rsidP="004B401B">
            <w:pPr>
              <w:pStyle w:val="ParaNum"/>
              <w:numPr>
                <w:ilvl w:val="0"/>
                <w:numId w:val="0"/>
              </w:numPr>
              <w:rPr>
                <w:szCs w:val="22"/>
              </w:rPr>
            </w:pPr>
            <w:r w:rsidRPr="0059512C">
              <w:rPr>
                <w:szCs w:val="22"/>
              </w:rPr>
              <w:t>$2</w:t>
            </w:r>
            <w:r w:rsidRPr="0059512C" w:rsidR="00C84E5F">
              <w:rPr>
                <w:szCs w:val="22"/>
              </w:rPr>
              <w:t>,</w:t>
            </w:r>
            <w:r w:rsidRPr="0059512C" w:rsidR="009F0CE0">
              <w:rPr>
                <w:szCs w:val="22"/>
              </w:rPr>
              <w:t>440</w:t>
            </w:r>
          </w:p>
        </w:tc>
      </w:tr>
      <w:tr w:rsidTr="004B401B">
        <w:tblPrEx>
          <w:tblW w:w="0" w:type="auto"/>
          <w:tblInd w:w="720" w:type="dxa"/>
          <w:tblLook w:val="04A0"/>
        </w:tblPrEx>
        <w:tc>
          <w:tcPr>
            <w:tcW w:w="2896" w:type="dxa"/>
          </w:tcPr>
          <w:p w:rsidR="001D4BF8" w:rsidRPr="0059512C" w:rsidP="004B401B">
            <w:pPr>
              <w:pStyle w:val="ParaNum"/>
              <w:numPr>
                <w:ilvl w:val="0"/>
                <w:numId w:val="0"/>
              </w:numPr>
              <w:rPr>
                <w:szCs w:val="22"/>
              </w:rPr>
            </w:pPr>
            <w:r w:rsidRPr="0059512C">
              <w:rPr>
                <w:szCs w:val="22"/>
              </w:rPr>
              <w:t>Special Temporary Authority</w:t>
            </w:r>
          </w:p>
        </w:tc>
        <w:tc>
          <w:tcPr>
            <w:tcW w:w="2849" w:type="dxa"/>
          </w:tcPr>
          <w:p w:rsidR="001D4BF8" w:rsidRPr="0059512C" w:rsidP="004B401B">
            <w:pPr>
              <w:pStyle w:val="ParaNum"/>
              <w:numPr>
                <w:ilvl w:val="0"/>
                <w:numId w:val="0"/>
              </w:numPr>
              <w:rPr>
                <w:szCs w:val="22"/>
              </w:rPr>
            </w:pPr>
            <w:r w:rsidRPr="0059512C">
              <w:rPr>
                <w:szCs w:val="22"/>
              </w:rPr>
              <w:t>$1,195</w:t>
            </w:r>
          </w:p>
        </w:tc>
        <w:tc>
          <w:tcPr>
            <w:tcW w:w="2885" w:type="dxa"/>
          </w:tcPr>
          <w:p w:rsidR="001D4BF8" w:rsidRPr="0059512C" w:rsidP="004B401B">
            <w:pPr>
              <w:pStyle w:val="ParaNum"/>
              <w:numPr>
                <w:ilvl w:val="0"/>
                <w:numId w:val="0"/>
              </w:numPr>
              <w:rPr>
                <w:szCs w:val="22"/>
              </w:rPr>
            </w:pPr>
            <w:r w:rsidRPr="0059512C">
              <w:rPr>
                <w:szCs w:val="22"/>
              </w:rPr>
              <w:t>$6</w:t>
            </w:r>
            <w:r w:rsidRPr="0059512C" w:rsidR="009F0CE0">
              <w:rPr>
                <w:szCs w:val="22"/>
              </w:rPr>
              <w:t>75</w:t>
            </w:r>
          </w:p>
        </w:tc>
      </w:tr>
      <w:tr w:rsidTr="004B401B">
        <w:tblPrEx>
          <w:tblW w:w="0" w:type="auto"/>
          <w:tblInd w:w="720" w:type="dxa"/>
          <w:tblLook w:val="04A0"/>
        </w:tblPrEx>
        <w:tc>
          <w:tcPr>
            <w:tcW w:w="2896" w:type="dxa"/>
          </w:tcPr>
          <w:p w:rsidR="001D4BF8" w:rsidRPr="0059512C" w:rsidP="004B401B">
            <w:pPr>
              <w:pStyle w:val="ParaNum"/>
              <w:numPr>
                <w:ilvl w:val="0"/>
                <w:numId w:val="0"/>
              </w:numPr>
              <w:rPr>
                <w:szCs w:val="22"/>
              </w:rPr>
            </w:pPr>
            <w:r w:rsidRPr="0059512C">
              <w:rPr>
                <w:szCs w:val="22"/>
              </w:rPr>
              <w:t>Waiver</w:t>
            </w:r>
          </w:p>
        </w:tc>
        <w:tc>
          <w:tcPr>
            <w:tcW w:w="2849" w:type="dxa"/>
          </w:tcPr>
          <w:p w:rsidR="001D4BF8" w:rsidRPr="0059512C" w:rsidP="004B401B">
            <w:pPr>
              <w:pStyle w:val="ParaNum"/>
              <w:numPr>
                <w:ilvl w:val="0"/>
                <w:numId w:val="0"/>
              </w:numPr>
              <w:rPr>
                <w:szCs w:val="22"/>
              </w:rPr>
            </w:pPr>
            <w:r w:rsidRPr="0059512C">
              <w:rPr>
                <w:szCs w:val="22"/>
              </w:rPr>
              <w:t>n/a</w:t>
            </w:r>
          </w:p>
        </w:tc>
        <w:tc>
          <w:tcPr>
            <w:tcW w:w="2885" w:type="dxa"/>
          </w:tcPr>
          <w:p w:rsidR="001D4BF8" w:rsidRPr="0059512C" w:rsidP="004B401B">
            <w:pPr>
              <w:pStyle w:val="ParaNum"/>
              <w:numPr>
                <w:ilvl w:val="0"/>
                <w:numId w:val="0"/>
              </w:numPr>
              <w:rPr>
                <w:szCs w:val="22"/>
              </w:rPr>
            </w:pPr>
            <w:r w:rsidRPr="0059512C">
              <w:rPr>
                <w:szCs w:val="22"/>
              </w:rPr>
              <w:t>$</w:t>
            </w:r>
            <w:r w:rsidRPr="0059512C" w:rsidR="009F4111">
              <w:rPr>
                <w:szCs w:val="22"/>
              </w:rPr>
              <w:t>3</w:t>
            </w:r>
            <w:r w:rsidRPr="0059512C" w:rsidR="009F0CE0">
              <w:rPr>
                <w:szCs w:val="22"/>
              </w:rPr>
              <w:t>3</w:t>
            </w:r>
            <w:r w:rsidRPr="0059512C" w:rsidR="009F4111">
              <w:rPr>
                <w:szCs w:val="22"/>
              </w:rPr>
              <w:t>5</w:t>
            </w:r>
          </w:p>
        </w:tc>
      </w:tr>
    </w:tbl>
    <w:p w:rsidR="00530353" w:rsidRPr="0059512C" w:rsidP="00530353">
      <w:pPr>
        <w:pStyle w:val="ParaNum"/>
        <w:numPr>
          <w:ilvl w:val="0"/>
          <w:numId w:val="0"/>
        </w:numPr>
        <w:ind w:left="720"/>
        <w:rPr>
          <w:szCs w:val="22"/>
        </w:rPr>
      </w:pPr>
    </w:p>
    <w:p w:rsidR="00530353" w:rsidRPr="0059512C" w:rsidP="00EB0AB1">
      <w:pPr>
        <w:pStyle w:val="ParaNum"/>
        <w:rPr>
          <w:szCs w:val="22"/>
        </w:rPr>
      </w:pPr>
      <w:r w:rsidRPr="0059512C">
        <w:rPr>
          <w:szCs w:val="22"/>
        </w:rPr>
        <w:t>We propose to have a single fee that applies to any new application to construct, land, and operate a submarine cable.</w:t>
      </w:r>
      <w:r>
        <w:rPr>
          <w:rStyle w:val="FootnoteReference"/>
        </w:rPr>
        <w:footnoteReference w:id="95"/>
      </w:r>
      <w:r w:rsidRPr="0059512C">
        <w:rPr>
          <w:szCs w:val="22"/>
        </w:rPr>
        <w:t xml:space="preserve">  Application fees for new cable landing licenses are currently based on whether the application is for a common or non-common carrier license.</w:t>
      </w:r>
      <w:r>
        <w:rPr>
          <w:rStyle w:val="FootnoteReference"/>
        </w:rPr>
        <w:footnoteReference w:id="96"/>
      </w:r>
      <w:r w:rsidRPr="0059512C">
        <w:rPr>
          <w:szCs w:val="22"/>
        </w:rPr>
        <w:t xml:space="preserve">  Currently, the fee for a non-common carrier cable landing license is $19,855.  The fee for a common carrier c</w:t>
      </w:r>
      <w:r w:rsidRPr="0059512C">
        <w:rPr>
          <w:szCs w:val="22"/>
        </w:rPr>
        <w:t>able landing license is $2,005 but the applicant must also pay for an overseas cable construction authorization, which has a fee of $17,805.  The combined total fees for a common carrier application equal the fee for a non-common carrier application, $19,8</w:t>
      </w:r>
      <w:r w:rsidRPr="0059512C">
        <w:rPr>
          <w:szCs w:val="22"/>
        </w:rPr>
        <w:t>55.  The processing of applications for common carrier and non-common carrier cable landing license applications is the same.</w:t>
      </w:r>
      <w:r>
        <w:rPr>
          <w:rStyle w:val="FootnoteReference"/>
        </w:rPr>
        <w:footnoteReference w:id="97"/>
      </w:r>
      <w:r w:rsidRPr="0059512C">
        <w:rPr>
          <w:szCs w:val="22"/>
        </w:rPr>
        <w:t xml:space="preserve">  We see no reason to continue to separate </w:t>
      </w:r>
      <w:r w:rsidRPr="0059512C" w:rsidR="0009394E">
        <w:rPr>
          <w:szCs w:val="22"/>
        </w:rPr>
        <w:t xml:space="preserve">application </w:t>
      </w:r>
      <w:r w:rsidRPr="0059512C">
        <w:rPr>
          <w:szCs w:val="22"/>
        </w:rPr>
        <w:t xml:space="preserve">fees by common carrier or non-common carrier going forward.  </w:t>
      </w:r>
    </w:p>
    <w:p w:rsidR="00530353" w:rsidRPr="0059512C" w:rsidP="00530353">
      <w:pPr>
        <w:pStyle w:val="ParaNum"/>
        <w:rPr>
          <w:szCs w:val="22"/>
        </w:rPr>
      </w:pPr>
      <w:r w:rsidRPr="0059512C">
        <w:rPr>
          <w:szCs w:val="22"/>
        </w:rPr>
        <w:t>New cable la</w:t>
      </w:r>
      <w:r w:rsidRPr="0059512C">
        <w:rPr>
          <w:szCs w:val="22"/>
        </w:rPr>
        <w:t xml:space="preserve">nding license applications are filed online using the International Bureau </w:t>
      </w:r>
      <w:r w:rsidRPr="0059512C">
        <w:rPr>
          <w:szCs w:val="22"/>
        </w:rPr>
        <w:t>Filing System (IBFS) and involve International Bureau staff review.  Staff must review the application for compliance with our rules and the technical aspects of the proposed submar</w:t>
      </w:r>
      <w:r w:rsidRPr="0059512C">
        <w:rPr>
          <w:szCs w:val="22"/>
        </w:rPr>
        <w:t xml:space="preserve">ine cable system, including information regarding cable landing stations and ownership of the applicants.  As noted above, the Commission coordinates the application with the State Department and other federal agencies, as necessary.  We estimate that the </w:t>
      </w:r>
      <w:r w:rsidRPr="0059512C">
        <w:rPr>
          <w:szCs w:val="22"/>
        </w:rPr>
        <w:t xml:space="preserve">Commission’s </w:t>
      </w:r>
      <w:r w:rsidRPr="0059512C" w:rsidR="00DE6BE9">
        <w:rPr>
          <w:szCs w:val="22"/>
        </w:rPr>
        <w:t>resource</w:t>
      </w:r>
      <w:r w:rsidRPr="0059512C">
        <w:rPr>
          <w:szCs w:val="22"/>
        </w:rPr>
        <w:t>s to process a typical new cable landing license application consist of the following: industry analyst processing and review, staff attorney review, and supervisory review.  Our estimate is that this process involves $3,</w:t>
      </w:r>
      <w:r w:rsidRPr="0059512C" w:rsidR="008978DA">
        <w:rPr>
          <w:szCs w:val="22"/>
        </w:rPr>
        <w:t>835</w:t>
      </w:r>
      <w:r w:rsidRPr="0059512C">
        <w:rPr>
          <w:szCs w:val="22"/>
        </w:rPr>
        <w:t xml:space="preserve"> in costs f</w:t>
      </w:r>
      <w:r w:rsidRPr="0059512C">
        <w:rPr>
          <w:szCs w:val="22"/>
        </w:rPr>
        <w:t xml:space="preserve">or a typical cable landing license application.  </w:t>
      </w:r>
    </w:p>
    <w:p w:rsidR="00530353" w:rsidRPr="0059512C" w:rsidP="00530353">
      <w:pPr>
        <w:pStyle w:val="ParaNum"/>
        <w:rPr>
          <w:szCs w:val="22"/>
        </w:rPr>
      </w:pPr>
      <w:r w:rsidRPr="0059512C">
        <w:rPr>
          <w:szCs w:val="22"/>
        </w:rPr>
        <w:t xml:space="preserve">Applications regarding assignment or transfer of control of a cable landing license can be for either substantive or pro forma transactions.  We propose to charge a fee for pro forma assignment or transfer </w:t>
      </w:r>
      <w:r w:rsidRPr="0059512C">
        <w:rPr>
          <w:szCs w:val="22"/>
        </w:rPr>
        <w:t>of control applications.  Applications to assign or transfer control of a cable landing license are filed online using IBFS and involve International Bureau staff review.  The Commission must also coordinate the application with the State Department and ot</w:t>
      </w:r>
      <w:r w:rsidRPr="0059512C">
        <w:rPr>
          <w:szCs w:val="22"/>
        </w:rPr>
        <w:t>her federal agencies, as necessary.  Based on our experience, staff conduct a similar review of the pro forma and substantive assignment or transfer of control applications by ensuring compliance with our rules.  However, the review of substantive assignme</w:t>
      </w:r>
      <w:r w:rsidRPr="0059512C">
        <w:rPr>
          <w:szCs w:val="22"/>
        </w:rPr>
        <w:t xml:space="preserve">nt or transfer of control applications takes staff more time than review of pro forma assignments.  </w:t>
      </w:r>
    </w:p>
    <w:p w:rsidR="00530353" w:rsidRPr="0059512C" w:rsidP="00390165">
      <w:pPr>
        <w:pStyle w:val="ParaNum"/>
        <w:rPr>
          <w:szCs w:val="22"/>
        </w:rPr>
      </w:pPr>
      <w:r w:rsidRPr="0059512C">
        <w:rPr>
          <w:szCs w:val="22"/>
        </w:rPr>
        <w:t xml:space="preserve">We estimate the Commission’s </w:t>
      </w:r>
      <w:r w:rsidRPr="0059512C" w:rsidR="00080F79">
        <w:rPr>
          <w:szCs w:val="22"/>
        </w:rPr>
        <w:t>resources in</w:t>
      </w:r>
      <w:r w:rsidRPr="0059512C">
        <w:rPr>
          <w:szCs w:val="22"/>
        </w:rPr>
        <w:t xml:space="preserve"> processing a substantive application to assign or transfer control of a cable landing license consist of the foll</w:t>
      </w:r>
      <w:r w:rsidRPr="0059512C">
        <w:rPr>
          <w:szCs w:val="22"/>
        </w:rPr>
        <w:t>owing: industry analyst processing and review, staff attorney review, and supervisory review.  Our estimate is that this process involves $1,</w:t>
      </w:r>
      <w:r w:rsidRPr="0059512C" w:rsidR="008978DA">
        <w:rPr>
          <w:szCs w:val="22"/>
        </w:rPr>
        <w:t>230</w:t>
      </w:r>
      <w:r w:rsidRPr="0059512C">
        <w:rPr>
          <w:szCs w:val="22"/>
        </w:rPr>
        <w:t xml:space="preserve"> in costs for an application for assignment or transfer of control of a cable landing license.  We propose and s</w:t>
      </w:r>
      <w:r w:rsidRPr="0059512C">
        <w:rPr>
          <w:szCs w:val="22"/>
        </w:rPr>
        <w:t xml:space="preserve">eek comment on adopting a cost-based filing fee for this application based on this estimate.  </w:t>
      </w:r>
      <w:r w:rsidRPr="0059512C" w:rsidR="00DE6BE9">
        <w:rPr>
          <w:szCs w:val="22"/>
        </w:rPr>
        <w:t>W</w:t>
      </w:r>
      <w:r w:rsidRPr="0059512C">
        <w:rPr>
          <w:szCs w:val="22"/>
        </w:rPr>
        <w:t xml:space="preserve">e estimate the Commission’s </w:t>
      </w:r>
      <w:r w:rsidRPr="0059512C" w:rsidR="00080F79">
        <w:rPr>
          <w:szCs w:val="22"/>
        </w:rPr>
        <w:t>resources in</w:t>
      </w:r>
      <w:r w:rsidRPr="0059512C">
        <w:rPr>
          <w:szCs w:val="22"/>
        </w:rPr>
        <w:t xml:space="preserve"> processing a pro forma application to assign or transfer control of a cable landing license consist of the following: in</w:t>
      </w:r>
      <w:r w:rsidRPr="0059512C">
        <w:rPr>
          <w:szCs w:val="22"/>
        </w:rPr>
        <w:t>dustry analyst processing and review, staff attorney review, and supervisory review.  Our estimate is that this process involves $6</w:t>
      </w:r>
      <w:r w:rsidRPr="0059512C" w:rsidR="008978DA">
        <w:rPr>
          <w:szCs w:val="22"/>
        </w:rPr>
        <w:t>75</w:t>
      </w:r>
      <w:r w:rsidRPr="0059512C">
        <w:rPr>
          <w:szCs w:val="22"/>
        </w:rPr>
        <w:t xml:space="preserve"> in costs for an application for assignment or transfer of control of a cable landing license.  </w:t>
      </w:r>
    </w:p>
    <w:p w:rsidR="00530353" w:rsidRPr="0059512C" w:rsidP="00687259">
      <w:pPr>
        <w:pStyle w:val="ParaNum"/>
        <w:rPr>
          <w:szCs w:val="22"/>
        </w:rPr>
      </w:pPr>
      <w:r w:rsidRPr="0059512C">
        <w:rPr>
          <w:szCs w:val="22"/>
        </w:rPr>
        <w:t xml:space="preserve">A cable landing </w:t>
      </w:r>
      <w:r w:rsidRPr="0059512C">
        <w:rPr>
          <w:szCs w:val="22"/>
        </w:rPr>
        <w:t>licensee may request to modify its existing license to make changes such as adding new landing points or to add an additional licensee.</w:t>
      </w:r>
      <w:r>
        <w:rPr>
          <w:rStyle w:val="FootnoteReference"/>
        </w:rPr>
        <w:footnoteReference w:id="98"/>
      </w:r>
      <w:r w:rsidRPr="0059512C">
        <w:rPr>
          <w:szCs w:val="22"/>
        </w:rPr>
        <w:t xml:space="preserve">  We propose to charge a fee for a modification to a cable landing license application.</w:t>
      </w:r>
      <w:r>
        <w:rPr>
          <w:rStyle w:val="FootnoteReference"/>
        </w:rPr>
        <w:footnoteReference w:id="99"/>
      </w:r>
      <w:r w:rsidRPr="0059512C">
        <w:rPr>
          <w:szCs w:val="22"/>
        </w:rPr>
        <w:t xml:space="preserve">  Modifications to a cable landing license application are filed online using IBFS and involve staff review.  The Commission also coordinates the modification with the State Department and other federal agencies, as necessary.  Currently, there is no fee f</w:t>
      </w:r>
      <w:r w:rsidRPr="0059512C">
        <w:rPr>
          <w:szCs w:val="22"/>
        </w:rPr>
        <w:t>or a modification.  However, staff time is required for processing and reviewing the modification for compliance with our rules.  We estimate the Commission’s resources in processing a modification to a cable landing license consist of the following: indus</w:t>
      </w:r>
      <w:r w:rsidRPr="0059512C">
        <w:rPr>
          <w:szCs w:val="22"/>
        </w:rPr>
        <w:t>try analyst processing and review, staff attorney review,  and supervisory review.  Our estimate is that this process involves $1,</w:t>
      </w:r>
      <w:r w:rsidRPr="0059512C" w:rsidR="008978DA">
        <w:rPr>
          <w:szCs w:val="22"/>
        </w:rPr>
        <w:t>230</w:t>
      </w:r>
      <w:r w:rsidRPr="0059512C">
        <w:rPr>
          <w:szCs w:val="22"/>
        </w:rPr>
        <w:t xml:space="preserve"> in costs for a typical modification to a cable landing license application.  We propose and seek comment on adopting a cos</w:t>
      </w:r>
      <w:r w:rsidRPr="0059512C">
        <w:rPr>
          <w:szCs w:val="22"/>
        </w:rPr>
        <w:t xml:space="preserve">t-based filing fee for this application based on this estimate.  </w:t>
      </w:r>
      <w:r w:rsidRPr="0059512C" w:rsidR="00080F79">
        <w:rPr>
          <w:szCs w:val="22"/>
        </w:rPr>
        <w:t xml:space="preserve">  </w:t>
      </w:r>
      <w:r w:rsidRPr="0059512C">
        <w:rPr>
          <w:szCs w:val="22"/>
        </w:rPr>
        <w:t xml:space="preserve">  </w:t>
      </w:r>
    </w:p>
    <w:p w:rsidR="002952E4" w:rsidRPr="00B13758" w:rsidP="002952E4">
      <w:pPr>
        <w:pStyle w:val="ParaNum"/>
      </w:pPr>
      <w:r w:rsidRPr="0059512C">
        <w:rPr>
          <w:szCs w:val="22"/>
        </w:rPr>
        <w:t>We propose to charge fees for additional license applications related to cable landing for which there currently are no fees:  renewals</w:t>
      </w:r>
      <w:r w:rsidRPr="0059512C" w:rsidR="00EB078D">
        <w:rPr>
          <w:szCs w:val="22"/>
        </w:rPr>
        <w:t xml:space="preserve">, foreign carrier affiliation notifications, </w:t>
      </w:r>
      <w:r w:rsidRPr="0059512C">
        <w:rPr>
          <w:szCs w:val="22"/>
        </w:rPr>
        <w:t>and wa</w:t>
      </w:r>
      <w:r w:rsidRPr="0059512C">
        <w:rPr>
          <w:szCs w:val="22"/>
        </w:rPr>
        <w:t xml:space="preserve">ivers.  </w:t>
      </w:r>
      <w:r w:rsidRPr="0059512C" w:rsidR="00530353">
        <w:rPr>
          <w:szCs w:val="22"/>
        </w:rPr>
        <w:t>A cable landing license is issued for a 25-year term from the date when the cable goes into service.</w:t>
      </w:r>
      <w:r>
        <w:rPr>
          <w:rStyle w:val="FootnoteReference"/>
        </w:rPr>
        <w:footnoteReference w:id="100"/>
      </w:r>
      <w:r w:rsidRPr="0059512C" w:rsidR="00530353">
        <w:rPr>
          <w:szCs w:val="22"/>
        </w:rPr>
        <w:t xml:space="preserve">  A licensee </w:t>
      </w:r>
      <w:r w:rsidRPr="0059512C" w:rsidR="00530353">
        <w:rPr>
          <w:szCs w:val="22"/>
        </w:rPr>
        <w:t>may apply to renew the cable landing license.</w:t>
      </w:r>
      <w:r>
        <w:rPr>
          <w:rStyle w:val="FootnoteReference"/>
          <w:sz w:val="22"/>
        </w:rPr>
        <w:footnoteReference w:id="101"/>
      </w:r>
      <w:r w:rsidRPr="0059512C" w:rsidR="00530353">
        <w:rPr>
          <w:szCs w:val="22"/>
        </w:rPr>
        <w:t xml:space="preserve">  An application to renew </w:t>
      </w:r>
      <w:r w:rsidRPr="0059512C" w:rsidR="002D4FBB">
        <w:rPr>
          <w:szCs w:val="22"/>
        </w:rPr>
        <w:t xml:space="preserve">or extend </w:t>
      </w:r>
      <w:r w:rsidRPr="0059512C" w:rsidR="00530353">
        <w:rPr>
          <w:szCs w:val="22"/>
        </w:rPr>
        <w:t xml:space="preserve">an existing cable landing license is filed online using IBFS and involves International Bureau staff review.  The Commission will also need to coordinate the application with the State Department and other federal agencies, as necessary.  </w:t>
      </w:r>
      <w:r w:rsidRPr="0059512C">
        <w:rPr>
          <w:szCs w:val="22"/>
        </w:rPr>
        <w:t>M</w:t>
      </w:r>
      <w:r w:rsidRPr="0059512C" w:rsidR="00530353">
        <w:rPr>
          <w:szCs w:val="22"/>
        </w:rPr>
        <w:t>any cables are reaching their 25-year expiration and recently we received requests for renewal of licenses.</w:t>
      </w:r>
      <w:r>
        <w:rPr>
          <w:rStyle w:val="FootnoteReference"/>
        </w:rPr>
        <w:footnoteReference w:id="102"/>
      </w:r>
      <w:r w:rsidRPr="0059512C" w:rsidR="00530353">
        <w:rPr>
          <w:szCs w:val="22"/>
        </w:rPr>
        <w:t xml:space="preserve">  Staff time is required for processing and reviewing the renewal application.  We estimate the Commission’s </w:t>
      </w:r>
      <w:r w:rsidRPr="0059512C" w:rsidR="00B93D77">
        <w:rPr>
          <w:szCs w:val="22"/>
        </w:rPr>
        <w:t>resource</w:t>
      </w:r>
      <w:r w:rsidRPr="0059512C" w:rsidR="00530353">
        <w:rPr>
          <w:szCs w:val="22"/>
        </w:rPr>
        <w:t>s of processing a renewal application consist of the following: industry analyst processing and review, staff attorney review, and supervisory review.  Our estimate is that this process involves $2,</w:t>
      </w:r>
      <w:r w:rsidRPr="0059512C" w:rsidR="008978DA">
        <w:rPr>
          <w:szCs w:val="22"/>
        </w:rPr>
        <w:t>440</w:t>
      </w:r>
      <w:r w:rsidRPr="0059512C" w:rsidR="00530353">
        <w:rPr>
          <w:szCs w:val="22"/>
        </w:rPr>
        <w:t xml:space="preserve"> in costs for a renewal of a cable landing license application. </w:t>
      </w:r>
      <w:r w:rsidRPr="0059512C" w:rsidR="00BE571A">
        <w:rPr>
          <w:szCs w:val="22"/>
        </w:rPr>
        <w:t xml:space="preserve"> Section 1.768 requires a cable landing licensee to file a foreign carrier affiliation notification if it becomes, or seeks to become, affiliated with a foreign carrier that is authorized to operate in </w:t>
      </w:r>
      <w:r w:rsidR="009C0D26">
        <w:rPr>
          <w:szCs w:val="22"/>
        </w:rPr>
        <w:t xml:space="preserve">the </w:t>
      </w:r>
      <w:r w:rsidRPr="0059512C" w:rsidR="00BE571A">
        <w:rPr>
          <w:szCs w:val="22"/>
        </w:rPr>
        <w:t>destination market of the submarine cable system.</w:t>
      </w:r>
      <w:r>
        <w:rPr>
          <w:rStyle w:val="FootnoteReference"/>
        </w:rPr>
        <w:footnoteReference w:id="103"/>
      </w:r>
      <w:r w:rsidRPr="0059512C" w:rsidR="00530353">
        <w:rPr>
          <w:szCs w:val="22"/>
        </w:rPr>
        <w:t xml:space="preserve"> </w:t>
      </w:r>
      <w:r w:rsidR="00990F02">
        <w:rPr>
          <w:szCs w:val="22"/>
        </w:rPr>
        <w:t xml:space="preserve"> </w:t>
      </w:r>
      <w:r w:rsidRPr="0059512C" w:rsidR="00425297">
        <w:rPr>
          <w:szCs w:val="22"/>
        </w:rPr>
        <w:t>Applicants submit</w:t>
      </w:r>
      <w:r w:rsidR="009D36CB">
        <w:rPr>
          <w:szCs w:val="22"/>
        </w:rPr>
        <w:t xml:space="preserve"> </w:t>
      </w:r>
      <w:r w:rsidRPr="0059512C" w:rsidR="009D36CB">
        <w:rPr>
          <w:szCs w:val="22"/>
        </w:rPr>
        <w:t>foreign carrier affiliation notification</w:t>
      </w:r>
      <w:r w:rsidR="009D36CB">
        <w:rPr>
          <w:szCs w:val="22"/>
        </w:rPr>
        <w:t xml:space="preserve"> </w:t>
      </w:r>
      <w:r w:rsidRPr="0059512C" w:rsidR="00425297">
        <w:rPr>
          <w:szCs w:val="22"/>
        </w:rPr>
        <w:t>applications electronically through IBFS.  We estimate that the Commission’s resources in processing a</w:t>
      </w:r>
      <w:r w:rsidR="009D36CB">
        <w:rPr>
          <w:szCs w:val="22"/>
        </w:rPr>
        <w:t xml:space="preserve"> </w:t>
      </w:r>
      <w:r w:rsidRPr="0059512C" w:rsidR="009D36CB">
        <w:rPr>
          <w:szCs w:val="22"/>
        </w:rPr>
        <w:t>foreign carrier affiliation notification</w:t>
      </w:r>
      <w:r w:rsidR="009D36CB">
        <w:rPr>
          <w:szCs w:val="22"/>
        </w:rPr>
        <w:t xml:space="preserve"> </w:t>
      </w:r>
      <w:r w:rsidRPr="0059512C" w:rsidR="00425297">
        <w:rPr>
          <w:szCs w:val="22"/>
        </w:rPr>
        <w:t>application consist of the following:  program analyst review and processing, attorney legal review, and attorney supervisor legal review.  Our estimate is that this process involves $4</w:t>
      </w:r>
      <w:r w:rsidRPr="0059512C" w:rsidR="00B97D9B">
        <w:rPr>
          <w:szCs w:val="22"/>
        </w:rPr>
        <w:t>95</w:t>
      </w:r>
      <w:r w:rsidRPr="0059512C" w:rsidR="00425297">
        <w:rPr>
          <w:szCs w:val="22"/>
        </w:rPr>
        <w:t xml:space="preserve"> in costs.  </w:t>
      </w:r>
      <w:r w:rsidRPr="0059512C">
        <w:rPr>
          <w:szCs w:val="22"/>
        </w:rPr>
        <w:t>For waivers sought under section 1.767</w:t>
      </w:r>
      <w:r w:rsidRPr="0059512C" w:rsidR="008777BC">
        <w:rPr>
          <w:szCs w:val="22"/>
        </w:rPr>
        <w:t xml:space="preserve"> or 1.768</w:t>
      </w:r>
      <w:r w:rsidRPr="0059512C">
        <w:rPr>
          <w:szCs w:val="22"/>
        </w:rPr>
        <w:t>,</w:t>
      </w:r>
      <w:r>
        <w:rPr>
          <w:rStyle w:val="FootnoteReference"/>
        </w:rPr>
        <w:footnoteReference w:id="104"/>
      </w:r>
      <w:r w:rsidRPr="0059512C" w:rsidR="008777BC">
        <w:rPr>
          <w:szCs w:val="22"/>
        </w:rPr>
        <w:t xml:space="preserve"> </w:t>
      </w:r>
      <w:r w:rsidRPr="0059512C">
        <w:rPr>
          <w:szCs w:val="22"/>
        </w:rPr>
        <w:t xml:space="preserve">staff must process the request and review the request under our rules.  </w:t>
      </w:r>
      <w:r w:rsidRPr="0059512C" w:rsidR="008777BC">
        <w:rPr>
          <w:szCs w:val="22"/>
        </w:rPr>
        <w:t>A standalone waiver request related to the cable landing license rules is filed online using IBFS and involves International Bureau staff review.</w:t>
      </w:r>
      <w:r>
        <w:rPr>
          <w:rStyle w:val="FootnoteReference"/>
          <w:sz w:val="22"/>
        </w:rPr>
        <w:footnoteReference w:id="105"/>
      </w:r>
      <w:r w:rsidRPr="0059512C" w:rsidR="008777BC">
        <w:rPr>
          <w:szCs w:val="22"/>
        </w:rPr>
        <w:t xml:space="preserve">  </w:t>
      </w:r>
      <w:r w:rsidRPr="0059512C">
        <w:rPr>
          <w:szCs w:val="22"/>
        </w:rPr>
        <w:t>The Commission may also need to coo</w:t>
      </w:r>
      <w:r w:rsidRPr="0059512C">
        <w:rPr>
          <w:szCs w:val="22"/>
        </w:rPr>
        <w:t xml:space="preserve">rdinate the waiver request with the State Department and other federal agencies, as necessary.  We estimate the Commission’s resources in processing a waiver request </w:t>
      </w:r>
      <w:r w:rsidRPr="0059512C" w:rsidR="008777BC">
        <w:rPr>
          <w:szCs w:val="22"/>
        </w:rPr>
        <w:t xml:space="preserve">filed separately from another application </w:t>
      </w:r>
      <w:r w:rsidRPr="0059512C">
        <w:rPr>
          <w:szCs w:val="22"/>
        </w:rPr>
        <w:t>consist of the following: industry analyst proce</w:t>
      </w:r>
      <w:r w:rsidRPr="0059512C">
        <w:rPr>
          <w:szCs w:val="22"/>
        </w:rPr>
        <w:t>ssing and review, staff attorney review, and supervisory review.  Our estimate is that this process involves $</w:t>
      </w:r>
      <w:r w:rsidRPr="0059512C" w:rsidR="008777BC">
        <w:rPr>
          <w:szCs w:val="22"/>
        </w:rPr>
        <w:t>3</w:t>
      </w:r>
      <w:r w:rsidRPr="0059512C" w:rsidR="00B97D9B">
        <w:rPr>
          <w:szCs w:val="22"/>
        </w:rPr>
        <w:t>3</w:t>
      </w:r>
      <w:r w:rsidRPr="0059512C" w:rsidR="008777BC">
        <w:rPr>
          <w:szCs w:val="22"/>
        </w:rPr>
        <w:t>5</w:t>
      </w:r>
      <w:r w:rsidRPr="0059512C">
        <w:rPr>
          <w:szCs w:val="22"/>
        </w:rPr>
        <w:t xml:space="preserve"> in costs for a typical request </w:t>
      </w:r>
      <w:r w:rsidRPr="0059512C" w:rsidR="008777BC">
        <w:rPr>
          <w:szCs w:val="22"/>
        </w:rPr>
        <w:t xml:space="preserve">to waive the </w:t>
      </w:r>
      <w:r w:rsidRPr="0059512C">
        <w:rPr>
          <w:szCs w:val="22"/>
        </w:rPr>
        <w:t>cable landing license</w:t>
      </w:r>
      <w:r w:rsidRPr="0059512C" w:rsidR="008777BC">
        <w:rPr>
          <w:szCs w:val="22"/>
        </w:rPr>
        <w:t xml:space="preserve"> rules that is filed separately from an application</w:t>
      </w:r>
      <w:r w:rsidRPr="0059512C">
        <w:rPr>
          <w:szCs w:val="22"/>
        </w:rPr>
        <w:t xml:space="preserve">.  </w:t>
      </w:r>
    </w:p>
    <w:p w:rsidR="00530353" w:rsidRPr="0059512C" w:rsidP="00390165">
      <w:pPr>
        <w:pStyle w:val="ParaNum"/>
        <w:rPr>
          <w:szCs w:val="22"/>
        </w:rPr>
      </w:pPr>
      <w:r w:rsidRPr="0059512C">
        <w:rPr>
          <w:szCs w:val="22"/>
        </w:rPr>
        <w:t xml:space="preserve">For </w:t>
      </w:r>
      <w:r w:rsidRPr="0059512C" w:rsidR="005C050E">
        <w:rPr>
          <w:szCs w:val="22"/>
        </w:rPr>
        <w:t>STA applications, an</w:t>
      </w:r>
      <w:r w:rsidRPr="0059512C">
        <w:rPr>
          <w:szCs w:val="22"/>
        </w:rPr>
        <w:t xml:space="preserve"> applicant may request </w:t>
      </w:r>
      <w:r w:rsidRPr="0059512C" w:rsidR="005C050E">
        <w:rPr>
          <w:szCs w:val="22"/>
        </w:rPr>
        <w:t>such authority i</w:t>
      </w:r>
      <w:r w:rsidRPr="0059512C">
        <w:rPr>
          <w:szCs w:val="22"/>
        </w:rPr>
        <w:t>n certain situations, such as to construct and land the submarine cable prior to Commission action on the underlying cable landing license application.  STA requests are filed online using IBFS and involve staff rev</w:t>
      </w:r>
      <w:r w:rsidRPr="0059512C">
        <w:rPr>
          <w:szCs w:val="22"/>
        </w:rPr>
        <w:t xml:space="preserve">iew.  The Commission may also need to coordinate the STA request with the State Department and other federal agencies, as necessary.  We estimate the Commission’s </w:t>
      </w:r>
      <w:r w:rsidRPr="0059512C" w:rsidR="00B93D77">
        <w:rPr>
          <w:szCs w:val="22"/>
        </w:rPr>
        <w:t>resource</w:t>
      </w:r>
      <w:r w:rsidRPr="0059512C">
        <w:rPr>
          <w:szCs w:val="22"/>
        </w:rPr>
        <w:t>s of processing an STA consist of the following: industry analyst processing and revi</w:t>
      </w:r>
      <w:r w:rsidRPr="0059512C">
        <w:rPr>
          <w:szCs w:val="22"/>
        </w:rPr>
        <w:t>ew, staff attorney review, and supervisory review.  Our estimate is that this process involves $6</w:t>
      </w:r>
      <w:r w:rsidRPr="0059512C" w:rsidR="00B97D9B">
        <w:rPr>
          <w:szCs w:val="22"/>
        </w:rPr>
        <w:t>75</w:t>
      </w:r>
      <w:r w:rsidRPr="0059512C">
        <w:rPr>
          <w:szCs w:val="22"/>
        </w:rPr>
        <w:t xml:space="preserve"> in costs for a typical request for an STA related to a cable landing license.  We propose and seek comment on adopting a cost-based filing fee for this appl</w:t>
      </w:r>
      <w:r w:rsidRPr="0059512C">
        <w:rPr>
          <w:szCs w:val="22"/>
        </w:rPr>
        <w:t>ication based on this estimate.</w:t>
      </w:r>
    </w:p>
    <w:p w:rsidR="00530353" w:rsidRPr="0059512C" w:rsidP="00AA04FC">
      <w:pPr>
        <w:pStyle w:val="ParaNum"/>
        <w:rPr>
          <w:szCs w:val="22"/>
        </w:rPr>
      </w:pPr>
      <w:r w:rsidRPr="0059512C">
        <w:rPr>
          <w:szCs w:val="22"/>
        </w:rPr>
        <w:t>We seek comment on th</w:t>
      </w:r>
      <w:r w:rsidRPr="0059512C" w:rsidR="00080F79">
        <w:rPr>
          <w:szCs w:val="22"/>
        </w:rPr>
        <w:t>ese</w:t>
      </w:r>
      <w:r w:rsidRPr="0059512C">
        <w:rPr>
          <w:szCs w:val="22"/>
        </w:rPr>
        <w:t xml:space="preserve"> proposal</w:t>
      </w:r>
      <w:r w:rsidRPr="0059512C" w:rsidR="00080F79">
        <w:rPr>
          <w:szCs w:val="22"/>
        </w:rPr>
        <w:t>s</w:t>
      </w:r>
      <w:r w:rsidRPr="0059512C">
        <w:rPr>
          <w:szCs w:val="22"/>
        </w:rPr>
        <w:t xml:space="preserve">.  </w:t>
      </w:r>
    </w:p>
    <w:p w:rsidR="001D4BF8" w:rsidRPr="0059512C" w:rsidP="00020760">
      <w:pPr>
        <w:pStyle w:val="Heading4"/>
        <w:rPr>
          <w:szCs w:val="22"/>
        </w:rPr>
      </w:pPr>
      <w:bookmarkStart w:id="327" w:name="_Toc28005112"/>
      <w:bookmarkStart w:id="328" w:name="_Toc29557410"/>
      <w:bookmarkStart w:id="329" w:name="_Toc35268593"/>
      <w:r w:rsidRPr="0059512C">
        <w:rPr>
          <w:szCs w:val="22"/>
        </w:rPr>
        <w:t>International Section 214 Applications</w:t>
      </w:r>
      <w:bookmarkEnd w:id="322"/>
      <w:bookmarkEnd w:id="323"/>
      <w:bookmarkEnd w:id="324"/>
      <w:bookmarkEnd w:id="325"/>
      <w:bookmarkEnd w:id="326"/>
      <w:bookmarkEnd w:id="327"/>
      <w:bookmarkEnd w:id="328"/>
      <w:bookmarkEnd w:id="329"/>
    </w:p>
    <w:p w:rsidR="001D4BF8" w:rsidRPr="0059512C" w:rsidP="001D4BF8">
      <w:pPr>
        <w:pStyle w:val="ParaNum"/>
        <w:rPr>
          <w:szCs w:val="22"/>
        </w:rPr>
      </w:pPr>
      <w:bookmarkStart w:id="330" w:name="_Toc18066936"/>
      <w:bookmarkStart w:id="331" w:name="_Toc18939797"/>
      <w:bookmarkStart w:id="332" w:name="_Toc19795100"/>
      <w:bookmarkStart w:id="333" w:name="_Toc19796465"/>
      <w:bookmarkStart w:id="334" w:name="_Toc19796823"/>
      <w:r w:rsidRPr="0059512C">
        <w:rPr>
          <w:szCs w:val="22"/>
        </w:rPr>
        <w:t>Any entity that seeks to provide U.S.-international common carrier service must obtain prior Commission approval pursuant to section 214 of the Com</w:t>
      </w:r>
      <w:r w:rsidRPr="0059512C">
        <w:rPr>
          <w:szCs w:val="22"/>
        </w:rPr>
        <w:t xml:space="preserve">munications Act by filing an </w:t>
      </w:r>
      <w:r w:rsidR="00153AF5">
        <w:rPr>
          <w:szCs w:val="22"/>
        </w:rPr>
        <w:t>i</w:t>
      </w:r>
      <w:r w:rsidRPr="0059512C">
        <w:rPr>
          <w:szCs w:val="22"/>
        </w:rPr>
        <w:t xml:space="preserve">nternational </w:t>
      </w:r>
      <w:r w:rsidR="00153AF5">
        <w:rPr>
          <w:szCs w:val="22"/>
        </w:rPr>
        <w:t>s</w:t>
      </w:r>
      <w:r w:rsidRPr="0059512C">
        <w:rPr>
          <w:szCs w:val="22"/>
        </w:rPr>
        <w:t xml:space="preserve">ection 214 </w:t>
      </w:r>
      <w:r w:rsidR="00A24E70">
        <w:rPr>
          <w:szCs w:val="22"/>
        </w:rPr>
        <w:t>a</w:t>
      </w:r>
      <w:r w:rsidRPr="0059512C">
        <w:rPr>
          <w:szCs w:val="22"/>
        </w:rPr>
        <w:t>pplication.</w:t>
      </w:r>
      <w:r>
        <w:rPr>
          <w:rStyle w:val="FootnoteReference"/>
        </w:rPr>
        <w:footnoteReference w:id="106"/>
      </w:r>
      <w:r w:rsidRPr="0059512C">
        <w:rPr>
          <w:szCs w:val="22"/>
        </w:rPr>
        <w:t xml:space="preserve">  The application must contain the information required by section 63 of the Commission’s rules.  The requirements for filing an application for an international section 214 </w:t>
      </w:r>
      <w:r w:rsidRPr="0059512C">
        <w:rPr>
          <w:szCs w:val="22"/>
        </w:rPr>
        <w:t>authorization</w:t>
      </w:r>
      <w:r w:rsidRPr="0059512C">
        <w:rPr>
          <w:szCs w:val="22"/>
        </w:rPr>
        <w:t xml:space="preserve"> are set out in section 63.18 of the Commission’s rules.</w:t>
      </w:r>
      <w:r>
        <w:rPr>
          <w:rStyle w:val="FootnoteReference"/>
        </w:rPr>
        <w:footnoteReference w:id="107"/>
      </w:r>
      <w:r w:rsidRPr="0059512C">
        <w:rPr>
          <w:szCs w:val="22"/>
        </w:rPr>
        <w:t xml:space="preserve">  The requirements for an assignment or transfer of control of such an authorization, in turn, are set out in section 63.24.</w:t>
      </w:r>
      <w:r>
        <w:rPr>
          <w:rStyle w:val="FootnoteReference"/>
        </w:rPr>
        <w:footnoteReference w:id="108"/>
      </w:r>
      <w:r w:rsidRPr="0059512C">
        <w:rPr>
          <w:szCs w:val="22"/>
        </w:rPr>
        <w:t xml:space="preserve">  Currently, there is a fee for new </w:t>
      </w:r>
      <w:r w:rsidRPr="0059512C" w:rsidR="00CA31D3">
        <w:rPr>
          <w:szCs w:val="22"/>
        </w:rPr>
        <w:t xml:space="preserve">international </w:t>
      </w:r>
      <w:r w:rsidRPr="0059512C">
        <w:rPr>
          <w:szCs w:val="22"/>
        </w:rPr>
        <w:t xml:space="preserve">section 214 authorizations, for substantive assignments and transfers of control of </w:t>
      </w:r>
      <w:r w:rsidRPr="0059512C" w:rsidR="00CA31D3">
        <w:rPr>
          <w:szCs w:val="22"/>
        </w:rPr>
        <w:t>the authorization</w:t>
      </w:r>
      <w:r w:rsidRPr="0059512C">
        <w:rPr>
          <w:szCs w:val="22"/>
        </w:rPr>
        <w:t>, and requests for</w:t>
      </w:r>
      <w:r w:rsidRPr="0059512C" w:rsidR="003B12CE">
        <w:rPr>
          <w:szCs w:val="22"/>
        </w:rPr>
        <w:t xml:space="preserve"> STA</w:t>
      </w:r>
      <w:r w:rsidRPr="0059512C">
        <w:rPr>
          <w:szCs w:val="22"/>
        </w:rPr>
        <w:t>.</w:t>
      </w:r>
    </w:p>
    <w:p w:rsidR="001D4BF8" w:rsidP="004A7C79">
      <w:pPr>
        <w:pStyle w:val="ParaNum"/>
        <w:rPr>
          <w:szCs w:val="22"/>
        </w:rPr>
      </w:pPr>
      <w:r w:rsidRPr="0059512C">
        <w:rPr>
          <w:szCs w:val="22"/>
        </w:rPr>
        <w:t xml:space="preserve">The following table summarizes the current application fees where they exist and the cost-based fees. </w:t>
      </w:r>
      <w:r w:rsidR="00741F7F">
        <w:rPr>
          <w:szCs w:val="22"/>
        </w:rPr>
        <w:t xml:space="preserve"> </w:t>
      </w:r>
      <w:r w:rsidRPr="0059512C" w:rsidR="004A7C79">
        <w:rPr>
          <w:szCs w:val="22"/>
        </w:rPr>
        <w:t xml:space="preserve">We propose and seek comment on adopting the following cost-based fees for these applications—and we give as an example the current fees for these services.  </w:t>
      </w:r>
    </w:p>
    <w:p w:rsidR="003B7CB5" w:rsidRPr="0059512C" w:rsidP="003B7CB5">
      <w:pPr>
        <w:pStyle w:val="ParaNum"/>
        <w:numPr>
          <w:ilvl w:val="0"/>
          <w:numId w:val="0"/>
        </w:numPr>
        <w:ind w:left="720"/>
        <w:rPr>
          <w:szCs w:val="22"/>
        </w:rPr>
      </w:pPr>
    </w:p>
    <w:tbl>
      <w:tblPr>
        <w:tblStyle w:val="TableGrid"/>
        <w:tblW w:w="0" w:type="auto"/>
        <w:tblInd w:w="720" w:type="dxa"/>
        <w:tblLook w:val="04A0"/>
      </w:tblPr>
      <w:tblGrid>
        <w:gridCol w:w="2876"/>
        <w:gridCol w:w="2877"/>
        <w:gridCol w:w="2877"/>
      </w:tblGrid>
      <w:tr w:rsidTr="004B401B">
        <w:tblPrEx>
          <w:tblW w:w="0" w:type="auto"/>
          <w:tblInd w:w="720" w:type="dxa"/>
          <w:tblLook w:val="04A0"/>
        </w:tblPrEx>
        <w:tc>
          <w:tcPr>
            <w:tcW w:w="2876" w:type="dxa"/>
          </w:tcPr>
          <w:p w:rsidR="001D4BF8" w:rsidRPr="0059512C" w:rsidP="004B401B">
            <w:pPr>
              <w:pStyle w:val="ParaNum"/>
              <w:numPr>
                <w:ilvl w:val="0"/>
                <w:numId w:val="0"/>
              </w:numPr>
              <w:rPr>
                <w:szCs w:val="22"/>
              </w:rPr>
            </w:pPr>
            <w:r w:rsidRPr="0059512C">
              <w:rPr>
                <w:b/>
                <w:szCs w:val="22"/>
              </w:rPr>
              <w:t>Application</w:t>
            </w:r>
          </w:p>
        </w:tc>
        <w:tc>
          <w:tcPr>
            <w:tcW w:w="2877" w:type="dxa"/>
          </w:tcPr>
          <w:p w:rsidR="001D4BF8" w:rsidRPr="0059512C" w:rsidP="004B401B">
            <w:pPr>
              <w:pStyle w:val="ParaNum"/>
              <w:numPr>
                <w:ilvl w:val="0"/>
                <w:numId w:val="0"/>
              </w:numPr>
              <w:rPr>
                <w:szCs w:val="22"/>
              </w:rPr>
            </w:pPr>
            <w:r w:rsidRPr="0059512C">
              <w:rPr>
                <w:b/>
                <w:szCs w:val="22"/>
              </w:rPr>
              <w:t xml:space="preserve">Current </w:t>
            </w:r>
            <w:r w:rsidRPr="0059512C" w:rsidR="000817DF">
              <w:rPr>
                <w:b/>
                <w:szCs w:val="22"/>
              </w:rPr>
              <w:t>F</w:t>
            </w:r>
            <w:r w:rsidRPr="0059512C">
              <w:rPr>
                <w:b/>
                <w:szCs w:val="22"/>
              </w:rPr>
              <w:t>ee</w:t>
            </w:r>
          </w:p>
        </w:tc>
        <w:tc>
          <w:tcPr>
            <w:tcW w:w="2877" w:type="dxa"/>
          </w:tcPr>
          <w:p w:rsidR="001D4BF8" w:rsidRPr="0059512C" w:rsidP="004B401B">
            <w:pPr>
              <w:pStyle w:val="ParaNum"/>
              <w:numPr>
                <w:ilvl w:val="0"/>
                <w:numId w:val="0"/>
              </w:numPr>
              <w:rPr>
                <w:szCs w:val="22"/>
              </w:rPr>
            </w:pPr>
            <w:r w:rsidRPr="0059512C">
              <w:rPr>
                <w:b/>
                <w:szCs w:val="22"/>
              </w:rPr>
              <w:t xml:space="preserve">Cost-based </w:t>
            </w:r>
            <w:r w:rsidRPr="0059512C" w:rsidR="000817DF">
              <w:rPr>
                <w:b/>
                <w:szCs w:val="22"/>
              </w:rPr>
              <w:t>Fee</w:t>
            </w:r>
          </w:p>
        </w:tc>
      </w:tr>
      <w:tr w:rsidTr="004B401B">
        <w:tblPrEx>
          <w:tblW w:w="0" w:type="auto"/>
          <w:tblInd w:w="720" w:type="dxa"/>
          <w:tblLook w:val="04A0"/>
        </w:tblPrEx>
        <w:tc>
          <w:tcPr>
            <w:tcW w:w="2876" w:type="dxa"/>
          </w:tcPr>
          <w:p w:rsidR="001D4BF8" w:rsidRPr="0059512C" w:rsidP="004B401B">
            <w:pPr>
              <w:pStyle w:val="ParaNum"/>
              <w:numPr>
                <w:ilvl w:val="0"/>
                <w:numId w:val="0"/>
              </w:numPr>
              <w:rPr>
                <w:szCs w:val="22"/>
              </w:rPr>
            </w:pPr>
            <w:r w:rsidRPr="0059512C">
              <w:rPr>
                <w:szCs w:val="22"/>
              </w:rPr>
              <w:t xml:space="preserve">International </w:t>
            </w:r>
            <w:r w:rsidR="007E6A44">
              <w:rPr>
                <w:szCs w:val="22"/>
              </w:rPr>
              <w:t>s</w:t>
            </w:r>
            <w:r w:rsidRPr="0059512C">
              <w:rPr>
                <w:szCs w:val="22"/>
              </w:rPr>
              <w:t>ection 214 application, new authorization</w:t>
            </w:r>
          </w:p>
        </w:tc>
        <w:tc>
          <w:tcPr>
            <w:tcW w:w="2877" w:type="dxa"/>
          </w:tcPr>
          <w:p w:rsidR="001D4BF8" w:rsidRPr="0059512C" w:rsidP="004B401B">
            <w:pPr>
              <w:pStyle w:val="ParaNum"/>
              <w:numPr>
                <w:ilvl w:val="0"/>
                <w:numId w:val="0"/>
              </w:numPr>
              <w:rPr>
                <w:szCs w:val="22"/>
              </w:rPr>
            </w:pPr>
            <w:r w:rsidRPr="0059512C">
              <w:rPr>
                <w:szCs w:val="22"/>
              </w:rPr>
              <w:t>$1,195</w:t>
            </w:r>
          </w:p>
        </w:tc>
        <w:tc>
          <w:tcPr>
            <w:tcW w:w="2877" w:type="dxa"/>
          </w:tcPr>
          <w:p w:rsidR="001D4BF8" w:rsidRPr="0059512C" w:rsidP="004B401B">
            <w:pPr>
              <w:pStyle w:val="ParaNum"/>
              <w:numPr>
                <w:ilvl w:val="0"/>
                <w:numId w:val="0"/>
              </w:numPr>
              <w:rPr>
                <w:szCs w:val="22"/>
              </w:rPr>
            </w:pPr>
            <w:r w:rsidRPr="0059512C">
              <w:rPr>
                <w:szCs w:val="22"/>
              </w:rPr>
              <w:t>$</w:t>
            </w:r>
            <w:r w:rsidR="00474B58">
              <w:rPr>
                <w:szCs w:val="22"/>
              </w:rPr>
              <w:t>785</w:t>
            </w:r>
          </w:p>
        </w:tc>
      </w:tr>
      <w:tr w:rsidTr="004B401B">
        <w:tblPrEx>
          <w:tblW w:w="0" w:type="auto"/>
          <w:tblInd w:w="720" w:type="dxa"/>
          <w:tblLook w:val="04A0"/>
        </w:tblPrEx>
        <w:tc>
          <w:tcPr>
            <w:tcW w:w="2876" w:type="dxa"/>
          </w:tcPr>
          <w:p w:rsidR="001D4BF8" w:rsidRPr="0059512C" w:rsidP="004B401B">
            <w:pPr>
              <w:pStyle w:val="ParaNum"/>
              <w:numPr>
                <w:ilvl w:val="0"/>
                <w:numId w:val="0"/>
              </w:numPr>
              <w:rPr>
                <w:szCs w:val="22"/>
              </w:rPr>
            </w:pPr>
            <w:r w:rsidRPr="0059512C">
              <w:rPr>
                <w:szCs w:val="22"/>
              </w:rPr>
              <w:t>Assignment/transfer of control, substantive</w:t>
            </w:r>
          </w:p>
        </w:tc>
        <w:tc>
          <w:tcPr>
            <w:tcW w:w="2877" w:type="dxa"/>
          </w:tcPr>
          <w:p w:rsidR="001D4BF8" w:rsidRPr="0059512C" w:rsidP="004B401B">
            <w:pPr>
              <w:pStyle w:val="ParaNum"/>
              <w:numPr>
                <w:ilvl w:val="0"/>
                <w:numId w:val="0"/>
              </w:numPr>
              <w:rPr>
                <w:szCs w:val="22"/>
              </w:rPr>
            </w:pPr>
            <w:r w:rsidRPr="0059512C">
              <w:rPr>
                <w:szCs w:val="22"/>
              </w:rPr>
              <w:t xml:space="preserve">$1,195 </w:t>
            </w:r>
          </w:p>
        </w:tc>
        <w:tc>
          <w:tcPr>
            <w:tcW w:w="2877" w:type="dxa"/>
          </w:tcPr>
          <w:p w:rsidR="001D4BF8" w:rsidRPr="0059512C" w:rsidP="004B401B">
            <w:pPr>
              <w:pStyle w:val="ParaNum"/>
              <w:numPr>
                <w:ilvl w:val="0"/>
                <w:numId w:val="0"/>
              </w:numPr>
              <w:rPr>
                <w:szCs w:val="22"/>
              </w:rPr>
            </w:pPr>
            <w:r w:rsidRPr="0059512C">
              <w:rPr>
                <w:szCs w:val="22"/>
              </w:rPr>
              <w:t>$1,</w:t>
            </w:r>
            <w:r w:rsidRPr="0059512C" w:rsidR="006911DD">
              <w:rPr>
                <w:szCs w:val="22"/>
              </w:rPr>
              <w:t>230</w:t>
            </w:r>
          </w:p>
        </w:tc>
      </w:tr>
      <w:tr w:rsidTr="004B401B">
        <w:tblPrEx>
          <w:tblW w:w="0" w:type="auto"/>
          <w:tblInd w:w="720" w:type="dxa"/>
          <w:tblLook w:val="04A0"/>
        </w:tblPrEx>
        <w:tc>
          <w:tcPr>
            <w:tcW w:w="2876" w:type="dxa"/>
          </w:tcPr>
          <w:p w:rsidR="001D4BF8" w:rsidRPr="0059512C" w:rsidP="004B401B">
            <w:pPr>
              <w:pStyle w:val="ParaNum"/>
              <w:numPr>
                <w:ilvl w:val="0"/>
                <w:numId w:val="0"/>
              </w:numPr>
              <w:rPr>
                <w:szCs w:val="22"/>
              </w:rPr>
            </w:pPr>
            <w:r w:rsidRPr="0059512C">
              <w:rPr>
                <w:szCs w:val="22"/>
              </w:rPr>
              <w:t>Assignment/transfer of control, pro forma</w:t>
            </w:r>
          </w:p>
        </w:tc>
        <w:tc>
          <w:tcPr>
            <w:tcW w:w="2877" w:type="dxa"/>
          </w:tcPr>
          <w:p w:rsidR="001D4BF8" w:rsidRPr="0059512C" w:rsidP="004B401B">
            <w:pPr>
              <w:pStyle w:val="ParaNum"/>
              <w:numPr>
                <w:ilvl w:val="0"/>
                <w:numId w:val="0"/>
              </w:numPr>
              <w:rPr>
                <w:szCs w:val="22"/>
              </w:rPr>
            </w:pPr>
            <w:r w:rsidRPr="0059512C">
              <w:rPr>
                <w:szCs w:val="22"/>
              </w:rPr>
              <w:t>n/a</w:t>
            </w:r>
          </w:p>
        </w:tc>
        <w:tc>
          <w:tcPr>
            <w:tcW w:w="2877" w:type="dxa"/>
          </w:tcPr>
          <w:p w:rsidR="001D4BF8" w:rsidRPr="0059512C" w:rsidP="004B401B">
            <w:pPr>
              <w:pStyle w:val="ParaNum"/>
              <w:numPr>
                <w:ilvl w:val="0"/>
                <w:numId w:val="0"/>
              </w:numPr>
              <w:rPr>
                <w:szCs w:val="22"/>
              </w:rPr>
            </w:pPr>
            <w:r w:rsidRPr="0059512C">
              <w:rPr>
                <w:szCs w:val="22"/>
              </w:rPr>
              <w:t>$6</w:t>
            </w:r>
            <w:r w:rsidRPr="0059512C" w:rsidR="006911DD">
              <w:rPr>
                <w:szCs w:val="22"/>
              </w:rPr>
              <w:t>75</w:t>
            </w:r>
          </w:p>
        </w:tc>
      </w:tr>
      <w:tr w:rsidTr="004B401B">
        <w:tblPrEx>
          <w:tblW w:w="0" w:type="auto"/>
          <w:tblInd w:w="720" w:type="dxa"/>
          <w:tblLook w:val="04A0"/>
        </w:tblPrEx>
        <w:tc>
          <w:tcPr>
            <w:tcW w:w="2876" w:type="dxa"/>
          </w:tcPr>
          <w:p w:rsidR="001D4BF8" w:rsidRPr="0059512C" w:rsidP="004B401B">
            <w:pPr>
              <w:pStyle w:val="ParaNum"/>
              <w:numPr>
                <w:ilvl w:val="0"/>
                <w:numId w:val="0"/>
              </w:numPr>
              <w:rPr>
                <w:szCs w:val="22"/>
              </w:rPr>
            </w:pPr>
            <w:r w:rsidRPr="0059512C">
              <w:rPr>
                <w:szCs w:val="22"/>
              </w:rPr>
              <w:t>Foreign Carrier Affiliation Notification</w:t>
            </w:r>
          </w:p>
        </w:tc>
        <w:tc>
          <w:tcPr>
            <w:tcW w:w="2877" w:type="dxa"/>
          </w:tcPr>
          <w:p w:rsidR="001D4BF8" w:rsidRPr="0059512C" w:rsidP="004B401B">
            <w:pPr>
              <w:pStyle w:val="ParaNum"/>
              <w:numPr>
                <w:ilvl w:val="0"/>
                <w:numId w:val="0"/>
              </w:numPr>
              <w:rPr>
                <w:szCs w:val="22"/>
              </w:rPr>
            </w:pPr>
            <w:r w:rsidRPr="0059512C">
              <w:rPr>
                <w:szCs w:val="22"/>
              </w:rPr>
              <w:t>n/a</w:t>
            </w:r>
          </w:p>
        </w:tc>
        <w:tc>
          <w:tcPr>
            <w:tcW w:w="2877" w:type="dxa"/>
          </w:tcPr>
          <w:p w:rsidR="001D4BF8" w:rsidRPr="0059512C" w:rsidP="004B401B">
            <w:pPr>
              <w:pStyle w:val="ParaNum"/>
              <w:numPr>
                <w:ilvl w:val="0"/>
                <w:numId w:val="0"/>
              </w:numPr>
              <w:rPr>
                <w:szCs w:val="22"/>
              </w:rPr>
            </w:pPr>
            <w:r w:rsidRPr="0059512C">
              <w:rPr>
                <w:szCs w:val="22"/>
              </w:rPr>
              <w:t>$</w:t>
            </w:r>
            <w:r w:rsidRPr="0059512C" w:rsidR="00AA04FC">
              <w:rPr>
                <w:szCs w:val="22"/>
              </w:rPr>
              <w:t>4</w:t>
            </w:r>
            <w:r w:rsidRPr="0059512C" w:rsidR="006911DD">
              <w:rPr>
                <w:szCs w:val="22"/>
              </w:rPr>
              <w:t>95</w:t>
            </w:r>
          </w:p>
        </w:tc>
      </w:tr>
      <w:tr w:rsidTr="004B401B">
        <w:tblPrEx>
          <w:tblW w:w="0" w:type="auto"/>
          <w:tblInd w:w="720" w:type="dxa"/>
          <w:tblLook w:val="04A0"/>
        </w:tblPrEx>
        <w:tc>
          <w:tcPr>
            <w:tcW w:w="2876" w:type="dxa"/>
          </w:tcPr>
          <w:p w:rsidR="001D4BF8" w:rsidRPr="0059512C" w:rsidP="004B401B">
            <w:pPr>
              <w:pStyle w:val="ParaNum"/>
              <w:numPr>
                <w:ilvl w:val="0"/>
                <w:numId w:val="0"/>
              </w:numPr>
              <w:rPr>
                <w:szCs w:val="22"/>
              </w:rPr>
            </w:pPr>
            <w:r w:rsidRPr="0059512C">
              <w:rPr>
                <w:szCs w:val="22"/>
              </w:rPr>
              <w:t>Modification</w:t>
            </w:r>
          </w:p>
        </w:tc>
        <w:tc>
          <w:tcPr>
            <w:tcW w:w="2877" w:type="dxa"/>
          </w:tcPr>
          <w:p w:rsidR="001D4BF8" w:rsidRPr="0059512C" w:rsidP="004B401B">
            <w:pPr>
              <w:pStyle w:val="ParaNum"/>
              <w:numPr>
                <w:ilvl w:val="0"/>
                <w:numId w:val="0"/>
              </w:numPr>
              <w:rPr>
                <w:szCs w:val="22"/>
              </w:rPr>
            </w:pPr>
            <w:r w:rsidRPr="0059512C">
              <w:rPr>
                <w:szCs w:val="22"/>
              </w:rPr>
              <w:t>n/a</w:t>
            </w:r>
          </w:p>
        </w:tc>
        <w:tc>
          <w:tcPr>
            <w:tcW w:w="2877" w:type="dxa"/>
          </w:tcPr>
          <w:p w:rsidR="001D4BF8" w:rsidRPr="0059512C" w:rsidP="004B401B">
            <w:pPr>
              <w:pStyle w:val="ParaNum"/>
              <w:numPr>
                <w:ilvl w:val="0"/>
                <w:numId w:val="0"/>
              </w:numPr>
              <w:rPr>
                <w:szCs w:val="22"/>
              </w:rPr>
            </w:pPr>
            <w:r w:rsidRPr="0059512C">
              <w:rPr>
                <w:szCs w:val="22"/>
              </w:rPr>
              <w:t>$</w:t>
            </w:r>
            <w:r w:rsidRPr="0059512C" w:rsidR="006911DD">
              <w:rPr>
                <w:szCs w:val="22"/>
              </w:rPr>
              <w:t>6</w:t>
            </w:r>
            <w:r w:rsidR="00C719F8">
              <w:rPr>
                <w:szCs w:val="22"/>
              </w:rPr>
              <w:t>75</w:t>
            </w:r>
          </w:p>
        </w:tc>
      </w:tr>
      <w:tr w:rsidTr="004B401B">
        <w:tblPrEx>
          <w:tblW w:w="0" w:type="auto"/>
          <w:tblInd w:w="720" w:type="dxa"/>
          <w:tblLook w:val="04A0"/>
        </w:tblPrEx>
        <w:tc>
          <w:tcPr>
            <w:tcW w:w="2876" w:type="dxa"/>
          </w:tcPr>
          <w:p w:rsidR="001D4BF8" w:rsidRPr="0059512C" w:rsidP="004B401B">
            <w:pPr>
              <w:pStyle w:val="ParaNum"/>
              <w:numPr>
                <w:ilvl w:val="0"/>
                <w:numId w:val="0"/>
              </w:numPr>
              <w:rPr>
                <w:szCs w:val="22"/>
              </w:rPr>
            </w:pPr>
            <w:r w:rsidRPr="0059512C">
              <w:rPr>
                <w:szCs w:val="22"/>
              </w:rPr>
              <w:t>Special Temporary Authority</w:t>
            </w:r>
          </w:p>
        </w:tc>
        <w:tc>
          <w:tcPr>
            <w:tcW w:w="2877" w:type="dxa"/>
          </w:tcPr>
          <w:p w:rsidR="001D4BF8" w:rsidRPr="0059512C" w:rsidP="004B401B">
            <w:pPr>
              <w:pStyle w:val="ParaNum"/>
              <w:numPr>
                <w:ilvl w:val="0"/>
                <w:numId w:val="0"/>
              </w:numPr>
              <w:rPr>
                <w:szCs w:val="22"/>
              </w:rPr>
            </w:pPr>
            <w:r w:rsidRPr="0059512C">
              <w:rPr>
                <w:szCs w:val="22"/>
              </w:rPr>
              <w:t>$1,195</w:t>
            </w:r>
          </w:p>
        </w:tc>
        <w:tc>
          <w:tcPr>
            <w:tcW w:w="2877" w:type="dxa"/>
          </w:tcPr>
          <w:p w:rsidR="001D4BF8" w:rsidRPr="0059512C" w:rsidP="004B401B">
            <w:pPr>
              <w:pStyle w:val="ParaNum"/>
              <w:numPr>
                <w:ilvl w:val="0"/>
                <w:numId w:val="0"/>
              </w:numPr>
              <w:rPr>
                <w:szCs w:val="22"/>
              </w:rPr>
            </w:pPr>
            <w:r w:rsidRPr="0059512C">
              <w:rPr>
                <w:szCs w:val="22"/>
              </w:rPr>
              <w:t>$</w:t>
            </w:r>
            <w:r w:rsidRPr="0059512C" w:rsidR="00AA04FC">
              <w:rPr>
                <w:szCs w:val="22"/>
              </w:rPr>
              <w:t>6</w:t>
            </w:r>
            <w:r w:rsidRPr="0059512C" w:rsidR="006911DD">
              <w:rPr>
                <w:szCs w:val="22"/>
              </w:rPr>
              <w:t>75</w:t>
            </w:r>
          </w:p>
        </w:tc>
      </w:tr>
      <w:tr w:rsidTr="004B401B">
        <w:tblPrEx>
          <w:tblW w:w="0" w:type="auto"/>
          <w:tblInd w:w="720" w:type="dxa"/>
          <w:tblLook w:val="04A0"/>
        </w:tblPrEx>
        <w:tc>
          <w:tcPr>
            <w:tcW w:w="2876" w:type="dxa"/>
          </w:tcPr>
          <w:p w:rsidR="001D4BF8" w:rsidRPr="0059512C" w:rsidP="004B401B">
            <w:pPr>
              <w:pStyle w:val="ParaNum"/>
              <w:numPr>
                <w:ilvl w:val="0"/>
                <w:numId w:val="0"/>
              </w:numPr>
              <w:rPr>
                <w:szCs w:val="22"/>
              </w:rPr>
            </w:pPr>
            <w:r w:rsidRPr="0059512C">
              <w:rPr>
                <w:szCs w:val="22"/>
              </w:rPr>
              <w:t>Waiver</w:t>
            </w:r>
          </w:p>
        </w:tc>
        <w:tc>
          <w:tcPr>
            <w:tcW w:w="2877" w:type="dxa"/>
          </w:tcPr>
          <w:p w:rsidR="001D4BF8" w:rsidRPr="0059512C" w:rsidP="004B401B">
            <w:pPr>
              <w:pStyle w:val="ParaNum"/>
              <w:numPr>
                <w:ilvl w:val="0"/>
                <w:numId w:val="0"/>
              </w:numPr>
              <w:rPr>
                <w:szCs w:val="22"/>
              </w:rPr>
            </w:pPr>
            <w:r w:rsidRPr="0059512C">
              <w:rPr>
                <w:szCs w:val="22"/>
              </w:rPr>
              <w:t>n/a</w:t>
            </w:r>
          </w:p>
        </w:tc>
        <w:tc>
          <w:tcPr>
            <w:tcW w:w="2877" w:type="dxa"/>
          </w:tcPr>
          <w:p w:rsidR="001D4BF8" w:rsidRPr="0059512C" w:rsidP="004B401B">
            <w:pPr>
              <w:pStyle w:val="ParaNum"/>
              <w:numPr>
                <w:ilvl w:val="0"/>
                <w:numId w:val="0"/>
              </w:numPr>
              <w:rPr>
                <w:szCs w:val="22"/>
              </w:rPr>
            </w:pPr>
            <w:r w:rsidRPr="0059512C">
              <w:rPr>
                <w:szCs w:val="22"/>
              </w:rPr>
              <w:t>$</w:t>
            </w:r>
            <w:r w:rsidRPr="0059512C" w:rsidR="00AA04FC">
              <w:rPr>
                <w:szCs w:val="22"/>
              </w:rPr>
              <w:t>3</w:t>
            </w:r>
            <w:r w:rsidRPr="0059512C" w:rsidR="006911DD">
              <w:rPr>
                <w:szCs w:val="22"/>
              </w:rPr>
              <w:t>3</w:t>
            </w:r>
            <w:r w:rsidRPr="0059512C" w:rsidR="00AA04FC">
              <w:rPr>
                <w:szCs w:val="22"/>
              </w:rPr>
              <w:t>5</w:t>
            </w:r>
          </w:p>
        </w:tc>
      </w:tr>
      <w:tr w:rsidTr="004B401B">
        <w:tblPrEx>
          <w:tblW w:w="0" w:type="auto"/>
          <w:tblInd w:w="720" w:type="dxa"/>
          <w:tblLook w:val="04A0"/>
        </w:tblPrEx>
        <w:tc>
          <w:tcPr>
            <w:tcW w:w="2876" w:type="dxa"/>
          </w:tcPr>
          <w:p w:rsidR="001D4BF8" w:rsidRPr="0059512C" w:rsidP="004B401B">
            <w:pPr>
              <w:pStyle w:val="ParaNum"/>
              <w:numPr>
                <w:ilvl w:val="0"/>
                <w:numId w:val="0"/>
              </w:numPr>
              <w:rPr>
                <w:szCs w:val="22"/>
              </w:rPr>
            </w:pPr>
            <w:r w:rsidRPr="0059512C">
              <w:rPr>
                <w:szCs w:val="22"/>
              </w:rPr>
              <w:t>Discontinuance of services</w:t>
            </w:r>
          </w:p>
        </w:tc>
        <w:tc>
          <w:tcPr>
            <w:tcW w:w="2877" w:type="dxa"/>
          </w:tcPr>
          <w:p w:rsidR="001D4BF8" w:rsidRPr="0059512C" w:rsidP="004B401B">
            <w:pPr>
              <w:pStyle w:val="ParaNum"/>
              <w:numPr>
                <w:ilvl w:val="0"/>
                <w:numId w:val="0"/>
              </w:numPr>
              <w:rPr>
                <w:szCs w:val="22"/>
              </w:rPr>
            </w:pPr>
            <w:r w:rsidRPr="0059512C">
              <w:rPr>
                <w:szCs w:val="22"/>
              </w:rPr>
              <w:t>n/a</w:t>
            </w:r>
          </w:p>
        </w:tc>
        <w:tc>
          <w:tcPr>
            <w:tcW w:w="2877" w:type="dxa"/>
          </w:tcPr>
          <w:p w:rsidR="001D4BF8" w:rsidRPr="0059512C" w:rsidP="004B401B">
            <w:pPr>
              <w:pStyle w:val="ParaNum"/>
              <w:numPr>
                <w:ilvl w:val="0"/>
                <w:numId w:val="0"/>
              </w:numPr>
              <w:rPr>
                <w:szCs w:val="22"/>
              </w:rPr>
            </w:pPr>
            <w:r w:rsidRPr="0059512C">
              <w:rPr>
                <w:szCs w:val="22"/>
              </w:rPr>
              <w:t>$3</w:t>
            </w:r>
            <w:r w:rsidRPr="0059512C" w:rsidR="006911DD">
              <w:rPr>
                <w:szCs w:val="22"/>
              </w:rPr>
              <w:t>3</w:t>
            </w:r>
            <w:r w:rsidRPr="0059512C">
              <w:rPr>
                <w:szCs w:val="22"/>
              </w:rPr>
              <w:t>5</w:t>
            </w:r>
          </w:p>
        </w:tc>
      </w:tr>
    </w:tbl>
    <w:p w:rsidR="00E35A63" w:rsidRPr="0059512C" w:rsidP="00530353">
      <w:pPr>
        <w:pStyle w:val="ParaNum"/>
        <w:numPr>
          <w:ilvl w:val="0"/>
          <w:numId w:val="0"/>
        </w:numPr>
        <w:rPr>
          <w:szCs w:val="22"/>
        </w:rPr>
      </w:pPr>
    </w:p>
    <w:p w:rsidR="00530353" w:rsidRPr="0059512C" w:rsidP="00483AEF">
      <w:pPr>
        <w:pStyle w:val="ParaNum"/>
        <w:rPr>
          <w:szCs w:val="22"/>
        </w:rPr>
      </w:pPr>
      <w:r w:rsidRPr="0059512C">
        <w:rPr>
          <w:szCs w:val="22"/>
        </w:rPr>
        <w:t>Applications to obtain an international section 214 authorization are filed online using IBFS and involve staff review.  The Commission may also need to coordinate application</w:t>
      </w:r>
      <w:r w:rsidR="009F6361">
        <w:rPr>
          <w:szCs w:val="22"/>
        </w:rPr>
        <w:t>s</w:t>
      </w:r>
      <w:r w:rsidRPr="0059512C">
        <w:rPr>
          <w:szCs w:val="22"/>
        </w:rPr>
        <w:t xml:space="preserve"> with other federal agencies.</w:t>
      </w:r>
      <w:r>
        <w:rPr>
          <w:rStyle w:val="FootnoteReference"/>
        </w:rPr>
        <w:footnoteReference w:id="109"/>
      </w:r>
      <w:r w:rsidRPr="0059512C">
        <w:rPr>
          <w:szCs w:val="22"/>
        </w:rPr>
        <w:t xml:space="preserve">  We estima</w:t>
      </w:r>
      <w:r w:rsidRPr="0059512C">
        <w:rPr>
          <w:szCs w:val="22"/>
        </w:rPr>
        <w:t>te the Commission’s</w:t>
      </w:r>
      <w:r w:rsidRPr="0059512C" w:rsidR="00483AEF">
        <w:rPr>
          <w:szCs w:val="22"/>
        </w:rPr>
        <w:t xml:space="preserve"> resources in</w:t>
      </w:r>
      <w:r w:rsidRPr="0059512C">
        <w:rPr>
          <w:szCs w:val="22"/>
        </w:rPr>
        <w:t xml:space="preserve"> processing an application for an international section 214 authorization consist of the following: industry analyst processing and review, staff attorney review, and supervisory review.  Our estimate is that this process in</w:t>
      </w:r>
      <w:r w:rsidRPr="0059512C">
        <w:rPr>
          <w:szCs w:val="22"/>
        </w:rPr>
        <w:t>volv</w:t>
      </w:r>
      <w:r w:rsidRPr="008D4478">
        <w:rPr>
          <w:szCs w:val="22"/>
        </w:rPr>
        <w:t xml:space="preserve">es </w:t>
      </w:r>
      <w:r w:rsidRPr="00B13758">
        <w:rPr>
          <w:szCs w:val="22"/>
        </w:rPr>
        <w:t>$7</w:t>
      </w:r>
      <w:r w:rsidRPr="00B13758" w:rsidR="00B97D9B">
        <w:rPr>
          <w:szCs w:val="22"/>
        </w:rPr>
        <w:t>85</w:t>
      </w:r>
      <w:r w:rsidRPr="008D4478">
        <w:rPr>
          <w:szCs w:val="22"/>
        </w:rPr>
        <w:t xml:space="preserve"> in co</w:t>
      </w:r>
      <w:r w:rsidRPr="0059512C">
        <w:rPr>
          <w:szCs w:val="22"/>
        </w:rPr>
        <w:t xml:space="preserve">sts for an application for an international section 214 authorization.  </w:t>
      </w:r>
    </w:p>
    <w:p w:rsidR="00530353" w:rsidRPr="0059512C" w:rsidP="00390165">
      <w:pPr>
        <w:pStyle w:val="ParaNum"/>
        <w:rPr>
          <w:szCs w:val="22"/>
        </w:rPr>
      </w:pPr>
      <w:bookmarkStart w:id="335" w:name="_Hlk24714394"/>
      <w:r w:rsidRPr="0059512C">
        <w:rPr>
          <w:szCs w:val="22"/>
        </w:rPr>
        <w:t>Applications regarding assignment or transfer of control of an international section 214 authorization can be for either substantive or pro forma transactions.</w:t>
      </w:r>
      <w:bookmarkEnd w:id="335"/>
      <w:r w:rsidRPr="0059512C">
        <w:rPr>
          <w:szCs w:val="22"/>
        </w:rPr>
        <w:t xml:space="preserve">  Curre</w:t>
      </w:r>
      <w:r w:rsidRPr="0059512C">
        <w:rPr>
          <w:szCs w:val="22"/>
        </w:rPr>
        <w:t>ntly, there is a $1,</w:t>
      </w:r>
      <w:r w:rsidRPr="0059512C" w:rsidR="00B97D9B">
        <w:rPr>
          <w:szCs w:val="22"/>
        </w:rPr>
        <w:t>230</w:t>
      </w:r>
      <w:r w:rsidRPr="0059512C">
        <w:rPr>
          <w:szCs w:val="22"/>
        </w:rPr>
        <w:t xml:space="preserve"> fee for substantive assignment or transfer applications.  We propose to charge a fee for pro forma assignment or transfer of control applications.  Applications to assign or transfer control of an international section 214 authoriza</w:t>
      </w:r>
      <w:r w:rsidRPr="0059512C">
        <w:rPr>
          <w:szCs w:val="22"/>
        </w:rPr>
        <w:t xml:space="preserve">tion are filed online using IBFS and involve staff review.  The Commission may also need to coordinate the application with other federal agencies, as necessary.  These applications </w:t>
      </w:r>
      <w:r w:rsidR="00153AF5">
        <w:rPr>
          <w:szCs w:val="22"/>
        </w:rPr>
        <w:t xml:space="preserve">must </w:t>
      </w:r>
      <w:r w:rsidRPr="0059512C">
        <w:rPr>
          <w:szCs w:val="22"/>
        </w:rPr>
        <w:t>also be coordinated with other bureaus and offices within the Commission.  Based on our experience, staff conduct a similar review for both pro forma and substantive assignment or transfer of control applications by ensuring compliance with our rules.  How</w:t>
      </w:r>
      <w:r w:rsidRPr="0059512C">
        <w:rPr>
          <w:szCs w:val="22"/>
        </w:rPr>
        <w:t xml:space="preserve">ever, the review of substantive assignment or transfer of control applications </w:t>
      </w:r>
      <w:r w:rsidRPr="0059512C" w:rsidR="00B64505">
        <w:rPr>
          <w:szCs w:val="22"/>
        </w:rPr>
        <w:t>typically</w:t>
      </w:r>
      <w:r w:rsidRPr="0059512C">
        <w:rPr>
          <w:szCs w:val="22"/>
        </w:rPr>
        <w:t xml:space="preserve"> take staff additional time compared to pro forma assignments.  We estimate </w:t>
      </w:r>
      <w:r w:rsidRPr="0059512C">
        <w:rPr>
          <w:szCs w:val="22"/>
        </w:rPr>
        <w:t xml:space="preserve">the Commission’s </w:t>
      </w:r>
      <w:r w:rsidRPr="0059512C" w:rsidR="00D073E3">
        <w:rPr>
          <w:szCs w:val="22"/>
        </w:rPr>
        <w:t>resources in</w:t>
      </w:r>
      <w:r w:rsidRPr="0059512C">
        <w:rPr>
          <w:szCs w:val="22"/>
        </w:rPr>
        <w:t xml:space="preserve"> processing an application for a substantive assignment or tran</w:t>
      </w:r>
      <w:r w:rsidRPr="0059512C">
        <w:rPr>
          <w:szCs w:val="22"/>
        </w:rPr>
        <w:t>sfer control of an international section 214 authorization consist of the following: industry analyst processing and review, staff attorney review, and supervisory review.  Our estimate is that this process involves $1,</w:t>
      </w:r>
      <w:r w:rsidRPr="0059512C" w:rsidR="00B97D9B">
        <w:rPr>
          <w:szCs w:val="22"/>
        </w:rPr>
        <w:t>230</w:t>
      </w:r>
      <w:r w:rsidRPr="0059512C">
        <w:rPr>
          <w:szCs w:val="22"/>
        </w:rPr>
        <w:t xml:space="preserve"> in costs.  We estimate the Commis</w:t>
      </w:r>
      <w:r w:rsidRPr="0059512C">
        <w:rPr>
          <w:szCs w:val="22"/>
        </w:rPr>
        <w:t xml:space="preserve">sion’s </w:t>
      </w:r>
      <w:r w:rsidRPr="0059512C" w:rsidR="00D073E3">
        <w:rPr>
          <w:szCs w:val="22"/>
        </w:rPr>
        <w:t>resources in</w:t>
      </w:r>
      <w:r w:rsidRPr="0059512C">
        <w:rPr>
          <w:szCs w:val="22"/>
        </w:rPr>
        <w:t xml:space="preserve"> processing a typical pro forma assignment or transfer control of an international section 214 authorization consist of the following: industry analyst processing and review, staff attorney review, and supervisory review.  Our estimate i</w:t>
      </w:r>
      <w:r w:rsidRPr="0059512C">
        <w:rPr>
          <w:szCs w:val="22"/>
        </w:rPr>
        <w:t>s that this process involves $6</w:t>
      </w:r>
      <w:r w:rsidRPr="0059512C" w:rsidR="00B97D9B">
        <w:rPr>
          <w:szCs w:val="22"/>
        </w:rPr>
        <w:t>75</w:t>
      </w:r>
      <w:r w:rsidRPr="0059512C">
        <w:rPr>
          <w:szCs w:val="22"/>
        </w:rPr>
        <w:t xml:space="preserve"> in costs for an application for pro forma</w:t>
      </w:r>
      <w:r w:rsidRPr="0059512C">
        <w:rPr>
          <w:i/>
          <w:szCs w:val="22"/>
        </w:rPr>
        <w:t xml:space="preserve"> </w:t>
      </w:r>
      <w:r w:rsidRPr="0059512C">
        <w:rPr>
          <w:szCs w:val="22"/>
        </w:rPr>
        <w:t xml:space="preserve">assignment or transfer of control of an international section 214 authorization.  </w:t>
      </w:r>
    </w:p>
    <w:p w:rsidR="00530353" w:rsidRPr="0059512C" w:rsidP="00D073E3">
      <w:pPr>
        <w:pStyle w:val="ParaNum"/>
        <w:rPr>
          <w:szCs w:val="22"/>
        </w:rPr>
      </w:pPr>
      <w:r w:rsidRPr="0059512C">
        <w:rPr>
          <w:szCs w:val="22"/>
        </w:rPr>
        <w:t>A carrier may request to modify its international section 214 authorization, for example to chang</w:t>
      </w:r>
      <w:r w:rsidRPr="0059512C">
        <w:rPr>
          <w:szCs w:val="22"/>
        </w:rPr>
        <w:t>e its classification from dominant to non-dominant.</w:t>
      </w:r>
      <w:r>
        <w:rPr>
          <w:rStyle w:val="FootnoteReference"/>
        </w:rPr>
        <w:footnoteReference w:id="110"/>
      </w:r>
      <w:r w:rsidRPr="0059512C" w:rsidR="00160187">
        <w:rPr>
          <w:szCs w:val="22"/>
        </w:rPr>
        <w:t xml:space="preserve">  </w:t>
      </w:r>
      <w:r w:rsidRPr="0059512C">
        <w:rPr>
          <w:szCs w:val="22"/>
        </w:rPr>
        <w:t>We propose to charge fee</w:t>
      </w:r>
      <w:r w:rsidRPr="0059512C" w:rsidR="00D073E3">
        <w:rPr>
          <w:szCs w:val="22"/>
        </w:rPr>
        <w:t>s</w:t>
      </w:r>
      <w:r w:rsidRPr="0059512C">
        <w:rPr>
          <w:szCs w:val="22"/>
        </w:rPr>
        <w:t xml:space="preserve"> for </w:t>
      </w:r>
      <w:r w:rsidRPr="0059512C" w:rsidR="00D073E3">
        <w:rPr>
          <w:szCs w:val="22"/>
        </w:rPr>
        <w:t xml:space="preserve">a modification </w:t>
      </w:r>
      <w:r w:rsidRPr="0059512C">
        <w:rPr>
          <w:szCs w:val="22"/>
        </w:rPr>
        <w:t xml:space="preserve">to an international section 214 application.  </w:t>
      </w:r>
      <w:r w:rsidRPr="0059512C" w:rsidR="00160187">
        <w:rPr>
          <w:szCs w:val="22"/>
        </w:rPr>
        <w:t>M</w:t>
      </w:r>
      <w:r w:rsidRPr="0059512C" w:rsidR="00D073E3">
        <w:rPr>
          <w:szCs w:val="22"/>
        </w:rPr>
        <w:t>odifications</w:t>
      </w:r>
      <w:r w:rsidRPr="0059512C">
        <w:rPr>
          <w:szCs w:val="22"/>
        </w:rPr>
        <w:t xml:space="preserve"> to an international section 214 authorization are filed online using IBFS and involve staff revi</w:t>
      </w:r>
      <w:r w:rsidRPr="0059512C">
        <w:rPr>
          <w:szCs w:val="22"/>
        </w:rPr>
        <w:t>ew.  The Commission may need to coordinate the</w:t>
      </w:r>
      <w:r w:rsidRPr="0059512C" w:rsidR="00160187">
        <w:rPr>
          <w:szCs w:val="22"/>
        </w:rPr>
        <w:t xml:space="preserve"> modification</w:t>
      </w:r>
      <w:r w:rsidRPr="0059512C">
        <w:rPr>
          <w:szCs w:val="22"/>
        </w:rPr>
        <w:t xml:space="preserve"> with other federal agencies, as necessary.  We estimate the Commission’s </w:t>
      </w:r>
      <w:r w:rsidRPr="0059512C" w:rsidR="00D073E3">
        <w:rPr>
          <w:szCs w:val="22"/>
        </w:rPr>
        <w:t>resources in</w:t>
      </w:r>
      <w:r w:rsidRPr="0059512C">
        <w:rPr>
          <w:szCs w:val="22"/>
        </w:rPr>
        <w:t xml:space="preserve"> processing </w:t>
      </w:r>
      <w:r w:rsidRPr="0059512C" w:rsidR="00D073E3">
        <w:rPr>
          <w:szCs w:val="22"/>
        </w:rPr>
        <w:t xml:space="preserve">a modification </w:t>
      </w:r>
      <w:r w:rsidRPr="0059512C">
        <w:rPr>
          <w:szCs w:val="22"/>
        </w:rPr>
        <w:t xml:space="preserve">to an international section 214 application consist of the following: </w:t>
      </w:r>
      <w:r w:rsidRPr="0059512C" w:rsidR="00D073E3">
        <w:rPr>
          <w:szCs w:val="22"/>
        </w:rPr>
        <w:t xml:space="preserve"> </w:t>
      </w:r>
      <w:r w:rsidRPr="0059512C">
        <w:rPr>
          <w:szCs w:val="22"/>
        </w:rPr>
        <w:t>industry anal</w:t>
      </w:r>
      <w:r w:rsidRPr="0059512C">
        <w:rPr>
          <w:szCs w:val="22"/>
        </w:rPr>
        <w:t>yst processing and review, staff attorney review, and supervisory review.  Our estimate is that this process involves $6</w:t>
      </w:r>
      <w:r w:rsidRPr="0059512C" w:rsidR="00B97D9B">
        <w:rPr>
          <w:szCs w:val="22"/>
        </w:rPr>
        <w:t>75</w:t>
      </w:r>
      <w:r w:rsidRPr="0059512C">
        <w:rPr>
          <w:szCs w:val="22"/>
        </w:rPr>
        <w:t xml:space="preserve"> in costs for</w:t>
      </w:r>
      <w:r w:rsidRPr="0059512C" w:rsidR="00D073E3">
        <w:rPr>
          <w:szCs w:val="22"/>
        </w:rPr>
        <w:t xml:space="preserve"> </w:t>
      </w:r>
      <w:r w:rsidRPr="0059512C" w:rsidR="00160187">
        <w:rPr>
          <w:szCs w:val="22"/>
        </w:rPr>
        <w:t xml:space="preserve">a </w:t>
      </w:r>
      <w:r w:rsidRPr="0059512C" w:rsidR="00D073E3">
        <w:rPr>
          <w:szCs w:val="22"/>
        </w:rPr>
        <w:t xml:space="preserve">modification </w:t>
      </w:r>
      <w:r w:rsidRPr="0059512C">
        <w:rPr>
          <w:szCs w:val="22"/>
        </w:rPr>
        <w:t xml:space="preserve">to an international section 214 application.  </w:t>
      </w:r>
    </w:p>
    <w:p w:rsidR="00530353" w:rsidRPr="0059512C" w:rsidP="00390165">
      <w:pPr>
        <w:pStyle w:val="ParaNum"/>
        <w:rPr>
          <w:szCs w:val="22"/>
        </w:rPr>
      </w:pPr>
      <w:r w:rsidRPr="0059512C">
        <w:rPr>
          <w:szCs w:val="22"/>
        </w:rPr>
        <w:t>An international section 214 authorization holder or appli</w:t>
      </w:r>
      <w:r w:rsidRPr="0059512C">
        <w:rPr>
          <w:szCs w:val="22"/>
        </w:rPr>
        <w:t xml:space="preserve">cant may request </w:t>
      </w:r>
      <w:r w:rsidRPr="0059512C" w:rsidR="00160187">
        <w:rPr>
          <w:szCs w:val="22"/>
        </w:rPr>
        <w:t xml:space="preserve">an </w:t>
      </w:r>
      <w:r w:rsidRPr="0059512C">
        <w:rPr>
          <w:szCs w:val="22"/>
        </w:rPr>
        <w:t>STA in certain situations, such as to provide service prior to Commission action on the underlying application.  STA requests are filed online using IBFS and involve staff review.  The Commission may also need to coordinate the STA requ</w:t>
      </w:r>
      <w:r w:rsidRPr="0059512C">
        <w:rPr>
          <w:szCs w:val="22"/>
        </w:rPr>
        <w:t xml:space="preserve">est with other federal agencies, as necessary.  We estimate the Commission’s </w:t>
      </w:r>
      <w:r w:rsidRPr="0059512C" w:rsidR="00D073E3">
        <w:rPr>
          <w:szCs w:val="22"/>
        </w:rPr>
        <w:t>resources in</w:t>
      </w:r>
      <w:r w:rsidRPr="0059512C">
        <w:rPr>
          <w:szCs w:val="22"/>
        </w:rPr>
        <w:t xml:space="preserve"> processing an STA related to an international section 214 authorization consist of the following: industry analyst processing and review, staff attorney review, and s</w:t>
      </w:r>
      <w:r w:rsidRPr="0059512C">
        <w:rPr>
          <w:szCs w:val="22"/>
        </w:rPr>
        <w:t>upervisory review.  Our estimate is that this process involves $</w:t>
      </w:r>
      <w:r w:rsidRPr="0059512C" w:rsidR="00160187">
        <w:rPr>
          <w:szCs w:val="22"/>
        </w:rPr>
        <w:t>6</w:t>
      </w:r>
      <w:r w:rsidRPr="0059512C" w:rsidR="00B97D9B">
        <w:rPr>
          <w:szCs w:val="22"/>
        </w:rPr>
        <w:t>75</w:t>
      </w:r>
      <w:r w:rsidRPr="0059512C">
        <w:rPr>
          <w:szCs w:val="22"/>
        </w:rPr>
        <w:t xml:space="preserve"> in costs.</w:t>
      </w:r>
    </w:p>
    <w:p w:rsidR="00495019" w:rsidRPr="00B40B97" w:rsidP="00701DE0">
      <w:pPr>
        <w:pStyle w:val="ParaNum"/>
        <w:rPr>
          <w:bCs/>
        </w:rPr>
      </w:pPr>
      <w:r w:rsidRPr="0059512C">
        <w:rPr>
          <w:szCs w:val="22"/>
        </w:rPr>
        <w:t xml:space="preserve">We </w:t>
      </w:r>
      <w:r w:rsidRPr="0059512C" w:rsidR="000F4A54">
        <w:rPr>
          <w:szCs w:val="22"/>
        </w:rPr>
        <w:t xml:space="preserve">also </w:t>
      </w:r>
      <w:r w:rsidRPr="0059512C">
        <w:rPr>
          <w:szCs w:val="22"/>
        </w:rPr>
        <w:t>propose to charge fee</w:t>
      </w:r>
      <w:r w:rsidRPr="0059512C" w:rsidR="000F4A54">
        <w:rPr>
          <w:szCs w:val="22"/>
        </w:rPr>
        <w:t>s for</w:t>
      </w:r>
      <w:r w:rsidR="009D36CB">
        <w:rPr>
          <w:szCs w:val="22"/>
        </w:rPr>
        <w:t xml:space="preserve"> </w:t>
      </w:r>
      <w:r w:rsidRPr="0059512C" w:rsidR="009D36CB">
        <w:rPr>
          <w:szCs w:val="22"/>
        </w:rPr>
        <w:t>foreign carrier affiliation notification</w:t>
      </w:r>
      <w:r w:rsidRPr="0059512C" w:rsidR="00C22EA2">
        <w:rPr>
          <w:szCs w:val="22"/>
        </w:rPr>
        <w:t>,</w:t>
      </w:r>
      <w:r w:rsidRPr="0059512C" w:rsidR="000F4A54">
        <w:rPr>
          <w:szCs w:val="22"/>
        </w:rPr>
        <w:t xml:space="preserve"> </w:t>
      </w:r>
      <w:r w:rsidRPr="0059512C">
        <w:rPr>
          <w:szCs w:val="22"/>
        </w:rPr>
        <w:t>waiver requests</w:t>
      </w:r>
      <w:r w:rsidRPr="0059512C" w:rsidR="00C22EA2">
        <w:rPr>
          <w:szCs w:val="22"/>
        </w:rPr>
        <w:t>, and discontinuances of</w:t>
      </w:r>
      <w:r w:rsidRPr="0059512C">
        <w:rPr>
          <w:szCs w:val="22"/>
        </w:rPr>
        <w:t xml:space="preserve"> international </w:t>
      </w:r>
      <w:r w:rsidRPr="0059512C" w:rsidR="00C22EA2">
        <w:rPr>
          <w:szCs w:val="22"/>
        </w:rPr>
        <w:t xml:space="preserve">service.  As set forth in section 63.11 of the Commission’s rules, if a carrier is authorized by the Commission to provide service between the United States and a particular foreign destination market (i.e., a holder of an international 214 </w:t>
      </w:r>
      <w:r w:rsidRPr="0059512C">
        <w:rPr>
          <w:szCs w:val="22"/>
        </w:rPr>
        <w:t>authorization</w:t>
      </w:r>
      <w:r w:rsidRPr="0059512C" w:rsidR="00C22EA2">
        <w:rPr>
          <w:szCs w:val="22"/>
        </w:rPr>
        <w:t>) and it becomes, or seeks to become, affiliated with a foreign carrier that is authorized to operate in that market, then its authorization to provide that international service is conditioned upon notifying the Commission of that affiliation.</w:t>
      </w:r>
      <w:r>
        <w:rPr>
          <w:rStyle w:val="FootnoteReference"/>
        </w:rPr>
        <w:footnoteReference w:id="111"/>
      </w:r>
      <w:r w:rsidRPr="0059512C" w:rsidR="00703CF5">
        <w:rPr>
          <w:szCs w:val="22"/>
        </w:rPr>
        <w:t xml:space="preserve">  Applicants submit </w:t>
      </w:r>
      <w:r w:rsidRPr="0059512C" w:rsidR="009D36CB">
        <w:rPr>
          <w:szCs w:val="22"/>
        </w:rPr>
        <w:t xml:space="preserve">foreign carrier affiliation notification </w:t>
      </w:r>
      <w:r w:rsidRPr="0059512C" w:rsidR="00703CF5">
        <w:rPr>
          <w:szCs w:val="22"/>
        </w:rPr>
        <w:t>applications electronically through IBFS.  We estimate that the Commission’s resources in processing a</w:t>
      </w:r>
      <w:r w:rsidR="009D36CB">
        <w:rPr>
          <w:szCs w:val="22"/>
        </w:rPr>
        <w:t xml:space="preserve"> </w:t>
      </w:r>
      <w:r w:rsidRPr="0059512C" w:rsidR="009D36CB">
        <w:rPr>
          <w:szCs w:val="22"/>
        </w:rPr>
        <w:t>foreign carrier affiliation notification</w:t>
      </w:r>
      <w:r w:rsidR="009D36CB">
        <w:rPr>
          <w:szCs w:val="22"/>
        </w:rPr>
        <w:t xml:space="preserve"> </w:t>
      </w:r>
      <w:r w:rsidRPr="0059512C" w:rsidR="00703CF5">
        <w:rPr>
          <w:szCs w:val="22"/>
        </w:rPr>
        <w:t>application consist of the following:  program analyst review and processing, attorney legal review, and attorney supervisor legal review.  Our estimate is that this process involves $4</w:t>
      </w:r>
      <w:r w:rsidRPr="0059512C" w:rsidR="00B97D9B">
        <w:rPr>
          <w:szCs w:val="22"/>
        </w:rPr>
        <w:t>95</w:t>
      </w:r>
      <w:r w:rsidRPr="0059512C" w:rsidR="00703CF5">
        <w:rPr>
          <w:szCs w:val="22"/>
        </w:rPr>
        <w:t xml:space="preserve"> in costs.  </w:t>
      </w:r>
      <w:r w:rsidRPr="0059512C">
        <w:rPr>
          <w:szCs w:val="22"/>
        </w:rPr>
        <w:t xml:space="preserve">An individual or entity may request a waiver of the requirements under </w:t>
      </w:r>
      <w:r w:rsidRPr="0059512C" w:rsidR="00703CF5">
        <w:rPr>
          <w:szCs w:val="22"/>
        </w:rPr>
        <w:t xml:space="preserve">part </w:t>
      </w:r>
      <w:r w:rsidRPr="0059512C">
        <w:rPr>
          <w:szCs w:val="22"/>
        </w:rPr>
        <w:t>63</w:t>
      </w:r>
      <w:r w:rsidRPr="0059512C" w:rsidR="00703CF5">
        <w:rPr>
          <w:szCs w:val="22"/>
        </w:rPr>
        <w:t xml:space="preserve"> </w:t>
      </w:r>
      <w:r w:rsidRPr="0059512C">
        <w:rPr>
          <w:szCs w:val="22"/>
        </w:rPr>
        <w:t>of the Commission’s rules.</w:t>
      </w:r>
      <w:r>
        <w:rPr>
          <w:rStyle w:val="FootnoteReference"/>
        </w:rPr>
        <w:footnoteReference w:id="112"/>
      </w:r>
      <w:r w:rsidRPr="0059512C">
        <w:rPr>
          <w:szCs w:val="22"/>
        </w:rPr>
        <w:t xml:space="preserve"> </w:t>
      </w:r>
      <w:r w:rsidRPr="0059512C">
        <w:rPr>
          <w:szCs w:val="22"/>
        </w:rPr>
        <w:t xml:space="preserve"> </w:t>
      </w:r>
      <w:r w:rsidRPr="0059512C" w:rsidR="00703CF5">
        <w:rPr>
          <w:szCs w:val="22"/>
        </w:rPr>
        <w:t xml:space="preserve">A standalone </w:t>
      </w:r>
      <w:r w:rsidRPr="0059512C">
        <w:rPr>
          <w:szCs w:val="22"/>
        </w:rPr>
        <w:t>waiver request</w:t>
      </w:r>
      <w:r w:rsidRPr="0059512C" w:rsidR="00703CF5">
        <w:rPr>
          <w:szCs w:val="22"/>
        </w:rPr>
        <w:t xml:space="preserve"> related to the international section 214 authorization rules is filed online using IBFS and involves International Bureau staff rev</w:t>
      </w:r>
      <w:r w:rsidRPr="0059512C" w:rsidR="002318A5">
        <w:rPr>
          <w:szCs w:val="22"/>
        </w:rPr>
        <w:t>ie</w:t>
      </w:r>
      <w:r w:rsidRPr="0059512C" w:rsidR="00703CF5">
        <w:rPr>
          <w:szCs w:val="22"/>
        </w:rPr>
        <w:t>w</w:t>
      </w:r>
      <w:r w:rsidRPr="0059512C">
        <w:rPr>
          <w:szCs w:val="22"/>
        </w:rPr>
        <w:t>.</w:t>
      </w:r>
      <w:r>
        <w:rPr>
          <w:rStyle w:val="FootnoteReference"/>
        </w:rPr>
        <w:footnoteReference w:id="113"/>
      </w:r>
      <w:r w:rsidRPr="0059512C">
        <w:rPr>
          <w:szCs w:val="22"/>
        </w:rPr>
        <w:t xml:space="preserve">  We estimate the Commission’s </w:t>
      </w:r>
      <w:r w:rsidRPr="0059512C" w:rsidR="000F4A54">
        <w:rPr>
          <w:szCs w:val="22"/>
        </w:rPr>
        <w:t>resources</w:t>
      </w:r>
      <w:r w:rsidRPr="0059512C">
        <w:rPr>
          <w:szCs w:val="22"/>
        </w:rPr>
        <w:t xml:space="preserve"> processing a waiver request </w:t>
      </w:r>
      <w:r w:rsidRPr="0059512C" w:rsidR="002318A5">
        <w:rPr>
          <w:szCs w:val="22"/>
        </w:rPr>
        <w:t xml:space="preserve">filed separately from another application </w:t>
      </w:r>
      <w:r w:rsidRPr="0059512C">
        <w:rPr>
          <w:szCs w:val="22"/>
        </w:rPr>
        <w:t>consist of the following: industry analyst processing and review, staff attorney review, and supervisory review.  Our estimate is that this process involves $</w:t>
      </w:r>
      <w:r w:rsidRPr="0059512C" w:rsidR="00C6374B">
        <w:rPr>
          <w:szCs w:val="22"/>
        </w:rPr>
        <w:t>3</w:t>
      </w:r>
      <w:r w:rsidRPr="0059512C" w:rsidR="00B97D9B">
        <w:rPr>
          <w:szCs w:val="22"/>
        </w:rPr>
        <w:t>3</w:t>
      </w:r>
      <w:r w:rsidRPr="0059512C" w:rsidR="00C6374B">
        <w:rPr>
          <w:szCs w:val="22"/>
        </w:rPr>
        <w:t>5</w:t>
      </w:r>
      <w:r w:rsidRPr="0059512C">
        <w:rPr>
          <w:szCs w:val="22"/>
        </w:rPr>
        <w:t xml:space="preserve"> in costs</w:t>
      </w:r>
      <w:r w:rsidRPr="0059512C" w:rsidR="00C6374B">
        <w:rPr>
          <w:szCs w:val="22"/>
        </w:rPr>
        <w:t xml:space="preserve"> f</w:t>
      </w:r>
      <w:r w:rsidRPr="0059512C" w:rsidR="000F4A54">
        <w:rPr>
          <w:szCs w:val="22"/>
        </w:rPr>
        <w:t xml:space="preserve">or </w:t>
      </w:r>
      <w:r w:rsidRPr="0059512C" w:rsidR="00C6374B">
        <w:rPr>
          <w:szCs w:val="22"/>
        </w:rPr>
        <w:t xml:space="preserve">a typical request to waive the </w:t>
      </w:r>
      <w:r w:rsidRPr="0059512C">
        <w:rPr>
          <w:szCs w:val="22"/>
        </w:rPr>
        <w:t xml:space="preserve">international </w:t>
      </w:r>
      <w:r w:rsidRPr="0059512C" w:rsidR="00C6374B">
        <w:rPr>
          <w:szCs w:val="22"/>
        </w:rPr>
        <w:t xml:space="preserve">section 214 authorization rules that is filed separately from an application.  Any </w:t>
      </w:r>
      <w:r w:rsidRPr="0059512C">
        <w:rPr>
          <w:szCs w:val="22"/>
        </w:rPr>
        <w:t>international carrier that seeks to discontinue, reduce, or impair service, including the retiring of international facilities, dismantling or removing of international trunk lines, must f</w:t>
      </w:r>
      <w:r w:rsidRPr="0059512C">
        <w:rPr>
          <w:szCs w:val="22"/>
        </w:rPr>
        <w:t xml:space="preserve">ile a notification or application, depending on whether the carrier is considered dominant in the provision of a particular international service, pursuant to section 63.19 of the </w:t>
      </w:r>
      <w:r w:rsidRPr="0059512C">
        <w:rPr>
          <w:szCs w:val="22"/>
        </w:rPr>
        <w:t>Commission’s rules.</w:t>
      </w:r>
      <w:r>
        <w:rPr>
          <w:rStyle w:val="FootnoteReference"/>
        </w:rPr>
        <w:footnoteReference w:id="114"/>
      </w:r>
      <w:r w:rsidRPr="0059512C">
        <w:rPr>
          <w:szCs w:val="22"/>
        </w:rPr>
        <w:t xml:space="preserve">  Discontinuance notifications and applications are fil</w:t>
      </w:r>
      <w:r w:rsidRPr="0059512C">
        <w:rPr>
          <w:szCs w:val="22"/>
        </w:rPr>
        <w:t xml:space="preserve">ed online using IBFS and staff process and review them.  We estimate that the Commission’s costs in processing an international 214 discontinuance consist of the following:  </w:t>
      </w:r>
      <w:bookmarkStart w:id="336" w:name="_Hlk27402653"/>
      <w:r w:rsidRPr="0059512C">
        <w:rPr>
          <w:szCs w:val="22"/>
        </w:rPr>
        <w:t>industry analyst processing and red</w:t>
      </w:r>
      <w:r w:rsidRPr="0059512C" w:rsidR="000F4A54">
        <w:rPr>
          <w:szCs w:val="22"/>
        </w:rPr>
        <w:t>-</w:t>
      </w:r>
      <w:r w:rsidRPr="0059512C">
        <w:rPr>
          <w:szCs w:val="22"/>
        </w:rPr>
        <w:t>light check</w:t>
      </w:r>
      <w:bookmarkEnd w:id="336"/>
      <w:r w:rsidRPr="0059512C">
        <w:rPr>
          <w:szCs w:val="22"/>
        </w:rPr>
        <w:t>, attorney legal review, supervisor</w:t>
      </w:r>
      <w:r w:rsidRPr="0059512C">
        <w:rPr>
          <w:szCs w:val="22"/>
        </w:rPr>
        <w:t>y review.  Our estimate is that this process involves $3</w:t>
      </w:r>
      <w:r w:rsidRPr="0059512C" w:rsidR="00B97D9B">
        <w:rPr>
          <w:szCs w:val="22"/>
        </w:rPr>
        <w:t>3</w:t>
      </w:r>
      <w:r w:rsidRPr="0059512C">
        <w:rPr>
          <w:szCs w:val="22"/>
        </w:rPr>
        <w:t xml:space="preserve">5 in costs.  </w:t>
      </w:r>
      <w:r w:rsidRPr="00701DE0">
        <w:rPr>
          <w:szCs w:val="22"/>
        </w:rPr>
        <w:t xml:space="preserve">We seek comment on these proposals.  </w:t>
      </w:r>
    </w:p>
    <w:p w:rsidR="001D4BF8" w:rsidRPr="0059512C" w:rsidP="00020760">
      <w:pPr>
        <w:pStyle w:val="Heading4"/>
        <w:rPr>
          <w:szCs w:val="22"/>
        </w:rPr>
      </w:pPr>
      <w:bookmarkStart w:id="337" w:name="_Toc28005113"/>
      <w:bookmarkStart w:id="338" w:name="_Toc29557411"/>
      <w:bookmarkStart w:id="339" w:name="_Toc35268594"/>
      <w:r w:rsidRPr="0059512C">
        <w:rPr>
          <w:szCs w:val="22"/>
        </w:rPr>
        <w:t>Foreign Ownership Petitions for Declaratory Ruling</w:t>
      </w:r>
      <w:bookmarkEnd w:id="337"/>
      <w:bookmarkEnd w:id="338"/>
      <w:bookmarkEnd w:id="339"/>
    </w:p>
    <w:p w:rsidR="001D4BF8" w:rsidRPr="0059512C" w:rsidP="001D4BF8">
      <w:pPr>
        <w:pStyle w:val="ParaNum"/>
        <w:rPr>
          <w:szCs w:val="22"/>
        </w:rPr>
      </w:pPr>
      <w:r w:rsidRPr="0059512C">
        <w:rPr>
          <w:szCs w:val="22"/>
        </w:rPr>
        <w:t>Section 310(b) of the Communications Act contains specific restrictions on who can hold a broadca</w:t>
      </w:r>
      <w:r w:rsidRPr="0059512C">
        <w:rPr>
          <w:szCs w:val="22"/>
        </w:rPr>
        <w:t>st, common carrier, or aeronautical radio station license.</w:t>
      </w:r>
      <w:r>
        <w:rPr>
          <w:rStyle w:val="FootnoteReference"/>
        </w:rPr>
        <w:footnoteReference w:id="115"/>
      </w:r>
      <w:r w:rsidRPr="0059512C">
        <w:rPr>
          <w:szCs w:val="22"/>
        </w:rPr>
        <w:t xml:space="preserve">  Section 310(b)(3) prohibits foreign individuals, governments, and corporations from owning more than 20</w:t>
      </w:r>
      <w:r w:rsidR="007E6A44">
        <w:rPr>
          <w:szCs w:val="22"/>
        </w:rPr>
        <w:t>%</w:t>
      </w:r>
      <w:r w:rsidRPr="0059512C">
        <w:rPr>
          <w:szCs w:val="22"/>
        </w:rPr>
        <w:t xml:space="preserve"> of the capital stock of a broadcast, common carrier, or aeronautical radio station licensee.</w:t>
      </w:r>
      <w:r>
        <w:rPr>
          <w:rStyle w:val="FootnoteReference"/>
        </w:rPr>
        <w:footnoteReference w:id="116"/>
      </w:r>
      <w:r w:rsidRPr="0059512C">
        <w:rPr>
          <w:szCs w:val="22"/>
        </w:rPr>
        <w:t xml:space="preserve">  Section 310(b)(4) establishes a 2</w:t>
      </w:r>
      <w:r w:rsidR="004A407A">
        <w:rPr>
          <w:szCs w:val="22"/>
        </w:rPr>
        <w:t>5%</w:t>
      </w:r>
      <w:r w:rsidRPr="0059512C">
        <w:rPr>
          <w:szCs w:val="22"/>
        </w:rPr>
        <w:t xml:space="preserve"> benchmark for investment by foreign individuals, governments, and corporations in U.S.-organized entities that directly or </w:t>
      </w:r>
      <w:r w:rsidRPr="0059512C">
        <w:rPr>
          <w:szCs w:val="22"/>
        </w:rPr>
        <w:t>indirectly control a broadcast, common carrier, or aeronautical radio station licensee, unless the Commission finds that foreign ownership above that benchmark would serve the public interest.</w:t>
      </w:r>
      <w:r>
        <w:rPr>
          <w:rStyle w:val="FootnoteReference"/>
        </w:rPr>
        <w:footnoteReference w:id="117"/>
      </w:r>
      <w:r w:rsidRPr="0059512C">
        <w:rPr>
          <w:szCs w:val="22"/>
        </w:rPr>
        <w:t xml:space="preserve">  The Commission’s rules set out procedures for seeking a prio</w:t>
      </w:r>
      <w:r w:rsidRPr="0059512C">
        <w:rPr>
          <w:szCs w:val="22"/>
        </w:rPr>
        <w:t>r Commission approval to exceed the benchmarks set out in the statute.</w:t>
      </w:r>
      <w:r>
        <w:rPr>
          <w:rStyle w:val="FootnoteReference"/>
          <w:sz w:val="22"/>
        </w:rPr>
        <w:footnoteReference w:id="118"/>
      </w:r>
      <w:r w:rsidRPr="0059512C">
        <w:rPr>
          <w:szCs w:val="22"/>
        </w:rPr>
        <w:t xml:space="preserve">  </w:t>
      </w:r>
      <w:bookmarkStart w:id="340" w:name="_Hlk23944776"/>
      <w:r w:rsidRPr="0059512C">
        <w:rPr>
          <w:szCs w:val="22"/>
        </w:rPr>
        <w:t xml:space="preserve">The International Bureau processes petitions for declaratory ruling seeking approval to exceed the benchmarks set out in sections 310(b)(3) and 310(b)(4) for common carrier wireless </w:t>
      </w:r>
      <w:r w:rsidRPr="0059512C">
        <w:rPr>
          <w:szCs w:val="22"/>
        </w:rPr>
        <w:t>or aeronautical licenses</w:t>
      </w:r>
      <w:bookmarkEnd w:id="340"/>
      <w:r w:rsidRPr="0059512C">
        <w:rPr>
          <w:szCs w:val="22"/>
        </w:rPr>
        <w:t>.</w:t>
      </w:r>
      <w:r>
        <w:rPr>
          <w:rStyle w:val="FootnoteReference"/>
          <w:sz w:val="22"/>
        </w:rPr>
        <w:footnoteReference w:id="119"/>
      </w:r>
      <w:r w:rsidRPr="0059512C">
        <w:rPr>
          <w:szCs w:val="22"/>
        </w:rPr>
        <w:t xml:space="preserve">  Currently, there is no fee for a 310(b) </w:t>
      </w:r>
      <w:r w:rsidRPr="0059512C" w:rsidR="008A6FB3">
        <w:rPr>
          <w:szCs w:val="22"/>
        </w:rPr>
        <w:t xml:space="preserve">petition for declaratory ruling </w:t>
      </w:r>
      <w:r w:rsidRPr="0059512C">
        <w:rPr>
          <w:szCs w:val="22"/>
        </w:rPr>
        <w:t xml:space="preserve">or associated applications.   </w:t>
      </w:r>
    </w:p>
    <w:p w:rsidR="001D4BF8" w:rsidRPr="0059512C" w:rsidP="008F3C56">
      <w:pPr>
        <w:pStyle w:val="ParaNum"/>
        <w:rPr>
          <w:szCs w:val="22"/>
        </w:rPr>
      </w:pPr>
      <w:r w:rsidRPr="0059512C">
        <w:rPr>
          <w:szCs w:val="22"/>
        </w:rPr>
        <w:t>We propose and seek comment on adopting the following cost-based fees for these applications—and we give as an example the c</w:t>
      </w:r>
      <w:r w:rsidRPr="0059512C">
        <w:rPr>
          <w:szCs w:val="22"/>
        </w:rPr>
        <w:t xml:space="preserve">urrent fees for these services.  </w:t>
      </w:r>
    </w:p>
    <w:tbl>
      <w:tblPr>
        <w:tblStyle w:val="TableGrid"/>
        <w:tblW w:w="0" w:type="auto"/>
        <w:tblInd w:w="720" w:type="dxa"/>
        <w:tblLook w:val="04A0"/>
      </w:tblPr>
      <w:tblGrid>
        <w:gridCol w:w="2199"/>
        <w:gridCol w:w="3050"/>
        <w:gridCol w:w="3381"/>
      </w:tblGrid>
      <w:tr w:rsidTr="00F364EF">
        <w:tblPrEx>
          <w:tblW w:w="0" w:type="auto"/>
          <w:tblInd w:w="720" w:type="dxa"/>
          <w:tblLook w:val="04A0"/>
        </w:tblPrEx>
        <w:tc>
          <w:tcPr>
            <w:tcW w:w="2199" w:type="dxa"/>
          </w:tcPr>
          <w:p w:rsidR="006F0A29" w:rsidRPr="0059512C" w:rsidP="004B401B">
            <w:pPr>
              <w:pStyle w:val="ParaNum"/>
              <w:numPr>
                <w:ilvl w:val="0"/>
                <w:numId w:val="0"/>
              </w:numPr>
              <w:rPr>
                <w:szCs w:val="22"/>
              </w:rPr>
            </w:pPr>
            <w:r w:rsidRPr="0059512C">
              <w:rPr>
                <w:b/>
                <w:szCs w:val="22"/>
              </w:rPr>
              <w:t>Application</w:t>
            </w:r>
          </w:p>
        </w:tc>
        <w:tc>
          <w:tcPr>
            <w:tcW w:w="3050" w:type="dxa"/>
          </w:tcPr>
          <w:p w:rsidR="006F0A29" w:rsidRPr="0059512C" w:rsidP="004B401B">
            <w:pPr>
              <w:pStyle w:val="ParaNum"/>
              <w:numPr>
                <w:ilvl w:val="0"/>
                <w:numId w:val="0"/>
              </w:numPr>
              <w:rPr>
                <w:b/>
                <w:szCs w:val="22"/>
              </w:rPr>
            </w:pPr>
            <w:r w:rsidRPr="0059512C">
              <w:rPr>
                <w:b/>
                <w:szCs w:val="22"/>
              </w:rPr>
              <w:t>Current Fee</w:t>
            </w:r>
          </w:p>
        </w:tc>
        <w:tc>
          <w:tcPr>
            <w:tcW w:w="3381" w:type="dxa"/>
          </w:tcPr>
          <w:p w:rsidR="006F0A29" w:rsidRPr="0059512C" w:rsidP="004B401B">
            <w:pPr>
              <w:pStyle w:val="ParaNum"/>
              <w:numPr>
                <w:ilvl w:val="0"/>
                <w:numId w:val="0"/>
              </w:numPr>
              <w:rPr>
                <w:szCs w:val="22"/>
              </w:rPr>
            </w:pPr>
            <w:r w:rsidRPr="0059512C">
              <w:rPr>
                <w:b/>
                <w:szCs w:val="22"/>
              </w:rPr>
              <w:t xml:space="preserve">Cost-based Fee </w:t>
            </w:r>
          </w:p>
        </w:tc>
      </w:tr>
      <w:tr w:rsidTr="00F364EF">
        <w:tblPrEx>
          <w:tblW w:w="0" w:type="auto"/>
          <w:tblInd w:w="720" w:type="dxa"/>
          <w:tblLook w:val="04A0"/>
        </w:tblPrEx>
        <w:tc>
          <w:tcPr>
            <w:tcW w:w="2199" w:type="dxa"/>
          </w:tcPr>
          <w:p w:rsidR="006F0A29" w:rsidRPr="0059512C" w:rsidP="004B401B">
            <w:pPr>
              <w:pStyle w:val="ParaNum"/>
              <w:numPr>
                <w:ilvl w:val="0"/>
                <w:numId w:val="0"/>
              </w:numPr>
              <w:rPr>
                <w:szCs w:val="22"/>
              </w:rPr>
            </w:pPr>
            <w:r w:rsidRPr="0059512C">
              <w:rPr>
                <w:szCs w:val="22"/>
              </w:rPr>
              <w:t>Section 310(b) petitions for declaratory ruling</w:t>
            </w:r>
          </w:p>
        </w:tc>
        <w:tc>
          <w:tcPr>
            <w:tcW w:w="3050" w:type="dxa"/>
          </w:tcPr>
          <w:p w:rsidR="006F0A29" w:rsidRPr="0059512C" w:rsidP="004B401B">
            <w:pPr>
              <w:pStyle w:val="ParaNum"/>
              <w:numPr>
                <w:ilvl w:val="0"/>
                <w:numId w:val="0"/>
              </w:numPr>
              <w:rPr>
                <w:szCs w:val="22"/>
              </w:rPr>
            </w:pPr>
            <w:r w:rsidRPr="0059512C">
              <w:rPr>
                <w:szCs w:val="22"/>
              </w:rPr>
              <w:t>n/a</w:t>
            </w:r>
          </w:p>
        </w:tc>
        <w:tc>
          <w:tcPr>
            <w:tcW w:w="3381" w:type="dxa"/>
          </w:tcPr>
          <w:p w:rsidR="006F0A29" w:rsidRPr="0059512C" w:rsidP="004B401B">
            <w:pPr>
              <w:pStyle w:val="ParaNum"/>
              <w:numPr>
                <w:ilvl w:val="0"/>
                <w:numId w:val="0"/>
              </w:numPr>
              <w:rPr>
                <w:szCs w:val="22"/>
              </w:rPr>
            </w:pPr>
            <w:r w:rsidRPr="0059512C">
              <w:rPr>
                <w:szCs w:val="22"/>
              </w:rPr>
              <w:t>$</w:t>
            </w:r>
            <w:r w:rsidR="00AF0573">
              <w:rPr>
                <w:szCs w:val="22"/>
              </w:rPr>
              <w:t>2,485</w:t>
            </w:r>
          </w:p>
        </w:tc>
      </w:tr>
      <w:tr w:rsidTr="00F364EF">
        <w:tblPrEx>
          <w:tblW w:w="0" w:type="auto"/>
          <w:tblInd w:w="720" w:type="dxa"/>
          <w:tblLook w:val="04A0"/>
        </w:tblPrEx>
        <w:tc>
          <w:tcPr>
            <w:tcW w:w="2199" w:type="dxa"/>
          </w:tcPr>
          <w:p w:rsidR="006F0A29" w:rsidRPr="0059512C" w:rsidP="004B401B">
            <w:pPr>
              <w:pStyle w:val="ParaNum"/>
              <w:numPr>
                <w:ilvl w:val="0"/>
                <w:numId w:val="0"/>
              </w:numPr>
              <w:rPr>
                <w:szCs w:val="22"/>
              </w:rPr>
            </w:pPr>
            <w:r w:rsidRPr="0059512C">
              <w:rPr>
                <w:szCs w:val="22"/>
              </w:rPr>
              <w:t>Waiver</w:t>
            </w:r>
          </w:p>
        </w:tc>
        <w:tc>
          <w:tcPr>
            <w:tcW w:w="3050" w:type="dxa"/>
          </w:tcPr>
          <w:p w:rsidR="006F0A29" w:rsidRPr="0059512C" w:rsidP="004B401B">
            <w:pPr>
              <w:pStyle w:val="ParaNum"/>
              <w:numPr>
                <w:ilvl w:val="0"/>
                <w:numId w:val="0"/>
              </w:numPr>
              <w:rPr>
                <w:szCs w:val="22"/>
              </w:rPr>
            </w:pPr>
            <w:r w:rsidRPr="0059512C">
              <w:rPr>
                <w:szCs w:val="22"/>
              </w:rPr>
              <w:t>n/a</w:t>
            </w:r>
          </w:p>
        </w:tc>
        <w:tc>
          <w:tcPr>
            <w:tcW w:w="3381" w:type="dxa"/>
          </w:tcPr>
          <w:p w:rsidR="006F0A29" w:rsidRPr="0059512C" w:rsidP="004B401B">
            <w:pPr>
              <w:pStyle w:val="ParaNum"/>
              <w:numPr>
                <w:ilvl w:val="0"/>
                <w:numId w:val="0"/>
              </w:numPr>
              <w:rPr>
                <w:szCs w:val="22"/>
              </w:rPr>
            </w:pPr>
            <w:r w:rsidRPr="0059512C">
              <w:rPr>
                <w:szCs w:val="22"/>
              </w:rPr>
              <w:t>$3</w:t>
            </w:r>
            <w:r w:rsidRPr="0059512C" w:rsidR="006911DD">
              <w:rPr>
                <w:szCs w:val="22"/>
              </w:rPr>
              <w:t>3</w:t>
            </w:r>
            <w:r w:rsidRPr="0059512C">
              <w:rPr>
                <w:szCs w:val="22"/>
              </w:rPr>
              <w:t>5</w:t>
            </w:r>
          </w:p>
        </w:tc>
      </w:tr>
    </w:tbl>
    <w:p w:rsidR="001D4BF8" w:rsidRPr="0059512C" w:rsidP="00530353">
      <w:pPr>
        <w:pStyle w:val="ParaNum"/>
        <w:numPr>
          <w:ilvl w:val="0"/>
          <w:numId w:val="0"/>
        </w:numPr>
        <w:rPr>
          <w:szCs w:val="22"/>
        </w:rPr>
      </w:pPr>
    </w:p>
    <w:p w:rsidR="00D073E3" w:rsidRPr="0059512C" w:rsidP="00390165">
      <w:pPr>
        <w:pStyle w:val="ParaNum"/>
        <w:rPr>
          <w:szCs w:val="22"/>
        </w:rPr>
      </w:pPr>
      <w:r w:rsidRPr="0059512C">
        <w:rPr>
          <w:szCs w:val="22"/>
        </w:rPr>
        <w:t xml:space="preserve">Section 310(b) </w:t>
      </w:r>
      <w:r w:rsidRPr="0059512C" w:rsidR="008A6FB3">
        <w:rPr>
          <w:szCs w:val="22"/>
        </w:rPr>
        <w:t>petitions for declaratory ruling</w:t>
      </w:r>
      <w:r w:rsidRPr="0059512C">
        <w:rPr>
          <w:szCs w:val="22"/>
        </w:rPr>
        <w:t xml:space="preserve"> to exceed the statutory benchmarks in sections 310(b)(3) and 310(b)(4) for a common carrier wireless license are filed online using IBFS and involve staff review.  The Commission also coordinates the 310(b) </w:t>
      </w:r>
      <w:r w:rsidRPr="0059512C" w:rsidR="008A6FB3">
        <w:rPr>
          <w:szCs w:val="22"/>
        </w:rPr>
        <w:t xml:space="preserve">petition for declaratory ruling </w:t>
      </w:r>
      <w:r w:rsidRPr="0059512C">
        <w:rPr>
          <w:szCs w:val="22"/>
        </w:rPr>
        <w:t>with other feder</w:t>
      </w:r>
      <w:r w:rsidRPr="0059512C">
        <w:rPr>
          <w:szCs w:val="22"/>
        </w:rPr>
        <w:t>al agencies, as necessary.</w:t>
      </w:r>
      <w:r>
        <w:rPr>
          <w:rStyle w:val="FootnoteReference"/>
        </w:rPr>
        <w:footnoteReference w:id="120"/>
      </w:r>
      <w:r w:rsidRPr="0059512C">
        <w:rPr>
          <w:szCs w:val="22"/>
        </w:rPr>
        <w:t xml:space="preserve">  Currently there is no fee for a 310(b) </w:t>
      </w:r>
      <w:r w:rsidRPr="0059512C" w:rsidR="008A6FB3">
        <w:rPr>
          <w:szCs w:val="22"/>
        </w:rPr>
        <w:t xml:space="preserve">petition for declaratory </w:t>
      </w:r>
      <w:r w:rsidRPr="0059512C" w:rsidR="008A6FB3">
        <w:rPr>
          <w:szCs w:val="22"/>
        </w:rPr>
        <w:t>ruling</w:t>
      </w:r>
      <w:r w:rsidRPr="0059512C">
        <w:rPr>
          <w:szCs w:val="22"/>
        </w:rPr>
        <w:t xml:space="preserve"> but typically the petition includes complex ownership structures and requires substantial review by staff.  We estimate the Commission’s</w:t>
      </w:r>
      <w:r w:rsidRPr="0059512C" w:rsidR="00DB1971">
        <w:rPr>
          <w:szCs w:val="22"/>
        </w:rPr>
        <w:t xml:space="preserve"> resources in</w:t>
      </w:r>
      <w:r w:rsidRPr="0059512C">
        <w:rPr>
          <w:szCs w:val="22"/>
        </w:rPr>
        <w:t xml:space="preserve"> proce</w:t>
      </w:r>
      <w:r w:rsidRPr="0059512C">
        <w:rPr>
          <w:szCs w:val="22"/>
        </w:rPr>
        <w:t xml:space="preserve">ssing a 310(b) </w:t>
      </w:r>
      <w:r w:rsidRPr="0059512C" w:rsidR="00192BB1">
        <w:rPr>
          <w:szCs w:val="22"/>
        </w:rPr>
        <w:t>petition for declaratory ruling</w:t>
      </w:r>
      <w:r w:rsidRPr="0059512C">
        <w:rPr>
          <w:szCs w:val="22"/>
        </w:rPr>
        <w:t xml:space="preserve"> to exceed the statutory benchmark in section 310(b)(3) or 310(b)(4) consist of the following:</w:t>
      </w:r>
      <w:r w:rsidRPr="0059512C" w:rsidR="00DB1971">
        <w:rPr>
          <w:szCs w:val="22"/>
        </w:rPr>
        <w:t xml:space="preserve"> </w:t>
      </w:r>
      <w:r w:rsidRPr="0059512C">
        <w:rPr>
          <w:szCs w:val="22"/>
        </w:rPr>
        <w:t xml:space="preserve"> industry analyst processing and review, staff attorney review, and supervisory review.  Our estimate is that this process involves $</w:t>
      </w:r>
      <w:r w:rsidR="00D63EB9">
        <w:rPr>
          <w:szCs w:val="22"/>
        </w:rPr>
        <w:t>2,485</w:t>
      </w:r>
      <w:r w:rsidRPr="0059512C">
        <w:rPr>
          <w:szCs w:val="22"/>
        </w:rPr>
        <w:t xml:space="preserve"> in costs. </w:t>
      </w:r>
    </w:p>
    <w:p w:rsidR="00D073E3" w:rsidRPr="00DC7E83" w:rsidP="00DC7E83">
      <w:pPr>
        <w:pStyle w:val="ParaNum"/>
        <w:rPr>
          <w:szCs w:val="22"/>
        </w:rPr>
      </w:pPr>
      <w:r w:rsidRPr="0059512C">
        <w:rPr>
          <w:szCs w:val="22"/>
        </w:rPr>
        <w:t>We propose to charge a fee for</w:t>
      </w:r>
      <w:r w:rsidRPr="0059512C" w:rsidR="00D63877">
        <w:rPr>
          <w:szCs w:val="22"/>
        </w:rPr>
        <w:t xml:space="preserve"> </w:t>
      </w:r>
      <w:r w:rsidRPr="0059512C">
        <w:rPr>
          <w:szCs w:val="22"/>
        </w:rPr>
        <w:t>waiver request</w:t>
      </w:r>
      <w:r w:rsidRPr="0059512C" w:rsidR="00D63877">
        <w:rPr>
          <w:szCs w:val="22"/>
        </w:rPr>
        <w:t>s</w:t>
      </w:r>
      <w:r w:rsidRPr="0059512C">
        <w:rPr>
          <w:szCs w:val="22"/>
        </w:rPr>
        <w:t xml:space="preserve"> related to a </w:t>
      </w:r>
      <w:r w:rsidRPr="0059512C" w:rsidR="00DB1971">
        <w:rPr>
          <w:szCs w:val="22"/>
        </w:rPr>
        <w:t xml:space="preserve">310(b) </w:t>
      </w:r>
      <w:r w:rsidRPr="0059512C" w:rsidR="008A6FB3">
        <w:rPr>
          <w:szCs w:val="22"/>
        </w:rPr>
        <w:t>petition for declaratory ruling</w:t>
      </w:r>
      <w:r w:rsidRPr="0059512C">
        <w:rPr>
          <w:szCs w:val="22"/>
        </w:rPr>
        <w:t>.  An in</w:t>
      </w:r>
      <w:r w:rsidRPr="0059512C">
        <w:rPr>
          <w:szCs w:val="22"/>
        </w:rPr>
        <w:t>dividual or entity may request a waiver of the requirements under sections 1.5000-1.5004.</w:t>
      </w:r>
      <w:r>
        <w:rPr>
          <w:rStyle w:val="FootnoteReference"/>
          <w:sz w:val="22"/>
        </w:rPr>
        <w:footnoteReference w:id="121"/>
      </w:r>
      <w:r w:rsidRPr="0059512C" w:rsidR="00DB1971">
        <w:rPr>
          <w:szCs w:val="22"/>
        </w:rPr>
        <w:t xml:space="preserve"> </w:t>
      </w:r>
      <w:r w:rsidRPr="0059512C" w:rsidR="003C7B71">
        <w:rPr>
          <w:szCs w:val="22"/>
        </w:rPr>
        <w:t xml:space="preserve"> Currently, there is no fee for such a waiver request.  A standalone waiver request related to the foreign ownership rules is </w:t>
      </w:r>
      <w:r w:rsidRPr="0059512C" w:rsidR="00DB1971">
        <w:rPr>
          <w:szCs w:val="22"/>
        </w:rPr>
        <w:t>filed online using IBFS and involve</w:t>
      </w:r>
      <w:r w:rsidRPr="0059512C" w:rsidR="003C7B71">
        <w:rPr>
          <w:szCs w:val="22"/>
        </w:rPr>
        <w:t>s International Bureau</w:t>
      </w:r>
      <w:r w:rsidRPr="0059512C" w:rsidR="00DB1971">
        <w:rPr>
          <w:szCs w:val="22"/>
        </w:rPr>
        <w:t xml:space="preserve"> staff review.</w:t>
      </w:r>
      <w:r>
        <w:rPr>
          <w:rStyle w:val="FootnoteReference"/>
          <w:sz w:val="22"/>
        </w:rPr>
        <w:footnoteReference w:id="122"/>
      </w:r>
      <w:r w:rsidRPr="0059512C" w:rsidR="00DB1971">
        <w:rPr>
          <w:szCs w:val="22"/>
        </w:rPr>
        <w:t xml:space="preserve">  We estimate the Commission’s resources in processing a typical </w:t>
      </w:r>
      <w:r w:rsidRPr="0059512C" w:rsidR="003C7B71">
        <w:rPr>
          <w:szCs w:val="22"/>
        </w:rPr>
        <w:t xml:space="preserve">waiver request filed separately from </w:t>
      </w:r>
      <w:r w:rsidRPr="0059512C" w:rsidR="00DB1971">
        <w:rPr>
          <w:szCs w:val="22"/>
        </w:rPr>
        <w:t>a 310</w:t>
      </w:r>
      <w:r w:rsidRPr="0059512C" w:rsidR="00B9716E">
        <w:rPr>
          <w:szCs w:val="22"/>
        </w:rPr>
        <w:t>(b)</w:t>
      </w:r>
      <w:r w:rsidRPr="0059512C" w:rsidR="00DB1971">
        <w:rPr>
          <w:szCs w:val="22"/>
        </w:rPr>
        <w:t xml:space="preserve"> </w:t>
      </w:r>
      <w:r w:rsidRPr="0059512C" w:rsidR="008A6FB3">
        <w:rPr>
          <w:szCs w:val="22"/>
        </w:rPr>
        <w:t>petition for declaratory ruling</w:t>
      </w:r>
      <w:r w:rsidRPr="0059512C" w:rsidR="00DB1971">
        <w:rPr>
          <w:szCs w:val="22"/>
        </w:rPr>
        <w:t xml:space="preserve"> consist of the following: industry analyst processing and review, staff attorney review, and supervisory review.  Our estimate is that this process involves $</w:t>
      </w:r>
      <w:r w:rsidRPr="0059512C" w:rsidR="003C7B71">
        <w:rPr>
          <w:szCs w:val="22"/>
        </w:rPr>
        <w:t>3</w:t>
      </w:r>
      <w:r w:rsidRPr="0059512C" w:rsidR="00E602D9">
        <w:rPr>
          <w:szCs w:val="22"/>
        </w:rPr>
        <w:t>3</w:t>
      </w:r>
      <w:r w:rsidRPr="0059512C" w:rsidR="003C7B71">
        <w:rPr>
          <w:szCs w:val="22"/>
        </w:rPr>
        <w:t>5</w:t>
      </w:r>
      <w:r w:rsidRPr="0059512C" w:rsidR="00DB1971">
        <w:rPr>
          <w:szCs w:val="22"/>
        </w:rPr>
        <w:t xml:space="preserve"> in costs</w:t>
      </w:r>
      <w:r w:rsidRPr="0059512C" w:rsidR="003C7B71">
        <w:rPr>
          <w:szCs w:val="22"/>
        </w:rPr>
        <w:t xml:space="preserve"> for a typical request to waive the foreign ownership rules that is filed separately from a 310</w:t>
      </w:r>
      <w:r w:rsidRPr="0059512C" w:rsidR="00B9716E">
        <w:rPr>
          <w:szCs w:val="22"/>
        </w:rPr>
        <w:t>(b)</w:t>
      </w:r>
      <w:r w:rsidRPr="0059512C" w:rsidR="003C7B71">
        <w:rPr>
          <w:szCs w:val="22"/>
        </w:rPr>
        <w:t xml:space="preserve"> </w:t>
      </w:r>
      <w:r w:rsidRPr="0059512C" w:rsidR="008A6FB3">
        <w:rPr>
          <w:szCs w:val="22"/>
        </w:rPr>
        <w:t>petition for declaratory ruling</w:t>
      </w:r>
      <w:r w:rsidRPr="0059512C" w:rsidR="00DB1971">
        <w:rPr>
          <w:szCs w:val="22"/>
        </w:rPr>
        <w:t>.</w:t>
      </w:r>
      <w:r w:rsidRPr="0059512C" w:rsidR="00312007">
        <w:rPr>
          <w:szCs w:val="22"/>
        </w:rPr>
        <w:t xml:space="preserve">  </w:t>
      </w:r>
      <w:r w:rsidRPr="00DC7E83">
        <w:rPr>
          <w:szCs w:val="22"/>
        </w:rPr>
        <w:t>We seek comment on these propos</w:t>
      </w:r>
      <w:r w:rsidRPr="00DC7E83">
        <w:rPr>
          <w:szCs w:val="22"/>
        </w:rPr>
        <w:t xml:space="preserve">als.  </w:t>
      </w:r>
    </w:p>
    <w:p w:rsidR="001D4BF8" w:rsidRPr="0059512C" w:rsidP="00020760">
      <w:pPr>
        <w:pStyle w:val="Heading4"/>
        <w:rPr>
          <w:szCs w:val="22"/>
        </w:rPr>
      </w:pPr>
      <w:bookmarkStart w:id="341" w:name="_Toc28005114"/>
      <w:bookmarkStart w:id="342" w:name="_Toc29557412"/>
      <w:bookmarkStart w:id="343" w:name="_Toc35268595"/>
      <w:r w:rsidRPr="0059512C">
        <w:rPr>
          <w:szCs w:val="22"/>
        </w:rPr>
        <w:t>Recognized Operating Agency</w:t>
      </w:r>
      <w:bookmarkEnd w:id="330"/>
      <w:bookmarkEnd w:id="331"/>
      <w:bookmarkEnd w:id="332"/>
      <w:bookmarkEnd w:id="333"/>
      <w:bookmarkEnd w:id="334"/>
      <w:bookmarkEnd w:id="341"/>
      <w:bookmarkEnd w:id="342"/>
      <w:bookmarkEnd w:id="343"/>
    </w:p>
    <w:p w:rsidR="007F0AA1" w:rsidRPr="0059512C" w:rsidP="007F0AA1">
      <w:pPr>
        <w:pStyle w:val="ParaNum"/>
        <w:rPr>
          <w:szCs w:val="22"/>
        </w:rPr>
      </w:pPr>
      <w:r w:rsidRPr="0059512C">
        <w:rPr>
          <w:szCs w:val="22"/>
        </w:rPr>
        <w:t>Any individual or corporation, other than a government establishment, that seeks recognition to operate an international public correspondence or radio service capable of causing harmful interference and upon which are im</w:t>
      </w:r>
      <w:r w:rsidRPr="0059512C">
        <w:rPr>
          <w:szCs w:val="22"/>
        </w:rPr>
        <w:t>posed obligations provided for in Article 44 of the International Telecommunication Convention, must file a</w:t>
      </w:r>
      <w:r w:rsidR="00431767">
        <w:rPr>
          <w:szCs w:val="22"/>
        </w:rPr>
        <w:t>n</w:t>
      </w:r>
      <w:r w:rsidRPr="0059512C">
        <w:rPr>
          <w:szCs w:val="22"/>
        </w:rPr>
        <w:t xml:space="preserve"> ROA application via IBFS.</w:t>
      </w:r>
      <w:r>
        <w:rPr>
          <w:rStyle w:val="FootnoteReference"/>
        </w:rPr>
        <w:footnoteReference w:id="123"/>
      </w:r>
      <w:r w:rsidRPr="0059512C">
        <w:rPr>
          <w:szCs w:val="22"/>
        </w:rPr>
        <w:t xml:space="preserve"> The purpose of the ROA is to assure members of the International Telecommunication Union (ITU) that private communications entities that are not themselves parties to the Convention will nonetheless be required to observe the rights of other member states</w:t>
      </w:r>
      <w:r w:rsidRPr="0059512C">
        <w:rPr>
          <w:szCs w:val="22"/>
        </w:rPr>
        <w:t xml:space="preserve"> under the treaty.</w:t>
      </w:r>
      <w:r>
        <w:rPr>
          <w:rStyle w:val="FootnoteReference"/>
        </w:rPr>
        <w:footnoteReference w:id="124"/>
      </w:r>
      <w:r w:rsidRPr="0059512C">
        <w:rPr>
          <w:szCs w:val="22"/>
        </w:rPr>
        <w:t xml:space="preserve">  If the application is approved, a recommendation letter is sent to the State Department.</w:t>
      </w:r>
      <w:r>
        <w:rPr>
          <w:rStyle w:val="FootnoteReference"/>
        </w:rPr>
        <w:footnoteReference w:id="125"/>
      </w:r>
      <w:r w:rsidRPr="0059512C">
        <w:rPr>
          <w:szCs w:val="22"/>
        </w:rPr>
        <w:t xml:space="preserve">  Currently, there is a fee for </w:t>
      </w:r>
      <w:r w:rsidR="00431767">
        <w:rPr>
          <w:szCs w:val="22"/>
        </w:rPr>
        <w:t xml:space="preserve">an </w:t>
      </w:r>
      <w:r w:rsidRPr="0059512C">
        <w:rPr>
          <w:szCs w:val="22"/>
        </w:rPr>
        <w:t>ROA application but no fees for any associated requests, such as waivers.</w:t>
      </w:r>
    </w:p>
    <w:p w:rsidR="004F7E46" w:rsidRPr="0059512C" w:rsidP="007F0AA1">
      <w:pPr>
        <w:pStyle w:val="ParaNum"/>
        <w:rPr>
          <w:szCs w:val="22"/>
        </w:rPr>
      </w:pPr>
      <w:r w:rsidRPr="0059512C">
        <w:rPr>
          <w:szCs w:val="22"/>
        </w:rPr>
        <w:t>We propose and seek comment on adop</w:t>
      </w:r>
      <w:r w:rsidRPr="0059512C">
        <w:rPr>
          <w:szCs w:val="22"/>
        </w:rPr>
        <w:t xml:space="preserve">ting the following cost-based fees for these applications—and we give as an example the current fees for these services.  </w:t>
      </w:r>
    </w:p>
    <w:tbl>
      <w:tblPr>
        <w:tblStyle w:val="TableGrid"/>
        <w:tblW w:w="0" w:type="auto"/>
        <w:tblInd w:w="720" w:type="dxa"/>
        <w:tblLook w:val="04A0"/>
      </w:tblPr>
      <w:tblGrid>
        <w:gridCol w:w="2896"/>
        <w:gridCol w:w="2849"/>
        <w:gridCol w:w="2885"/>
      </w:tblGrid>
      <w:tr w:rsidTr="00723CCE">
        <w:tblPrEx>
          <w:tblW w:w="0" w:type="auto"/>
          <w:tblInd w:w="720" w:type="dxa"/>
          <w:tblLook w:val="04A0"/>
        </w:tblPrEx>
        <w:tc>
          <w:tcPr>
            <w:tcW w:w="2896" w:type="dxa"/>
          </w:tcPr>
          <w:p w:rsidR="004F7E46" w:rsidRPr="0059512C" w:rsidP="00723CCE">
            <w:pPr>
              <w:pStyle w:val="ParaNum"/>
              <w:numPr>
                <w:ilvl w:val="0"/>
                <w:numId w:val="0"/>
              </w:numPr>
              <w:rPr>
                <w:b/>
                <w:szCs w:val="22"/>
              </w:rPr>
            </w:pPr>
            <w:r w:rsidRPr="0059512C">
              <w:rPr>
                <w:b/>
                <w:szCs w:val="22"/>
              </w:rPr>
              <w:t>Application</w:t>
            </w:r>
          </w:p>
        </w:tc>
        <w:tc>
          <w:tcPr>
            <w:tcW w:w="2849" w:type="dxa"/>
          </w:tcPr>
          <w:p w:rsidR="004F7E46" w:rsidRPr="0059512C" w:rsidP="00723CCE">
            <w:pPr>
              <w:pStyle w:val="ParaNum"/>
              <w:numPr>
                <w:ilvl w:val="0"/>
                <w:numId w:val="0"/>
              </w:numPr>
              <w:rPr>
                <w:b/>
                <w:szCs w:val="22"/>
              </w:rPr>
            </w:pPr>
            <w:r w:rsidRPr="0059512C">
              <w:rPr>
                <w:b/>
                <w:szCs w:val="22"/>
              </w:rPr>
              <w:t>Current fee</w:t>
            </w:r>
          </w:p>
        </w:tc>
        <w:tc>
          <w:tcPr>
            <w:tcW w:w="2885" w:type="dxa"/>
          </w:tcPr>
          <w:p w:rsidR="004F7E46" w:rsidRPr="0059512C" w:rsidP="00723CCE">
            <w:pPr>
              <w:pStyle w:val="ParaNum"/>
              <w:numPr>
                <w:ilvl w:val="0"/>
                <w:numId w:val="0"/>
              </w:numPr>
              <w:rPr>
                <w:b/>
                <w:szCs w:val="22"/>
              </w:rPr>
            </w:pPr>
            <w:r w:rsidRPr="0059512C">
              <w:rPr>
                <w:b/>
                <w:szCs w:val="22"/>
              </w:rPr>
              <w:t>Cost-based estimate for typical application</w:t>
            </w:r>
          </w:p>
        </w:tc>
      </w:tr>
      <w:tr w:rsidTr="00723CCE">
        <w:tblPrEx>
          <w:tblW w:w="0" w:type="auto"/>
          <w:tblInd w:w="720" w:type="dxa"/>
          <w:tblLook w:val="04A0"/>
        </w:tblPrEx>
        <w:tc>
          <w:tcPr>
            <w:tcW w:w="2896" w:type="dxa"/>
          </w:tcPr>
          <w:p w:rsidR="004F7E46" w:rsidRPr="0059512C" w:rsidP="00723CCE">
            <w:pPr>
              <w:pStyle w:val="ParaNum"/>
              <w:numPr>
                <w:ilvl w:val="0"/>
                <w:numId w:val="0"/>
              </w:numPr>
              <w:rPr>
                <w:szCs w:val="22"/>
              </w:rPr>
            </w:pPr>
            <w:r w:rsidRPr="0059512C">
              <w:rPr>
                <w:szCs w:val="22"/>
              </w:rPr>
              <w:t xml:space="preserve">ROA </w:t>
            </w:r>
          </w:p>
        </w:tc>
        <w:tc>
          <w:tcPr>
            <w:tcW w:w="2849" w:type="dxa"/>
          </w:tcPr>
          <w:p w:rsidR="004F7E46" w:rsidRPr="0059512C" w:rsidP="00723CCE">
            <w:pPr>
              <w:pStyle w:val="ParaNum"/>
              <w:numPr>
                <w:ilvl w:val="0"/>
                <w:numId w:val="0"/>
              </w:numPr>
              <w:rPr>
                <w:szCs w:val="22"/>
              </w:rPr>
            </w:pPr>
            <w:r w:rsidRPr="0059512C">
              <w:rPr>
                <w:szCs w:val="22"/>
              </w:rPr>
              <w:t>$1,195</w:t>
            </w:r>
          </w:p>
        </w:tc>
        <w:tc>
          <w:tcPr>
            <w:tcW w:w="2885" w:type="dxa"/>
          </w:tcPr>
          <w:p w:rsidR="004F7E46" w:rsidRPr="0059512C" w:rsidP="00723CCE">
            <w:pPr>
              <w:pStyle w:val="ParaNum"/>
              <w:numPr>
                <w:ilvl w:val="0"/>
                <w:numId w:val="0"/>
              </w:numPr>
              <w:rPr>
                <w:szCs w:val="22"/>
              </w:rPr>
            </w:pPr>
            <w:r w:rsidRPr="0059512C">
              <w:rPr>
                <w:szCs w:val="22"/>
              </w:rPr>
              <w:t>$1,1</w:t>
            </w:r>
            <w:r w:rsidRPr="0059512C" w:rsidR="00956FCB">
              <w:rPr>
                <w:szCs w:val="22"/>
              </w:rPr>
              <w:t>4</w:t>
            </w:r>
            <w:r w:rsidRPr="0059512C" w:rsidR="00A76C5F">
              <w:rPr>
                <w:szCs w:val="22"/>
              </w:rPr>
              <w:t>5</w:t>
            </w:r>
          </w:p>
        </w:tc>
      </w:tr>
      <w:tr w:rsidTr="00723CCE">
        <w:tblPrEx>
          <w:tblW w:w="0" w:type="auto"/>
          <w:tblInd w:w="720" w:type="dxa"/>
          <w:tblLook w:val="04A0"/>
        </w:tblPrEx>
        <w:tc>
          <w:tcPr>
            <w:tcW w:w="2896" w:type="dxa"/>
          </w:tcPr>
          <w:p w:rsidR="004F7E46" w:rsidRPr="0059512C" w:rsidP="00723CCE">
            <w:pPr>
              <w:pStyle w:val="ParaNum"/>
              <w:numPr>
                <w:ilvl w:val="0"/>
                <w:numId w:val="0"/>
              </w:numPr>
              <w:rPr>
                <w:szCs w:val="22"/>
              </w:rPr>
            </w:pPr>
            <w:r w:rsidRPr="0059512C">
              <w:rPr>
                <w:szCs w:val="22"/>
              </w:rPr>
              <w:t>Waiver</w:t>
            </w:r>
          </w:p>
        </w:tc>
        <w:tc>
          <w:tcPr>
            <w:tcW w:w="2849" w:type="dxa"/>
          </w:tcPr>
          <w:p w:rsidR="004F7E46" w:rsidRPr="0059512C" w:rsidP="00723CCE">
            <w:pPr>
              <w:pStyle w:val="ParaNum"/>
              <w:numPr>
                <w:ilvl w:val="0"/>
                <w:numId w:val="0"/>
              </w:numPr>
              <w:rPr>
                <w:szCs w:val="22"/>
              </w:rPr>
            </w:pPr>
            <w:r w:rsidRPr="0059512C">
              <w:rPr>
                <w:szCs w:val="22"/>
              </w:rPr>
              <w:t>n/a</w:t>
            </w:r>
          </w:p>
        </w:tc>
        <w:tc>
          <w:tcPr>
            <w:tcW w:w="2885" w:type="dxa"/>
          </w:tcPr>
          <w:p w:rsidR="004F7E46" w:rsidRPr="0059512C" w:rsidP="00723CCE">
            <w:pPr>
              <w:pStyle w:val="ParaNum"/>
              <w:numPr>
                <w:ilvl w:val="0"/>
                <w:numId w:val="0"/>
              </w:numPr>
              <w:rPr>
                <w:szCs w:val="22"/>
              </w:rPr>
            </w:pPr>
            <w:r w:rsidRPr="0059512C">
              <w:rPr>
                <w:szCs w:val="22"/>
              </w:rPr>
              <w:t>$3</w:t>
            </w:r>
            <w:r w:rsidRPr="0059512C" w:rsidR="00956FCB">
              <w:rPr>
                <w:szCs w:val="22"/>
              </w:rPr>
              <w:t>3</w:t>
            </w:r>
            <w:r w:rsidRPr="0059512C" w:rsidR="00A76C5F">
              <w:rPr>
                <w:szCs w:val="22"/>
              </w:rPr>
              <w:t>5</w:t>
            </w:r>
          </w:p>
        </w:tc>
      </w:tr>
    </w:tbl>
    <w:p w:rsidR="00092769" w:rsidRPr="0059512C" w:rsidP="00092769">
      <w:pPr>
        <w:pStyle w:val="ParaNum"/>
        <w:numPr>
          <w:ilvl w:val="0"/>
          <w:numId w:val="0"/>
        </w:numPr>
        <w:rPr>
          <w:szCs w:val="22"/>
        </w:rPr>
      </w:pPr>
    </w:p>
    <w:p w:rsidR="00A50163" w:rsidRPr="0059512C" w:rsidP="00A50163">
      <w:pPr>
        <w:pStyle w:val="ParaNum"/>
        <w:rPr>
          <w:szCs w:val="22"/>
        </w:rPr>
      </w:pPr>
      <w:r w:rsidRPr="0059512C">
        <w:rPr>
          <w:szCs w:val="22"/>
        </w:rPr>
        <w:t>We estimate that the Commission’s resources in processing an ROA application consist of the following: program analyst review and processing, attorney legal review, and attorney supervisor legal review.  Our estimate is that this process involves $1,1</w:t>
      </w:r>
      <w:r w:rsidRPr="0059512C" w:rsidR="00E602D9">
        <w:rPr>
          <w:szCs w:val="22"/>
        </w:rPr>
        <w:t>4</w:t>
      </w:r>
      <w:r w:rsidRPr="0059512C" w:rsidR="00A76C5F">
        <w:rPr>
          <w:szCs w:val="22"/>
        </w:rPr>
        <w:t>5</w:t>
      </w:r>
      <w:r w:rsidRPr="0059512C">
        <w:rPr>
          <w:szCs w:val="22"/>
        </w:rPr>
        <w:t xml:space="preserve"> in</w:t>
      </w:r>
      <w:r w:rsidRPr="0059512C">
        <w:rPr>
          <w:szCs w:val="22"/>
        </w:rPr>
        <w:t xml:space="preserve"> costs.  </w:t>
      </w:r>
    </w:p>
    <w:p w:rsidR="00893DA4" w:rsidRPr="0004535F" w:rsidP="0004535F">
      <w:pPr>
        <w:pStyle w:val="ParaNum"/>
        <w:rPr>
          <w:szCs w:val="22"/>
        </w:rPr>
      </w:pPr>
      <w:r w:rsidRPr="0059512C">
        <w:rPr>
          <w:szCs w:val="22"/>
        </w:rPr>
        <w:t>We propose to charge a fee for waiver requests related to an ROA.  An individual or entity may request a waiver of the requirements under section 63.701.</w:t>
      </w:r>
      <w:r>
        <w:rPr>
          <w:rStyle w:val="FootnoteReference"/>
        </w:rPr>
        <w:footnoteReference w:id="126"/>
      </w:r>
      <w:r w:rsidRPr="0059512C">
        <w:rPr>
          <w:szCs w:val="22"/>
        </w:rPr>
        <w:t xml:space="preserve">  </w:t>
      </w:r>
      <w:r w:rsidRPr="0059512C" w:rsidR="00CB0798">
        <w:rPr>
          <w:szCs w:val="22"/>
        </w:rPr>
        <w:t xml:space="preserve">A standalone waiver request </w:t>
      </w:r>
      <w:r w:rsidRPr="0059512C" w:rsidR="00CB0798">
        <w:rPr>
          <w:szCs w:val="22"/>
        </w:rPr>
        <w:t xml:space="preserve">related to </w:t>
      </w:r>
      <w:r w:rsidR="001D2E05">
        <w:rPr>
          <w:szCs w:val="22"/>
        </w:rPr>
        <w:t xml:space="preserve">an </w:t>
      </w:r>
      <w:r w:rsidRPr="0059512C" w:rsidR="00D45C69">
        <w:rPr>
          <w:szCs w:val="22"/>
        </w:rPr>
        <w:t>ROA</w:t>
      </w:r>
      <w:r w:rsidRPr="0059512C" w:rsidR="00CB0798">
        <w:rPr>
          <w:szCs w:val="22"/>
        </w:rPr>
        <w:t xml:space="preserve"> is filed online using IBFS and involves International Bureau staff review.</w:t>
      </w:r>
      <w:r>
        <w:rPr>
          <w:rStyle w:val="FootnoteReference"/>
        </w:rPr>
        <w:footnoteReference w:id="127"/>
      </w:r>
      <w:r w:rsidRPr="0059512C" w:rsidR="00F1168E">
        <w:rPr>
          <w:szCs w:val="22"/>
        </w:rPr>
        <w:t xml:space="preserve">  </w:t>
      </w:r>
      <w:r w:rsidRPr="0059512C">
        <w:rPr>
          <w:szCs w:val="22"/>
        </w:rPr>
        <w:t xml:space="preserve">We estimate the Commission’s </w:t>
      </w:r>
      <w:r w:rsidRPr="0059512C" w:rsidR="00A50163">
        <w:rPr>
          <w:szCs w:val="22"/>
        </w:rPr>
        <w:t>resources in</w:t>
      </w:r>
      <w:r w:rsidRPr="0059512C">
        <w:rPr>
          <w:szCs w:val="22"/>
        </w:rPr>
        <w:t xml:space="preserve"> processing a </w:t>
      </w:r>
      <w:r w:rsidRPr="0059512C" w:rsidR="00F1168E">
        <w:rPr>
          <w:szCs w:val="22"/>
        </w:rPr>
        <w:t xml:space="preserve">separately filed </w:t>
      </w:r>
      <w:r w:rsidRPr="0059512C">
        <w:rPr>
          <w:szCs w:val="22"/>
        </w:rPr>
        <w:t>waiver request consist of the following: industry analyst processing and review, staff attorney review, a</w:t>
      </w:r>
      <w:r w:rsidRPr="0059512C">
        <w:rPr>
          <w:szCs w:val="22"/>
        </w:rPr>
        <w:t>nd supervisory review.  Our estimate is that this process involves $3</w:t>
      </w:r>
      <w:r w:rsidRPr="0059512C" w:rsidR="00E602D9">
        <w:rPr>
          <w:szCs w:val="22"/>
        </w:rPr>
        <w:t>3</w:t>
      </w:r>
      <w:r w:rsidRPr="0059512C" w:rsidR="00F1168E">
        <w:rPr>
          <w:szCs w:val="22"/>
        </w:rPr>
        <w:t>5</w:t>
      </w:r>
      <w:r w:rsidRPr="0059512C">
        <w:rPr>
          <w:szCs w:val="22"/>
        </w:rPr>
        <w:t xml:space="preserve"> in costs</w:t>
      </w:r>
      <w:r w:rsidRPr="0059512C" w:rsidR="00F1168E">
        <w:rPr>
          <w:szCs w:val="22"/>
        </w:rPr>
        <w:t xml:space="preserve"> for a typical request to waive the ROA application rules that is filed separately from an application</w:t>
      </w:r>
      <w:r w:rsidRPr="0059512C">
        <w:rPr>
          <w:szCs w:val="22"/>
        </w:rPr>
        <w:t>.</w:t>
      </w:r>
      <w:r w:rsidR="0004535F">
        <w:rPr>
          <w:szCs w:val="22"/>
        </w:rPr>
        <w:t xml:space="preserve">  </w:t>
      </w:r>
      <w:r w:rsidRPr="0004535F" w:rsidR="00A50163">
        <w:rPr>
          <w:szCs w:val="22"/>
        </w:rPr>
        <w:t xml:space="preserve">We seek comment on these proposals.  </w:t>
      </w:r>
    </w:p>
    <w:p w:rsidR="001D4BF8" w:rsidRPr="0059512C" w:rsidP="00020760">
      <w:pPr>
        <w:pStyle w:val="Heading4"/>
        <w:rPr>
          <w:szCs w:val="22"/>
        </w:rPr>
      </w:pPr>
      <w:bookmarkStart w:id="344" w:name="_Toc28005115"/>
      <w:bookmarkStart w:id="345" w:name="_Toc29557413"/>
      <w:bookmarkStart w:id="346" w:name="_Toc35268596"/>
      <w:r w:rsidRPr="0059512C">
        <w:rPr>
          <w:szCs w:val="22"/>
        </w:rPr>
        <w:t>Data Network Identification Code</w:t>
      </w:r>
      <w:bookmarkEnd w:id="344"/>
      <w:bookmarkEnd w:id="345"/>
      <w:bookmarkEnd w:id="346"/>
    </w:p>
    <w:p w:rsidR="001D4BF8" w:rsidRPr="0059512C" w:rsidP="001D4BF8">
      <w:pPr>
        <w:pStyle w:val="ParaNum"/>
        <w:rPr>
          <w:szCs w:val="22"/>
        </w:rPr>
      </w:pPr>
      <w:r w:rsidRPr="0059512C">
        <w:rPr>
          <w:szCs w:val="22"/>
        </w:rPr>
        <w:t>The data network identification code (DNIC) is a four-digit number used to identify data networks and is the central device of the international data numbering plan developed by the ITU and set forth in Recommendation X.121.</w:t>
      </w:r>
      <w:r>
        <w:rPr>
          <w:rStyle w:val="FootnoteReference"/>
        </w:rPr>
        <w:footnoteReference w:id="128"/>
      </w:r>
      <w:r w:rsidRPr="0059512C">
        <w:rPr>
          <w:szCs w:val="22"/>
        </w:rPr>
        <w:t xml:space="preserve">  The primary function of the </w:t>
      </w:r>
      <w:r w:rsidRPr="0059512C">
        <w:rPr>
          <w:szCs w:val="22"/>
        </w:rPr>
        <w:t xml:space="preserve">DNIC is to identify and to facilitate routing of traffic to a particular data-network subscriber.  Any public network provider seeking to obtain a DNIC must file an application through IBFS for a </w:t>
      </w:r>
      <w:r w:rsidR="001D2E05">
        <w:rPr>
          <w:szCs w:val="22"/>
        </w:rPr>
        <w:t>r</w:t>
      </w:r>
      <w:r w:rsidRPr="0059512C">
        <w:rPr>
          <w:szCs w:val="22"/>
        </w:rPr>
        <w:t xml:space="preserve">equest for </w:t>
      </w:r>
      <w:r w:rsidR="001D2E05">
        <w:rPr>
          <w:szCs w:val="22"/>
        </w:rPr>
        <w:t>a</w:t>
      </w:r>
      <w:r w:rsidRPr="0059512C">
        <w:rPr>
          <w:szCs w:val="22"/>
        </w:rPr>
        <w:t xml:space="preserve">ssignment of </w:t>
      </w:r>
      <w:r w:rsidR="001D2E05">
        <w:rPr>
          <w:szCs w:val="22"/>
        </w:rPr>
        <w:t>a DNIC</w:t>
      </w:r>
      <w:r w:rsidRPr="0059512C">
        <w:rPr>
          <w:szCs w:val="22"/>
        </w:rPr>
        <w:t>.  Currently, there is no fe</w:t>
      </w:r>
      <w:r w:rsidRPr="0059512C">
        <w:rPr>
          <w:szCs w:val="22"/>
        </w:rPr>
        <w:t xml:space="preserve">e for a DNIC.  </w:t>
      </w:r>
    </w:p>
    <w:p w:rsidR="00A5240F" w:rsidRPr="0059512C" w:rsidP="007F0AA1">
      <w:pPr>
        <w:pStyle w:val="ParaNum"/>
        <w:rPr>
          <w:szCs w:val="22"/>
        </w:rPr>
      </w:pPr>
      <w:r w:rsidRPr="0059512C">
        <w:rPr>
          <w:szCs w:val="22"/>
        </w:rPr>
        <w:t xml:space="preserve">We propose and seek comment on adopting the following cost-based fees for these applications—and we give as an example the current fees for these services.  </w:t>
      </w:r>
    </w:p>
    <w:tbl>
      <w:tblPr>
        <w:tblStyle w:val="TableGrid"/>
        <w:tblW w:w="0" w:type="auto"/>
        <w:tblInd w:w="720" w:type="dxa"/>
        <w:tblLook w:val="04A0"/>
      </w:tblPr>
      <w:tblGrid>
        <w:gridCol w:w="2199"/>
        <w:gridCol w:w="3050"/>
        <w:gridCol w:w="3381"/>
      </w:tblGrid>
      <w:tr w:rsidTr="00F364EF">
        <w:tblPrEx>
          <w:tblW w:w="0" w:type="auto"/>
          <w:tblInd w:w="720" w:type="dxa"/>
          <w:tblLook w:val="04A0"/>
        </w:tblPrEx>
        <w:tc>
          <w:tcPr>
            <w:tcW w:w="2199" w:type="dxa"/>
          </w:tcPr>
          <w:p w:rsidR="00C3228F" w:rsidRPr="0059512C" w:rsidP="00723CCE">
            <w:pPr>
              <w:pStyle w:val="ParaNum"/>
              <w:numPr>
                <w:ilvl w:val="0"/>
                <w:numId w:val="0"/>
              </w:numPr>
              <w:rPr>
                <w:szCs w:val="22"/>
              </w:rPr>
            </w:pPr>
            <w:r w:rsidRPr="0059512C">
              <w:rPr>
                <w:b/>
                <w:szCs w:val="22"/>
              </w:rPr>
              <w:t>Application</w:t>
            </w:r>
          </w:p>
        </w:tc>
        <w:tc>
          <w:tcPr>
            <w:tcW w:w="3050" w:type="dxa"/>
          </w:tcPr>
          <w:p w:rsidR="00C3228F" w:rsidRPr="0059512C" w:rsidP="00723CCE">
            <w:pPr>
              <w:pStyle w:val="ParaNum"/>
              <w:numPr>
                <w:ilvl w:val="0"/>
                <w:numId w:val="0"/>
              </w:numPr>
              <w:rPr>
                <w:b/>
                <w:szCs w:val="22"/>
              </w:rPr>
            </w:pPr>
            <w:r w:rsidRPr="0059512C">
              <w:rPr>
                <w:b/>
                <w:szCs w:val="22"/>
              </w:rPr>
              <w:t>Current Fee</w:t>
            </w:r>
          </w:p>
        </w:tc>
        <w:tc>
          <w:tcPr>
            <w:tcW w:w="3381" w:type="dxa"/>
          </w:tcPr>
          <w:p w:rsidR="00C3228F" w:rsidRPr="0059512C" w:rsidP="00723CCE">
            <w:pPr>
              <w:pStyle w:val="ParaNum"/>
              <w:numPr>
                <w:ilvl w:val="0"/>
                <w:numId w:val="0"/>
              </w:numPr>
              <w:rPr>
                <w:szCs w:val="22"/>
              </w:rPr>
            </w:pPr>
            <w:r w:rsidRPr="0059512C">
              <w:rPr>
                <w:b/>
                <w:szCs w:val="22"/>
              </w:rPr>
              <w:t xml:space="preserve">Cost-based Fee </w:t>
            </w:r>
          </w:p>
        </w:tc>
      </w:tr>
      <w:tr w:rsidTr="00F364EF">
        <w:tblPrEx>
          <w:tblW w:w="0" w:type="auto"/>
          <w:tblInd w:w="720" w:type="dxa"/>
          <w:tblLook w:val="04A0"/>
        </w:tblPrEx>
        <w:tc>
          <w:tcPr>
            <w:tcW w:w="2199" w:type="dxa"/>
          </w:tcPr>
          <w:p w:rsidR="00C3228F" w:rsidRPr="0059512C" w:rsidP="00723CCE">
            <w:pPr>
              <w:pStyle w:val="ParaNum"/>
              <w:numPr>
                <w:ilvl w:val="0"/>
                <w:numId w:val="0"/>
              </w:numPr>
              <w:rPr>
                <w:szCs w:val="22"/>
              </w:rPr>
            </w:pPr>
            <w:r w:rsidRPr="0059512C">
              <w:rPr>
                <w:szCs w:val="22"/>
              </w:rPr>
              <w:t>DNIC</w:t>
            </w:r>
          </w:p>
        </w:tc>
        <w:tc>
          <w:tcPr>
            <w:tcW w:w="3050" w:type="dxa"/>
          </w:tcPr>
          <w:p w:rsidR="00C3228F" w:rsidRPr="0059512C" w:rsidP="00723CCE">
            <w:pPr>
              <w:pStyle w:val="ParaNum"/>
              <w:numPr>
                <w:ilvl w:val="0"/>
                <w:numId w:val="0"/>
              </w:numPr>
              <w:rPr>
                <w:szCs w:val="22"/>
              </w:rPr>
            </w:pPr>
            <w:r w:rsidRPr="0059512C">
              <w:rPr>
                <w:szCs w:val="22"/>
              </w:rPr>
              <w:t>n/a</w:t>
            </w:r>
          </w:p>
        </w:tc>
        <w:tc>
          <w:tcPr>
            <w:tcW w:w="3381" w:type="dxa"/>
          </w:tcPr>
          <w:p w:rsidR="00C3228F" w:rsidRPr="0059512C" w:rsidP="00723CCE">
            <w:pPr>
              <w:pStyle w:val="ParaNum"/>
              <w:numPr>
                <w:ilvl w:val="0"/>
                <w:numId w:val="0"/>
              </w:numPr>
              <w:rPr>
                <w:szCs w:val="22"/>
              </w:rPr>
            </w:pPr>
            <w:r w:rsidRPr="0059512C">
              <w:rPr>
                <w:szCs w:val="22"/>
              </w:rPr>
              <w:t>$</w:t>
            </w:r>
            <w:r w:rsidR="00C03A9F">
              <w:rPr>
                <w:szCs w:val="22"/>
              </w:rPr>
              <w:t>785</w:t>
            </w:r>
          </w:p>
        </w:tc>
      </w:tr>
      <w:tr w:rsidTr="00F364EF">
        <w:tblPrEx>
          <w:tblW w:w="0" w:type="auto"/>
          <w:tblInd w:w="720" w:type="dxa"/>
          <w:tblLook w:val="04A0"/>
        </w:tblPrEx>
        <w:tc>
          <w:tcPr>
            <w:tcW w:w="2199" w:type="dxa"/>
          </w:tcPr>
          <w:p w:rsidR="00C03A9F" w:rsidRPr="0059512C" w:rsidP="00723CCE">
            <w:pPr>
              <w:pStyle w:val="ParaNum"/>
              <w:numPr>
                <w:ilvl w:val="0"/>
                <w:numId w:val="0"/>
              </w:numPr>
              <w:rPr>
                <w:szCs w:val="22"/>
              </w:rPr>
            </w:pPr>
            <w:r>
              <w:rPr>
                <w:szCs w:val="22"/>
              </w:rPr>
              <w:t>Waiver</w:t>
            </w:r>
          </w:p>
        </w:tc>
        <w:tc>
          <w:tcPr>
            <w:tcW w:w="3050" w:type="dxa"/>
          </w:tcPr>
          <w:p w:rsidR="00C03A9F" w:rsidRPr="0059512C" w:rsidP="00723CCE">
            <w:pPr>
              <w:pStyle w:val="ParaNum"/>
              <w:numPr>
                <w:ilvl w:val="0"/>
                <w:numId w:val="0"/>
              </w:numPr>
              <w:rPr>
                <w:szCs w:val="22"/>
              </w:rPr>
            </w:pPr>
            <w:r>
              <w:rPr>
                <w:szCs w:val="22"/>
              </w:rPr>
              <w:t>n/a</w:t>
            </w:r>
          </w:p>
        </w:tc>
        <w:tc>
          <w:tcPr>
            <w:tcW w:w="3381" w:type="dxa"/>
          </w:tcPr>
          <w:p w:rsidR="00C03A9F" w:rsidRPr="0059512C" w:rsidP="00723CCE">
            <w:pPr>
              <w:pStyle w:val="ParaNum"/>
              <w:numPr>
                <w:ilvl w:val="0"/>
                <w:numId w:val="0"/>
              </w:numPr>
              <w:rPr>
                <w:szCs w:val="22"/>
              </w:rPr>
            </w:pPr>
            <w:r>
              <w:rPr>
                <w:szCs w:val="22"/>
              </w:rPr>
              <w:t>$335</w:t>
            </w:r>
          </w:p>
        </w:tc>
      </w:tr>
    </w:tbl>
    <w:p w:rsidR="00092769" w:rsidRPr="0059512C" w:rsidP="00092769">
      <w:pPr>
        <w:pStyle w:val="ParaNum"/>
        <w:numPr>
          <w:ilvl w:val="0"/>
          <w:numId w:val="0"/>
        </w:numPr>
        <w:ind w:left="720"/>
        <w:rPr>
          <w:szCs w:val="22"/>
        </w:rPr>
      </w:pPr>
    </w:p>
    <w:p w:rsidR="00B565FA" w:rsidP="00461F90">
      <w:pPr>
        <w:pStyle w:val="ParaNum"/>
      </w:pPr>
      <w:r w:rsidRPr="0059512C">
        <w:t xml:space="preserve">We propose to charge a fee for requesting a DNIC.  We estimate that the Commission’s </w:t>
      </w:r>
      <w:r w:rsidRPr="0059512C" w:rsidR="000F761B">
        <w:t>resources</w:t>
      </w:r>
      <w:r w:rsidRPr="0059512C">
        <w:t xml:space="preserve"> in processing a DNIC application consist of the following:  program analyst review and processing, attorney legal review, and attorney supervisor legal review.  </w:t>
      </w:r>
      <w:r w:rsidRPr="0059512C">
        <w:t>Our estimate is that this process involves $</w:t>
      </w:r>
      <w:r w:rsidR="004512D3">
        <w:t>785</w:t>
      </w:r>
      <w:r w:rsidRPr="0059512C">
        <w:t xml:space="preserve"> in costs.  </w:t>
      </w:r>
      <w:r w:rsidRPr="0004535F" w:rsidR="00214F26">
        <w:t>We seek comment on this proposal.</w:t>
      </w:r>
      <w:r w:rsidRPr="0004535F" w:rsidR="000F761B">
        <w:t xml:space="preserve">  </w:t>
      </w:r>
      <w:r w:rsidRPr="0004535F">
        <w:t xml:space="preserve">  </w:t>
      </w:r>
    </w:p>
    <w:p w:rsidR="004512D3" w:rsidRPr="0060706A" w:rsidP="00461F90">
      <w:pPr>
        <w:pStyle w:val="ParaNum"/>
        <w:rPr>
          <w:i/>
        </w:rPr>
      </w:pPr>
      <w:r w:rsidRPr="0059512C">
        <w:t>We propose to charge a fee for waiver requests related to a</w:t>
      </w:r>
      <w:r>
        <w:t xml:space="preserve"> DNIC</w:t>
      </w:r>
      <w:r w:rsidRPr="0059512C">
        <w:t xml:space="preserve">.  An individual or entity may request a waiver of the </w:t>
      </w:r>
      <w:r>
        <w:t>DNIC</w:t>
      </w:r>
      <w:r w:rsidRPr="0059512C">
        <w:t xml:space="preserve"> requirements set forth in the ITU’s</w:t>
      </w:r>
      <w:r w:rsidRPr="0059512C">
        <w:t xml:space="preserve"> </w:t>
      </w:r>
      <w:r>
        <w:t>DNIC</w:t>
      </w:r>
      <w:r w:rsidRPr="0059512C">
        <w:t xml:space="preserve"> guidance.  A standalone waiver request related to the </w:t>
      </w:r>
      <w:r>
        <w:t>DNIC</w:t>
      </w:r>
      <w:r w:rsidRPr="0059512C">
        <w:t xml:space="preserve"> use is filed online using IBFS and involves International Bureau staff review.</w:t>
      </w:r>
      <w:r>
        <w:rPr>
          <w:rStyle w:val="FootnoteReference"/>
        </w:rPr>
        <w:footnoteReference w:id="129"/>
      </w:r>
      <w:r w:rsidRPr="0059512C">
        <w:t xml:space="preserve">  We estimate the Commission’s resources in processing a separately filed waiver request consist of the following: industry analyst processing and review, staff attorney review, and supervisory review.  Our estimate is that this process involves $335 in co</w:t>
      </w:r>
      <w:r w:rsidRPr="0059512C">
        <w:t xml:space="preserve">sts for a typical request to waive the </w:t>
      </w:r>
      <w:r>
        <w:t>DNIC</w:t>
      </w:r>
      <w:r w:rsidRPr="0059512C">
        <w:t xml:space="preserve"> requirements that is filed separately from an application.</w:t>
      </w:r>
      <w:r>
        <w:t xml:space="preserve">  </w:t>
      </w:r>
      <w:r w:rsidRPr="0004535F">
        <w:t>We seek comment on these proposals.</w:t>
      </w:r>
    </w:p>
    <w:p w:rsidR="001D4BF8" w:rsidRPr="0059512C" w:rsidP="00020760">
      <w:pPr>
        <w:pStyle w:val="Heading4"/>
        <w:rPr>
          <w:szCs w:val="22"/>
        </w:rPr>
      </w:pPr>
      <w:bookmarkStart w:id="347" w:name="_Toc18066939"/>
      <w:bookmarkStart w:id="348" w:name="_Toc18939800"/>
      <w:bookmarkStart w:id="349" w:name="_Toc19795103"/>
      <w:bookmarkStart w:id="350" w:name="_Toc19796468"/>
      <w:bookmarkStart w:id="351" w:name="_Toc19796826"/>
      <w:bookmarkStart w:id="352" w:name="_Toc28005117"/>
      <w:bookmarkStart w:id="353" w:name="_Toc29557415"/>
      <w:bookmarkStart w:id="354" w:name="_Toc35268598"/>
      <w:r w:rsidRPr="0059512C">
        <w:rPr>
          <w:szCs w:val="22"/>
        </w:rPr>
        <w:t>International Signaling Point Code</w:t>
      </w:r>
      <w:bookmarkEnd w:id="347"/>
      <w:bookmarkEnd w:id="348"/>
      <w:bookmarkEnd w:id="349"/>
      <w:bookmarkEnd w:id="350"/>
      <w:bookmarkEnd w:id="351"/>
      <w:bookmarkEnd w:id="352"/>
      <w:bookmarkEnd w:id="353"/>
      <w:bookmarkEnd w:id="354"/>
    </w:p>
    <w:p w:rsidR="001D4BF8" w:rsidRPr="0059512C" w:rsidP="001D4BF8">
      <w:pPr>
        <w:pStyle w:val="ParaNum"/>
        <w:rPr>
          <w:szCs w:val="22"/>
        </w:rPr>
      </w:pPr>
      <w:r w:rsidRPr="0059512C">
        <w:rPr>
          <w:szCs w:val="22"/>
        </w:rPr>
        <w:t>The ITU defines a signaling point code as a “part of the label in a signalling [s</w:t>
      </w:r>
      <w:r w:rsidRPr="0059512C">
        <w:rPr>
          <w:szCs w:val="22"/>
        </w:rPr>
        <w:t xml:space="preserve">ic] message that uniquely identifies each signalling point which belongs to the international signalling network” and is used for signaling message routing and identification of signaling points at the </w:t>
      </w:r>
      <w:r w:rsidRPr="0059512C">
        <w:rPr>
          <w:szCs w:val="22"/>
        </w:rPr>
        <w:t>international level.</w:t>
      </w:r>
      <w:r>
        <w:rPr>
          <w:rStyle w:val="FootnoteReference"/>
        </w:rPr>
        <w:footnoteReference w:id="130"/>
      </w:r>
      <w:r w:rsidRPr="0059512C">
        <w:rPr>
          <w:szCs w:val="22"/>
        </w:rPr>
        <w:t xml:space="preserve">  Such signaling points are with</w:t>
      </w:r>
      <w:r w:rsidRPr="0059512C">
        <w:rPr>
          <w:szCs w:val="22"/>
        </w:rPr>
        <w:t>in a Signaling System 7 switch.  For this reason, only carriers that operate their own switch would need a signaling point code.  Carriers that need an international signaling point code must file an application through IBFS for a Request for Assignment of</w:t>
      </w:r>
      <w:r w:rsidRPr="0059512C">
        <w:rPr>
          <w:szCs w:val="22"/>
        </w:rPr>
        <w:t xml:space="preserve"> International Signaling Point Codes (ISPC) for Signaling System No. 7.  The ISPC application must include information demonstrating compliance with the standards set forth in ITU-T Recommendation Q.708.  Currently, there is no fee for an ISPC or associate</w:t>
      </w:r>
      <w:r w:rsidRPr="0059512C">
        <w:rPr>
          <w:szCs w:val="22"/>
        </w:rPr>
        <w:t xml:space="preserve">d requests, such as amendments.  </w:t>
      </w:r>
    </w:p>
    <w:p w:rsidR="00F8039B" w:rsidRPr="0059512C" w:rsidP="00EA2F5F">
      <w:pPr>
        <w:pStyle w:val="ParaNum"/>
        <w:rPr>
          <w:szCs w:val="22"/>
        </w:rPr>
      </w:pPr>
      <w:r w:rsidRPr="0059512C">
        <w:rPr>
          <w:szCs w:val="22"/>
        </w:rPr>
        <w:t xml:space="preserve">We propose and seek comment on adopting the following cost-based fees for these applications—and we give as an example the current fees for these services.  </w:t>
      </w:r>
      <w:r w:rsidRPr="0059512C" w:rsidR="0018075F">
        <w:rPr>
          <w:szCs w:val="22"/>
        </w:rPr>
        <w:t xml:space="preserve"> </w:t>
      </w:r>
    </w:p>
    <w:tbl>
      <w:tblPr>
        <w:tblStyle w:val="TableGrid"/>
        <w:tblW w:w="0" w:type="auto"/>
        <w:tblInd w:w="720" w:type="dxa"/>
        <w:tblLook w:val="04A0"/>
      </w:tblPr>
      <w:tblGrid>
        <w:gridCol w:w="2214"/>
        <w:gridCol w:w="3095"/>
        <w:gridCol w:w="3321"/>
      </w:tblGrid>
      <w:tr w:rsidTr="00F364EF">
        <w:tblPrEx>
          <w:tblW w:w="0" w:type="auto"/>
          <w:tblInd w:w="720" w:type="dxa"/>
          <w:tblLook w:val="04A0"/>
        </w:tblPrEx>
        <w:tc>
          <w:tcPr>
            <w:tcW w:w="2214" w:type="dxa"/>
          </w:tcPr>
          <w:p w:rsidR="000E04AD" w:rsidRPr="0059512C" w:rsidP="00723CCE">
            <w:pPr>
              <w:pStyle w:val="ParaNum"/>
              <w:numPr>
                <w:ilvl w:val="0"/>
                <w:numId w:val="0"/>
              </w:numPr>
              <w:rPr>
                <w:szCs w:val="22"/>
              </w:rPr>
            </w:pPr>
            <w:r w:rsidRPr="0059512C">
              <w:rPr>
                <w:szCs w:val="22"/>
              </w:rPr>
              <w:t xml:space="preserve"> </w:t>
            </w:r>
            <w:r w:rsidRPr="0059512C">
              <w:rPr>
                <w:b/>
                <w:szCs w:val="22"/>
              </w:rPr>
              <w:t>Application</w:t>
            </w:r>
          </w:p>
        </w:tc>
        <w:tc>
          <w:tcPr>
            <w:tcW w:w="3095" w:type="dxa"/>
          </w:tcPr>
          <w:p w:rsidR="000E04AD" w:rsidRPr="0059512C" w:rsidP="00723CCE">
            <w:pPr>
              <w:pStyle w:val="ParaNum"/>
              <w:numPr>
                <w:ilvl w:val="0"/>
                <w:numId w:val="0"/>
              </w:numPr>
              <w:rPr>
                <w:b/>
                <w:szCs w:val="22"/>
              </w:rPr>
            </w:pPr>
            <w:r w:rsidRPr="0059512C">
              <w:rPr>
                <w:b/>
                <w:szCs w:val="22"/>
              </w:rPr>
              <w:t>Current Fee</w:t>
            </w:r>
          </w:p>
        </w:tc>
        <w:tc>
          <w:tcPr>
            <w:tcW w:w="3321" w:type="dxa"/>
          </w:tcPr>
          <w:p w:rsidR="000E04AD" w:rsidRPr="0059512C" w:rsidP="00723CCE">
            <w:pPr>
              <w:pStyle w:val="ParaNum"/>
              <w:numPr>
                <w:ilvl w:val="0"/>
                <w:numId w:val="0"/>
              </w:numPr>
              <w:rPr>
                <w:szCs w:val="22"/>
              </w:rPr>
            </w:pPr>
            <w:r w:rsidRPr="0059512C">
              <w:rPr>
                <w:b/>
                <w:szCs w:val="22"/>
              </w:rPr>
              <w:t>Cost-based Fee</w:t>
            </w:r>
          </w:p>
        </w:tc>
      </w:tr>
      <w:tr w:rsidTr="00F364EF">
        <w:tblPrEx>
          <w:tblW w:w="0" w:type="auto"/>
          <w:tblInd w:w="720" w:type="dxa"/>
          <w:tblLook w:val="04A0"/>
        </w:tblPrEx>
        <w:tc>
          <w:tcPr>
            <w:tcW w:w="2214" w:type="dxa"/>
          </w:tcPr>
          <w:p w:rsidR="000E04AD" w:rsidRPr="0059512C" w:rsidP="00723CCE">
            <w:pPr>
              <w:pStyle w:val="ParaNum"/>
              <w:numPr>
                <w:ilvl w:val="0"/>
                <w:numId w:val="0"/>
              </w:numPr>
              <w:rPr>
                <w:szCs w:val="22"/>
              </w:rPr>
            </w:pPr>
            <w:r w:rsidRPr="0059512C">
              <w:rPr>
                <w:szCs w:val="22"/>
              </w:rPr>
              <w:t>ISPC</w:t>
            </w:r>
          </w:p>
        </w:tc>
        <w:tc>
          <w:tcPr>
            <w:tcW w:w="3095" w:type="dxa"/>
          </w:tcPr>
          <w:p w:rsidR="000E04AD" w:rsidRPr="0059512C" w:rsidP="00723CCE">
            <w:pPr>
              <w:pStyle w:val="ParaNum"/>
              <w:numPr>
                <w:ilvl w:val="0"/>
                <w:numId w:val="0"/>
              </w:numPr>
              <w:rPr>
                <w:szCs w:val="22"/>
              </w:rPr>
            </w:pPr>
            <w:r w:rsidRPr="0059512C">
              <w:rPr>
                <w:szCs w:val="22"/>
              </w:rPr>
              <w:t>n/a</w:t>
            </w:r>
          </w:p>
        </w:tc>
        <w:tc>
          <w:tcPr>
            <w:tcW w:w="3321" w:type="dxa"/>
          </w:tcPr>
          <w:p w:rsidR="000E04AD" w:rsidRPr="0059512C" w:rsidP="00723CCE">
            <w:pPr>
              <w:pStyle w:val="ParaNum"/>
              <w:numPr>
                <w:ilvl w:val="0"/>
                <w:numId w:val="0"/>
              </w:numPr>
              <w:rPr>
                <w:szCs w:val="22"/>
              </w:rPr>
            </w:pPr>
            <w:r w:rsidRPr="0059512C">
              <w:rPr>
                <w:szCs w:val="22"/>
              </w:rPr>
              <w:t>$</w:t>
            </w:r>
            <w:r w:rsidR="00F63EBD">
              <w:rPr>
                <w:szCs w:val="22"/>
              </w:rPr>
              <w:t>785</w:t>
            </w:r>
          </w:p>
        </w:tc>
      </w:tr>
      <w:tr w:rsidTr="00F364EF">
        <w:tblPrEx>
          <w:tblW w:w="0" w:type="auto"/>
          <w:tblInd w:w="720" w:type="dxa"/>
          <w:tblLook w:val="04A0"/>
        </w:tblPrEx>
        <w:tc>
          <w:tcPr>
            <w:tcW w:w="2214" w:type="dxa"/>
          </w:tcPr>
          <w:p w:rsidR="000E04AD" w:rsidRPr="0059512C" w:rsidP="00723CCE">
            <w:pPr>
              <w:pStyle w:val="ParaNum"/>
              <w:numPr>
                <w:ilvl w:val="0"/>
                <w:numId w:val="0"/>
              </w:numPr>
              <w:rPr>
                <w:szCs w:val="22"/>
              </w:rPr>
            </w:pPr>
            <w:r w:rsidRPr="0059512C">
              <w:rPr>
                <w:szCs w:val="22"/>
              </w:rPr>
              <w:t>Transfer of Control</w:t>
            </w:r>
          </w:p>
        </w:tc>
        <w:tc>
          <w:tcPr>
            <w:tcW w:w="3095" w:type="dxa"/>
          </w:tcPr>
          <w:p w:rsidR="000E04AD" w:rsidRPr="0059512C" w:rsidP="00723CCE">
            <w:pPr>
              <w:pStyle w:val="ParaNum"/>
              <w:numPr>
                <w:ilvl w:val="0"/>
                <w:numId w:val="0"/>
              </w:numPr>
              <w:rPr>
                <w:szCs w:val="22"/>
              </w:rPr>
            </w:pPr>
            <w:r w:rsidRPr="0059512C">
              <w:rPr>
                <w:szCs w:val="22"/>
              </w:rPr>
              <w:t>n/a</w:t>
            </w:r>
          </w:p>
        </w:tc>
        <w:tc>
          <w:tcPr>
            <w:tcW w:w="3321" w:type="dxa"/>
          </w:tcPr>
          <w:p w:rsidR="000E04AD" w:rsidRPr="0059512C" w:rsidP="00723CCE">
            <w:pPr>
              <w:pStyle w:val="ParaNum"/>
              <w:numPr>
                <w:ilvl w:val="0"/>
                <w:numId w:val="0"/>
              </w:numPr>
              <w:rPr>
                <w:szCs w:val="22"/>
              </w:rPr>
            </w:pPr>
            <w:r w:rsidRPr="0059512C">
              <w:rPr>
                <w:szCs w:val="22"/>
              </w:rPr>
              <w:t>$</w:t>
            </w:r>
            <w:r w:rsidRPr="0059512C" w:rsidR="00236B94">
              <w:rPr>
                <w:szCs w:val="22"/>
              </w:rPr>
              <w:t>6</w:t>
            </w:r>
            <w:r w:rsidRPr="0059512C" w:rsidR="00956FCB">
              <w:rPr>
                <w:szCs w:val="22"/>
              </w:rPr>
              <w:t>75</w:t>
            </w:r>
          </w:p>
        </w:tc>
      </w:tr>
      <w:tr w:rsidTr="006A7003">
        <w:tblPrEx>
          <w:tblW w:w="0" w:type="auto"/>
          <w:tblInd w:w="720" w:type="dxa"/>
          <w:tblLook w:val="04A0"/>
        </w:tblPrEx>
        <w:tc>
          <w:tcPr>
            <w:tcW w:w="2214" w:type="dxa"/>
          </w:tcPr>
          <w:p w:rsidR="006A1F7D" w:rsidRPr="0059512C" w:rsidP="006A1F7D">
            <w:pPr>
              <w:pStyle w:val="ParaNum"/>
              <w:numPr>
                <w:ilvl w:val="0"/>
                <w:numId w:val="0"/>
              </w:numPr>
              <w:rPr>
                <w:szCs w:val="22"/>
              </w:rPr>
            </w:pPr>
            <w:r w:rsidRPr="0059512C">
              <w:rPr>
                <w:szCs w:val="22"/>
              </w:rPr>
              <w:t>Modification</w:t>
            </w:r>
          </w:p>
        </w:tc>
        <w:tc>
          <w:tcPr>
            <w:tcW w:w="3095" w:type="dxa"/>
          </w:tcPr>
          <w:p w:rsidR="006A1F7D" w:rsidRPr="0059512C" w:rsidP="006A1F7D">
            <w:pPr>
              <w:pStyle w:val="ParaNum"/>
              <w:numPr>
                <w:ilvl w:val="0"/>
                <w:numId w:val="0"/>
              </w:numPr>
              <w:rPr>
                <w:szCs w:val="22"/>
              </w:rPr>
            </w:pPr>
            <w:r w:rsidRPr="0059512C">
              <w:rPr>
                <w:szCs w:val="22"/>
              </w:rPr>
              <w:t>n/a</w:t>
            </w:r>
          </w:p>
        </w:tc>
        <w:tc>
          <w:tcPr>
            <w:tcW w:w="3321" w:type="dxa"/>
          </w:tcPr>
          <w:p w:rsidR="006A1F7D" w:rsidRPr="0059512C" w:rsidP="006A1F7D">
            <w:pPr>
              <w:pStyle w:val="ParaNum"/>
              <w:numPr>
                <w:ilvl w:val="0"/>
                <w:numId w:val="0"/>
              </w:numPr>
              <w:rPr>
                <w:szCs w:val="22"/>
              </w:rPr>
            </w:pPr>
            <w:r w:rsidRPr="0059512C">
              <w:rPr>
                <w:szCs w:val="22"/>
              </w:rPr>
              <w:t>$6</w:t>
            </w:r>
            <w:r w:rsidRPr="0059512C" w:rsidR="00956FCB">
              <w:rPr>
                <w:szCs w:val="22"/>
              </w:rPr>
              <w:t>75</w:t>
            </w:r>
          </w:p>
        </w:tc>
      </w:tr>
      <w:tr w:rsidTr="006A7003">
        <w:tblPrEx>
          <w:tblW w:w="0" w:type="auto"/>
          <w:tblInd w:w="720" w:type="dxa"/>
          <w:tblLook w:val="04A0"/>
        </w:tblPrEx>
        <w:tc>
          <w:tcPr>
            <w:tcW w:w="2214" w:type="dxa"/>
          </w:tcPr>
          <w:p w:rsidR="006A1F7D" w:rsidRPr="0059512C" w:rsidP="006A1F7D">
            <w:pPr>
              <w:pStyle w:val="ParaNum"/>
              <w:numPr>
                <w:ilvl w:val="0"/>
                <w:numId w:val="0"/>
              </w:numPr>
              <w:rPr>
                <w:szCs w:val="22"/>
              </w:rPr>
            </w:pPr>
            <w:r w:rsidRPr="0059512C">
              <w:rPr>
                <w:szCs w:val="22"/>
              </w:rPr>
              <w:t>Waiver</w:t>
            </w:r>
          </w:p>
        </w:tc>
        <w:tc>
          <w:tcPr>
            <w:tcW w:w="3095" w:type="dxa"/>
          </w:tcPr>
          <w:p w:rsidR="006A1F7D" w:rsidRPr="0059512C" w:rsidP="006A1F7D">
            <w:pPr>
              <w:pStyle w:val="ParaNum"/>
              <w:numPr>
                <w:ilvl w:val="0"/>
                <w:numId w:val="0"/>
              </w:numPr>
              <w:rPr>
                <w:szCs w:val="22"/>
              </w:rPr>
            </w:pPr>
            <w:r w:rsidRPr="0059512C">
              <w:rPr>
                <w:szCs w:val="22"/>
              </w:rPr>
              <w:t>n/a</w:t>
            </w:r>
          </w:p>
        </w:tc>
        <w:tc>
          <w:tcPr>
            <w:tcW w:w="3321" w:type="dxa"/>
          </w:tcPr>
          <w:p w:rsidR="006A1F7D" w:rsidRPr="0059512C" w:rsidP="006A1F7D">
            <w:pPr>
              <w:pStyle w:val="ParaNum"/>
              <w:numPr>
                <w:ilvl w:val="0"/>
                <w:numId w:val="0"/>
              </w:numPr>
              <w:rPr>
                <w:szCs w:val="22"/>
              </w:rPr>
            </w:pPr>
            <w:r w:rsidRPr="0059512C">
              <w:rPr>
                <w:szCs w:val="22"/>
              </w:rPr>
              <w:t>$3</w:t>
            </w:r>
            <w:r w:rsidRPr="0059512C" w:rsidR="00956FCB">
              <w:rPr>
                <w:szCs w:val="22"/>
              </w:rPr>
              <w:t>3</w:t>
            </w:r>
            <w:r w:rsidRPr="0059512C">
              <w:rPr>
                <w:szCs w:val="22"/>
              </w:rPr>
              <w:t>5</w:t>
            </w:r>
          </w:p>
        </w:tc>
      </w:tr>
    </w:tbl>
    <w:p w:rsidR="00F8039B" w:rsidRPr="0059512C" w:rsidP="00092769">
      <w:pPr>
        <w:pStyle w:val="ParaNum"/>
        <w:numPr>
          <w:ilvl w:val="0"/>
          <w:numId w:val="0"/>
        </w:numPr>
        <w:rPr>
          <w:szCs w:val="22"/>
        </w:rPr>
      </w:pPr>
    </w:p>
    <w:p w:rsidR="00092769" w:rsidRPr="0059512C" w:rsidP="00390165">
      <w:pPr>
        <w:pStyle w:val="ParaNum"/>
        <w:rPr>
          <w:szCs w:val="22"/>
        </w:rPr>
      </w:pPr>
      <w:r w:rsidRPr="0059512C">
        <w:rPr>
          <w:szCs w:val="22"/>
        </w:rPr>
        <w:t xml:space="preserve">We propose to charge a fee for filing an ISPC.  We estimate that the Commission’s </w:t>
      </w:r>
      <w:r w:rsidRPr="0059512C" w:rsidR="00B565FA">
        <w:rPr>
          <w:szCs w:val="22"/>
        </w:rPr>
        <w:t>resource</w:t>
      </w:r>
      <w:r w:rsidRPr="0059512C">
        <w:rPr>
          <w:szCs w:val="22"/>
        </w:rPr>
        <w:t xml:space="preserve">s in processing an ISPC application consist of the following:  program analyst review and </w:t>
      </w:r>
      <w:r w:rsidRPr="0059512C">
        <w:rPr>
          <w:szCs w:val="22"/>
        </w:rPr>
        <w:t>processing, attorney legal review, and attorney supervisor legal review.  Our estimate is that this process involves $</w:t>
      </w:r>
      <w:r w:rsidR="00F63EBD">
        <w:rPr>
          <w:szCs w:val="22"/>
        </w:rPr>
        <w:t>785</w:t>
      </w:r>
      <w:r w:rsidRPr="0059512C">
        <w:rPr>
          <w:szCs w:val="22"/>
        </w:rPr>
        <w:t xml:space="preserve"> in costs. </w:t>
      </w:r>
      <w:r w:rsidRPr="0059512C">
        <w:rPr>
          <w:b/>
          <w:szCs w:val="22"/>
        </w:rPr>
        <w:t xml:space="preserve"> </w:t>
      </w:r>
    </w:p>
    <w:p w:rsidR="00092769" w:rsidRPr="0059512C" w:rsidP="00390165">
      <w:pPr>
        <w:pStyle w:val="ParaNum"/>
        <w:rPr>
          <w:szCs w:val="22"/>
        </w:rPr>
      </w:pPr>
      <w:r w:rsidRPr="0059512C">
        <w:rPr>
          <w:szCs w:val="22"/>
        </w:rPr>
        <w:t xml:space="preserve">We </w:t>
      </w:r>
      <w:r w:rsidRPr="0059512C" w:rsidR="00B565FA">
        <w:rPr>
          <w:szCs w:val="22"/>
        </w:rPr>
        <w:t xml:space="preserve">also </w:t>
      </w:r>
      <w:r w:rsidRPr="0059512C">
        <w:rPr>
          <w:szCs w:val="22"/>
        </w:rPr>
        <w:t xml:space="preserve">propose to charge a fee for </w:t>
      </w:r>
      <w:r w:rsidRPr="0059512C" w:rsidR="00126E06">
        <w:rPr>
          <w:szCs w:val="22"/>
        </w:rPr>
        <w:t xml:space="preserve">notification of a transfer of </w:t>
      </w:r>
      <w:r w:rsidRPr="0059512C">
        <w:rPr>
          <w:szCs w:val="22"/>
        </w:rPr>
        <w:t xml:space="preserve">an ISPC </w:t>
      </w:r>
      <w:r w:rsidRPr="0059512C" w:rsidR="00126E06">
        <w:rPr>
          <w:szCs w:val="22"/>
        </w:rPr>
        <w:t xml:space="preserve">from one entity to another in the course of a merger, acquisition, divestiture, or joint venture.  FCC staff must review a notification of an ISPC </w:t>
      </w:r>
      <w:r w:rsidRPr="0059512C" w:rsidR="008E58E6">
        <w:rPr>
          <w:szCs w:val="22"/>
        </w:rPr>
        <w:t xml:space="preserve">transfer.  Although an ISPC transfer </w:t>
      </w:r>
      <w:r w:rsidRPr="0059512C">
        <w:rPr>
          <w:szCs w:val="22"/>
        </w:rPr>
        <w:t xml:space="preserve">application </w:t>
      </w:r>
      <w:r w:rsidRPr="0059512C" w:rsidR="00E428CD">
        <w:rPr>
          <w:szCs w:val="22"/>
        </w:rPr>
        <w:t xml:space="preserve">is likely to be filed only in connection </w:t>
      </w:r>
      <w:r w:rsidRPr="0059512C" w:rsidR="0066727D">
        <w:rPr>
          <w:szCs w:val="22"/>
        </w:rPr>
        <w:t xml:space="preserve">with the transfer of control or assignment of the signaling point operator’s international section 214 authorization, we believe a fee for the ISPC notification is warranted.  Transfer of an ISPC is not necessarily a component of every </w:t>
      </w:r>
      <w:r w:rsidR="007E6A44">
        <w:rPr>
          <w:szCs w:val="22"/>
        </w:rPr>
        <w:t xml:space="preserve">section </w:t>
      </w:r>
      <w:r w:rsidRPr="0059512C" w:rsidR="0066727D">
        <w:rPr>
          <w:szCs w:val="22"/>
        </w:rPr>
        <w:t>214 transaction</w:t>
      </w:r>
      <w:r w:rsidRPr="0059512C" w:rsidR="00454295">
        <w:rPr>
          <w:szCs w:val="22"/>
        </w:rPr>
        <w:t>,</w:t>
      </w:r>
      <w:r>
        <w:rPr>
          <w:rStyle w:val="FootnoteReference"/>
          <w:sz w:val="22"/>
        </w:rPr>
        <w:footnoteReference w:id="131"/>
      </w:r>
      <w:r w:rsidRPr="0059512C" w:rsidR="00454295">
        <w:rPr>
          <w:szCs w:val="22"/>
        </w:rPr>
        <w:t xml:space="preserve"> and staff review and processing of the notification will be necessary.  Staff review would include coordination with staff reviewing the underlying </w:t>
      </w:r>
      <w:r w:rsidR="007E6A44">
        <w:rPr>
          <w:szCs w:val="22"/>
        </w:rPr>
        <w:t xml:space="preserve">section </w:t>
      </w:r>
      <w:r w:rsidRPr="0059512C" w:rsidR="00454295">
        <w:rPr>
          <w:szCs w:val="22"/>
        </w:rPr>
        <w:t xml:space="preserve">214 transaction.  </w:t>
      </w:r>
      <w:r w:rsidRPr="0059512C">
        <w:rPr>
          <w:szCs w:val="22"/>
        </w:rPr>
        <w:t xml:space="preserve">We estimate the Commission’s </w:t>
      </w:r>
      <w:r w:rsidRPr="0059512C" w:rsidR="00B565FA">
        <w:rPr>
          <w:szCs w:val="22"/>
        </w:rPr>
        <w:t>resources in</w:t>
      </w:r>
      <w:r w:rsidRPr="0059512C" w:rsidR="003D44B2">
        <w:rPr>
          <w:szCs w:val="22"/>
        </w:rPr>
        <w:t xml:space="preserve"> </w:t>
      </w:r>
      <w:r w:rsidRPr="0059512C">
        <w:rPr>
          <w:szCs w:val="22"/>
        </w:rPr>
        <w:t xml:space="preserve">processing </w:t>
      </w:r>
      <w:r w:rsidRPr="0059512C" w:rsidR="00E72FA4">
        <w:rPr>
          <w:szCs w:val="22"/>
        </w:rPr>
        <w:t xml:space="preserve">a transfer notification </w:t>
      </w:r>
      <w:r w:rsidRPr="0059512C">
        <w:rPr>
          <w:szCs w:val="22"/>
        </w:rPr>
        <w:t>cons</w:t>
      </w:r>
      <w:r w:rsidRPr="0059512C">
        <w:rPr>
          <w:szCs w:val="22"/>
        </w:rPr>
        <w:t>ist of the following: industry analyst processing and review, staff attorney review, and supervisory review.  Our estimate is that this process involves $</w:t>
      </w:r>
      <w:r w:rsidRPr="0059512C" w:rsidR="00E72FA4">
        <w:rPr>
          <w:szCs w:val="22"/>
        </w:rPr>
        <w:t>6</w:t>
      </w:r>
      <w:r w:rsidRPr="0059512C" w:rsidR="00E602D9">
        <w:rPr>
          <w:szCs w:val="22"/>
        </w:rPr>
        <w:t>75</w:t>
      </w:r>
      <w:r w:rsidRPr="0059512C">
        <w:rPr>
          <w:szCs w:val="22"/>
        </w:rPr>
        <w:t xml:space="preserve"> in costs.</w:t>
      </w:r>
    </w:p>
    <w:p w:rsidR="00D1380C" w:rsidRPr="0059512C" w:rsidP="00D1380C">
      <w:pPr>
        <w:pStyle w:val="ParaNum"/>
        <w:rPr>
          <w:szCs w:val="22"/>
        </w:rPr>
      </w:pPr>
      <w:r w:rsidRPr="0059512C">
        <w:rPr>
          <w:szCs w:val="22"/>
        </w:rPr>
        <w:t xml:space="preserve">Signaling point operators may modify how they use an assigned ISPC.  ITU Q.708 requires </w:t>
      </w:r>
      <w:r w:rsidRPr="0059512C">
        <w:rPr>
          <w:szCs w:val="22"/>
        </w:rPr>
        <w:t xml:space="preserve">a notification for changes such as name changes and changing the city where the ISPC is located.  Operators must file a modification notification application in the event that they implement such changes.  We propose to charge a fee for modification of an </w:t>
      </w:r>
      <w:r w:rsidRPr="0059512C">
        <w:rPr>
          <w:szCs w:val="22"/>
        </w:rPr>
        <w:t>ISPC assignment.  FCC staff must review an ISPC modification notification and notify the ITU of such changes.  We estimate the Commission’s resources in processing a modification notification consist of the following: industry analyst processing and review</w:t>
      </w:r>
      <w:r w:rsidRPr="0059512C">
        <w:rPr>
          <w:szCs w:val="22"/>
        </w:rPr>
        <w:t>, staff attorney review, and supervisory review.  Our estimate is that this process involves $6</w:t>
      </w:r>
      <w:r w:rsidRPr="0059512C" w:rsidR="00E602D9">
        <w:rPr>
          <w:szCs w:val="22"/>
        </w:rPr>
        <w:t>75</w:t>
      </w:r>
      <w:r w:rsidRPr="0059512C">
        <w:rPr>
          <w:szCs w:val="22"/>
        </w:rPr>
        <w:t xml:space="preserve"> in costs.</w:t>
      </w:r>
    </w:p>
    <w:p w:rsidR="001077F0" w:rsidRPr="0004535F" w:rsidP="0004535F">
      <w:pPr>
        <w:pStyle w:val="ParaNum"/>
        <w:rPr>
          <w:szCs w:val="22"/>
        </w:rPr>
      </w:pPr>
      <w:r w:rsidRPr="0059512C">
        <w:rPr>
          <w:szCs w:val="22"/>
        </w:rPr>
        <w:t xml:space="preserve">We propose to charge a fee for waiver requests related to an ISPC.  An individual or </w:t>
      </w:r>
      <w:r w:rsidRPr="0059512C">
        <w:rPr>
          <w:szCs w:val="22"/>
        </w:rPr>
        <w:t xml:space="preserve">entity may request a waiver of the ISPC requirements set forth </w:t>
      </w:r>
      <w:r w:rsidRPr="0059512C">
        <w:rPr>
          <w:szCs w:val="22"/>
        </w:rPr>
        <w:t>in the ITU’s ISPC guidance.</w:t>
      </w:r>
      <w:r>
        <w:rPr>
          <w:rStyle w:val="FootnoteReference"/>
        </w:rPr>
        <w:footnoteReference w:id="132"/>
      </w:r>
      <w:r w:rsidRPr="0059512C">
        <w:rPr>
          <w:szCs w:val="22"/>
        </w:rPr>
        <w:t xml:space="preserve">  A standalone waiver request related to the ISPC use is filed online using IBFS and involves International Bureau staff review.</w:t>
      </w:r>
      <w:r>
        <w:rPr>
          <w:rStyle w:val="FootnoteReference"/>
        </w:rPr>
        <w:footnoteReference w:id="133"/>
      </w:r>
      <w:r w:rsidRPr="0059512C">
        <w:rPr>
          <w:szCs w:val="22"/>
        </w:rPr>
        <w:t xml:space="preserve">  We estimate the Commission’s resources in processing a separately filed waiver request consist </w:t>
      </w:r>
      <w:r w:rsidRPr="0059512C">
        <w:rPr>
          <w:szCs w:val="22"/>
        </w:rPr>
        <w:t>of the following: industry analyst processing and review, staff attorney review, and supervisory review.  Our estimate is that this process involves $3</w:t>
      </w:r>
      <w:r w:rsidRPr="0059512C" w:rsidR="00E602D9">
        <w:rPr>
          <w:szCs w:val="22"/>
        </w:rPr>
        <w:t>3</w:t>
      </w:r>
      <w:r w:rsidRPr="0059512C">
        <w:rPr>
          <w:szCs w:val="22"/>
        </w:rPr>
        <w:t>5 in costs for a typical request to waive the ISPC requirements that is filed separately from an applica</w:t>
      </w:r>
      <w:r w:rsidRPr="0059512C">
        <w:rPr>
          <w:szCs w:val="22"/>
        </w:rPr>
        <w:t>tion.</w:t>
      </w:r>
      <w:bookmarkStart w:id="355" w:name="_Hlk33450554"/>
      <w:r w:rsidR="0004535F">
        <w:rPr>
          <w:szCs w:val="22"/>
        </w:rPr>
        <w:t xml:space="preserve">  </w:t>
      </w:r>
      <w:r w:rsidRPr="0004535F" w:rsidR="00B565FA">
        <w:rPr>
          <w:szCs w:val="22"/>
        </w:rPr>
        <w:t xml:space="preserve">We seek comment on these proposals.  </w:t>
      </w:r>
    </w:p>
    <w:p w:rsidR="001D4BF8" w:rsidRPr="0059512C" w:rsidP="00020760">
      <w:pPr>
        <w:pStyle w:val="Heading4"/>
        <w:rPr>
          <w:szCs w:val="22"/>
        </w:rPr>
      </w:pPr>
      <w:bookmarkStart w:id="356" w:name="_Toc18066940"/>
      <w:bookmarkStart w:id="357" w:name="_Toc18939801"/>
      <w:bookmarkStart w:id="358" w:name="_Toc19795104"/>
      <w:bookmarkStart w:id="359" w:name="_Toc19796469"/>
      <w:bookmarkStart w:id="360" w:name="_Toc19796827"/>
      <w:bookmarkStart w:id="361" w:name="_Toc28005118"/>
      <w:bookmarkStart w:id="362" w:name="_Toc29557416"/>
      <w:bookmarkStart w:id="363" w:name="_Toc35268599"/>
      <w:bookmarkEnd w:id="355"/>
      <w:r w:rsidRPr="0059512C">
        <w:rPr>
          <w:szCs w:val="22"/>
        </w:rPr>
        <w:t>Satellite Earth Stations</w:t>
      </w:r>
      <w:bookmarkEnd w:id="356"/>
      <w:bookmarkEnd w:id="357"/>
      <w:bookmarkEnd w:id="358"/>
      <w:bookmarkEnd w:id="359"/>
      <w:bookmarkEnd w:id="360"/>
      <w:bookmarkEnd w:id="361"/>
      <w:bookmarkEnd w:id="362"/>
      <w:bookmarkEnd w:id="363"/>
    </w:p>
    <w:p w:rsidR="00EB2C93" w:rsidRPr="0059512C" w:rsidP="00EB2C93">
      <w:pPr>
        <w:pStyle w:val="ParaNum"/>
        <w:rPr>
          <w:szCs w:val="22"/>
        </w:rPr>
      </w:pPr>
      <w:r w:rsidRPr="0059512C">
        <w:rPr>
          <w:szCs w:val="22"/>
        </w:rPr>
        <w:t>Below is a table showing the current fees and proposed fees based on costs for the processing of filings related to earth stations, up to the release of public notice of acceptance for filing and through the first-level of supervision.  We propose and seek</w:t>
      </w:r>
      <w:r w:rsidRPr="0059512C">
        <w:rPr>
          <w:szCs w:val="22"/>
        </w:rPr>
        <w:t xml:space="preserve"> comment on elimination of some current filing fees, creation of new cost-based filing fees, and addition of filing fees by subdividing some existing fees into separate fees for single and multiple sites.  </w:t>
      </w:r>
    </w:p>
    <w:p w:rsidR="00EB2C93" w:rsidRPr="0059512C" w:rsidP="00F364EF">
      <w:pPr>
        <w:pStyle w:val="ParaNum"/>
        <w:numPr>
          <w:ilvl w:val="0"/>
          <w:numId w:val="0"/>
        </w:numPr>
        <w:ind w:left="720"/>
        <w:rPr>
          <w:szCs w:val="22"/>
        </w:rPr>
      </w:pPr>
    </w:p>
    <w:tbl>
      <w:tblPr>
        <w:tblStyle w:val="TableGrid"/>
        <w:tblW w:w="0" w:type="auto"/>
        <w:tblInd w:w="270" w:type="dxa"/>
        <w:tblLook w:val="04A0"/>
      </w:tblPr>
      <w:tblGrid>
        <w:gridCol w:w="3235"/>
        <w:gridCol w:w="2520"/>
        <w:gridCol w:w="3157"/>
      </w:tblGrid>
      <w:tr w:rsidTr="00376B4A">
        <w:tblPrEx>
          <w:tblW w:w="0" w:type="auto"/>
          <w:tblInd w:w="270" w:type="dxa"/>
          <w:tblLook w:val="04A0"/>
        </w:tblPrEx>
        <w:tc>
          <w:tcPr>
            <w:tcW w:w="3235" w:type="dxa"/>
          </w:tcPr>
          <w:p w:rsidR="00EB2C93" w:rsidRPr="0059512C" w:rsidP="00376B4A">
            <w:pPr>
              <w:pStyle w:val="ParaNum"/>
              <w:numPr>
                <w:ilvl w:val="0"/>
                <w:numId w:val="0"/>
              </w:numPr>
              <w:rPr>
                <w:b/>
                <w:szCs w:val="22"/>
              </w:rPr>
            </w:pPr>
            <w:r w:rsidRPr="0059512C">
              <w:rPr>
                <w:b/>
                <w:szCs w:val="22"/>
              </w:rPr>
              <w:t>Application</w:t>
            </w:r>
          </w:p>
        </w:tc>
        <w:tc>
          <w:tcPr>
            <w:tcW w:w="2520" w:type="dxa"/>
          </w:tcPr>
          <w:p w:rsidR="00EB2C93" w:rsidRPr="0059512C" w:rsidP="00376B4A">
            <w:pPr>
              <w:pStyle w:val="ParaNum"/>
              <w:numPr>
                <w:ilvl w:val="0"/>
                <w:numId w:val="0"/>
              </w:numPr>
              <w:rPr>
                <w:b/>
                <w:szCs w:val="22"/>
              </w:rPr>
            </w:pPr>
            <w:r w:rsidRPr="0059512C">
              <w:rPr>
                <w:b/>
                <w:szCs w:val="22"/>
              </w:rPr>
              <w:t>Current Fee</w:t>
            </w:r>
          </w:p>
        </w:tc>
        <w:tc>
          <w:tcPr>
            <w:tcW w:w="3157" w:type="dxa"/>
          </w:tcPr>
          <w:p w:rsidR="00EB2C93" w:rsidRPr="0059512C" w:rsidP="00376B4A">
            <w:pPr>
              <w:pStyle w:val="ParaNum"/>
              <w:numPr>
                <w:ilvl w:val="0"/>
                <w:numId w:val="0"/>
              </w:numPr>
              <w:rPr>
                <w:b/>
                <w:szCs w:val="22"/>
              </w:rPr>
            </w:pPr>
            <w:r w:rsidRPr="0059512C">
              <w:rPr>
                <w:b/>
                <w:szCs w:val="22"/>
              </w:rPr>
              <w:t>Cost-based Fee</w:t>
            </w:r>
          </w:p>
        </w:tc>
      </w:tr>
      <w:tr w:rsidTr="00376B4A">
        <w:tblPrEx>
          <w:tblW w:w="0" w:type="auto"/>
          <w:tblInd w:w="270" w:type="dxa"/>
          <w:tblLook w:val="04A0"/>
        </w:tblPrEx>
        <w:tc>
          <w:tcPr>
            <w:tcW w:w="3235" w:type="dxa"/>
          </w:tcPr>
          <w:p w:rsidR="00EB2C93" w:rsidRPr="000D74F8" w:rsidP="00376B4A">
            <w:pPr>
              <w:pStyle w:val="ParaNum"/>
              <w:numPr>
                <w:ilvl w:val="0"/>
                <w:numId w:val="0"/>
              </w:numPr>
              <w:rPr>
                <w:bCs/>
                <w:szCs w:val="22"/>
              </w:rPr>
            </w:pPr>
            <w:r w:rsidRPr="0060706A">
              <w:t>Fixed or Temporary Fixed Transmit or Transmit/Receive Earth Stations, per Call Sign</w:t>
            </w:r>
          </w:p>
        </w:tc>
        <w:tc>
          <w:tcPr>
            <w:tcW w:w="2520" w:type="dxa"/>
          </w:tcPr>
          <w:p w:rsidR="00EB2C93" w:rsidRPr="0059512C" w:rsidP="00376B4A">
            <w:pPr>
              <w:pStyle w:val="ParaNum"/>
              <w:numPr>
                <w:ilvl w:val="0"/>
                <w:numId w:val="0"/>
              </w:numPr>
              <w:ind w:left="720"/>
              <w:rPr>
                <w:szCs w:val="22"/>
              </w:rPr>
            </w:pPr>
          </w:p>
        </w:tc>
        <w:tc>
          <w:tcPr>
            <w:tcW w:w="3157" w:type="dxa"/>
          </w:tcPr>
          <w:p w:rsidR="00EB2C93" w:rsidRPr="0059512C" w:rsidP="00376B4A">
            <w:pPr>
              <w:pStyle w:val="ParaNum"/>
              <w:numPr>
                <w:ilvl w:val="0"/>
                <w:numId w:val="0"/>
              </w:numPr>
              <w:ind w:left="720"/>
              <w:rPr>
                <w:szCs w:val="22"/>
              </w:rPr>
            </w:pPr>
          </w:p>
        </w:tc>
      </w:tr>
      <w:tr w:rsidTr="00376B4A">
        <w:tblPrEx>
          <w:tblW w:w="0" w:type="auto"/>
          <w:tblInd w:w="270" w:type="dxa"/>
          <w:tblLook w:val="04A0"/>
        </w:tblPrEx>
        <w:tc>
          <w:tcPr>
            <w:tcW w:w="3235" w:type="dxa"/>
          </w:tcPr>
          <w:p w:rsidR="00EB2C93" w:rsidRPr="000D74F8" w:rsidP="00376B4A">
            <w:pPr>
              <w:pStyle w:val="ParaNum"/>
              <w:numPr>
                <w:ilvl w:val="0"/>
                <w:numId w:val="0"/>
              </w:numPr>
              <w:rPr>
                <w:bCs/>
                <w:szCs w:val="22"/>
              </w:rPr>
            </w:pPr>
            <w:r w:rsidRPr="000D74F8">
              <w:rPr>
                <w:bCs/>
                <w:szCs w:val="22"/>
              </w:rPr>
              <w:t>Initial application, single site</w:t>
            </w:r>
          </w:p>
        </w:tc>
        <w:tc>
          <w:tcPr>
            <w:tcW w:w="2520" w:type="dxa"/>
          </w:tcPr>
          <w:p w:rsidR="00EB2C93" w:rsidRPr="0059512C" w:rsidP="00376B4A">
            <w:pPr>
              <w:pStyle w:val="ParaNum"/>
              <w:numPr>
                <w:ilvl w:val="0"/>
                <w:numId w:val="0"/>
              </w:numPr>
              <w:ind w:left="720"/>
              <w:rPr>
                <w:szCs w:val="22"/>
              </w:rPr>
            </w:pPr>
            <w:r w:rsidRPr="0059512C">
              <w:rPr>
                <w:szCs w:val="22"/>
              </w:rPr>
              <w:t>$2,985</w:t>
            </w:r>
          </w:p>
        </w:tc>
        <w:tc>
          <w:tcPr>
            <w:tcW w:w="3157" w:type="dxa"/>
          </w:tcPr>
          <w:p w:rsidR="00EB2C93" w:rsidRPr="0059512C" w:rsidP="00376B4A">
            <w:pPr>
              <w:pStyle w:val="ParaNum"/>
              <w:numPr>
                <w:ilvl w:val="0"/>
                <w:numId w:val="0"/>
              </w:numPr>
              <w:ind w:left="720"/>
              <w:rPr>
                <w:szCs w:val="22"/>
              </w:rPr>
            </w:pPr>
            <w:r w:rsidRPr="0059512C">
              <w:rPr>
                <w:szCs w:val="22"/>
              </w:rPr>
              <w:t>$3</w:t>
            </w:r>
            <w:r w:rsidRPr="0059512C" w:rsidR="00956FCB">
              <w:rPr>
                <w:szCs w:val="22"/>
              </w:rPr>
              <w:t>60</w:t>
            </w:r>
            <w:r w:rsidRPr="0059512C">
              <w:rPr>
                <w:szCs w:val="22"/>
              </w:rPr>
              <w:t xml:space="preserve"> </w:t>
            </w:r>
          </w:p>
        </w:tc>
      </w:tr>
      <w:tr w:rsidTr="00376B4A">
        <w:tblPrEx>
          <w:tblW w:w="0" w:type="auto"/>
          <w:tblInd w:w="270" w:type="dxa"/>
          <w:tblLook w:val="04A0"/>
        </w:tblPrEx>
        <w:tc>
          <w:tcPr>
            <w:tcW w:w="3235" w:type="dxa"/>
          </w:tcPr>
          <w:p w:rsidR="00EB2C93" w:rsidRPr="000D74F8" w:rsidP="00376B4A">
            <w:pPr>
              <w:pStyle w:val="ParaNum"/>
              <w:numPr>
                <w:ilvl w:val="0"/>
                <w:numId w:val="0"/>
              </w:numPr>
              <w:rPr>
                <w:bCs/>
                <w:szCs w:val="22"/>
              </w:rPr>
            </w:pPr>
            <w:r w:rsidRPr="000D74F8">
              <w:rPr>
                <w:bCs/>
                <w:szCs w:val="22"/>
              </w:rPr>
              <w:t xml:space="preserve">Initial application, multiple sites </w:t>
            </w:r>
          </w:p>
        </w:tc>
        <w:tc>
          <w:tcPr>
            <w:tcW w:w="2520" w:type="dxa"/>
          </w:tcPr>
          <w:p w:rsidR="00EB2C93" w:rsidRPr="0059512C" w:rsidP="00376B4A">
            <w:pPr>
              <w:pStyle w:val="ParaNum"/>
              <w:numPr>
                <w:ilvl w:val="0"/>
                <w:numId w:val="0"/>
              </w:numPr>
              <w:ind w:left="720"/>
              <w:rPr>
                <w:szCs w:val="22"/>
              </w:rPr>
            </w:pPr>
            <w:r w:rsidRPr="0059512C">
              <w:rPr>
                <w:szCs w:val="22"/>
              </w:rPr>
              <w:t>n/a</w:t>
            </w:r>
          </w:p>
        </w:tc>
        <w:tc>
          <w:tcPr>
            <w:tcW w:w="3157" w:type="dxa"/>
          </w:tcPr>
          <w:p w:rsidR="00EB2C93" w:rsidRPr="0059512C" w:rsidP="00376B4A">
            <w:pPr>
              <w:pStyle w:val="ParaNum"/>
              <w:numPr>
                <w:ilvl w:val="0"/>
                <w:numId w:val="0"/>
              </w:numPr>
              <w:ind w:left="720"/>
              <w:rPr>
                <w:szCs w:val="22"/>
              </w:rPr>
            </w:pPr>
            <w:r w:rsidRPr="0059512C">
              <w:rPr>
                <w:szCs w:val="22"/>
              </w:rPr>
              <w:t>$6,</w:t>
            </w:r>
            <w:r w:rsidRPr="0059512C" w:rsidR="00956FCB">
              <w:rPr>
                <w:szCs w:val="22"/>
              </w:rPr>
              <w:t>515</w:t>
            </w:r>
            <w:r w:rsidRPr="0059512C">
              <w:rPr>
                <w:szCs w:val="22"/>
              </w:rPr>
              <w:t xml:space="preserve"> </w:t>
            </w:r>
          </w:p>
        </w:tc>
      </w:tr>
      <w:tr w:rsidTr="00376B4A">
        <w:tblPrEx>
          <w:tblW w:w="0" w:type="auto"/>
          <w:tblInd w:w="270" w:type="dxa"/>
          <w:tblLook w:val="04A0"/>
        </w:tblPrEx>
        <w:tc>
          <w:tcPr>
            <w:tcW w:w="3235" w:type="dxa"/>
          </w:tcPr>
          <w:p w:rsidR="00EB2C93" w:rsidRPr="0060706A" w:rsidP="00376B4A">
            <w:pPr>
              <w:pStyle w:val="ParaNum"/>
              <w:numPr>
                <w:ilvl w:val="0"/>
                <w:numId w:val="0"/>
              </w:numPr>
            </w:pPr>
            <w:r w:rsidRPr="0060706A">
              <w:t xml:space="preserve">Fixed Satellite transmit/receive Earth Stations (2 meters or less </w:t>
            </w:r>
            <w:r w:rsidRPr="0060706A">
              <w:t>operating in the 4/6 GHz band)</w:t>
            </w:r>
          </w:p>
        </w:tc>
        <w:tc>
          <w:tcPr>
            <w:tcW w:w="2520" w:type="dxa"/>
          </w:tcPr>
          <w:p w:rsidR="00EB2C93" w:rsidRPr="0059512C" w:rsidP="00376B4A">
            <w:pPr>
              <w:pStyle w:val="ParaNum"/>
              <w:numPr>
                <w:ilvl w:val="0"/>
                <w:numId w:val="0"/>
              </w:numPr>
              <w:ind w:left="720"/>
              <w:rPr>
                <w:szCs w:val="22"/>
              </w:rPr>
            </w:pPr>
            <w:r w:rsidRPr="0059512C">
              <w:rPr>
                <w:szCs w:val="22"/>
              </w:rPr>
              <w:t>$6,615</w:t>
            </w:r>
          </w:p>
        </w:tc>
        <w:tc>
          <w:tcPr>
            <w:tcW w:w="3157" w:type="dxa"/>
          </w:tcPr>
          <w:p w:rsidR="00EB2C93" w:rsidRPr="0059512C" w:rsidP="00376B4A">
            <w:pPr>
              <w:pStyle w:val="ParaNum"/>
              <w:numPr>
                <w:ilvl w:val="0"/>
                <w:numId w:val="0"/>
              </w:numPr>
              <w:rPr>
                <w:szCs w:val="22"/>
              </w:rPr>
            </w:pPr>
            <w:r w:rsidRPr="0059512C">
              <w:rPr>
                <w:szCs w:val="22"/>
              </w:rPr>
              <w:t>Eliminate (use Fixed or Temporary Fixed Transmit or Transmit/Receive Earth Stations, per Call Sign)</w:t>
            </w:r>
          </w:p>
        </w:tc>
      </w:tr>
      <w:tr w:rsidTr="00376B4A">
        <w:tblPrEx>
          <w:tblW w:w="0" w:type="auto"/>
          <w:tblInd w:w="270" w:type="dxa"/>
          <w:tblLook w:val="04A0"/>
        </w:tblPrEx>
        <w:tc>
          <w:tcPr>
            <w:tcW w:w="3235" w:type="dxa"/>
          </w:tcPr>
          <w:p w:rsidR="00EB2C93" w:rsidRPr="0060706A" w:rsidP="00376B4A">
            <w:pPr>
              <w:pStyle w:val="ParaNum"/>
              <w:numPr>
                <w:ilvl w:val="0"/>
                <w:numId w:val="0"/>
              </w:numPr>
            </w:pPr>
            <w:r w:rsidRPr="0060706A">
              <w:t>Receive Only Earth Stations License or Registration, per Call Sign or Registration</w:t>
            </w:r>
          </w:p>
        </w:tc>
        <w:tc>
          <w:tcPr>
            <w:tcW w:w="2520" w:type="dxa"/>
          </w:tcPr>
          <w:p w:rsidR="00EB2C93" w:rsidRPr="0059512C" w:rsidP="00376B4A">
            <w:pPr>
              <w:pStyle w:val="ParaNum"/>
              <w:numPr>
                <w:ilvl w:val="0"/>
                <w:numId w:val="0"/>
              </w:numPr>
              <w:ind w:left="720"/>
              <w:rPr>
                <w:szCs w:val="22"/>
              </w:rPr>
            </w:pPr>
          </w:p>
        </w:tc>
        <w:tc>
          <w:tcPr>
            <w:tcW w:w="3157" w:type="dxa"/>
          </w:tcPr>
          <w:p w:rsidR="00EB2C93" w:rsidRPr="0059512C" w:rsidP="00376B4A">
            <w:pPr>
              <w:pStyle w:val="ParaNum"/>
              <w:numPr>
                <w:ilvl w:val="0"/>
                <w:numId w:val="0"/>
              </w:numPr>
              <w:ind w:left="720"/>
              <w:rPr>
                <w:szCs w:val="22"/>
              </w:rPr>
            </w:pPr>
          </w:p>
        </w:tc>
      </w:tr>
      <w:tr w:rsidTr="00376B4A">
        <w:tblPrEx>
          <w:tblW w:w="0" w:type="auto"/>
          <w:tblInd w:w="270" w:type="dxa"/>
          <w:tblLook w:val="04A0"/>
        </w:tblPrEx>
        <w:tc>
          <w:tcPr>
            <w:tcW w:w="3235" w:type="dxa"/>
          </w:tcPr>
          <w:p w:rsidR="00EB2C93" w:rsidRPr="0060706A" w:rsidP="00376B4A">
            <w:pPr>
              <w:pStyle w:val="ParaNum"/>
              <w:numPr>
                <w:ilvl w:val="0"/>
                <w:numId w:val="0"/>
              </w:numPr>
            </w:pPr>
            <w:r w:rsidRPr="000D74F8">
              <w:rPr>
                <w:bCs/>
                <w:szCs w:val="22"/>
              </w:rPr>
              <w:t>Initial application or registra</w:t>
            </w:r>
            <w:r w:rsidRPr="000D74F8">
              <w:rPr>
                <w:bCs/>
                <w:szCs w:val="22"/>
              </w:rPr>
              <w:t>tion, single site, per site</w:t>
            </w:r>
          </w:p>
        </w:tc>
        <w:tc>
          <w:tcPr>
            <w:tcW w:w="2520" w:type="dxa"/>
          </w:tcPr>
          <w:p w:rsidR="00EB2C93" w:rsidRPr="0059512C" w:rsidP="00376B4A">
            <w:pPr>
              <w:pStyle w:val="ParaNum"/>
              <w:numPr>
                <w:ilvl w:val="0"/>
                <w:numId w:val="0"/>
              </w:numPr>
              <w:ind w:left="720"/>
              <w:rPr>
                <w:szCs w:val="22"/>
              </w:rPr>
            </w:pPr>
            <w:r w:rsidRPr="0059512C">
              <w:rPr>
                <w:szCs w:val="22"/>
              </w:rPr>
              <w:t>$450</w:t>
            </w:r>
          </w:p>
        </w:tc>
        <w:tc>
          <w:tcPr>
            <w:tcW w:w="3157" w:type="dxa"/>
          </w:tcPr>
          <w:p w:rsidR="00EB2C93" w:rsidRPr="0059512C" w:rsidP="00376B4A">
            <w:pPr>
              <w:pStyle w:val="ParaNum"/>
              <w:numPr>
                <w:ilvl w:val="0"/>
                <w:numId w:val="0"/>
              </w:numPr>
              <w:ind w:left="720"/>
              <w:rPr>
                <w:szCs w:val="22"/>
              </w:rPr>
            </w:pPr>
            <w:r w:rsidRPr="0059512C">
              <w:rPr>
                <w:szCs w:val="22"/>
              </w:rPr>
              <w:t>$17</w:t>
            </w:r>
            <w:r w:rsidRPr="0059512C" w:rsidR="00956FCB">
              <w:rPr>
                <w:szCs w:val="22"/>
              </w:rPr>
              <w:t>5</w:t>
            </w:r>
            <w:r w:rsidRPr="0059512C">
              <w:rPr>
                <w:szCs w:val="22"/>
              </w:rPr>
              <w:t xml:space="preserve"> </w:t>
            </w:r>
          </w:p>
        </w:tc>
      </w:tr>
      <w:tr w:rsidTr="00376B4A">
        <w:tblPrEx>
          <w:tblW w:w="0" w:type="auto"/>
          <w:tblInd w:w="270" w:type="dxa"/>
          <w:tblLook w:val="04A0"/>
        </w:tblPrEx>
        <w:tc>
          <w:tcPr>
            <w:tcW w:w="3235" w:type="dxa"/>
          </w:tcPr>
          <w:p w:rsidR="00EB2C93" w:rsidRPr="000D74F8" w:rsidP="00376B4A">
            <w:pPr>
              <w:pStyle w:val="ParaNum"/>
              <w:numPr>
                <w:ilvl w:val="0"/>
                <w:numId w:val="0"/>
              </w:numPr>
              <w:rPr>
                <w:bCs/>
                <w:szCs w:val="22"/>
              </w:rPr>
            </w:pPr>
            <w:r w:rsidRPr="000D74F8">
              <w:rPr>
                <w:bCs/>
                <w:szCs w:val="22"/>
              </w:rPr>
              <w:t>Initial application or registration, multiple sites, per system</w:t>
            </w:r>
          </w:p>
        </w:tc>
        <w:tc>
          <w:tcPr>
            <w:tcW w:w="2520" w:type="dxa"/>
          </w:tcPr>
          <w:p w:rsidR="00EB2C93" w:rsidRPr="0059512C" w:rsidP="00376B4A">
            <w:pPr>
              <w:pStyle w:val="ParaNum"/>
              <w:numPr>
                <w:ilvl w:val="0"/>
                <w:numId w:val="0"/>
              </w:numPr>
              <w:ind w:left="720"/>
              <w:rPr>
                <w:szCs w:val="22"/>
              </w:rPr>
            </w:pPr>
            <w:r w:rsidRPr="0059512C">
              <w:rPr>
                <w:szCs w:val="22"/>
              </w:rPr>
              <w:t>n/a</w:t>
            </w:r>
          </w:p>
        </w:tc>
        <w:tc>
          <w:tcPr>
            <w:tcW w:w="3157" w:type="dxa"/>
          </w:tcPr>
          <w:p w:rsidR="00EB2C93" w:rsidRPr="0059512C" w:rsidP="00376B4A">
            <w:pPr>
              <w:pStyle w:val="ParaNum"/>
              <w:numPr>
                <w:ilvl w:val="0"/>
                <w:numId w:val="0"/>
              </w:numPr>
              <w:ind w:left="720"/>
              <w:rPr>
                <w:szCs w:val="22"/>
              </w:rPr>
            </w:pPr>
            <w:r w:rsidRPr="0059512C">
              <w:rPr>
                <w:szCs w:val="22"/>
              </w:rPr>
              <w:t>$4</w:t>
            </w:r>
            <w:r w:rsidRPr="0059512C" w:rsidR="00956FCB">
              <w:rPr>
                <w:szCs w:val="22"/>
              </w:rPr>
              <w:t>65</w:t>
            </w:r>
            <w:r w:rsidRPr="0059512C">
              <w:rPr>
                <w:szCs w:val="22"/>
              </w:rPr>
              <w:t xml:space="preserve"> </w:t>
            </w:r>
          </w:p>
        </w:tc>
      </w:tr>
      <w:tr w:rsidTr="00376B4A">
        <w:tblPrEx>
          <w:tblW w:w="0" w:type="auto"/>
          <w:tblInd w:w="270" w:type="dxa"/>
          <w:tblLook w:val="04A0"/>
        </w:tblPrEx>
        <w:tc>
          <w:tcPr>
            <w:tcW w:w="3235" w:type="dxa"/>
          </w:tcPr>
          <w:p w:rsidR="00EB2C93" w:rsidRPr="0060706A" w:rsidP="00376B4A">
            <w:pPr>
              <w:pStyle w:val="ParaNum"/>
              <w:numPr>
                <w:ilvl w:val="0"/>
                <w:numId w:val="0"/>
              </w:numPr>
            </w:pPr>
            <w:r w:rsidRPr="0060706A">
              <w:t>Fixed Satellite Very Small Aperture Terminal (VSAT) Systems, per Call Sign</w:t>
            </w:r>
          </w:p>
        </w:tc>
        <w:tc>
          <w:tcPr>
            <w:tcW w:w="2520" w:type="dxa"/>
          </w:tcPr>
          <w:p w:rsidR="00EB2C93" w:rsidRPr="0059512C" w:rsidP="00376B4A">
            <w:pPr>
              <w:pStyle w:val="ParaNum"/>
              <w:numPr>
                <w:ilvl w:val="0"/>
                <w:numId w:val="0"/>
              </w:numPr>
              <w:ind w:left="720"/>
              <w:rPr>
                <w:szCs w:val="22"/>
              </w:rPr>
            </w:pPr>
            <w:r w:rsidRPr="0059512C">
              <w:rPr>
                <w:szCs w:val="22"/>
              </w:rPr>
              <w:t>$11,015</w:t>
            </w:r>
          </w:p>
        </w:tc>
        <w:tc>
          <w:tcPr>
            <w:tcW w:w="3157" w:type="dxa"/>
          </w:tcPr>
          <w:p w:rsidR="00EB2C93" w:rsidRPr="0059512C" w:rsidP="00376B4A">
            <w:pPr>
              <w:pStyle w:val="ParaNum"/>
              <w:numPr>
                <w:ilvl w:val="0"/>
                <w:numId w:val="0"/>
              </w:numPr>
              <w:ind w:left="720"/>
              <w:rPr>
                <w:szCs w:val="22"/>
              </w:rPr>
            </w:pPr>
            <w:r w:rsidRPr="0059512C">
              <w:rPr>
                <w:szCs w:val="22"/>
              </w:rPr>
              <w:t>Eliminate (use Blanket Earth Stations, per Call Sign)</w:t>
            </w:r>
          </w:p>
        </w:tc>
      </w:tr>
      <w:tr w:rsidTr="00376B4A">
        <w:tblPrEx>
          <w:tblW w:w="0" w:type="auto"/>
          <w:tblInd w:w="270" w:type="dxa"/>
          <w:tblLook w:val="04A0"/>
        </w:tblPrEx>
        <w:tc>
          <w:tcPr>
            <w:tcW w:w="3235" w:type="dxa"/>
          </w:tcPr>
          <w:p w:rsidR="00EB2C93" w:rsidRPr="000D74F8" w:rsidP="00376B4A">
            <w:pPr>
              <w:pStyle w:val="ParaNum"/>
              <w:numPr>
                <w:ilvl w:val="0"/>
                <w:numId w:val="0"/>
              </w:numPr>
              <w:rPr>
                <w:bCs/>
                <w:szCs w:val="22"/>
              </w:rPr>
            </w:pPr>
            <w:r w:rsidRPr="0060706A">
              <w:t>Blanket Earth Stations, per Call Sign</w:t>
            </w:r>
          </w:p>
        </w:tc>
        <w:tc>
          <w:tcPr>
            <w:tcW w:w="2520" w:type="dxa"/>
          </w:tcPr>
          <w:p w:rsidR="00EB2C93" w:rsidRPr="0059512C" w:rsidP="00376B4A">
            <w:pPr>
              <w:pStyle w:val="ParaNum"/>
              <w:numPr>
                <w:ilvl w:val="0"/>
                <w:numId w:val="0"/>
              </w:numPr>
              <w:ind w:left="720"/>
              <w:rPr>
                <w:szCs w:val="22"/>
              </w:rPr>
            </w:pPr>
            <w:r w:rsidRPr="0059512C">
              <w:rPr>
                <w:szCs w:val="22"/>
              </w:rPr>
              <w:t>$11,015 for VSAT Systems</w:t>
            </w:r>
          </w:p>
        </w:tc>
        <w:tc>
          <w:tcPr>
            <w:tcW w:w="3157" w:type="dxa"/>
          </w:tcPr>
          <w:p w:rsidR="00EB2C93" w:rsidRPr="0059512C" w:rsidP="00376B4A">
            <w:pPr>
              <w:pStyle w:val="ParaNum"/>
              <w:numPr>
                <w:ilvl w:val="0"/>
                <w:numId w:val="0"/>
              </w:numPr>
              <w:ind w:left="720"/>
              <w:rPr>
                <w:szCs w:val="22"/>
              </w:rPr>
            </w:pPr>
            <w:r w:rsidRPr="0059512C">
              <w:rPr>
                <w:szCs w:val="22"/>
              </w:rPr>
              <w:t>$3</w:t>
            </w:r>
            <w:r w:rsidRPr="0059512C" w:rsidR="00956FCB">
              <w:rPr>
                <w:szCs w:val="22"/>
              </w:rPr>
              <w:t>6</w:t>
            </w:r>
            <w:r w:rsidRPr="0059512C">
              <w:rPr>
                <w:szCs w:val="22"/>
              </w:rPr>
              <w:t xml:space="preserve">0 </w:t>
            </w:r>
          </w:p>
        </w:tc>
      </w:tr>
      <w:tr w:rsidTr="00376B4A">
        <w:tblPrEx>
          <w:tblW w:w="0" w:type="auto"/>
          <w:tblInd w:w="270" w:type="dxa"/>
          <w:tblLook w:val="04A0"/>
        </w:tblPrEx>
        <w:tc>
          <w:tcPr>
            <w:tcW w:w="3235" w:type="dxa"/>
          </w:tcPr>
          <w:p w:rsidR="00EB2C93" w:rsidRPr="0060706A" w:rsidP="00376B4A">
            <w:pPr>
              <w:pStyle w:val="ParaNum"/>
              <w:numPr>
                <w:ilvl w:val="0"/>
                <w:numId w:val="0"/>
              </w:numPr>
            </w:pPr>
            <w:r w:rsidRPr="0060706A">
              <w:t>Mobile Earth Stations, per Call Sign</w:t>
            </w:r>
          </w:p>
        </w:tc>
        <w:tc>
          <w:tcPr>
            <w:tcW w:w="2520" w:type="dxa"/>
          </w:tcPr>
          <w:p w:rsidR="00EB2C93" w:rsidRPr="0059512C" w:rsidP="00376B4A">
            <w:pPr>
              <w:pStyle w:val="ParaNum"/>
              <w:numPr>
                <w:ilvl w:val="0"/>
                <w:numId w:val="0"/>
              </w:numPr>
              <w:ind w:left="720"/>
              <w:rPr>
                <w:szCs w:val="22"/>
              </w:rPr>
            </w:pPr>
          </w:p>
        </w:tc>
        <w:tc>
          <w:tcPr>
            <w:tcW w:w="3157" w:type="dxa"/>
          </w:tcPr>
          <w:p w:rsidR="00EB2C93" w:rsidRPr="0059512C" w:rsidP="00376B4A">
            <w:pPr>
              <w:pStyle w:val="ParaNum"/>
              <w:numPr>
                <w:ilvl w:val="0"/>
                <w:numId w:val="0"/>
              </w:numPr>
              <w:ind w:left="720"/>
              <w:rPr>
                <w:szCs w:val="22"/>
              </w:rPr>
            </w:pPr>
          </w:p>
        </w:tc>
      </w:tr>
      <w:tr w:rsidTr="00376B4A">
        <w:tblPrEx>
          <w:tblW w:w="0" w:type="auto"/>
          <w:tblInd w:w="270" w:type="dxa"/>
          <w:tblLook w:val="04A0"/>
        </w:tblPrEx>
        <w:tc>
          <w:tcPr>
            <w:tcW w:w="3235" w:type="dxa"/>
          </w:tcPr>
          <w:p w:rsidR="00EB2C93" w:rsidRPr="0059512C" w:rsidP="00376B4A">
            <w:pPr>
              <w:pStyle w:val="ParaNum"/>
              <w:numPr>
                <w:ilvl w:val="0"/>
                <w:numId w:val="0"/>
              </w:numPr>
              <w:rPr>
                <w:szCs w:val="22"/>
              </w:rPr>
            </w:pPr>
            <w:r w:rsidRPr="0059512C">
              <w:rPr>
                <w:szCs w:val="22"/>
              </w:rPr>
              <w:t xml:space="preserve">Initial Application for Blanket Authorization, per system, per </w:t>
            </w:r>
            <w:r w:rsidRPr="0059512C">
              <w:rPr>
                <w:szCs w:val="22"/>
              </w:rPr>
              <w:t>Cal Sign</w:t>
            </w:r>
          </w:p>
        </w:tc>
        <w:tc>
          <w:tcPr>
            <w:tcW w:w="2520" w:type="dxa"/>
          </w:tcPr>
          <w:p w:rsidR="00EB2C93" w:rsidRPr="0059512C" w:rsidP="00376B4A">
            <w:pPr>
              <w:pStyle w:val="ParaNum"/>
              <w:numPr>
                <w:ilvl w:val="0"/>
                <w:numId w:val="0"/>
              </w:numPr>
              <w:ind w:left="720"/>
              <w:rPr>
                <w:szCs w:val="22"/>
              </w:rPr>
            </w:pPr>
            <w:r w:rsidRPr="0059512C">
              <w:rPr>
                <w:szCs w:val="22"/>
              </w:rPr>
              <w:t>$11,015</w:t>
            </w:r>
          </w:p>
        </w:tc>
        <w:tc>
          <w:tcPr>
            <w:tcW w:w="3157" w:type="dxa"/>
          </w:tcPr>
          <w:p w:rsidR="00EB2C93" w:rsidRPr="0059512C" w:rsidP="00376B4A">
            <w:pPr>
              <w:pStyle w:val="ParaNum"/>
              <w:numPr>
                <w:ilvl w:val="0"/>
                <w:numId w:val="0"/>
              </w:numPr>
              <w:ind w:left="720"/>
              <w:rPr>
                <w:szCs w:val="22"/>
              </w:rPr>
            </w:pPr>
            <w:r w:rsidRPr="0059512C">
              <w:rPr>
                <w:szCs w:val="22"/>
              </w:rPr>
              <w:t>$</w:t>
            </w:r>
            <w:r w:rsidRPr="0059512C" w:rsidR="00956FCB">
              <w:rPr>
                <w:szCs w:val="22"/>
              </w:rPr>
              <w:t>815</w:t>
            </w:r>
            <w:r w:rsidRPr="0059512C">
              <w:rPr>
                <w:szCs w:val="22"/>
              </w:rPr>
              <w:t xml:space="preserve"> </w:t>
            </w:r>
          </w:p>
        </w:tc>
      </w:tr>
      <w:tr w:rsidTr="00376B4A">
        <w:tblPrEx>
          <w:tblW w:w="0" w:type="auto"/>
          <w:tblInd w:w="270" w:type="dxa"/>
          <w:tblLook w:val="04A0"/>
        </w:tblPrEx>
        <w:tc>
          <w:tcPr>
            <w:tcW w:w="3235" w:type="dxa"/>
          </w:tcPr>
          <w:p w:rsidR="00EB2C93" w:rsidRPr="0059512C" w:rsidP="00376B4A">
            <w:pPr>
              <w:pStyle w:val="ParaNum"/>
              <w:numPr>
                <w:ilvl w:val="0"/>
                <w:numId w:val="0"/>
              </w:numPr>
              <w:rPr>
                <w:szCs w:val="22"/>
              </w:rPr>
            </w:pPr>
            <w:r w:rsidRPr="0059512C">
              <w:rPr>
                <w:szCs w:val="22"/>
              </w:rPr>
              <w:t>Initial Application for Individual Earth Station</w:t>
            </w:r>
          </w:p>
        </w:tc>
        <w:tc>
          <w:tcPr>
            <w:tcW w:w="2520" w:type="dxa"/>
          </w:tcPr>
          <w:p w:rsidR="00EB2C93" w:rsidRPr="0059512C" w:rsidP="00376B4A">
            <w:pPr>
              <w:pStyle w:val="ParaNum"/>
              <w:numPr>
                <w:ilvl w:val="0"/>
                <w:numId w:val="0"/>
              </w:numPr>
              <w:ind w:left="720"/>
              <w:rPr>
                <w:szCs w:val="22"/>
              </w:rPr>
            </w:pPr>
            <w:r w:rsidRPr="0059512C">
              <w:rPr>
                <w:szCs w:val="22"/>
              </w:rPr>
              <w:t>$2,645</w:t>
            </w:r>
          </w:p>
        </w:tc>
        <w:tc>
          <w:tcPr>
            <w:tcW w:w="3157" w:type="dxa"/>
          </w:tcPr>
          <w:p w:rsidR="00EB2C93" w:rsidRPr="0059512C" w:rsidP="00376B4A">
            <w:pPr>
              <w:pStyle w:val="ParaNum"/>
              <w:numPr>
                <w:ilvl w:val="0"/>
                <w:numId w:val="0"/>
              </w:numPr>
              <w:ind w:left="720"/>
              <w:rPr>
                <w:szCs w:val="22"/>
              </w:rPr>
            </w:pPr>
            <w:r w:rsidRPr="0059512C">
              <w:rPr>
                <w:szCs w:val="22"/>
              </w:rPr>
              <w:t>Eliminate</w:t>
            </w:r>
          </w:p>
        </w:tc>
      </w:tr>
      <w:tr w:rsidTr="00376B4A">
        <w:tblPrEx>
          <w:tblW w:w="0" w:type="auto"/>
          <w:tblInd w:w="270" w:type="dxa"/>
          <w:tblLook w:val="04A0"/>
        </w:tblPrEx>
        <w:tc>
          <w:tcPr>
            <w:tcW w:w="3235" w:type="dxa"/>
          </w:tcPr>
          <w:p w:rsidR="00EB2C93" w:rsidRPr="0060706A" w:rsidP="00376B4A">
            <w:pPr>
              <w:pStyle w:val="ParaNum"/>
              <w:numPr>
                <w:ilvl w:val="0"/>
                <w:numId w:val="0"/>
              </w:numPr>
            </w:pPr>
            <w:r w:rsidRPr="0060706A">
              <w:t>Amendments to Earth Station Applications or Registrations</w:t>
            </w:r>
          </w:p>
        </w:tc>
        <w:tc>
          <w:tcPr>
            <w:tcW w:w="2520" w:type="dxa"/>
          </w:tcPr>
          <w:p w:rsidR="00EB2C93" w:rsidRPr="0059512C" w:rsidP="00376B4A">
            <w:pPr>
              <w:pStyle w:val="ParaNum"/>
              <w:numPr>
                <w:ilvl w:val="0"/>
                <w:numId w:val="0"/>
              </w:numPr>
              <w:ind w:left="720"/>
              <w:rPr>
                <w:szCs w:val="22"/>
              </w:rPr>
            </w:pPr>
          </w:p>
        </w:tc>
        <w:tc>
          <w:tcPr>
            <w:tcW w:w="3157" w:type="dxa"/>
          </w:tcPr>
          <w:p w:rsidR="00EB2C93" w:rsidRPr="0059512C" w:rsidP="00376B4A">
            <w:pPr>
              <w:pStyle w:val="ParaNum"/>
              <w:numPr>
                <w:ilvl w:val="0"/>
                <w:numId w:val="0"/>
              </w:numPr>
              <w:ind w:left="720"/>
              <w:rPr>
                <w:szCs w:val="22"/>
              </w:rPr>
            </w:pPr>
          </w:p>
        </w:tc>
      </w:tr>
      <w:tr w:rsidTr="00376B4A">
        <w:tblPrEx>
          <w:tblW w:w="0" w:type="auto"/>
          <w:tblInd w:w="270" w:type="dxa"/>
          <w:tblLook w:val="04A0"/>
        </w:tblPrEx>
        <w:tc>
          <w:tcPr>
            <w:tcW w:w="3235" w:type="dxa"/>
          </w:tcPr>
          <w:p w:rsidR="00EB2C93" w:rsidRPr="000D74F8" w:rsidP="00376B4A">
            <w:pPr>
              <w:pStyle w:val="ParaNum"/>
              <w:numPr>
                <w:ilvl w:val="0"/>
                <w:numId w:val="0"/>
              </w:numPr>
              <w:rPr>
                <w:bCs/>
                <w:szCs w:val="22"/>
              </w:rPr>
            </w:pPr>
            <w:r w:rsidRPr="000D74F8">
              <w:rPr>
                <w:bCs/>
                <w:szCs w:val="22"/>
              </w:rPr>
              <w:t>Single Site</w:t>
            </w:r>
          </w:p>
        </w:tc>
        <w:tc>
          <w:tcPr>
            <w:tcW w:w="2520" w:type="dxa"/>
          </w:tcPr>
          <w:p w:rsidR="00EB2C93" w:rsidRPr="0059512C" w:rsidP="00376B4A">
            <w:pPr>
              <w:pStyle w:val="ParaNum"/>
              <w:numPr>
                <w:ilvl w:val="0"/>
                <w:numId w:val="0"/>
              </w:numPr>
              <w:ind w:left="720"/>
              <w:rPr>
                <w:szCs w:val="22"/>
              </w:rPr>
            </w:pPr>
            <w:r w:rsidRPr="0059512C">
              <w:rPr>
                <w:szCs w:val="22"/>
              </w:rPr>
              <w:t>$210</w:t>
            </w:r>
          </w:p>
        </w:tc>
        <w:tc>
          <w:tcPr>
            <w:tcW w:w="3157" w:type="dxa"/>
          </w:tcPr>
          <w:p w:rsidR="00EB2C93" w:rsidRPr="0059512C" w:rsidP="00376B4A">
            <w:pPr>
              <w:pStyle w:val="ParaNum"/>
              <w:numPr>
                <w:ilvl w:val="0"/>
                <w:numId w:val="0"/>
              </w:numPr>
              <w:ind w:left="720"/>
              <w:rPr>
                <w:szCs w:val="22"/>
              </w:rPr>
            </w:pPr>
            <w:r w:rsidRPr="0059512C">
              <w:rPr>
                <w:szCs w:val="22"/>
              </w:rPr>
              <w:t>$4</w:t>
            </w:r>
            <w:r w:rsidRPr="0059512C" w:rsidR="00956FCB">
              <w:rPr>
                <w:szCs w:val="22"/>
              </w:rPr>
              <w:t>30</w:t>
            </w:r>
            <w:r w:rsidRPr="0059512C">
              <w:rPr>
                <w:szCs w:val="22"/>
              </w:rPr>
              <w:t xml:space="preserve"> </w:t>
            </w:r>
          </w:p>
        </w:tc>
      </w:tr>
      <w:tr w:rsidTr="00376B4A">
        <w:tblPrEx>
          <w:tblW w:w="0" w:type="auto"/>
          <w:tblInd w:w="270" w:type="dxa"/>
          <w:tblLook w:val="04A0"/>
        </w:tblPrEx>
        <w:tc>
          <w:tcPr>
            <w:tcW w:w="3235" w:type="dxa"/>
          </w:tcPr>
          <w:p w:rsidR="00EB2C93" w:rsidRPr="000D74F8" w:rsidP="00376B4A">
            <w:pPr>
              <w:pStyle w:val="ParaNum"/>
              <w:numPr>
                <w:ilvl w:val="0"/>
                <w:numId w:val="0"/>
              </w:numPr>
              <w:rPr>
                <w:bCs/>
                <w:szCs w:val="22"/>
              </w:rPr>
            </w:pPr>
            <w:r w:rsidRPr="000D74F8">
              <w:rPr>
                <w:bCs/>
                <w:szCs w:val="22"/>
              </w:rPr>
              <w:t>Multiple Sites</w:t>
            </w:r>
          </w:p>
        </w:tc>
        <w:tc>
          <w:tcPr>
            <w:tcW w:w="2520" w:type="dxa"/>
          </w:tcPr>
          <w:p w:rsidR="00EB2C93" w:rsidRPr="0059512C" w:rsidP="00376B4A">
            <w:pPr>
              <w:pStyle w:val="ParaNum"/>
              <w:numPr>
                <w:ilvl w:val="0"/>
                <w:numId w:val="0"/>
              </w:numPr>
              <w:ind w:left="720"/>
              <w:rPr>
                <w:szCs w:val="22"/>
              </w:rPr>
            </w:pPr>
            <w:r w:rsidRPr="0059512C">
              <w:rPr>
                <w:szCs w:val="22"/>
              </w:rPr>
              <w:t>$210</w:t>
            </w:r>
          </w:p>
        </w:tc>
        <w:tc>
          <w:tcPr>
            <w:tcW w:w="3157" w:type="dxa"/>
          </w:tcPr>
          <w:p w:rsidR="00EB2C93" w:rsidRPr="0059512C" w:rsidP="00376B4A">
            <w:pPr>
              <w:pStyle w:val="ParaNum"/>
              <w:numPr>
                <w:ilvl w:val="0"/>
                <w:numId w:val="0"/>
              </w:numPr>
              <w:ind w:left="720"/>
              <w:rPr>
                <w:szCs w:val="22"/>
              </w:rPr>
            </w:pPr>
            <w:r w:rsidRPr="0059512C">
              <w:rPr>
                <w:szCs w:val="22"/>
              </w:rPr>
              <w:t>$6</w:t>
            </w:r>
            <w:r w:rsidRPr="0059512C" w:rsidR="00956FCB">
              <w:rPr>
                <w:szCs w:val="22"/>
              </w:rPr>
              <w:t>3</w:t>
            </w:r>
            <w:r w:rsidRPr="0059512C">
              <w:rPr>
                <w:szCs w:val="22"/>
              </w:rPr>
              <w:t xml:space="preserve">0 </w:t>
            </w:r>
          </w:p>
        </w:tc>
      </w:tr>
      <w:tr w:rsidTr="00376B4A">
        <w:tblPrEx>
          <w:tblW w:w="0" w:type="auto"/>
          <w:tblInd w:w="270" w:type="dxa"/>
          <w:tblLook w:val="04A0"/>
        </w:tblPrEx>
        <w:tc>
          <w:tcPr>
            <w:tcW w:w="3235" w:type="dxa"/>
          </w:tcPr>
          <w:p w:rsidR="00EB2C93" w:rsidRPr="0060706A" w:rsidP="00376B4A">
            <w:pPr>
              <w:pStyle w:val="ParaNum"/>
              <w:numPr>
                <w:ilvl w:val="0"/>
                <w:numId w:val="0"/>
              </w:numPr>
            </w:pPr>
            <w:r w:rsidRPr="0060706A">
              <w:t>Modification of Earth Station Licenses or Registrations, per Call Sign</w:t>
            </w:r>
          </w:p>
        </w:tc>
        <w:tc>
          <w:tcPr>
            <w:tcW w:w="2520" w:type="dxa"/>
          </w:tcPr>
          <w:p w:rsidR="00EB2C93" w:rsidRPr="0059512C" w:rsidP="00376B4A">
            <w:pPr>
              <w:pStyle w:val="ParaNum"/>
              <w:numPr>
                <w:ilvl w:val="0"/>
                <w:numId w:val="0"/>
              </w:numPr>
              <w:ind w:left="720"/>
              <w:rPr>
                <w:szCs w:val="22"/>
              </w:rPr>
            </w:pPr>
            <w:r w:rsidRPr="0059512C">
              <w:rPr>
                <w:szCs w:val="22"/>
              </w:rPr>
              <w:t>$210</w:t>
            </w:r>
          </w:p>
        </w:tc>
        <w:tc>
          <w:tcPr>
            <w:tcW w:w="3157" w:type="dxa"/>
          </w:tcPr>
          <w:p w:rsidR="00EB2C93" w:rsidRPr="0059512C" w:rsidP="00376B4A">
            <w:pPr>
              <w:pStyle w:val="ParaNum"/>
              <w:numPr>
                <w:ilvl w:val="0"/>
                <w:numId w:val="0"/>
              </w:numPr>
              <w:ind w:left="720"/>
              <w:rPr>
                <w:szCs w:val="22"/>
              </w:rPr>
            </w:pPr>
            <w:r w:rsidRPr="0059512C">
              <w:rPr>
                <w:szCs w:val="22"/>
              </w:rPr>
              <w:t>$5</w:t>
            </w:r>
            <w:r w:rsidRPr="0059512C" w:rsidR="00956FCB">
              <w:rPr>
                <w:szCs w:val="22"/>
              </w:rPr>
              <w:t>45</w:t>
            </w:r>
            <w:r w:rsidRPr="0059512C">
              <w:rPr>
                <w:szCs w:val="22"/>
              </w:rPr>
              <w:t xml:space="preserve"> </w:t>
            </w:r>
          </w:p>
        </w:tc>
      </w:tr>
      <w:tr w:rsidTr="00376B4A">
        <w:tblPrEx>
          <w:tblW w:w="0" w:type="auto"/>
          <w:tblInd w:w="270" w:type="dxa"/>
          <w:tblLook w:val="04A0"/>
        </w:tblPrEx>
        <w:tc>
          <w:tcPr>
            <w:tcW w:w="3235" w:type="dxa"/>
          </w:tcPr>
          <w:p w:rsidR="00EB2C93" w:rsidRPr="0060706A" w:rsidP="00376B4A">
            <w:pPr>
              <w:pStyle w:val="ParaNum"/>
              <w:numPr>
                <w:ilvl w:val="0"/>
                <w:numId w:val="0"/>
              </w:numPr>
            </w:pPr>
            <w:r w:rsidRPr="0060706A">
              <w:t xml:space="preserve">Assignment or Transfer of Control of </w:t>
            </w:r>
            <w:r w:rsidRPr="0060706A">
              <w:t>Earth Station Licenses or Registrations, per Call Sign</w:t>
            </w:r>
          </w:p>
        </w:tc>
        <w:tc>
          <w:tcPr>
            <w:tcW w:w="2520" w:type="dxa"/>
          </w:tcPr>
          <w:p w:rsidR="00EB2C93" w:rsidRPr="0059512C" w:rsidP="00376B4A">
            <w:pPr>
              <w:pStyle w:val="ParaNum"/>
              <w:numPr>
                <w:ilvl w:val="0"/>
                <w:numId w:val="0"/>
              </w:numPr>
              <w:ind w:left="720"/>
              <w:rPr>
                <w:szCs w:val="22"/>
              </w:rPr>
            </w:pPr>
            <w:r w:rsidRPr="0059512C">
              <w:rPr>
                <w:szCs w:val="22"/>
              </w:rPr>
              <w:t>$590 to $2,945</w:t>
            </w:r>
          </w:p>
        </w:tc>
        <w:tc>
          <w:tcPr>
            <w:tcW w:w="3157" w:type="dxa"/>
          </w:tcPr>
          <w:p w:rsidR="00EB2C93" w:rsidRPr="0059512C" w:rsidP="00376B4A">
            <w:pPr>
              <w:pStyle w:val="ParaNum"/>
              <w:numPr>
                <w:ilvl w:val="0"/>
                <w:numId w:val="0"/>
              </w:numPr>
              <w:ind w:left="720"/>
              <w:rPr>
                <w:szCs w:val="22"/>
              </w:rPr>
            </w:pPr>
            <w:r w:rsidRPr="0059512C">
              <w:rPr>
                <w:szCs w:val="22"/>
              </w:rPr>
              <w:t>$7</w:t>
            </w:r>
            <w:r w:rsidRPr="0059512C" w:rsidR="00956FCB">
              <w:rPr>
                <w:szCs w:val="22"/>
              </w:rPr>
              <w:t>45</w:t>
            </w:r>
            <w:r w:rsidRPr="0059512C">
              <w:rPr>
                <w:szCs w:val="22"/>
              </w:rPr>
              <w:t xml:space="preserve"> </w:t>
            </w:r>
          </w:p>
        </w:tc>
      </w:tr>
      <w:tr w:rsidTr="00376B4A">
        <w:tblPrEx>
          <w:tblW w:w="0" w:type="auto"/>
          <w:tblInd w:w="270" w:type="dxa"/>
          <w:tblLook w:val="04A0"/>
        </w:tblPrEx>
        <w:tc>
          <w:tcPr>
            <w:tcW w:w="3235" w:type="dxa"/>
          </w:tcPr>
          <w:p w:rsidR="00EB2C93" w:rsidRPr="0060706A" w:rsidP="00376B4A">
            <w:pPr>
              <w:pStyle w:val="ParaNum"/>
              <w:numPr>
                <w:ilvl w:val="0"/>
                <w:numId w:val="0"/>
              </w:numPr>
            </w:pPr>
            <w:r w:rsidRPr="0060706A">
              <w:t>Pro Forma Assignment or Transfer of Control of Earth Station Licenses or Registrations, per Call Sign</w:t>
            </w:r>
          </w:p>
        </w:tc>
        <w:tc>
          <w:tcPr>
            <w:tcW w:w="2520" w:type="dxa"/>
          </w:tcPr>
          <w:p w:rsidR="00EB2C93" w:rsidRPr="0059512C" w:rsidP="00376B4A">
            <w:pPr>
              <w:pStyle w:val="ParaNum"/>
              <w:numPr>
                <w:ilvl w:val="0"/>
                <w:numId w:val="0"/>
              </w:numPr>
              <w:ind w:left="720"/>
              <w:rPr>
                <w:szCs w:val="22"/>
              </w:rPr>
            </w:pPr>
            <w:r w:rsidRPr="0059512C">
              <w:rPr>
                <w:szCs w:val="22"/>
              </w:rPr>
              <w:t>n/a</w:t>
            </w:r>
          </w:p>
        </w:tc>
        <w:tc>
          <w:tcPr>
            <w:tcW w:w="3157" w:type="dxa"/>
          </w:tcPr>
          <w:p w:rsidR="00EB2C93" w:rsidRPr="0059512C" w:rsidP="00376B4A">
            <w:pPr>
              <w:pStyle w:val="ParaNum"/>
              <w:numPr>
                <w:ilvl w:val="0"/>
                <w:numId w:val="0"/>
              </w:numPr>
              <w:ind w:left="720"/>
              <w:rPr>
                <w:szCs w:val="22"/>
              </w:rPr>
            </w:pPr>
            <w:r w:rsidRPr="0059512C">
              <w:rPr>
                <w:szCs w:val="22"/>
              </w:rPr>
              <w:t>$</w:t>
            </w:r>
            <w:r w:rsidRPr="0059512C" w:rsidR="00956FCB">
              <w:rPr>
                <w:szCs w:val="22"/>
              </w:rPr>
              <w:t>400</w:t>
            </w:r>
            <w:r w:rsidRPr="0059512C">
              <w:rPr>
                <w:szCs w:val="22"/>
              </w:rPr>
              <w:t xml:space="preserve"> </w:t>
            </w:r>
          </w:p>
        </w:tc>
      </w:tr>
      <w:tr w:rsidTr="00376B4A">
        <w:tblPrEx>
          <w:tblW w:w="0" w:type="auto"/>
          <w:tblInd w:w="270" w:type="dxa"/>
          <w:tblLook w:val="04A0"/>
        </w:tblPrEx>
        <w:tc>
          <w:tcPr>
            <w:tcW w:w="3235" w:type="dxa"/>
          </w:tcPr>
          <w:p w:rsidR="00EB2C93" w:rsidRPr="0060706A" w:rsidP="00376B4A">
            <w:pPr>
              <w:pStyle w:val="ParaNum"/>
              <w:numPr>
                <w:ilvl w:val="0"/>
                <w:numId w:val="0"/>
              </w:numPr>
            </w:pPr>
            <w:r w:rsidRPr="0060706A">
              <w:t>Renewals of Earth Station Licenses, per Call Sign</w:t>
            </w:r>
          </w:p>
        </w:tc>
        <w:tc>
          <w:tcPr>
            <w:tcW w:w="2520" w:type="dxa"/>
          </w:tcPr>
          <w:p w:rsidR="00EB2C93" w:rsidRPr="0059512C" w:rsidP="00376B4A">
            <w:pPr>
              <w:pStyle w:val="ParaNum"/>
              <w:numPr>
                <w:ilvl w:val="0"/>
                <w:numId w:val="0"/>
              </w:numPr>
              <w:rPr>
                <w:szCs w:val="22"/>
              </w:rPr>
            </w:pPr>
          </w:p>
        </w:tc>
        <w:tc>
          <w:tcPr>
            <w:tcW w:w="3157" w:type="dxa"/>
          </w:tcPr>
          <w:p w:rsidR="00EB2C93" w:rsidRPr="0059512C" w:rsidP="00376B4A">
            <w:pPr>
              <w:pStyle w:val="ParaNum"/>
              <w:numPr>
                <w:ilvl w:val="0"/>
                <w:numId w:val="0"/>
              </w:numPr>
              <w:rPr>
                <w:szCs w:val="22"/>
              </w:rPr>
            </w:pPr>
          </w:p>
        </w:tc>
      </w:tr>
      <w:tr w:rsidTr="00376B4A">
        <w:tblPrEx>
          <w:tblW w:w="0" w:type="auto"/>
          <w:tblInd w:w="270" w:type="dxa"/>
          <w:tblLook w:val="04A0"/>
        </w:tblPrEx>
        <w:tc>
          <w:tcPr>
            <w:tcW w:w="3235" w:type="dxa"/>
          </w:tcPr>
          <w:p w:rsidR="00EB2C93" w:rsidRPr="0059512C" w:rsidP="00376B4A">
            <w:pPr>
              <w:pStyle w:val="ParaNum"/>
              <w:numPr>
                <w:ilvl w:val="0"/>
                <w:numId w:val="0"/>
              </w:numPr>
              <w:rPr>
                <w:szCs w:val="22"/>
              </w:rPr>
            </w:pPr>
            <w:r w:rsidRPr="0059512C">
              <w:rPr>
                <w:szCs w:val="22"/>
              </w:rPr>
              <w:t xml:space="preserve">Single </w:t>
            </w:r>
            <w:r w:rsidRPr="0059512C">
              <w:rPr>
                <w:szCs w:val="22"/>
              </w:rPr>
              <w:t>Site</w:t>
            </w:r>
          </w:p>
        </w:tc>
        <w:tc>
          <w:tcPr>
            <w:tcW w:w="2520" w:type="dxa"/>
          </w:tcPr>
          <w:p w:rsidR="00EB2C93" w:rsidRPr="0059512C" w:rsidP="00376B4A">
            <w:pPr>
              <w:pStyle w:val="ParaNum"/>
              <w:numPr>
                <w:ilvl w:val="0"/>
                <w:numId w:val="0"/>
              </w:numPr>
              <w:ind w:firstLine="720"/>
              <w:rPr>
                <w:szCs w:val="22"/>
              </w:rPr>
            </w:pPr>
            <w:r w:rsidRPr="0059512C">
              <w:rPr>
                <w:szCs w:val="22"/>
              </w:rPr>
              <w:t>$210</w:t>
            </w:r>
          </w:p>
        </w:tc>
        <w:tc>
          <w:tcPr>
            <w:tcW w:w="3157" w:type="dxa"/>
          </w:tcPr>
          <w:p w:rsidR="00EB2C93" w:rsidRPr="0059512C" w:rsidP="00376B4A">
            <w:pPr>
              <w:pStyle w:val="ParaNum"/>
              <w:numPr>
                <w:ilvl w:val="0"/>
                <w:numId w:val="0"/>
              </w:numPr>
              <w:ind w:left="720"/>
              <w:rPr>
                <w:szCs w:val="22"/>
              </w:rPr>
            </w:pPr>
            <w:r w:rsidRPr="0059512C">
              <w:rPr>
                <w:szCs w:val="22"/>
              </w:rPr>
              <w:t>$11</w:t>
            </w:r>
            <w:r w:rsidRPr="0059512C" w:rsidR="00956FCB">
              <w:rPr>
                <w:szCs w:val="22"/>
              </w:rPr>
              <w:t>5</w:t>
            </w:r>
            <w:r w:rsidRPr="0059512C">
              <w:rPr>
                <w:szCs w:val="22"/>
              </w:rPr>
              <w:t xml:space="preserve"> </w:t>
            </w:r>
          </w:p>
        </w:tc>
      </w:tr>
      <w:tr w:rsidTr="00376B4A">
        <w:tblPrEx>
          <w:tblW w:w="0" w:type="auto"/>
          <w:tblInd w:w="270" w:type="dxa"/>
          <w:tblLook w:val="04A0"/>
        </w:tblPrEx>
        <w:tc>
          <w:tcPr>
            <w:tcW w:w="3235" w:type="dxa"/>
          </w:tcPr>
          <w:p w:rsidR="00EB2C93" w:rsidRPr="0059512C" w:rsidP="00376B4A">
            <w:pPr>
              <w:pStyle w:val="ParaNum"/>
              <w:numPr>
                <w:ilvl w:val="0"/>
                <w:numId w:val="0"/>
              </w:numPr>
              <w:rPr>
                <w:szCs w:val="22"/>
              </w:rPr>
            </w:pPr>
            <w:r w:rsidRPr="0059512C">
              <w:rPr>
                <w:szCs w:val="22"/>
              </w:rPr>
              <w:t>Multiple Sites</w:t>
            </w:r>
          </w:p>
        </w:tc>
        <w:tc>
          <w:tcPr>
            <w:tcW w:w="2520" w:type="dxa"/>
          </w:tcPr>
          <w:p w:rsidR="00EB2C93" w:rsidRPr="0059512C" w:rsidP="00376B4A">
            <w:pPr>
              <w:pStyle w:val="ParaNum"/>
              <w:numPr>
                <w:ilvl w:val="0"/>
                <w:numId w:val="0"/>
              </w:numPr>
              <w:ind w:firstLine="720"/>
              <w:rPr>
                <w:szCs w:val="22"/>
              </w:rPr>
            </w:pPr>
            <w:r w:rsidRPr="0059512C">
              <w:rPr>
                <w:szCs w:val="22"/>
              </w:rPr>
              <w:t>n/a</w:t>
            </w:r>
          </w:p>
        </w:tc>
        <w:tc>
          <w:tcPr>
            <w:tcW w:w="3157" w:type="dxa"/>
          </w:tcPr>
          <w:p w:rsidR="00EB2C93" w:rsidRPr="0059512C" w:rsidP="00376B4A">
            <w:pPr>
              <w:pStyle w:val="ParaNum"/>
              <w:numPr>
                <w:ilvl w:val="0"/>
                <w:numId w:val="0"/>
              </w:numPr>
              <w:ind w:left="720"/>
              <w:rPr>
                <w:szCs w:val="22"/>
              </w:rPr>
            </w:pPr>
            <w:r w:rsidRPr="0059512C">
              <w:rPr>
                <w:szCs w:val="22"/>
              </w:rPr>
              <w:t>$1</w:t>
            </w:r>
            <w:r w:rsidRPr="0059512C" w:rsidR="00956FCB">
              <w:rPr>
                <w:szCs w:val="22"/>
              </w:rPr>
              <w:t>45</w:t>
            </w:r>
            <w:r w:rsidRPr="0059512C">
              <w:rPr>
                <w:szCs w:val="22"/>
              </w:rPr>
              <w:t xml:space="preserve"> </w:t>
            </w:r>
          </w:p>
        </w:tc>
      </w:tr>
      <w:tr w:rsidTr="00376B4A">
        <w:tblPrEx>
          <w:tblW w:w="0" w:type="auto"/>
          <w:tblInd w:w="270" w:type="dxa"/>
          <w:tblLook w:val="04A0"/>
        </w:tblPrEx>
        <w:tc>
          <w:tcPr>
            <w:tcW w:w="3235" w:type="dxa"/>
          </w:tcPr>
          <w:p w:rsidR="00EB2C93" w:rsidRPr="0060706A" w:rsidP="00376B4A">
            <w:pPr>
              <w:pStyle w:val="ParaNum"/>
              <w:numPr>
                <w:ilvl w:val="0"/>
                <w:numId w:val="0"/>
              </w:numPr>
            </w:pPr>
            <w:r w:rsidRPr="0060706A">
              <w:t>Earth Station Extension of Construction Permit</w:t>
            </w:r>
          </w:p>
        </w:tc>
        <w:tc>
          <w:tcPr>
            <w:tcW w:w="2520" w:type="dxa"/>
          </w:tcPr>
          <w:p w:rsidR="00EB2C93" w:rsidRPr="0059512C" w:rsidP="00376B4A">
            <w:pPr>
              <w:pStyle w:val="ParaNum"/>
              <w:numPr>
                <w:ilvl w:val="0"/>
                <w:numId w:val="0"/>
              </w:numPr>
              <w:ind w:left="720"/>
              <w:rPr>
                <w:szCs w:val="22"/>
              </w:rPr>
            </w:pPr>
            <w:r w:rsidRPr="0059512C">
              <w:rPr>
                <w:szCs w:val="22"/>
              </w:rPr>
              <w:t>$210</w:t>
            </w:r>
          </w:p>
        </w:tc>
        <w:tc>
          <w:tcPr>
            <w:tcW w:w="3157" w:type="dxa"/>
          </w:tcPr>
          <w:p w:rsidR="00EB2C93" w:rsidRPr="0059512C" w:rsidP="00376B4A">
            <w:pPr>
              <w:pStyle w:val="ParaNum"/>
              <w:numPr>
                <w:ilvl w:val="0"/>
                <w:numId w:val="0"/>
              </w:numPr>
              <w:ind w:left="720"/>
              <w:rPr>
                <w:szCs w:val="22"/>
              </w:rPr>
            </w:pPr>
            <w:r w:rsidRPr="0059512C">
              <w:rPr>
                <w:szCs w:val="22"/>
              </w:rPr>
              <w:t>Eliminate</w:t>
            </w:r>
          </w:p>
        </w:tc>
      </w:tr>
      <w:tr w:rsidTr="00376B4A">
        <w:tblPrEx>
          <w:tblW w:w="0" w:type="auto"/>
          <w:tblInd w:w="270" w:type="dxa"/>
          <w:tblLook w:val="04A0"/>
        </w:tblPrEx>
        <w:tc>
          <w:tcPr>
            <w:tcW w:w="3235" w:type="dxa"/>
          </w:tcPr>
          <w:p w:rsidR="00EB2C93" w:rsidRPr="0060706A" w:rsidP="00376B4A">
            <w:pPr>
              <w:pStyle w:val="ParaNum"/>
              <w:numPr>
                <w:ilvl w:val="0"/>
                <w:numId w:val="0"/>
              </w:numPr>
            </w:pPr>
            <w:r w:rsidRPr="0060706A">
              <w:t>Requests for US Market for Non-US Licensed Space Stations, per request</w:t>
            </w:r>
          </w:p>
        </w:tc>
        <w:tc>
          <w:tcPr>
            <w:tcW w:w="2520" w:type="dxa"/>
          </w:tcPr>
          <w:p w:rsidR="00EB2C93" w:rsidRPr="0059512C" w:rsidP="00376B4A">
            <w:pPr>
              <w:pStyle w:val="ParaNum"/>
              <w:numPr>
                <w:ilvl w:val="0"/>
                <w:numId w:val="0"/>
              </w:numPr>
              <w:rPr>
                <w:szCs w:val="22"/>
              </w:rPr>
            </w:pPr>
          </w:p>
        </w:tc>
        <w:tc>
          <w:tcPr>
            <w:tcW w:w="3157" w:type="dxa"/>
          </w:tcPr>
          <w:p w:rsidR="00EB2C93" w:rsidRPr="0059512C" w:rsidP="00376B4A">
            <w:pPr>
              <w:pStyle w:val="ParaNum"/>
              <w:numPr>
                <w:ilvl w:val="0"/>
                <w:numId w:val="0"/>
              </w:numPr>
              <w:rPr>
                <w:szCs w:val="22"/>
              </w:rPr>
            </w:pPr>
            <w:r w:rsidRPr="0059512C">
              <w:rPr>
                <w:szCs w:val="22"/>
              </w:rPr>
              <w:t>See Space Stations below</w:t>
            </w:r>
          </w:p>
        </w:tc>
      </w:tr>
    </w:tbl>
    <w:p w:rsidR="00B565FA" w:rsidRPr="0059512C" w:rsidP="00EB2C93">
      <w:pPr>
        <w:pStyle w:val="ParaNum"/>
        <w:numPr>
          <w:ilvl w:val="0"/>
          <w:numId w:val="0"/>
        </w:numPr>
        <w:ind w:firstLine="720"/>
        <w:rPr>
          <w:szCs w:val="22"/>
        </w:rPr>
      </w:pPr>
      <w:r w:rsidRPr="0059512C">
        <w:rPr>
          <w:szCs w:val="22"/>
        </w:rPr>
        <w:t xml:space="preserve"> </w:t>
      </w:r>
    </w:p>
    <w:p w:rsidR="001077F0" w:rsidRPr="0059512C" w:rsidP="001077F0">
      <w:pPr>
        <w:pStyle w:val="ParaNum"/>
        <w:rPr>
          <w:szCs w:val="22"/>
        </w:rPr>
      </w:pPr>
      <w:r w:rsidRPr="0059512C">
        <w:rPr>
          <w:szCs w:val="22"/>
        </w:rPr>
        <w:t xml:space="preserve">We </w:t>
      </w:r>
      <w:r w:rsidRPr="0059512C" w:rsidR="00ED096F">
        <w:rPr>
          <w:szCs w:val="22"/>
        </w:rPr>
        <w:t xml:space="preserve">first </w:t>
      </w:r>
      <w:r w:rsidRPr="0059512C">
        <w:rPr>
          <w:szCs w:val="22"/>
        </w:rPr>
        <w:t xml:space="preserve">seek comment on cost-based </w:t>
      </w:r>
      <w:r w:rsidRPr="0059512C">
        <w:rPr>
          <w:szCs w:val="22"/>
        </w:rPr>
        <w:t>application fees for licenses for earth stations transmitting, or transmitting and receiving signals, either at a fixed location or temporarily at a fixed location.</w:t>
      </w:r>
      <w:r>
        <w:rPr>
          <w:rStyle w:val="FootnoteReference"/>
        </w:rPr>
        <w:footnoteReference w:id="134"/>
      </w:r>
      <w:r w:rsidRPr="0059512C">
        <w:rPr>
          <w:szCs w:val="22"/>
        </w:rPr>
        <w:t xml:space="preserve">  These licensees include entities that operate earth stations to provide fixed-satellite </w:t>
      </w:r>
      <w:r w:rsidRPr="0059512C">
        <w:rPr>
          <w:szCs w:val="22"/>
        </w:rPr>
        <w:t>service (FSS)</w:t>
      </w:r>
      <w:r>
        <w:rPr>
          <w:sz w:val="20"/>
          <w:vertAlign w:val="superscript"/>
        </w:rPr>
        <w:footnoteReference w:id="135"/>
      </w:r>
      <w:r w:rsidRPr="0059512C">
        <w:rPr>
          <w:szCs w:val="22"/>
        </w:rPr>
        <w:t xml:space="preserve"> as well as other services</w:t>
      </w:r>
      <w:r w:rsidRPr="0059512C" w:rsidR="009B3111">
        <w:rPr>
          <w:szCs w:val="22"/>
        </w:rPr>
        <w:t>.</w:t>
      </w:r>
      <w:r>
        <w:rPr>
          <w:sz w:val="20"/>
          <w:vertAlign w:val="superscript"/>
        </w:rPr>
        <w:footnoteReference w:id="136"/>
      </w:r>
      <w:r w:rsidRPr="0059512C">
        <w:rPr>
          <w:szCs w:val="22"/>
        </w:rPr>
        <w:t xml:space="preserve"> </w:t>
      </w:r>
      <w:r w:rsidRPr="0059512C" w:rsidR="009B3111">
        <w:rPr>
          <w:szCs w:val="22"/>
        </w:rPr>
        <w:t xml:space="preserve"> </w:t>
      </w:r>
      <w:r w:rsidRPr="0059512C">
        <w:rPr>
          <w:szCs w:val="22"/>
        </w:rPr>
        <w:t xml:space="preserve">We propose adopting separate filing fees for applications involving a </w:t>
      </w:r>
      <w:r w:rsidRPr="0059512C">
        <w:rPr>
          <w:szCs w:val="22"/>
        </w:rPr>
        <w:t>single site and applications involving multiple sites.</w:t>
      </w:r>
      <w:r>
        <w:rPr>
          <w:vertAlign w:val="superscript"/>
        </w:rPr>
        <w:footnoteReference w:id="137"/>
      </w:r>
      <w:r w:rsidRPr="0059512C">
        <w:rPr>
          <w:szCs w:val="22"/>
        </w:rPr>
        <w:t xml:space="preserve">  </w:t>
      </w:r>
    </w:p>
    <w:p w:rsidR="00B06561" w:rsidRPr="0059512C" w:rsidP="00B06561">
      <w:pPr>
        <w:pStyle w:val="ParaNum"/>
        <w:rPr>
          <w:szCs w:val="22"/>
        </w:rPr>
      </w:pPr>
      <w:r w:rsidRPr="0059512C">
        <w:rPr>
          <w:szCs w:val="22"/>
        </w:rPr>
        <w:t>We estimate that the Commission’s processing of the following types of applicatio</w:t>
      </w:r>
      <w:r w:rsidRPr="0059512C">
        <w:rPr>
          <w:szCs w:val="22"/>
        </w:rPr>
        <w:t>ns involves five steps, with the particular estimated costs below:  program analyst processing the application; program analyst initial review; engineer technical review; program analyst placing the application on public notice; and first-level supervision</w:t>
      </w:r>
      <w:r w:rsidR="000D74F8">
        <w:rPr>
          <w:szCs w:val="22"/>
        </w:rPr>
        <w:t>.  Those types of applications are</w:t>
      </w:r>
      <w:r w:rsidRPr="0059512C">
        <w:rPr>
          <w:szCs w:val="22"/>
        </w:rPr>
        <w:t xml:space="preserve">:  </w:t>
      </w:r>
      <w:r w:rsidR="000D74F8">
        <w:rPr>
          <w:szCs w:val="22"/>
        </w:rPr>
        <w:t>an i</w:t>
      </w:r>
      <w:r w:rsidRPr="0059512C">
        <w:rPr>
          <w:szCs w:val="22"/>
        </w:rPr>
        <w:t xml:space="preserve">nitial application for </w:t>
      </w:r>
      <w:r w:rsidR="008F7C47">
        <w:rPr>
          <w:szCs w:val="22"/>
        </w:rPr>
        <w:t xml:space="preserve">a </w:t>
      </w:r>
      <w:r w:rsidRPr="0059512C">
        <w:rPr>
          <w:szCs w:val="22"/>
        </w:rPr>
        <w:t>fixed or temporary fixed transmit or transmit receive earth station:  $3</w:t>
      </w:r>
      <w:r w:rsidRPr="0059512C" w:rsidR="00E602D9">
        <w:rPr>
          <w:szCs w:val="22"/>
        </w:rPr>
        <w:t>60</w:t>
      </w:r>
      <w:r w:rsidRPr="0059512C">
        <w:rPr>
          <w:szCs w:val="22"/>
        </w:rPr>
        <w:t xml:space="preserve">; </w:t>
      </w:r>
      <w:r w:rsidR="000D74F8">
        <w:rPr>
          <w:szCs w:val="22"/>
        </w:rPr>
        <w:t>an i</w:t>
      </w:r>
      <w:r w:rsidRPr="0059512C">
        <w:rPr>
          <w:szCs w:val="22"/>
        </w:rPr>
        <w:t>nitial application for a license or registration of a single receive-only earth station, $17</w:t>
      </w:r>
      <w:r w:rsidRPr="0059512C" w:rsidR="00E602D9">
        <w:rPr>
          <w:szCs w:val="22"/>
        </w:rPr>
        <w:t>5</w:t>
      </w:r>
      <w:r w:rsidRPr="0059512C">
        <w:rPr>
          <w:szCs w:val="22"/>
        </w:rPr>
        <w:t xml:space="preserve">; </w:t>
      </w:r>
      <w:r w:rsidR="000D74F8">
        <w:rPr>
          <w:szCs w:val="22"/>
        </w:rPr>
        <w:t>an i</w:t>
      </w:r>
      <w:r w:rsidRPr="0059512C">
        <w:rPr>
          <w:szCs w:val="22"/>
        </w:rPr>
        <w:t>nitial appl</w:t>
      </w:r>
      <w:r w:rsidRPr="0059512C">
        <w:rPr>
          <w:szCs w:val="22"/>
        </w:rPr>
        <w:t xml:space="preserve">ication </w:t>
      </w:r>
      <w:r w:rsidR="000D74F8">
        <w:rPr>
          <w:szCs w:val="22"/>
        </w:rPr>
        <w:t xml:space="preserve">for </w:t>
      </w:r>
      <w:r w:rsidRPr="0059512C">
        <w:rPr>
          <w:szCs w:val="22"/>
        </w:rPr>
        <w:t xml:space="preserve"> a license or registration of multiple receive-only earth stations at multiple sites, $4</w:t>
      </w:r>
      <w:r w:rsidRPr="0059512C" w:rsidR="00E602D9">
        <w:rPr>
          <w:szCs w:val="22"/>
        </w:rPr>
        <w:t>65</w:t>
      </w:r>
      <w:r w:rsidRPr="0059512C">
        <w:rPr>
          <w:szCs w:val="22"/>
        </w:rPr>
        <w:t xml:space="preserve">; </w:t>
      </w:r>
      <w:r w:rsidR="000D74F8">
        <w:rPr>
          <w:szCs w:val="22"/>
        </w:rPr>
        <w:t>an i</w:t>
      </w:r>
      <w:r w:rsidRPr="0059512C">
        <w:rPr>
          <w:szCs w:val="22"/>
        </w:rPr>
        <w:t xml:space="preserve">nitial application for </w:t>
      </w:r>
      <w:r w:rsidR="000D74F8">
        <w:rPr>
          <w:szCs w:val="22"/>
        </w:rPr>
        <w:t xml:space="preserve">a </w:t>
      </w:r>
      <w:r w:rsidRPr="0059512C">
        <w:rPr>
          <w:szCs w:val="22"/>
        </w:rPr>
        <w:t>blanket earth station license, $3</w:t>
      </w:r>
      <w:r w:rsidRPr="0059512C" w:rsidR="00E602D9">
        <w:rPr>
          <w:szCs w:val="22"/>
        </w:rPr>
        <w:t>6</w:t>
      </w:r>
      <w:r w:rsidRPr="0059512C">
        <w:rPr>
          <w:szCs w:val="22"/>
        </w:rPr>
        <w:t xml:space="preserve">0; </w:t>
      </w:r>
      <w:r w:rsidR="000D74F8">
        <w:rPr>
          <w:szCs w:val="22"/>
        </w:rPr>
        <w:t>an i</w:t>
      </w:r>
      <w:r w:rsidRPr="0059512C">
        <w:rPr>
          <w:szCs w:val="22"/>
        </w:rPr>
        <w:t xml:space="preserve">nitial application for </w:t>
      </w:r>
      <w:r w:rsidR="000D74F8">
        <w:rPr>
          <w:szCs w:val="22"/>
        </w:rPr>
        <w:t xml:space="preserve">a </w:t>
      </w:r>
      <w:r w:rsidRPr="0059512C">
        <w:rPr>
          <w:szCs w:val="22"/>
        </w:rPr>
        <w:t>mobile earth station fixed blanket license,  $</w:t>
      </w:r>
      <w:r w:rsidRPr="0059512C" w:rsidR="00E602D9">
        <w:rPr>
          <w:szCs w:val="22"/>
        </w:rPr>
        <w:t>815</w:t>
      </w:r>
      <w:r w:rsidRPr="0059512C">
        <w:rPr>
          <w:szCs w:val="22"/>
        </w:rPr>
        <w:t xml:space="preserve">; </w:t>
      </w:r>
      <w:r w:rsidR="000D74F8">
        <w:rPr>
          <w:szCs w:val="22"/>
        </w:rPr>
        <w:t>a</w:t>
      </w:r>
      <w:r w:rsidRPr="0059512C">
        <w:rPr>
          <w:szCs w:val="22"/>
        </w:rPr>
        <w:t>mendment to application involving a single earth station site, $4</w:t>
      </w:r>
      <w:r w:rsidRPr="0059512C" w:rsidR="00E602D9">
        <w:rPr>
          <w:szCs w:val="22"/>
        </w:rPr>
        <w:t>30</w:t>
      </w:r>
      <w:r w:rsidRPr="0059512C">
        <w:rPr>
          <w:szCs w:val="22"/>
        </w:rPr>
        <w:t xml:space="preserve">; </w:t>
      </w:r>
      <w:r w:rsidR="000D74F8">
        <w:rPr>
          <w:szCs w:val="22"/>
        </w:rPr>
        <w:t>a</w:t>
      </w:r>
      <w:r w:rsidR="008F7C47">
        <w:rPr>
          <w:szCs w:val="22"/>
        </w:rPr>
        <w:t>n a</w:t>
      </w:r>
      <w:r w:rsidRPr="0059512C">
        <w:rPr>
          <w:szCs w:val="22"/>
        </w:rPr>
        <w:t>mendment to application involving multiple earth station sites, $6</w:t>
      </w:r>
      <w:r w:rsidRPr="0059512C" w:rsidR="00E602D9">
        <w:rPr>
          <w:szCs w:val="22"/>
        </w:rPr>
        <w:t>3</w:t>
      </w:r>
      <w:r w:rsidRPr="0059512C">
        <w:rPr>
          <w:szCs w:val="22"/>
        </w:rPr>
        <w:t xml:space="preserve">0; </w:t>
      </w:r>
      <w:r w:rsidR="008F7C47">
        <w:rPr>
          <w:szCs w:val="22"/>
        </w:rPr>
        <w:t xml:space="preserve">a </w:t>
      </w:r>
      <w:r w:rsidR="000D74F8">
        <w:rPr>
          <w:szCs w:val="22"/>
        </w:rPr>
        <w:t>m</w:t>
      </w:r>
      <w:r w:rsidRPr="0059512C">
        <w:rPr>
          <w:szCs w:val="22"/>
        </w:rPr>
        <w:t>odification application requiring prior Commission approval,  $5</w:t>
      </w:r>
      <w:r w:rsidRPr="0059512C" w:rsidR="00E602D9">
        <w:rPr>
          <w:szCs w:val="22"/>
        </w:rPr>
        <w:t>45</w:t>
      </w:r>
      <w:r w:rsidRPr="0059512C">
        <w:rPr>
          <w:szCs w:val="22"/>
        </w:rPr>
        <w:t xml:space="preserve">; </w:t>
      </w:r>
      <w:r w:rsidR="008F7C47">
        <w:rPr>
          <w:szCs w:val="22"/>
        </w:rPr>
        <w:t xml:space="preserve">an </w:t>
      </w:r>
      <w:r w:rsidR="000D74F8">
        <w:rPr>
          <w:szCs w:val="22"/>
        </w:rPr>
        <w:t>a</w:t>
      </w:r>
      <w:r w:rsidRPr="0059512C">
        <w:rPr>
          <w:szCs w:val="22"/>
        </w:rPr>
        <w:t xml:space="preserve">pplication for </w:t>
      </w:r>
      <w:r w:rsidR="000D74F8">
        <w:rPr>
          <w:szCs w:val="22"/>
        </w:rPr>
        <w:t>an STA</w:t>
      </w:r>
      <w:r w:rsidRPr="0059512C">
        <w:rPr>
          <w:szCs w:val="22"/>
        </w:rPr>
        <w:t>, $</w:t>
      </w:r>
      <w:r w:rsidRPr="0059512C" w:rsidR="00E602D9">
        <w:rPr>
          <w:szCs w:val="22"/>
        </w:rPr>
        <w:t>205</w:t>
      </w:r>
      <w:r w:rsidRPr="0059512C">
        <w:rPr>
          <w:szCs w:val="22"/>
        </w:rPr>
        <w:t xml:space="preserve">; </w:t>
      </w:r>
      <w:r w:rsidR="000D74F8">
        <w:rPr>
          <w:szCs w:val="22"/>
        </w:rPr>
        <w:t>a</w:t>
      </w:r>
      <w:r w:rsidR="008F7C47">
        <w:rPr>
          <w:szCs w:val="22"/>
        </w:rPr>
        <w:t>n a</w:t>
      </w:r>
      <w:r w:rsidRPr="0059512C">
        <w:rPr>
          <w:szCs w:val="22"/>
        </w:rPr>
        <w:t>pplic</w:t>
      </w:r>
      <w:r w:rsidRPr="0059512C">
        <w:rPr>
          <w:szCs w:val="22"/>
        </w:rPr>
        <w:t xml:space="preserve">ation for renewal of an earth station license involving a single earth station site, $112; </w:t>
      </w:r>
      <w:r w:rsidR="008F7C47">
        <w:rPr>
          <w:szCs w:val="22"/>
        </w:rPr>
        <w:t>and an  a</w:t>
      </w:r>
      <w:r w:rsidRPr="0059512C">
        <w:rPr>
          <w:szCs w:val="22"/>
        </w:rPr>
        <w:t>pplication for renewal of an earth station license involving multiple earth station sites, $1</w:t>
      </w:r>
      <w:r w:rsidRPr="0059512C" w:rsidR="00E602D9">
        <w:rPr>
          <w:szCs w:val="22"/>
        </w:rPr>
        <w:t>45</w:t>
      </w:r>
      <w:r w:rsidRPr="0059512C">
        <w:rPr>
          <w:szCs w:val="22"/>
        </w:rPr>
        <w:t>.</w:t>
      </w:r>
    </w:p>
    <w:p w:rsidR="001077F0" w:rsidRPr="0059512C" w:rsidP="001077F0">
      <w:pPr>
        <w:pStyle w:val="ParaNum"/>
        <w:rPr>
          <w:szCs w:val="22"/>
        </w:rPr>
      </w:pPr>
      <w:r w:rsidRPr="0059512C">
        <w:rPr>
          <w:szCs w:val="22"/>
        </w:rPr>
        <w:t>We propose to c</w:t>
      </w:r>
      <w:r w:rsidRPr="0059512C" w:rsidR="00363E00">
        <w:rPr>
          <w:szCs w:val="22"/>
        </w:rPr>
        <w:t>reate</w:t>
      </w:r>
      <w:r w:rsidRPr="0059512C">
        <w:rPr>
          <w:szCs w:val="22"/>
        </w:rPr>
        <w:t xml:space="preserve"> a new application fee for </w:t>
      </w:r>
      <w:r w:rsidRPr="0059512C" w:rsidR="00363E00">
        <w:rPr>
          <w:szCs w:val="22"/>
        </w:rPr>
        <w:t xml:space="preserve">typical applications for initial authority for </w:t>
      </w:r>
      <w:r w:rsidRPr="0059512C">
        <w:rPr>
          <w:szCs w:val="22"/>
        </w:rPr>
        <w:t>earth stations</w:t>
      </w:r>
      <w:r w:rsidRPr="0059512C" w:rsidR="00363E00">
        <w:rPr>
          <w:szCs w:val="22"/>
        </w:rPr>
        <w:t xml:space="preserve"> with multiple sites, per call sign, including</w:t>
      </w:r>
      <w:r w:rsidRPr="0059512C">
        <w:rPr>
          <w:szCs w:val="22"/>
        </w:rPr>
        <w:t xml:space="preserve"> fixed </w:t>
      </w:r>
      <w:r w:rsidRPr="0059512C" w:rsidR="00363E00">
        <w:rPr>
          <w:szCs w:val="22"/>
        </w:rPr>
        <w:t>and</w:t>
      </w:r>
      <w:r w:rsidRPr="0059512C">
        <w:rPr>
          <w:szCs w:val="22"/>
        </w:rPr>
        <w:t xml:space="preserve"> temporary fixed </w:t>
      </w:r>
      <w:r w:rsidRPr="0059512C" w:rsidR="00363E00">
        <w:rPr>
          <w:szCs w:val="22"/>
        </w:rPr>
        <w:t xml:space="preserve">and </w:t>
      </w:r>
      <w:r w:rsidRPr="0059512C">
        <w:rPr>
          <w:szCs w:val="22"/>
        </w:rPr>
        <w:t xml:space="preserve">transmit </w:t>
      </w:r>
      <w:r w:rsidRPr="0059512C" w:rsidR="00363E00">
        <w:rPr>
          <w:szCs w:val="22"/>
        </w:rPr>
        <w:t>and</w:t>
      </w:r>
      <w:r w:rsidRPr="0059512C">
        <w:rPr>
          <w:szCs w:val="22"/>
        </w:rPr>
        <w:t xml:space="preserve"> transmit/receive</w:t>
      </w:r>
      <w:r w:rsidRPr="0059512C" w:rsidR="00363E00">
        <w:rPr>
          <w:szCs w:val="22"/>
        </w:rPr>
        <w:t xml:space="preserve"> earth stations</w:t>
      </w:r>
      <w:r w:rsidRPr="0059512C">
        <w:rPr>
          <w:szCs w:val="22"/>
        </w:rPr>
        <w:t>.  We estimate that the Commission’s resources in processing an initial application co</w:t>
      </w:r>
      <w:r w:rsidRPr="0059512C">
        <w:rPr>
          <w:szCs w:val="22"/>
        </w:rPr>
        <w:t xml:space="preserve">nsist of the following:  </w:t>
      </w:r>
      <w:r w:rsidRPr="0059512C" w:rsidR="008B222F">
        <w:rPr>
          <w:szCs w:val="22"/>
        </w:rPr>
        <w:t xml:space="preserve">one </w:t>
      </w:r>
      <w:r w:rsidRPr="0059512C">
        <w:rPr>
          <w:szCs w:val="22"/>
        </w:rPr>
        <w:t>program analyst processing the application</w:t>
      </w:r>
      <w:r w:rsidRPr="0059512C" w:rsidR="008B222F">
        <w:rPr>
          <w:szCs w:val="22"/>
        </w:rPr>
        <w:t xml:space="preserve">; </w:t>
      </w:r>
      <w:r w:rsidRPr="0059512C">
        <w:rPr>
          <w:szCs w:val="22"/>
        </w:rPr>
        <w:t>initial program analyst review</w:t>
      </w:r>
      <w:r w:rsidRPr="0059512C" w:rsidR="008B222F">
        <w:rPr>
          <w:szCs w:val="22"/>
        </w:rPr>
        <w:t>;</w:t>
      </w:r>
      <w:r w:rsidRPr="0059512C">
        <w:rPr>
          <w:szCs w:val="22"/>
        </w:rPr>
        <w:t xml:space="preserve"> engineer technical review</w:t>
      </w:r>
      <w:r w:rsidRPr="0059512C" w:rsidR="008B222F">
        <w:rPr>
          <w:szCs w:val="22"/>
        </w:rPr>
        <w:t>;</w:t>
      </w:r>
      <w:r w:rsidRPr="0059512C">
        <w:rPr>
          <w:szCs w:val="22"/>
        </w:rPr>
        <w:t xml:space="preserve"> program analyst plac</w:t>
      </w:r>
      <w:r w:rsidRPr="0059512C" w:rsidR="008B222F">
        <w:rPr>
          <w:szCs w:val="22"/>
        </w:rPr>
        <w:t>ing the</w:t>
      </w:r>
      <w:r w:rsidRPr="0059512C">
        <w:rPr>
          <w:szCs w:val="22"/>
        </w:rPr>
        <w:t xml:space="preserve"> application on public notice</w:t>
      </w:r>
      <w:r w:rsidRPr="0059512C" w:rsidR="008B222F">
        <w:rPr>
          <w:szCs w:val="22"/>
        </w:rPr>
        <w:t>;</w:t>
      </w:r>
      <w:r w:rsidRPr="0059512C">
        <w:rPr>
          <w:szCs w:val="22"/>
        </w:rPr>
        <w:t xml:space="preserve"> and first-level supervis</w:t>
      </w:r>
      <w:r w:rsidRPr="0059512C" w:rsidR="008B222F">
        <w:rPr>
          <w:szCs w:val="22"/>
        </w:rPr>
        <w:t>ion</w:t>
      </w:r>
      <w:r w:rsidRPr="0059512C">
        <w:rPr>
          <w:szCs w:val="22"/>
        </w:rPr>
        <w:t xml:space="preserve">.  </w:t>
      </w:r>
      <w:r w:rsidRPr="0059512C" w:rsidR="008B222F">
        <w:rPr>
          <w:szCs w:val="22"/>
        </w:rPr>
        <w:t>We</w:t>
      </w:r>
      <w:r w:rsidRPr="0059512C">
        <w:rPr>
          <w:szCs w:val="22"/>
        </w:rPr>
        <w:t xml:space="preserve"> estimate this process </w:t>
      </w:r>
      <w:r w:rsidRPr="0059512C" w:rsidR="008B222F">
        <w:rPr>
          <w:szCs w:val="22"/>
        </w:rPr>
        <w:t xml:space="preserve">costs </w:t>
      </w:r>
      <w:r w:rsidRPr="0059512C">
        <w:rPr>
          <w:szCs w:val="22"/>
        </w:rPr>
        <w:t>$6,</w:t>
      </w:r>
      <w:r w:rsidRPr="0059512C" w:rsidR="00E602D9">
        <w:rPr>
          <w:szCs w:val="22"/>
        </w:rPr>
        <w:t>515</w:t>
      </w:r>
      <w:r w:rsidRPr="0059512C">
        <w:rPr>
          <w:szCs w:val="22"/>
        </w:rPr>
        <w:t xml:space="preserve">.  </w:t>
      </w:r>
    </w:p>
    <w:p w:rsidR="001077F0" w:rsidRPr="0059512C" w:rsidP="001077F0">
      <w:pPr>
        <w:pStyle w:val="ParaNum"/>
        <w:rPr>
          <w:szCs w:val="22"/>
        </w:rPr>
      </w:pPr>
      <w:r w:rsidRPr="0059512C">
        <w:rPr>
          <w:szCs w:val="22"/>
        </w:rPr>
        <w:t xml:space="preserve">The current application fee for Fixed Satellite transmit/receive Earth Stations (2 meters or less operating in the 4/6 GHz band) is $6,615.  We propose to eliminate this category and replace it with the proposed fee categories for Fixed or Temporary Fixed </w:t>
      </w:r>
      <w:r w:rsidRPr="0059512C">
        <w:rPr>
          <w:szCs w:val="22"/>
        </w:rPr>
        <w:t xml:space="preserve">Transmit or Transmit/Receive Earth Stations. There is no substantive difference in the review process for fixed or temporary fixed earth station applications </w:t>
      </w:r>
      <w:r w:rsidRPr="0059512C" w:rsidR="00137205">
        <w:rPr>
          <w:szCs w:val="22"/>
        </w:rPr>
        <w:t xml:space="preserve">in the 4/6 GHz band compared with such </w:t>
      </w:r>
      <w:r w:rsidRPr="0059512C">
        <w:rPr>
          <w:szCs w:val="22"/>
        </w:rPr>
        <w:t>applications in other frequency bands.  Consolidati</w:t>
      </w:r>
      <w:r w:rsidRPr="0059512C" w:rsidR="00137205">
        <w:rPr>
          <w:szCs w:val="22"/>
        </w:rPr>
        <w:t>ng the</w:t>
      </w:r>
      <w:r w:rsidRPr="0059512C">
        <w:rPr>
          <w:szCs w:val="22"/>
        </w:rPr>
        <w:t xml:space="preserve"> f</w:t>
      </w:r>
      <w:r w:rsidRPr="0059512C">
        <w:rPr>
          <w:szCs w:val="22"/>
        </w:rPr>
        <w:t xml:space="preserve">iling fee categories for fixed or temporary fixed transmit/receive earth station applications will streamline the fee filing process by eliminating potential mis-categorization and unnecessary sub-categories.  </w:t>
      </w:r>
    </w:p>
    <w:p w:rsidR="001077F0" w:rsidRPr="0059512C" w:rsidP="001077F0">
      <w:pPr>
        <w:pStyle w:val="ParaNum"/>
        <w:rPr>
          <w:szCs w:val="22"/>
        </w:rPr>
      </w:pPr>
      <w:r w:rsidRPr="0059512C">
        <w:rPr>
          <w:szCs w:val="22"/>
        </w:rPr>
        <w:t>We next seek comment on cost-based applicatio</w:t>
      </w:r>
      <w:r w:rsidRPr="0059512C">
        <w:rPr>
          <w:szCs w:val="22"/>
        </w:rPr>
        <w:t>n fees for earth stations that do not emit radiofrequency signals, but rather are used exclusively to receive signals transmitted by space stations.  A license from the FCC is not generally required to operate a receive-only earth station, but a license ma</w:t>
      </w:r>
      <w:r w:rsidRPr="0059512C">
        <w:rPr>
          <w:szCs w:val="22"/>
        </w:rPr>
        <w:t>y be electively requested.</w:t>
      </w:r>
      <w:r>
        <w:rPr>
          <w:rStyle w:val="FootnoteReference"/>
        </w:rPr>
        <w:footnoteReference w:id="138"/>
      </w:r>
      <w:r w:rsidRPr="0059512C">
        <w:rPr>
          <w:szCs w:val="22"/>
        </w:rPr>
        <w:t xml:space="preserve">  Alternatively, a party may seek to register a receive-only FSS earth station with the FCC.  Registration of receive-only earth stations does not constitute a license, but rather is a method to record the existence of the earth</w:t>
      </w:r>
      <w:r w:rsidRPr="0059512C">
        <w:rPr>
          <w:szCs w:val="22"/>
        </w:rPr>
        <w:t xml:space="preserve"> station so that it may be taken into account for regulatory purposes, such as for coordination with other services to avoid radiofrequency interference.  Currently, the initial application fee for licensing or registration of Receive Only Earth Stations i</w:t>
      </w:r>
      <w:r w:rsidRPr="0059512C">
        <w:rPr>
          <w:szCs w:val="22"/>
        </w:rPr>
        <w:t>s $4</w:t>
      </w:r>
      <w:r w:rsidRPr="0059512C" w:rsidR="00E602D9">
        <w:rPr>
          <w:szCs w:val="22"/>
        </w:rPr>
        <w:t>65</w:t>
      </w:r>
      <w:r w:rsidRPr="0059512C">
        <w:rPr>
          <w:szCs w:val="22"/>
        </w:rPr>
        <w:t xml:space="preserve">. </w:t>
      </w:r>
      <w:r w:rsidR="007632EA">
        <w:rPr>
          <w:szCs w:val="22"/>
        </w:rPr>
        <w:t xml:space="preserve"> </w:t>
      </w:r>
      <w:r w:rsidRPr="0059512C">
        <w:rPr>
          <w:szCs w:val="22"/>
        </w:rPr>
        <w:t xml:space="preserve">This fee is for the licensing or registration of a single earth station.  As was the case for Fixed or Temporary Fixed Transmit or Transmit/Receive Earth Stations, we propose to adopt separate filing fees for applications involving a single earth </w:t>
      </w:r>
      <w:r w:rsidRPr="0059512C">
        <w:rPr>
          <w:szCs w:val="22"/>
        </w:rPr>
        <w:t xml:space="preserve">station and for those involving multiple earth stations.  </w:t>
      </w:r>
    </w:p>
    <w:p w:rsidR="001077F0" w:rsidRPr="0059512C" w:rsidP="001077F0">
      <w:pPr>
        <w:pStyle w:val="ParaNum"/>
        <w:rPr>
          <w:szCs w:val="22"/>
        </w:rPr>
      </w:pPr>
      <w:r w:rsidRPr="0059512C">
        <w:rPr>
          <w:szCs w:val="22"/>
        </w:rPr>
        <w:t>We seek comment as well on cost-based application fees for b</w:t>
      </w:r>
      <w:r w:rsidRPr="0059512C" w:rsidR="00B82AE5">
        <w:rPr>
          <w:szCs w:val="22"/>
        </w:rPr>
        <w:t>lanket earth</w:t>
      </w:r>
      <w:r w:rsidRPr="0059512C">
        <w:rPr>
          <w:szCs w:val="22"/>
        </w:rPr>
        <w:t xml:space="preserve"> station facilities, which are earth station systems authorized pursuant to blanket licensing procedures in part 25 of </w:t>
      </w:r>
      <w:r w:rsidRPr="0059512C">
        <w:rPr>
          <w:szCs w:val="22"/>
        </w:rPr>
        <w:t>the Co</w:t>
      </w:r>
      <w:r w:rsidRPr="0059512C">
        <w:rPr>
          <w:szCs w:val="22"/>
        </w:rPr>
        <w:t>mmission’s rules.</w:t>
      </w:r>
      <w:r>
        <w:rPr>
          <w:rStyle w:val="FootnoteReference"/>
        </w:rPr>
        <w:footnoteReference w:id="139"/>
      </w:r>
      <w:r w:rsidRPr="0059512C">
        <w:rPr>
          <w:szCs w:val="22"/>
        </w:rPr>
        <w:t xml:space="preserve">  Applications for licenses for Earth Stations in Motion (ESIM)</w:t>
      </w:r>
      <w:r>
        <w:rPr>
          <w:rStyle w:val="FootnoteReference"/>
        </w:rPr>
        <w:footnoteReference w:id="140"/>
      </w:r>
      <w:r w:rsidRPr="0059512C">
        <w:rPr>
          <w:szCs w:val="22"/>
        </w:rPr>
        <w:t xml:space="preserve"> and certain SDARS terrestrial repeaters are included in this fee category.</w:t>
      </w:r>
      <w:r>
        <w:rPr>
          <w:rStyle w:val="FootnoteReference"/>
        </w:rPr>
        <w:footnoteReference w:id="141"/>
      </w:r>
      <w:r w:rsidRPr="0059512C">
        <w:rPr>
          <w:szCs w:val="22"/>
        </w:rPr>
        <w:t xml:space="preserve">  This filing fee category replaces the filing fee category for Very Small Aperture Terminal (V</w:t>
      </w:r>
      <w:r w:rsidRPr="0059512C">
        <w:rPr>
          <w:szCs w:val="22"/>
        </w:rPr>
        <w:t>SAT) systems, since the definition of blanket license includes – but also goes beyond – the category of services included in VSAT systems.  The Commission eliminated VSAT-specific rules in 2015,</w:t>
      </w:r>
      <w:r>
        <w:rPr>
          <w:rStyle w:val="FootnoteReference"/>
          <w:sz w:val="22"/>
        </w:rPr>
        <w:footnoteReference w:id="142"/>
      </w:r>
      <w:r w:rsidRPr="0059512C">
        <w:rPr>
          <w:szCs w:val="22"/>
        </w:rPr>
        <w:t xml:space="preserve"> and we therefore propose to eliminate the filing fees for V</w:t>
      </w:r>
      <w:r w:rsidRPr="0059512C">
        <w:rPr>
          <w:szCs w:val="22"/>
        </w:rPr>
        <w:t>SAT, but the previous VSAT fees will be used as the baseline for evaluating the change in filing fees for blanket licensed earth stations.</w:t>
      </w:r>
    </w:p>
    <w:p w:rsidR="001077F0" w:rsidRPr="0059512C" w:rsidP="001077F0">
      <w:pPr>
        <w:pStyle w:val="ParaNum"/>
        <w:rPr>
          <w:szCs w:val="22"/>
        </w:rPr>
      </w:pPr>
      <w:r w:rsidRPr="0059512C">
        <w:rPr>
          <w:szCs w:val="22"/>
        </w:rPr>
        <w:t>For Mobile Earth Stations,</w:t>
      </w:r>
      <w:r>
        <w:rPr>
          <w:rStyle w:val="FootnoteReference"/>
        </w:rPr>
        <w:footnoteReference w:id="143"/>
      </w:r>
      <w:r w:rsidRPr="0059512C">
        <w:rPr>
          <w:szCs w:val="22"/>
        </w:rPr>
        <w:t xml:space="preserve"> the Commission has provided for filing fees for blanket licenses which permit the licens</w:t>
      </w:r>
      <w:r w:rsidRPr="0059512C">
        <w:rPr>
          <w:szCs w:val="22"/>
        </w:rPr>
        <w:t>ing of multiple mobile earth stations under a single application and filing fee.  We propose to continue this procedure.  We propose and seek comment on cost-based application fees for blanket license applications involving mobile earth stations, communica</w:t>
      </w:r>
      <w:r w:rsidRPr="0059512C">
        <w:rPr>
          <w:szCs w:val="22"/>
        </w:rPr>
        <w:t>ting with geostationary and non-geostationary satellites.</w:t>
      </w:r>
    </w:p>
    <w:p w:rsidR="006552D8" w:rsidRPr="0059512C" w:rsidP="00A83111">
      <w:pPr>
        <w:pStyle w:val="ParaNum"/>
        <w:rPr>
          <w:szCs w:val="22"/>
        </w:rPr>
      </w:pPr>
      <w:r w:rsidRPr="0059512C">
        <w:rPr>
          <w:szCs w:val="22"/>
        </w:rPr>
        <w:t xml:space="preserve">Next, we propose to create separate fee categories for (1) license renewal applications, (2) license modification applications, (3) amendments to applications, and (4) applications for STAs for all </w:t>
      </w:r>
      <w:r w:rsidRPr="0059512C">
        <w:rPr>
          <w:szCs w:val="22"/>
        </w:rPr>
        <w:t>categories of earth station licenses, on a per call sign basis.  Currently, each earth station fee category includes sub-categories of fees for each of these types of applications.  However, the current fees are identical—$210 in all earth station categori</w:t>
      </w:r>
      <w:r w:rsidRPr="0059512C">
        <w:rPr>
          <w:szCs w:val="22"/>
        </w:rPr>
        <w:t>es.  Consistent with the existing practice, we anticipate that the costs involved in processing applications within any of these four application types will not vary significantly across different earth station categories up through the first-level of supe</w:t>
      </w:r>
      <w:r w:rsidRPr="0059512C">
        <w:rPr>
          <w:szCs w:val="22"/>
        </w:rPr>
        <w:t>rvision.  Although in some instances the cost incurred for reviewing an amendment to an application is the same or greater than the application fee itself, it will be more concise to have a single fee category for each of the four types of applications, ra</w:t>
      </w:r>
      <w:r w:rsidRPr="0059512C">
        <w:rPr>
          <w:szCs w:val="22"/>
        </w:rPr>
        <w:t xml:space="preserve">ther than including separate sub-categories for each category of earth station licenses.  Similar to earth station license fee categories, we propose to have separate fees for applications involving a single site and those involving multiple earth station </w:t>
      </w:r>
      <w:r w:rsidRPr="0059512C">
        <w:rPr>
          <w:szCs w:val="22"/>
        </w:rPr>
        <w:t>sites.  We propose and seek comment on these cost-based application fees.</w:t>
      </w:r>
    </w:p>
    <w:p w:rsidR="00D86441" w:rsidRPr="0059512C" w:rsidP="00D86441">
      <w:pPr>
        <w:pStyle w:val="ParaNum"/>
        <w:rPr>
          <w:szCs w:val="22"/>
        </w:rPr>
      </w:pPr>
      <w:r w:rsidRPr="0059512C">
        <w:rPr>
          <w:szCs w:val="22"/>
        </w:rPr>
        <w:t xml:space="preserve">We </w:t>
      </w:r>
      <w:r w:rsidRPr="0059512C" w:rsidR="00DD399C">
        <w:rPr>
          <w:szCs w:val="22"/>
        </w:rPr>
        <w:t xml:space="preserve">also </w:t>
      </w:r>
      <w:r w:rsidRPr="0059512C">
        <w:rPr>
          <w:szCs w:val="22"/>
        </w:rPr>
        <w:t>propose to create a separate fee category for assignment or transfer of control of all categories of earth station licenses on a per call sign basis.  Currently, separate fil</w:t>
      </w:r>
      <w:r w:rsidRPr="0059512C">
        <w:rPr>
          <w:szCs w:val="22"/>
        </w:rPr>
        <w:t>ing fees are assessed for assignment or transfer of control of each category of earth station licenses.  Current fees range from $590 for assignment or transfer of the first station of a Fixed Satellite Transmit/Receive Earth Station license, to $2,945 for</w:t>
      </w:r>
      <w:r w:rsidRPr="0059512C">
        <w:rPr>
          <w:szCs w:val="22"/>
        </w:rPr>
        <w:t xml:space="preserve"> assignment or transfer of a Mobile Satellite Earth Station (per system).</w:t>
      </w:r>
      <w:r>
        <w:rPr>
          <w:rStyle w:val="FootnoteReference"/>
          <w:sz w:val="22"/>
        </w:rPr>
        <w:footnoteReference w:id="144"/>
      </w:r>
      <w:r w:rsidRPr="0059512C">
        <w:rPr>
          <w:szCs w:val="22"/>
        </w:rPr>
        <w:t xml:space="preserve">  In our experience, however, the review of assignment or transfer applications is largely the same regardless of the service being provided, up to the release of public notice of a</w:t>
      </w:r>
      <w:r w:rsidRPr="0059512C">
        <w:rPr>
          <w:szCs w:val="22"/>
        </w:rPr>
        <w:t xml:space="preserve">cceptance for filing and up through the first-level of supervision.  Accordingly, we propose to create a new cost-based separate fee for all assignments or transfers of control of earth station licenses per call sign, rather than including a separate </w:t>
      </w:r>
      <w:r w:rsidRPr="0059512C">
        <w:rPr>
          <w:szCs w:val="22"/>
        </w:rPr>
        <w:t>sub-c</w:t>
      </w:r>
      <w:r w:rsidRPr="0059512C">
        <w:rPr>
          <w:szCs w:val="22"/>
        </w:rPr>
        <w:t xml:space="preserve">ategory for each category of earth station licenses.  </w:t>
      </w:r>
    </w:p>
    <w:p w:rsidR="00FB79EB" w:rsidRPr="0059512C" w:rsidP="00D86441">
      <w:pPr>
        <w:pStyle w:val="ParaNum"/>
        <w:rPr>
          <w:szCs w:val="22"/>
        </w:rPr>
      </w:pPr>
      <w:r w:rsidRPr="0059512C">
        <w:rPr>
          <w:szCs w:val="22"/>
        </w:rPr>
        <w:t>We estimate that the Commission’s resources in processing an assignment or transfer of control consist of the following:</w:t>
      </w:r>
      <w:r>
        <w:rPr>
          <w:rStyle w:val="FootnoteReference"/>
          <w:sz w:val="22"/>
        </w:rPr>
        <w:footnoteReference w:id="145"/>
      </w:r>
      <w:r w:rsidRPr="0059512C">
        <w:rPr>
          <w:szCs w:val="22"/>
        </w:rPr>
        <w:t xml:space="preserve"> program analyst handling the application intake, attorney determining acceptab</w:t>
      </w:r>
      <w:r w:rsidRPr="0059512C">
        <w:rPr>
          <w:szCs w:val="22"/>
        </w:rPr>
        <w:t xml:space="preserve">ility for filing, program analyst preparing weekly public notice for applications accepted for filing, and Policy Branch </w:t>
      </w:r>
      <w:r w:rsidR="00AF3C96">
        <w:rPr>
          <w:szCs w:val="22"/>
        </w:rPr>
        <w:t>C</w:t>
      </w:r>
      <w:r w:rsidRPr="0059512C">
        <w:rPr>
          <w:szCs w:val="22"/>
        </w:rPr>
        <w:t>hief first-level supervision.  Our estimate is that this process will involve $7</w:t>
      </w:r>
      <w:r w:rsidRPr="0059512C" w:rsidR="00E602D9">
        <w:rPr>
          <w:szCs w:val="22"/>
        </w:rPr>
        <w:t>45</w:t>
      </w:r>
      <w:r w:rsidRPr="0059512C">
        <w:rPr>
          <w:szCs w:val="22"/>
        </w:rPr>
        <w:t xml:space="preserve"> in costs.  In establishing a separate fee category </w:t>
      </w:r>
      <w:r w:rsidRPr="0059512C">
        <w:rPr>
          <w:szCs w:val="22"/>
        </w:rPr>
        <w:t>for assignments and transfers that are non-substantial</w:t>
      </w:r>
      <w:r w:rsidRPr="0059512C">
        <w:rPr>
          <w:i/>
          <w:szCs w:val="22"/>
        </w:rPr>
        <w:t xml:space="preserve"> </w:t>
      </w:r>
      <w:r w:rsidRPr="0059512C">
        <w:rPr>
          <w:szCs w:val="22"/>
        </w:rPr>
        <w:t>(pro forma)</w:t>
      </w:r>
      <w:r w:rsidRPr="0059512C">
        <w:rPr>
          <w:i/>
          <w:szCs w:val="22"/>
        </w:rPr>
        <w:t xml:space="preserve"> </w:t>
      </w:r>
      <w:r w:rsidRPr="0059512C">
        <w:rPr>
          <w:szCs w:val="22"/>
        </w:rPr>
        <w:t>in nature. public notice and prior Commission approval are not needed.</w:t>
      </w:r>
      <w:r>
        <w:rPr>
          <w:rStyle w:val="FootnoteReference"/>
        </w:rPr>
        <w:footnoteReference w:id="146"/>
      </w:r>
      <w:r w:rsidRPr="0059512C">
        <w:rPr>
          <w:szCs w:val="22"/>
        </w:rPr>
        <w:t xml:space="preserve">  Accordingly, the estimated Commission’s resources in processing a pro forma assignment or transfer will be consist of the following:  program analyst handling the application intake; Policy Branch chief first-level supervision.  Our estimate is that this</w:t>
      </w:r>
      <w:r w:rsidRPr="0059512C">
        <w:rPr>
          <w:szCs w:val="22"/>
        </w:rPr>
        <w:t xml:space="preserve"> process will involve $</w:t>
      </w:r>
      <w:r w:rsidRPr="0059512C" w:rsidR="00E602D9">
        <w:rPr>
          <w:szCs w:val="22"/>
        </w:rPr>
        <w:t>400</w:t>
      </w:r>
      <w:r w:rsidRPr="0059512C">
        <w:rPr>
          <w:szCs w:val="22"/>
        </w:rPr>
        <w:t xml:space="preserve"> in costs.</w:t>
      </w:r>
    </w:p>
    <w:p w:rsidR="00CB1D90" w:rsidRPr="0059512C" w:rsidP="00CB1D90">
      <w:pPr>
        <w:pStyle w:val="ParaNum"/>
        <w:rPr>
          <w:szCs w:val="22"/>
        </w:rPr>
      </w:pPr>
      <w:r w:rsidRPr="0059512C">
        <w:rPr>
          <w:szCs w:val="22"/>
        </w:rPr>
        <w:t>We propose to eliminate the fee category for extensions of construction permits</w:t>
      </w:r>
      <w:r w:rsidRPr="0059512C" w:rsidR="00CD6DCC">
        <w:rPr>
          <w:szCs w:val="22"/>
        </w:rPr>
        <w:t xml:space="preserve">, as earth station construction </w:t>
      </w:r>
      <w:r w:rsidRPr="0059512C">
        <w:rPr>
          <w:szCs w:val="22"/>
        </w:rPr>
        <w:t xml:space="preserve">permits are no longer required </w:t>
      </w:r>
      <w:r w:rsidRPr="0059512C" w:rsidR="00CD6DCC">
        <w:rPr>
          <w:szCs w:val="22"/>
        </w:rPr>
        <w:t>under the Commission’s rules</w:t>
      </w:r>
      <w:r w:rsidRPr="0059512C">
        <w:rPr>
          <w:szCs w:val="22"/>
        </w:rPr>
        <w:t>.</w:t>
      </w:r>
      <w:r>
        <w:rPr>
          <w:rStyle w:val="FootnoteReference"/>
        </w:rPr>
        <w:footnoteReference w:id="147"/>
      </w:r>
      <w:r w:rsidRPr="0059512C">
        <w:rPr>
          <w:szCs w:val="22"/>
        </w:rPr>
        <w:t xml:space="preserve">  </w:t>
      </w:r>
    </w:p>
    <w:p w:rsidR="00706BB8" w:rsidRPr="0059512C" w:rsidP="00CB1D90">
      <w:pPr>
        <w:pStyle w:val="ParaNum"/>
        <w:rPr>
          <w:szCs w:val="22"/>
        </w:rPr>
      </w:pPr>
      <w:r w:rsidRPr="0059512C">
        <w:rPr>
          <w:szCs w:val="22"/>
        </w:rPr>
        <w:t>Applicants and licensees may request author</w:t>
      </w:r>
      <w:r w:rsidRPr="0059512C">
        <w:rPr>
          <w:szCs w:val="22"/>
        </w:rPr>
        <w:t>ity to communicate with a non-U.S. licensed space station as part of an earth station application.</w:t>
      </w:r>
      <w:r>
        <w:rPr>
          <w:rStyle w:val="FootnoteReference"/>
        </w:rPr>
        <w:footnoteReference w:id="148"/>
      </w:r>
      <w:r w:rsidRPr="0059512C">
        <w:rPr>
          <w:szCs w:val="22"/>
        </w:rPr>
        <w:t xml:space="preserve">  Currently, there is no additional fee associated with such a request.  Below, we propose to adopt a fee based on the costs associated with processing and </w:t>
      </w:r>
      <w:r w:rsidRPr="0059512C">
        <w:rPr>
          <w:szCs w:val="22"/>
        </w:rPr>
        <w:t>reviewing requests for U.S. market access involving non-U.S. licensed space stations.  We propose that any earth station application that includes a request to communicate with a non-U.S. licensed space station that does not have a valid grant of U.S. mark</w:t>
      </w:r>
      <w:r w:rsidRPr="0059512C">
        <w:rPr>
          <w:szCs w:val="22"/>
        </w:rPr>
        <w:t>et access also pay the filing fees proposed below for space station petitions for declaratory ruling for U.S. market access.</w:t>
      </w:r>
      <w:r w:rsidRPr="0060706A">
        <w:rPr>
          <w:sz w:val="20"/>
        </w:rPr>
        <w:t xml:space="preserve"> </w:t>
      </w:r>
      <w:r w:rsidRPr="0059512C">
        <w:rPr>
          <w:szCs w:val="22"/>
        </w:rPr>
        <w:t xml:space="preserve"> An earth station application including a request for U.S. market access involves the same process and review as a space station pe</w:t>
      </w:r>
      <w:r w:rsidRPr="0059512C">
        <w:rPr>
          <w:szCs w:val="22"/>
        </w:rPr>
        <w:t xml:space="preserve">tition for market access.  In addition, unless the same fees are assessed for earth station applications involving requests for U.S. market access, parties may seek to arbitrage the system by shifting all market access requests to earth station filings in </w:t>
      </w:r>
      <w:r w:rsidRPr="0059512C">
        <w:rPr>
          <w:szCs w:val="22"/>
        </w:rPr>
        <w:t>order to avoid any future fees adopted for filings of requests for market access by space stations.</w:t>
      </w:r>
    </w:p>
    <w:p w:rsidR="00C4326F" w:rsidRPr="0059512C" w:rsidP="008C7AE0">
      <w:pPr>
        <w:pStyle w:val="Heading4"/>
        <w:rPr>
          <w:szCs w:val="22"/>
        </w:rPr>
      </w:pPr>
      <w:bookmarkStart w:id="364" w:name="_Toc28005119"/>
      <w:bookmarkStart w:id="365" w:name="_Toc29557417"/>
      <w:bookmarkStart w:id="366" w:name="_Toc35268600"/>
      <w:r w:rsidRPr="0059512C">
        <w:rPr>
          <w:szCs w:val="22"/>
        </w:rPr>
        <w:t>Space Station</w:t>
      </w:r>
      <w:bookmarkEnd w:id="364"/>
      <w:bookmarkEnd w:id="365"/>
      <w:bookmarkEnd w:id="366"/>
      <w:r w:rsidRPr="0059512C" w:rsidR="008C7AE0">
        <w:rPr>
          <w:szCs w:val="22"/>
        </w:rPr>
        <w:t>s</w:t>
      </w:r>
    </w:p>
    <w:p w:rsidR="00671705" w:rsidRPr="0059512C" w:rsidP="00671705">
      <w:pPr>
        <w:pStyle w:val="ParaNum"/>
        <w:rPr>
          <w:szCs w:val="22"/>
        </w:rPr>
      </w:pPr>
      <w:r w:rsidRPr="0059512C">
        <w:rPr>
          <w:szCs w:val="22"/>
        </w:rPr>
        <w:t>A space station is a station located on an object which is beyond, is intended to go beyond, or has been beyond, the major portion of the Ear</w:t>
      </w:r>
      <w:r w:rsidRPr="0059512C">
        <w:rPr>
          <w:szCs w:val="22"/>
        </w:rPr>
        <w:t>th's atmosphere.</w:t>
      </w:r>
      <w:r>
        <w:rPr>
          <w:rStyle w:val="FootnoteReference"/>
        </w:rPr>
        <w:footnoteReference w:id="149"/>
      </w:r>
      <w:r w:rsidRPr="0059512C">
        <w:rPr>
          <w:szCs w:val="22"/>
        </w:rPr>
        <w:t xml:space="preserve">  Valid authorization must be obtained from the Commission prior to the use and operation of a space station.</w:t>
      </w:r>
      <w:r>
        <w:rPr>
          <w:rStyle w:val="FootnoteReference"/>
        </w:rPr>
        <w:footnoteReference w:id="150"/>
      </w:r>
      <w:r w:rsidRPr="0059512C">
        <w:rPr>
          <w:szCs w:val="22"/>
        </w:rPr>
        <w:t xml:space="preserve">  With limited exceptions, approval for orbital deployment and a station license (</w:t>
      </w:r>
      <w:r w:rsidRPr="0059512C">
        <w:rPr>
          <w:iCs/>
          <w:szCs w:val="22"/>
        </w:rPr>
        <w:t>i.e</w:t>
      </w:r>
      <w:r w:rsidRPr="0059512C">
        <w:rPr>
          <w:i/>
          <w:iCs/>
          <w:szCs w:val="22"/>
        </w:rPr>
        <w:t>.,</w:t>
      </w:r>
      <w:r w:rsidRPr="0059512C">
        <w:rPr>
          <w:szCs w:val="22"/>
        </w:rPr>
        <w:t xml:space="preserve"> operating authority) must be applied fo</w:t>
      </w:r>
      <w:r w:rsidRPr="0059512C">
        <w:rPr>
          <w:szCs w:val="22"/>
        </w:rPr>
        <w:t>r and granted before a space station may be deployed and operated in orbit.</w:t>
      </w:r>
      <w:r>
        <w:rPr>
          <w:rStyle w:val="FootnoteReference"/>
          <w:sz w:val="22"/>
        </w:rPr>
        <w:footnoteReference w:id="151"/>
      </w:r>
      <w:r w:rsidRPr="0059512C">
        <w:rPr>
          <w:szCs w:val="22"/>
        </w:rPr>
        <w:t xml:space="preserve">  </w:t>
      </w:r>
    </w:p>
    <w:p w:rsidR="00B37D85" w:rsidRPr="0059512C" w:rsidP="00BA4B77">
      <w:pPr>
        <w:pStyle w:val="ParaNum"/>
        <w:rPr>
          <w:szCs w:val="22"/>
        </w:rPr>
      </w:pPr>
      <w:r w:rsidRPr="0059512C">
        <w:rPr>
          <w:szCs w:val="22"/>
        </w:rPr>
        <w:t>The</w:t>
      </w:r>
      <w:r w:rsidRPr="0059512C" w:rsidR="00BA4A60">
        <w:rPr>
          <w:szCs w:val="22"/>
        </w:rPr>
        <w:t xml:space="preserve"> </w:t>
      </w:r>
      <w:r w:rsidRPr="0059512C">
        <w:rPr>
          <w:szCs w:val="22"/>
        </w:rPr>
        <w:t xml:space="preserve">table </w:t>
      </w:r>
      <w:r w:rsidRPr="0059512C" w:rsidR="00BA4A60">
        <w:rPr>
          <w:szCs w:val="22"/>
        </w:rPr>
        <w:t xml:space="preserve">below </w:t>
      </w:r>
      <w:r w:rsidRPr="0059512C">
        <w:rPr>
          <w:szCs w:val="22"/>
        </w:rPr>
        <w:t>summarizes the current application fees where they exist, the proposed cost-based fees, and proposed fees to be eliminated.</w:t>
      </w:r>
      <w:r>
        <w:rPr>
          <w:rStyle w:val="FootnoteReference"/>
        </w:rPr>
        <w:footnoteReference w:id="152"/>
      </w:r>
      <w:r w:rsidRPr="0059512C" w:rsidR="00A94B38">
        <w:rPr>
          <w:szCs w:val="22"/>
        </w:rPr>
        <w:t xml:space="preserve">  </w:t>
      </w:r>
      <w:r w:rsidRPr="0059512C" w:rsidR="008C0D13">
        <w:rPr>
          <w:szCs w:val="22"/>
        </w:rPr>
        <w:t xml:space="preserve">We propose and seek comment on adopting the </w:t>
      </w:r>
      <w:r w:rsidRPr="0059512C" w:rsidR="008C0D13">
        <w:rPr>
          <w:szCs w:val="22"/>
        </w:rPr>
        <w:t xml:space="preserve">following cost-based fees for these applications—and we give as an example the current fees for these services.  </w:t>
      </w:r>
    </w:p>
    <w:tbl>
      <w:tblPr>
        <w:tblStyle w:val="TableGrid"/>
        <w:tblW w:w="8820" w:type="dxa"/>
        <w:tblInd w:w="-5" w:type="dxa"/>
        <w:tblLook w:val="04A0"/>
      </w:tblPr>
      <w:tblGrid>
        <w:gridCol w:w="2520"/>
        <w:gridCol w:w="3600"/>
        <w:gridCol w:w="2700"/>
      </w:tblGrid>
      <w:tr w:rsidTr="00F4210E">
        <w:tblPrEx>
          <w:tblW w:w="8820" w:type="dxa"/>
          <w:tblInd w:w="-5" w:type="dxa"/>
          <w:tblLook w:val="04A0"/>
        </w:tblPrEx>
        <w:tc>
          <w:tcPr>
            <w:tcW w:w="2520" w:type="dxa"/>
          </w:tcPr>
          <w:p w:rsidR="00B37D85" w:rsidRPr="0059512C" w:rsidP="00376B4A">
            <w:pPr>
              <w:pStyle w:val="ParaNum"/>
              <w:numPr>
                <w:ilvl w:val="0"/>
                <w:numId w:val="0"/>
              </w:numPr>
              <w:rPr>
                <w:b/>
                <w:szCs w:val="22"/>
              </w:rPr>
            </w:pPr>
            <w:r w:rsidRPr="0059512C">
              <w:rPr>
                <w:b/>
                <w:szCs w:val="22"/>
              </w:rPr>
              <w:t>Filing Category</w:t>
            </w:r>
          </w:p>
        </w:tc>
        <w:tc>
          <w:tcPr>
            <w:tcW w:w="3600" w:type="dxa"/>
          </w:tcPr>
          <w:p w:rsidR="00B37D85" w:rsidRPr="0059512C" w:rsidP="00376B4A">
            <w:pPr>
              <w:pStyle w:val="ParaNum"/>
              <w:numPr>
                <w:ilvl w:val="0"/>
                <w:numId w:val="0"/>
              </w:numPr>
              <w:ind w:left="720" w:right="-405"/>
              <w:rPr>
                <w:b/>
                <w:szCs w:val="22"/>
              </w:rPr>
            </w:pPr>
            <w:r w:rsidRPr="0059512C">
              <w:rPr>
                <w:b/>
                <w:szCs w:val="22"/>
              </w:rPr>
              <w:t>Current Fee</w:t>
            </w:r>
          </w:p>
        </w:tc>
        <w:tc>
          <w:tcPr>
            <w:tcW w:w="2700" w:type="dxa"/>
          </w:tcPr>
          <w:p w:rsidR="00B37D85" w:rsidRPr="0059512C" w:rsidP="00376B4A">
            <w:pPr>
              <w:pStyle w:val="ParaNum"/>
              <w:numPr>
                <w:ilvl w:val="0"/>
                <w:numId w:val="0"/>
              </w:numPr>
              <w:ind w:firstLine="720"/>
              <w:rPr>
                <w:b/>
                <w:szCs w:val="22"/>
              </w:rPr>
            </w:pPr>
            <w:r w:rsidRPr="0059512C">
              <w:rPr>
                <w:b/>
                <w:szCs w:val="22"/>
              </w:rPr>
              <w:t>Cost-based Fee</w:t>
            </w:r>
          </w:p>
        </w:tc>
      </w:tr>
      <w:tr w:rsidTr="00F4210E">
        <w:tblPrEx>
          <w:tblW w:w="8820" w:type="dxa"/>
          <w:tblInd w:w="-5" w:type="dxa"/>
          <w:tblLook w:val="04A0"/>
        </w:tblPrEx>
        <w:tc>
          <w:tcPr>
            <w:tcW w:w="2520" w:type="dxa"/>
          </w:tcPr>
          <w:p w:rsidR="00B37D85" w:rsidRPr="0059512C" w:rsidP="00376B4A">
            <w:pPr>
              <w:pStyle w:val="ParaNum"/>
              <w:numPr>
                <w:ilvl w:val="0"/>
                <w:numId w:val="0"/>
              </w:numPr>
              <w:rPr>
                <w:b/>
                <w:szCs w:val="22"/>
              </w:rPr>
            </w:pPr>
            <w:r w:rsidRPr="0059512C">
              <w:rPr>
                <w:b/>
                <w:szCs w:val="22"/>
              </w:rPr>
              <w:t>Space Stations, Geostationary Orbit</w:t>
            </w:r>
          </w:p>
        </w:tc>
        <w:tc>
          <w:tcPr>
            <w:tcW w:w="3600" w:type="dxa"/>
          </w:tcPr>
          <w:p w:rsidR="00B37D85" w:rsidRPr="0059512C" w:rsidP="00376B4A">
            <w:pPr>
              <w:pStyle w:val="ParaNum"/>
              <w:numPr>
                <w:ilvl w:val="0"/>
                <w:numId w:val="0"/>
              </w:numPr>
              <w:ind w:left="720"/>
              <w:rPr>
                <w:szCs w:val="22"/>
              </w:rPr>
            </w:pPr>
          </w:p>
        </w:tc>
        <w:tc>
          <w:tcPr>
            <w:tcW w:w="2700" w:type="dxa"/>
          </w:tcPr>
          <w:p w:rsidR="00B37D85" w:rsidRPr="0059512C" w:rsidP="00F364EF">
            <w:pPr>
              <w:pStyle w:val="ParaNum"/>
              <w:numPr>
                <w:ilvl w:val="0"/>
                <w:numId w:val="0"/>
              </w:numPr>
              <w:ind w:left="720"/>
              <w:rPr>
                <w:szCs w:val="22"/>
              </w:rPr>
            </w:pPr>
          </w:p>
        </w:tc>
      </w:tr>
      <w:tr w:rsidTr="00F4210E">
        <w:tblPrEx>
          <w:tblW w:w="8820" w:type="dxa"/>
          <w:tblInd w:w="-5" w:type="dxa"/>
          <w:tblLook w:val="04A0"/>
        </w:tblPrEx>
        <w:tc>
          <w:tcPr>
            <w:tcW w:w="2520" w:type="dxa"/>
          </w:tcPr>
          <w:p w:rsidR="00B37D85" w:rsidRPr="0059512C" w:rsidP="00376B4A">
            <w:pPr>
              <w:pStyle w:val="ParaNum"/>
              <w:numPr>
                <w:ilvl w:val="0"/>
                <w:numId w:val="0"/>
              </w:numPr>
              <w:rPr>
                <w:bCs/>
                <w:szCs w:val="22"/>
              </w:rPr>
            </w:pPr>
            <w:r w:rsidRPr="0059512C">
              <w:rPr>
                <w:bCs/>
                <w:szCs w:val="22"/>
              </w:rPr>
              <w:t>Application for Authority to Construct, Deploy, and Operate, per satellite</w:t>
            </w:r>
          </w:p>
        </w:tc>
        <w:tc>
          <w:tcPr>
            <w:tcW w:w="3600" w:type="dxa"/>
          </w:tcPr>
          <w:p w:rsidR="00B37D85" w:rsidRPr="0059512C" w:rsidP="00F364EF">
            <w:pPr>
              <w:pStyle w:val="ParaNum"/>
              <w:numPr>
                <w:ilvl w:val="0"/>
                <w:numId w:val="0"/>
              </w:numPr>
              <w:ind w:left="720"/>
              <w:rPr>
                <w:szCs w:val="22"/>
              </w:rPr>
            </w:pPr>
            <w:r w:rsidRPr="0059512C">
              <w:rPr>
                <w:szCs w:val="22"/>
              </w:rPr>
              <w:t>$136,930</w:t>
            </w:r>
          </w:p>
        </w:tc>
        <w:tc>
          <w:tcPr>
            <w:tcW w:w="2700" w:type="dxa"/>
          </w:tcPr>
          <w:p w:rsidR="00B37D85" w:rsidRPr="0059512C" w:rsidP="00376B4A">
            <w:pPr>
              <w:pStyle w:val="ParaNum"/>
              <w:numPr>
                <w:ilvl w:val="0"/>
                <w:numId w:val="0"/>
              </w:numPr>
              <w:ind w:left="720"/>
              <w:rPr>
                <w:szCs w:val="22"/>
              </w:rPr>
            </w:pPr>
            <w:r w:rsidRPr="0059512C">
              <w:rPr>
                <w:szCs w:val="22"/>
              </w:rPr>
              <w:t>$3,</w:t>
            </w:r>
            <w:r w:rsidRPr="0059512C" w:rsidR="00956FCB">
              <w:rPr>
                <w:szCs w:val="22"/>
              </w:rPr>
              <w:t>555</w:t>
            </w:r>
          </w:p>
        </w:tc>
      </w:tr>
      <w:tr w:rsidTr="00F4210E">
        <w:tblPrEx>
          <w:tblW w:w="8820" w:type="dxa"/>
          <w:tblInd w:w="-5" w:type="dxa"/>
          <w:tblLook w:val="04A0"/>
        </w:tblPrEx>
        <w:tc>
          <w:tcPr>
            <w:tcW w:w="2520" w:type="dxa"/>
          </w:tcPr>
          <w:p w:rsidR="00B37D85" w:rsidRPr="0059512C" w:rsidP="00376B4A">
            <w:pPr>
              <w:pStyle w:val="ParaNum"/>
              <w:numPr>
                <w:ilvl w:val="0"/>
                <w:numId w:val="0"/>
              </w:numPr>
              <w:rPr>
                <w:bCs/>
                <w:szCs w:val="22"/>
              </w:rPr>
            </w:pPr>
            <w:r w:rsidRPr="0059512C">
              <w:rPr>
                <w:bCs/>
                <w:szCs w:val="22"/>
              </w:rPr>
              <w:t>Application for Authority to Operate, per satellite</w:t>
            </w:r>
          </w:p>
        </w:tc>
        <w:tc>
          <w:tcPr>
            <w:tcW w:w="3600" w:type="dxa"/>
          </w:tcPr>
          <w:p w:rsidR="00B37D85" w:rsidRPr="0059512C" w:rsidP="00376B4A">
            <w:pPr>
              <w:pStyle w:val="ParaNum"/>
              <w:numPr>
                <w:ilvl w:val="0"/>
                <w:numId w:val="0"/>
              </w:numPr>
              <w:ind w:left="720"/>
              <w:rPr>
                <w:szCs w:val="22"/>
              </w:rPr>
            </w:pPr>
            <w:r w:rsidRPr="0059512C">
              <w:rPr>
                <w:szCs w:val="22"/>
              </w:rPr>
              <w:t>n/a</w:t>
            </w:r>
          </w:p>
        </w:tc>
        <w:tc>
          <w:tcPr>
            <w:tcW w:w="2700" w:type="dxa"/>
          </w:tcPr>
          <w:p w:rsidR="00B37D85" w:rsidRPr="0059512C" w:rsidP="00376B4A">
            <w:pPr>
              <w:pStyle w:val="ParaNum"/>
              <w:numPr>
                <w:ilvl w:val="0"/>
                <w:numId w:val="0"/>
              </w:numPr>
              <w:ind w:left="720"/>
              <w:rPr>
                <w:szCs w:val="22"/>
              </w:rPr>
            </w:pPr>
            <w:r w:rsidRPr="0059512C">
              <w:rPr>
                <w:szCs w:val="22"/>
              </w:rPr>
              <w:t>$3,</w:t>
            </w:r>
            <w:r w:rsidRPr="0059512C" w:rsidR="00956FCB">
              <w:rPr>
                <w:szCs w:val="22"/>
              </w:rPr>
              <w:t>555</w:t>
            </w:r>
          </w:p>
        </w:tc>
      </w:tr>
      <w:tr w:rsidTr="00F4210E">
        <w:tblPrEx>
          <w:tblW w:w="8820" w:type="dxa"/>
          <w:tblInd w:w="-5" w:type="dxa"/>
          <w:tblLook w:val="04A0"/>
        </w:tblPrEx>
        <w:tc>
          <w:tcPr>
            <w:tcW w:w="2520" w:type="dxa"/>
          </w:tcPr>
          <w:p w:rsidR="00B37D85" w:rsidRPr="0059512C" w:rsidP="00376B4A">
            <w:pPr>
              <w:pStyle w:val="ParaNum"/>
              <w:numPr>
                <w:ilvl w:val="0"/>
                <w:numId w:val="0"/>
              </w:numPr>
              <w:rPr>
                <w:bCs/>
                <w:szCs w:val="22"/>
              </w:rPr>
            </w:pPr>
            <w:r w:rsidRPr="0059512C">
              <w:rPr>
                <w:bCs/>
                <w:szCs w:val="22"/>
              </w:rPr>
              <w:t>Extension of Launch Authority</w:t>
            </w:r>
          </w:p>
        </w:tc>
        <w:tc>
          <w:tcPr>
            <w:tcW w:w="3600" w:type="dxa"/>
          </w:tcPr>
          <w:p w:rsidR="00B37D85" w:rsidRPr="0059512C" w:rsidP="00376B4A">
            <w:pPr>
              <w:pStyle w:val="ParaNum"/>
              <w:numPr>
                <w:ilvl w:val="0"/>
                <w:numId w:val="0"/>
              </w:numPr>
              <w:ind w:left="720"/>
              <w:rPr>
                <w:szCs w:val="22"/>
              </w:rPr>
            </w:pPr>
            <w:r w:rsidRPr="0059512C">
              <w:rPr>
                <w:szCs w:val="22"/>
              </w:rPr>
              <w:t>$980</w:t>
            </w:r>
          </w:p>
        </w:tc>
        <w:tc>
          <w:tcPr>
            <w:tcW w:w="2700" w:type="dxa"/>
          </w:tcPr>
          <w:p w:rsidR="00B37D85" w:rsidRPr="0059512C" w:rsidP="00376B4A">
            <w:pPr>
              <w:pStyle w:val="ParaNum"/>
              <w:numPr>
                <w:ilvl w:val="0"/>
                <w:numId w:val="0"/>
              </w:numPr>
              <w:ind w:left="720"/>
              <w:rPr>
                <w:szCs w:val="22"/>
              </w:rPr>
            </w:pPr>
            <w:r w:rsidRPr="0059512C">
              <w:rPr>
                <w:szCs w:val="22"/>
              </w:rPr>
              <w:t>Eliminate</w:t>
            </w:r>
            <w:r>
              <w:rPr>
                <w:rStyle w:val="FootnoteReference"/>
                <w:sz w:val="22"/>
              </w:rPr>
              <w:footnoteReference w:id="153"/>
            </w:r>
          </w:p>
        </w:tc>
      </w:tr>
      <w:tr w:rsidTr="00F4210E">
        <w:tblPrEx>
          <w:tblW w:w="8820" w:type="dxa"/>
          <w:tblInd w:w="-5" w:type="dxa"/>
          <w:tblLook w:val="04A0"/>
        </w:tblPrEx>
        <w:tc>
          <w:tcPr>
            <w:tcW w:w="2520" w:type="dxa"/>
          </w:tcPr>
          <w:p w:rsidR="00B37D85" w:rsidRPr="0059512C" w:rsidP="00376B4A">
            <w:pPr>
              <w:pStyle w:val="ParaNum"/>
              <w:numPr>
                <w:ilvl w:val="0"/>
                <w:numId w:val="0"/>
              </w:numPr>
              <w:rPr>
                <w:b/>
                <w:szCs w:val="22"/>
              </w:rPr>
            </w:pPr>
            <w:r w:rsidRPr="0059512C">
              <w:rPr>
                <w:b/>
                <w:szCs w:val="22"/>
              </w:rPr>
              <w:t>Space Stations, Non-Geostationary Orbit</w:t>
            </w:r>
          </w:p>
        </w:tc>
        <w:tc>
          <w:tcPr>
            <w:tcW w:w="3600" w:type="dxa"/>
          </w:tcPr>
          <w:p w:rsidR="00B37D85" w:rsidRPr="0059512C" w:rsidP="00376B4A">
            <w:pPr>
              <w:pStyle w:val="ParaNum"/>
              <w:numPr>
                <w:ilvl w:val="0"/>
                <w:numId w:val="0"/>
              </w:numPr>
              <w:ind w:left="720"/>
              <w:rPr>
                <w:szCs w:val="22"/>
              </w:rPr>
            </w:pPr>
          </w:p>
        </w:tc>
        <w:tc>
          <w:tcPr>
            <w:tcW w:w="2700" w:type="dxa"/>
          </w:tcPr>
          <w:p w:rsidR="00B37D85" w:rsidRPr="0059512C" w:rsidP="00376B4A">
            <w:pPr>
              <w:pStyle w:val="ParaNum"/>
              <w:numPr>
                <w:ilvl w:val="0"/>
                <w:numId w:val="0"/>
              </w:numPr>
              <w:ind w:left="720"/>
              <w:rPr>
                <w:szCs w:val="22"/>
              </w:rPr>
            </w:pPr>
          </w:p>
        </w:tc>
      </w:tr>
      <w:tr w:rsidTr="00F4210E">
        <w:tblPrEx>
          <w:tblW w:w="8820" w:type="dxa"/>
          <w:tblInd w:w="-5" w:type="dxa"/>
          <w:tblLook w:val="04A0"/>
        </w:tblPrEx>
        <w:tc>
          <w:tcPr>
            <w:tcW w:w="2520" w:type="dxa"/>
          </w:tcPr>
          <w:p w:rsidR="00B37D85" w:rsidRPr="0059512C" w:rsidP="00376B4A">
            <w:pPr>
              <w:pStyle w:val="ParaNum"/>
              <w:numPr>
                <w:ilvl w:val="0"/>
                <w:numId w:val="0"/>
              </w:numPr>
              <w:rPr>
                <w:bCs/>
                <w:szCs w:val="22"/>
              </w:rPr>
            </w:pPr>
            <w:r w:rsidRPr="0059512C">
              <w:rPr>
                <w:bCs/>
                <w:szCs w:val="22"/>
              </w:rPr>
              <w:t>Application for Authority to Construct, Deploy, and Operate, per system of technically identical satellites, per Call Sign</w:t>
            </w:r>
          </w:p>
        </w:tc>
        <w:tc>
          <w:tcPr>
            <w:tcW w:w="3600" w:type="dxa"/>
          </w:tcPr>
          <w:p w:rsidR="00B37D85" w:rsidRPr="0059512C" w:rsidP="00376B4A">
            <w:pPr>
              <w:pStyle w:val="ParaNum"/>
              <w:numPr>
                <w:ilvl w:val="0"/>
                <w:numId w:val="0"/>
              </w:numPr>
              <w:ind w:left="720"/>
              <w:rPr>
                <w:szCs w:val="22"/>
              </w:rPr>
            </w:pPr>
            <w:r w:rsidRPr="0059512C">
              <w:rPr>
                <w:szCs w:val="22"/>
              </w:rPr>
              <w:t>$471,575</w:t>
            </w:r>
          </w:p>
        </w:tc>
        <w:tc>
          <w:tcPr>
            <w:tcW w:w="2700" w:type="dxa"/>
          </w:tcPr>
          <w:p w:rsidR="00B37D85" w:rsidRPr="0059512C" w:rsidP="00376B4A">
            <w:pPr>
              <w:pStyle w:val="ParaNum"/>
              <w:numPr>
                <w:ilvl w:val="0"/>
                <w:numId w:val="0"/>
              </w:numPr>
              <w:ind w:left="720"/>
              <w:rPr>
                <w:szCs w:val="22"/>
              </w:rPr>
            </w:pPr>
            <w:r w:rsidRPr="0059512C">
              <w:rPr>
                <w:szCs w:val="22"/>
              </w:rPr>
              <w:t>$14,536</w:t>
            </w:r>
          </w:p>
        </w:tc>
      </w:tr>
      <w:tr w:rsidTr="00F4210E">
        <w:tblPrEx>
          <w:tblW w:w="8820" w:type="dxa"/>
          <w:tblInd w:w="-5" w:type="dxa"/>
          <w:tblLook w:val="04A0"/>
        </w:tblPrEx>
        <w:tc>
          <w:tcPr>
            <w:tcW w:w="2520" w:type="dxa"/>
          </w:tcPr>
          <w:p w:rsidR="00B37D85" w:rsidRPr="0059512C" w:rsidP="00376B4A">
            <w:pPr>
              <w:pStyle w:val="ParaNum"/>
              <w:numPr>
                <w:ilvl w:val="0"/>
                <w:numId w:val="0"/>
              </w:numPr>
              <w:rPr>
                <w:bCs/>
                <w:szCs w:val="22"/>
              </w:rPr>
            </w:pPr>
            <w:r w:rsidRPr="0059512C">
              <w:rPr>
                <w:bCs/>
                <w:szCs w:val="22"/>
              </w:rPr>
              <w:t>Application for Authority to Operate, per system of technically identical satellites, per Call Sign</w:t>
            </w:r>
          </w:p>
        </w:tc>
        <w:tc>
          <w:tcPr>
            <w:tcW w:w="3600" w:type="dxa"/>
          </w:tcPr>
          <w:p w:rsidR="00B37D85" w:rsidRPr="0059512C" w:rsidP="00376B4A">
            <w:pPr>
              <w:pStyle w:val="ParaNum"/>
              <w:numPr>
                <w:ilvl w:val="0"/>
                <w:numId w:val="0"/>
              </w:numPr>
              <w:ind w:left="720"/>
              <w:rPr>
                <w:szCs w:val="22"/>
              </w:rPr>
            </w:pPr>
            <w:r w:rsidRPr="0059512C">
              <w:rPr>
                <w:szCs w:val="22"/>
              </w:rPr>
              <w:t>n/a</w:t>
            </w:r>
          </w:p>
        </w:tc>
        <w:tc>
          <w:tcPr>
            <w:tcW w:w="2700" w:type="dxa"/>
          </w:tcPr>
          <w:p w:rsidR="00B37D85" w:rsidRPr="0059512C" w:rsidP="00376B4A">
            <w:pPr>
              <w:pStyle w:val="ParaNum"/>
              <w:numPr>
                <w:ilvl w:val="0"/>
                <w:numId w:val="0"/>
              </w:numPr>
              <w:ind w:left="720"/>
              <w:rPr>
                <w:szCs w:val="22"/>
              </w:rPr>
            </w:pPr>
            <w:r w:rsidRPr="0059512C">
              <w:rPr>
                <w:szCs w:val="22"/>
              </w:rPr>
              <w:t>$</w:t>
            </w:r>
            <w:r w:rsidRPr="0059512C" w:rsidR="00956FCB">
              <w:rPr>
                <w:szCs w:val="22"/>
              </w:rPr>
              <w:t>15,050</w:t>
            </w:r>
          </w:p>
        </w:tc>
      </w:tr>
      <w:tr w:rsidTr="00F4210E">
        <w:tblPrEx>
          <w:tblW w:w="8820" w:type="dxa"/>
          <w:tblInd w:w="-5" w:type="dxa"/>
          <w:tblLook w:val="04A0"/>
        </w:tblPrEx>
        <w:tc>
          <w:tcPr>
            <w:tcW w:w="2520" w:type="dxa"/>
          </w:tcPr>
          <w:p w:rsidR="00B37D85" w:rsidRPr="0059512C" w:rsidP="00376B4A">
            <w:pPr>
              <w:pStyle w:val="ParaNum"/>
              <w:numPr>
                <w:ilvl w:val="0"/>
                <w:numId w:val="0"/>
              </w:numPr>
              <w:rPr>
                <w:bCs/>
                <w:szCs w:val="22"/>
              </w:rPr>
            </w:pPr>
            <w:r w:rsidRPr="0059512C">
              <w:rPr>
                <w:bCs/>
                <w:szCs w:val="22"/>
              </w:rPr>
              <w:t>Ex</w:t>
            </w:r>
            <w:r w:rsidRPr="0059512C">
              <w:rPr>
                <w:bCs/>
                <w:szCs w:val="22"/>
              </w:rPr>
              <w:t>tension of Launch Authority</w:t>
            </w:r>
          </w:p>
        </w:tc>
        <w:tc>
          <w:tcPr>
            <w:tcW w:w="3600" w:type="dxa"/>
          </w:tcPr>
          <w:p w:rsidR="00B37D85" w:rsidRPr="0059512C" w:rsidP="00376B4A">
            <w:pPr>
              <w:pStyle w:val="ParaNum"/>
              <w:numPr>
                <w:ilvl w:val="0"/>
                <w:numId w:val="0"/>
              </w:numPr>
              <w:ind w:left="720"/>
              <w:rPr>
                <w:szCs w:val="22"/>
              </w:rPr>
            </w:pPr>
            <w:r w:rsidRPr="0059512C">
              <w:rPr>
                <w:szCs w:val="22"/>
              </w:rPr>
              <w:t>$980</w:t>
            </w:r>
          </w:p>
        </w:tc>
        <w:tc>
          <w:tcPr>
            <w:tcW w:w="2700" w:type="dxa"/>
          </w:tcPr>
          <w:p w:rsidR="00B37D85" w:rsidRPr="0059512C" w:rsidP="00376B4A">
            <w:pPr>
              <w:pStyle w:val="ParaNum"/>
              <w:numPr>
                <w:ilvl w:val="0"/>
                <w:numId w:val="0"/>
              </w:numPr>
              <w:ind w:left="720"/>
              <w:rPr>
                <w:szCs w:val="22"/>
              </w:rPr>
            </w:pPr>
            <w:r w:rsidRPr="0059512C">
              <w:rPr>
                <w:szCs w:val="22"/>
              </w:rPr>
              <w:t>Eliminate</w:t>
            </w:r>
            <w:r>
              <w:rPr>
                <w:rStyle w:val="FootnoteReference"/>
                <w:sz w:val="22"/>
              </w:rPr>
              <w:footnoteReference w:id="154"/>
            </w:r>
          </w:p>
        </w:tc>
      </w:tr>
      <w:tr w:rsidTr="00F4210E">
        <w:tblPrEx>
          <w:tblW w:w="8820" w:type="dxa"/>
          <w:tblInd w:w="-5" w:type="dxa"/>
          <w:tblLook w:val="04A0"/>
        </w:tblPrEx>
        <w:tc>
          <w:tcPr>
            <w:tcW w:w="2520" w:type="dxa"/>
          </w:tcPr>
          <w:p w:rsidR="00B37D85" w:rsidRPr="0059512C" w:rsidP="00376B4A">
            <w:pPr>
              <w:pStyle w:val="ParaNum"/>
              <w:numPr>
                <w:ilvl w:val="0"/>
                <w:numId w:val="0"/>
              </w:numPr>
              <w:rPr>
                <w:b/>
                <w:szCs w:val="22"/>
              </w:rPr>
            </w:pPr>
            <w:r w:rsidRPr="0059512C">
              <w:rPr>
                <w:b/>
                <w:szCs w:val="22"/>
              </w:rPr>
              <w:t>Space Stations, Petition for Declaratory Ruling for a Foreign Space Station to Access the United States Market</w:t>
            </w:r>
          </w:p>
        </w:tc>
        <w:tc>
          <w:tcPr>
            <w:tcW w:w="3600" w:type="dxa"/>
          </w:tcPr>
          <w:p w:rsidR="00B37D85" w:rsidRPr="0059512C" w:rsidP="00376B4A">
            <w:pPr>
              <w:pStyle w:val="ParaNum"/>
              <w:numPr>
                <w:ilvl w:val="0"/>
                <w:numId w:val="0"/>
              </w:numPr>
              <w:ind w:left="720"/>
              <w:rPr>
                <w:szCs w:val="22"/>
              </w:rPr>
            </w:pPr>
          </w:p>
        </w:tc>
        <w:tc>
          <w:tcPr>
            <w:tcW w:w="2700" w:type="dxa"/>
          </w:tcPr>
          <w:p w:rsidR="00B37D85" w:rsidRPr="0059512C" w:rsidP="00376B4A">
            <w:pPr>
              <w:pStyle w:val="ParaNum"/>
              <w:numPr>
                <w:ilvl w:val="0"/>
                <w:numId w:val="0"/>
              </w:numPr>
              <w:ind w:left="720"/>
              <w:rPr>
                <w:szCs w:val="22"/>
              </w:rPr>
            </w:pPr>
          </w:p>
        </w:tc>
      </w:tr>
      <w:tr w:rsidTr="00F4210E">
        <w:tblPrEx>
          <w:tblW w:w="8820" w:type="dxa"/>
          <w:tblInd w:w="-5" w:type="dxa"/>
          <w:tblLook w:val="04A0"/>
        </w:tblPrEx>
        <w:tc>
          <w:tcPr>
            <w:tcW w:w="2520" w:type="dxa"/>
          </w:tcPr>
          <w:p w:rsidR="00B37D85" w:rsidRPr="0059512C" w:rsidP="00376B4A">
            <w:pPr>
              <w:pStyle w:val="ParaNum"/>
              <w:numPr>
                <w:ilvl w:val="0"/>
                <w:numId w:val="0"/>
              </w:numPr>
              <w:rPr>
                <w:szCs w:val="22"/>
              </w:rPr>
            </w:pPr>
            <w:r w:rsidRPr="0059512C">
              <w:rPr>
                <w:szCs w:val="22"/>
              </w:rPr>
              <w:t>Geostationary Orbit</w:t>
            </w:r>
          </w:p>
        </w:tc>
        <w:tc>
          <w:tcPr>
            <w:tcW w:w="3600" w:type="dxa"/>
          </w:tcPr>
          <w:p w:rsidR="00B37D85" w:rsidRPr="0059512C" w:rsidP="00376B4A">
            <w:pPr>
              <w:pStyle w:val="ParaNum"/>
              <w:numPr>
                <w:ilvl w:val="0"/>
                <w:numId w:val="0"/>
              </w:numPr>
              <w:ind w:left="720"/>
              <w:rPr>
                <w:szCs w:val="22"/>
              </w:rPr>
            </w:pPr>
            <w:r w:rsidRPr="0059512C">
              <w:rPr>
                <w:szCs w:val="22"/>
              </w:rPr>
              <w:t>n/a</w:t>
            </w:r>
          </w:p>
        </w:tc>
        <w:tc>
          <w:tcPr>
            <w:tcW w:w="2700" w:type="dxa"/>
          </w:tcPr>
          <w:p w:rsidR="00B37D85" w:rsidRPr="0059512C" w:rsidP="00376B4A">
            <w:pPr>
              <w:pStyle w:val="ParaNum"/>
              <w:numPr>
                <w:ilvl w:val="0"/>
                <w:numId w:val="0"/>
              </w:numPr>
              <w:ind w:left="720"/>
              <w:rPr>
                <w:szCs w:val="22"/>
              </w:rPr>
            </w:pPr>
            <w:r w:rsidRPr="0059512C">
              <w:rPr>
                <w:szCs w:val="22"/>
              </w:rPr>
              <w:t>$3,</w:t>
            </w:r>
            <w:r w:rsidRPr="0059512C" w:rsidR="00956FCB">
              <w:rPr>
                <w:szCs w:val="22"/>
              </w:rPr>
              <w:t>555</w:t>
            </w:r>
          </w:p>
        </w:tc>
      </w:tr>
      <w:tr w:rsidTr="00F4210E">
        <w:tblPrEx>
          <w:tblW w:w="8820" w:type="dxa"/>
          <w:tblInd w:w="-5" w:type="dxa"/>
          <w:tblLook w:val="04A0"/>
        </w:tblPrEx>
        <w:tc>
          <w:tcPr>
            <w:tcW w:w="2520" w:type="dxa"/>
          </w:tcPr>
          <w:p w:rsidR="00B37D85" w:rsidRPr="0059512C" w:rsidP="00376B4A">
            <w:pPr>
              <w:pStyle w:val="ParaNum"/>
              <w:numPr>
                <w:ilvl w:val="0"/>
                <w:numId w:val="0"/>
              </w:numPr>
              <w:rPr>
                <w:szCs w:val="22"/>
              </w:rPr>
            </w:pPr>
            <w:r w:rsidRPr="0059512C">
              <w:rPr>
                <w:szCs w:val="22"/>
              </w:rPr>
              <w:t>Non-Geostationary Orbit</w:t>
            </w:r>
          </w:p>
        </w:tc>
        <w:tc>
          <w:tcPr>
            <w:tcW w:w="3600" w:type="dxa"/>
          </w:tcPr>
          <w:p w:rsidR="00B37D85" w:rsidRPr="0059512C" w:rsidP="00376B4A">
            <w:pPr>
              <w:pStyle w:val="ParaNum"/>
              <w:numPr>
                <w:ilvl w:val="0"/>
                <w:numId w:val="0"/>
              </w:numPr>
              <w:ind w:left="720"/>
              <w:rPr>
                <w:szCs w:val="22"/>
              </w:rPr>
            </w:pPr>
            <w:r w:rsidRPr="0059512C">
              <w:rPr>
                <w:szCs w:val="22"/>
              </w:rPr>
              <w:t>n/a</w:t>
            </w:r>
          </w:p>
        </w:tc>
        <w:tc>
          <w:tcPr>
            <w:tcW w:w="2700" w:type="dxa"/>
          </w:tcPr>
          <w:p w:rsidR="00B37D85" w:rsidRPr="0059512C" w:rsidP="00376B4A">
            <w:pPr>
              <w:pStyle w:val="ParaNum"/>
              <w:numPr>
                <w:ilvl w:val="0"/>
                <w:numId w:val="0"/>
              </w:numPr>
              <w:ind w:left="720"/>
              <w:rPr>
                <w:szCs w:val="22"/>
              </w:rPr>
            </w:pPr>
            <w:r w:rsidRPr="0059512C">
              <w:rPr>
                <w:szCs w:val="22"/>
              </w:rPr>
              <w:t>$1</w:t>
            </w:r>
            <w:r w:rsidRPr="0059512C" w:rsidR="00956FCB">
              <w:rPr>
                <w:szCs w:val="22"/>
              </w:rPr>
              <w:t>5,050</w:t>
            </w:r>
            <w:r w:rsidRPr="0059512C">
              <w:rPr>
                <w:szCs w:val="22"/>
              </w:rPr>
              <w:t xml:space="preserve"> </w:t>
            </w:r>
          </w:p>
        </w:tc>
      </w:tr>
      <w:tr w:rsidTr="00F4210E">
        <w:tblPrEx>
          <w:tblW w:w="8820" w:type="dxa"/>
          <w:tblInd w:w="-5" w:type="dxa"/>
          <w:tblLook w:val="04A0"/>
        </w:tblPrEx>
        <w:tc>
          <w:tcPr>
            <w:tcW w:w="2520" w:type="dxa"/>
          </w:tcPr>
          <w:p w:rsidR="00B37D85" w:rsidRPr="0059512C" w:rsidP="00376B4A">
            <w:pPr>
              <w:pStyle w:val="ParaNum"/>
              <w:numPr>
                <w:ilvl w:val="0"/>
                <w:numId w:val="0"/>
              </w:numPr>
              <w:rPr>
                <w:szCs w:val="22"/>
              </w:rPr>
            </w:pPr>
            <w:r w:rsidRPr="0059512C">
              <w:rPr>
                <w:b/>
                <w:szCs w:val="22"/>
              </w:rPr>
              <w:t xml:space="preserve">Space Stations, Small </w:t>
            </w:r>
            <w:r w:rsidRPr="0059512C">
              <w:rPr>
                <w:b/>
                <w:szCs w:val="22"/>
              </w:rPr>
              <w:t>Satellites, per Call Sign</w:t>
            </w:r>
          </w:p>
        </w:tc>
        <w:tc>
          <w:tcPr>
            <w:tcW w:w="3600" w:type="dxa"/>
          </w:tcPr>
          <w:p w:rsidR="00B37D85" w:rsidRPr="0059512C" w:rsidP="00376B4A">
            <w:pPr>
              <w:pStyle w:val="ParaNum"/>
              <w:numPr>
                <w:ilvl w:val="0"/>
                <w:numId w:val="0"/>
              </w:numPr>
              <w:ind w:left="720"/>
              <w:rPr>
                <w:szCs w:val="22"/>
              </w:rPr>
            </w:pPr>
          </w:p>
        </w:tc>
        <w:tc>
          <w:tcPr>
            <w:tcW w:w="2700" w:type="dxa"/>
          </w:tcPr>
          <w:p w:rsidR="00B37D85" w:rsidRPr="0059512C" w:rsidP="00376B4A">
            <w:pPr>
              <w:pStyle w:val="ParaNum"/>
              <w:numPr>
                <w:ilvl w:val="0"/>
                <w:numId w:val="0"/>
              </w:numPr>
              <w:ind w:left="720"/>
              <w:rPr>
                <w:szCs w:val="22"/>
              </w:rPr>
            </w:pPr>
          </w:p>
        </w:tc>
      </w:tr>
      <w:tr w:rsidTr="00F4210E">
        <w:tblPrEx>
          <w:tblW w:w="8820" w:type="dxa"/>
          <w:tblInd w:w="-5" w:type="dxa"/>
          <w:tblLook w:val="04A0"/>
        </w:tblPrEx>
        <w:tc>
          <w:tcPr>
            <w:tcW w:w="2520" w:type="dxa"/>
          </w:tcPr>
          <w:p w:rsidR="00B37D85" w:rsidRPr="0059512C" w:rsidP="00376B4A">
            <w:pPr>
              <w:pStyle w:val="ParaNum"/>
              <w:numPr>
                <w:ilvl w:val="0"/>
                <w:numId w:val="0"/>
              </w:numPr>
              <w:rPr>
                <w:b/>
                <w:szCs w:val="22"/>
              </w:rPr>
            </w:pPr>
            <w:r w:rsidRPr="0059512C">
              <w:rPr>
                <w:szCs w:val="22"/>
              </w:rPr>
              <w:t xml:space="preserve">Application to Construct, Deploy, and Operate, per </w:t>
            </w:r>
            <w:r w:rsidRPr="0059512C">
              <w:rPr>
                <w:szCs w:val="22"/>
              </w:rPr>
              <w:t>Call Sign</w:t>
            </w:r>
          </w:p>
        </w:tc>
        <w:tc>
          <w:tcPr>
            <w:tcW w:w="3600" w:type="dxa"/>
          </w:tcPr>
          <w:p w:rsidR="00B37D85" w:rsidRPr="0059512C" w:rsidP="00376B4A">
            <w:pPr>
              <w:pStyle w:val="ParaNum"/>
              <w:numPr>
                <w:ilvl w:val="0"/>
                <w:numId w:val="0"/>
              </w:numPr>
              <w:ind w:left="720"/>
              <w:rPr>
                <w:szCs w:val="22"/>
              </w:rPr>
            </w:pPr>
            <w:r w:rsidRPr="0059512C">
              <w:rPr>
                <w:szCs w:val="22"/>
              </w:rPr>
              <w:t>$30,000</w:t>
            </w:r>
          </w:p>
        </w:tc>
        <w:tc>
          <w:tcPr>
            <w:tcW w:w="2700" w:type="dxa"/>
          </w:tcPr>
          <w:p w:rsidR="00B37D85" w:rsidRPr="0059512C" w:rsidP="00376B4A">
            <w:pPr>
              <w:pStyle w:val="ParaNum"/>
              <w:numPr>
                <w:ilvl w:val="0"/>
                <w:numId w:val="0"/>
              </w:numPr>
              <w:ind w:left="720"/>
              <w:rPr>
                <w:szCs w:val="22"/>
              </w:rPr>
            </w:pPr>
            <w:r w:rsidRPr="0059512C">
              <w:rPr>
                <w:szCs w:val="22"/>
              </w:rPr>
              <w:t>$2,1</w:t>
            </w:r>
            <w:r w:rsidRPr="0059512C" w:rsidR="00956FCB">
              <w:rPr>
                <w:szCs w:val="22"/>
              </w:rPr>
              <w:t>75</w:t>
            </w:r>
            <w:r w:rsidRPr="0059512C">
              <w:rPr>
                <w:szCs w:val="22"/>
              </w:rPr>
              <w:t xml:space="preserve"> </w:t>
            </w:r>
          </w:p>
        </w:tc>
      </w:tr>
      <w:tr w:rsidTr="00F4210E">
        <w:tblPrEx>
          <w:tblW w:w="8820" w:type="dxa"/>
          <w:tblInd w:w="-5" w:type="dxa"/>
          <w:tblLook w:val="04A0"/>
        </w:tblPrEx>
        <w:tc>
          <w:tcPr>
            <w:tcW w:w="2520" w:type="dxa"/>
          </w:tcPr>
          <w:p w:rsidR="00B37D85" w:rsidRPr="00AF3C96" w:rsidP="00376B4A">
            <w:pPr>
              <w:pStyle w:val="ParaNum"/>
              <w:numPr>
                <w:ilvl w:val="0"/>
                <w:numId w:val="0"/>
              </w:numPr>
              <w:rPr>
                <w:bCs/>
                <w:szCs w:val="22"/>
              </w:rPr>
            </w:pPr>
            <w:r w:rsidRPr="0060706A">
              <w:t>Space Stations, Amendments, per Call Sign</w:t>
            </w:r>
          </w:p>
        </w:tc>
        <w:tc>
          <w:tcPr>
            <w:tcW w:w="3600" w:type="dxa"/>
          </w:tcPr>
          <w:p w:rsidR="00B37D85" w:rsidRPr="00AF3C96" w:rsidP="00376B4A">
            <w:pPr>
              <w:pStyle w:val="ParaNum"/>
              <w:numPr>
                <w:ilvl w:val="0"/>
                <w:numId w:val="0"/>
              </w:numPr>
              <w:ind w:left="720"/>
              <w:rPr>
                <w:bCs/>
                <w:szCs w:val="22"/>
              </w:rPr>
            </w:pPr>
            <w:r w:rsidRPr="00AF3C96">
              <w:rPr>
                <w:bCs/>
                <w:szCs w:val="22"/>
              </w:rPr>
              <w:t>$1,960 for GSO</w:t>
            </w:r>
          </w:p>
          <w:p w:rsidR="00B37D85" w:rsidRPr="00AF3C96" w:rsidP="00376B4A">
            <w:pPr>
              <w:pStyle w:val="ParaNum"/>
              <w:numPr>
                <w:ilvl w:val="0"/>
                <w:numId w:val="0"/>
              </w:numPr>
              <w:ind w:left="720"/>
              <w:rPr>
                <w:bCs/>
                <w:szCs w:val="22"/>
              </w:rPr>
            </w:pPr>
            <w:r w:rsidRPr="00AF3C96">
              <w:rPr>
                <w:bCs/>
                <w:szCs w:val="22"/>
              </w:rPr>
              <w:t>$6,740 for NGSO</w:t>
            </w:r>
          </w:p>
        </w:tc>
        <w:tc>
          <w:tcPr>
            <w:tcW w:w="2700" w:type="dxa"/>
          </w:tcPr>
          <w:p w:rsidR="00B37D85" w:rsidRPr="0059512C" w:rsidP="00376B4A">
            <w:pPr>
              <w:pStyle w:val="ParaNum"/>
              <w:numPr>
                <w:ilvl w:val="0"/>
                <w:numId w:val="0"/>
              </w:numPr>
              <w:ind w:left="720"/>
              <w:rPr>
                <w:szCs w:val="22"/>
              </w:rPr>
            </w:pPr>
            <w:r w:rsidRPr="0059512C">
              <w:rPr>
                <w:szCs w:val="22"/>
              </w:rPr>
              <w:t>$1</w:t>
            </w:r>
            <w:r w:rsidRPr="0059512C" w:rsidR="00956FCB">
              <w:rPr>
                <w:szCs w:val="22"/>
              </w:rPr>
              <w:t>,620</w:t>
            </w:r>
          </w:p>
        </w:tc>
      </w:tr>
      <w:tr w:rsidTr="00F4210E">
        <w:tblPrEx>
          <w:tblW w:w="8820" w:type="dxa"/>
          <w:tblInd w:w="-5" w:type="dxa"/>
          <w:tblLook w:val="04A0"/>
        </w:tblPrEx>
        <w:tc>
          <w:tcPr>
            <w:tcW w:w="2520" w:type="dxa"/>
          </w:tcPr>
          <w:p w:rsidR="00B37D85" w:rsidRPr="0060706A" w:rsidP="00376B4A">
            <w:pPr>
              <w:pStyle w:val="ParaNum"/>
              <w:numPr>
                <w:ilvl w:val="0"/>
                <w:numId w:val="0"/>
              </w:numPr>
            </w:pPr>
            <w:r w:rsidRPr="0060706A">
              <w:t>Space Stations, Modifications, per Call Sign</w:t>
            </w:r>
          </w:p>
        </w:tc>
        <w:tc>
          <w:tcPr>
            <w:tcW w:w="3600" w:type="dxa"/>
          </w:tcPr>
          <w:p w:rsidR="00B37D85" w:rsidRPr="00AF3C96" w:rsidP="00376B4A">
            <w:pPr>
              <w:pStyle w:val="ParaNum"/>
              <w:numPr>
                <w:ilvl w:val="0"/>
                <w:numId w:val="0"/>
              </w:numPr>
              <w:ind w:left="720"/>
              <w:rPr>
                <w:bCs/>
                <w:szCs w:val="22"/>
              </w:rPr>
            </w:pPr>
            <w:r w:rsidRPr="00AF3C96">
              <w:rPr>
                <w:bCs/>
                <w:szCs w:val="22"/>
              </w:rPr>
              <w:t xml:space="preserve">$9,785 for GSO </w:t>
            </w:r>
          </w:p>
          <w:p w:rsidR="00B37D85" w:rsidRPr="00AF3C96" w:rsidP="00376B4A">
            <w:pPr>
              <w:pStyle w:val="ParaNum"/>
              <w:numPr>
                <w:ilvl w:val="0"/>
                <w:numId w:val="0"/>
              </w:numPr>
              <w:ind w:left="720"/>
              <w:rPr>
                <w:bCs/>
                <w:szCs w:val="22"/>
              </w:rPr>
            </w:pPr>
            <w:r w:rsidRPr="00AF3C96">
              <w:rPr>
                <w:bCs/>
                <w:szCs w:val="22"/>
              </w:rPr>
              <w:t>$33,685 for NGSO</w:t>
            </w:r>
          </w:p>
        </w:tc>
        <w:tc>
          <w:tcPr>
            <w:tcW w:w="2700" w:type="dxa"/>
          </w:tcPr>
          <w:p w:rsidR="00B37D85" w:rsidRPr="0059512C" w:rsidP="00376B4A">
            <w:pPr>
              <w:pStyle w:val="ParaNum"/>
              <w:numPr>
                <w:ilvl w:val="0"/>
                <w:numId w:val="0"/>
              </w:numPr>
              <w:ind w:left="720"/>
              <w:rPr>
                <w:szCs w:val="22"/>
              </w:rPr>
            </w:pPr>
            <w:r w:rsidRPr="0059512C">
              <w:rPr>
                <w:szCs w:val="22"/>
              </w:rPr>
              <w:t>$2,4</w:t>
            </w:r>
            <w:r w:rsidRPr="0059512C" w:rsidR="00956FCB">
              <w:rPr>
                <w:szCs w:val="22"/>
              </w:rPr>
              <w:t>95</w:t>
            </w:r>
            <w:r w:rsidRPr="0059512C">
              <w:rPr>
                <w:szCs w:val="22"/>
              </w:rPr>
              <w:t xml:space="preserve"> </w:t>
            </w:r>
          </w:p>
        </w:tc>
      </w:tr>
      <w:tr w:rsidTr="00F4210E">
        <w:tblPrEx>
          <w:tblW w:w="8820" w:type="dxa"/>
          <w:tblInd w:w="-5" w:type="dxa"/>
          <w:tblLook w:val="04A0"/>
        </w:tblPrEx>
        <w:tc>
          <w:tcPr>
            <w:tcW w:w="2520" w:type="dxa"/>
          </w:tcPr>
          <w:p w:rsidR="00B37D85" w:rsidRPr="0060706A" w:rsidP="00376B4A">
            <w:pPr>
              <w:pStyle w:val="ParaNum"/>
              <w:numPr>
                <w:ilvl w:val="0"/>
                <w:numId w:val="0"/>
              </w:numPr>
            </w:pPr>
            <w:r w:rsidRPr="0060706A">
              <w:t>Space Stations, Assignment or Transfer of Control, per Call Sign</w:t>
            </w:r>
          </w:p>
        </w:tc>
        <w:tc>
          <w:tcPr>
            <w:tcW w:w="3600" w:type="dxa"/>
          </w:tcPr>
          <w:p w:rsidR="00B37D85" w:rsidRPr="00AF3C96" w:rsidP="00376B4A">
            <w:pPr>
              <w:pStyle w:val="ParaNum"/>
              <w:numPr>
                <w:ilvl w:val="0"/>
                <w:numId w:val="0"/>
              </w:numPr>
              <w:ind w:left="720"/>
              <w:rPr>
                <w:bCs/>
                <w:szCs w:val="22"/>
              </w:rPr>
            </w:pPr>
            <w:r w:rsidRPr="00AF3C96">
              <w:rPr>
                <w:bCs/>
                <w:szCs w:val="22"/>
              </w:rPr>
              <w:t>$9,785 for GSO</w:t>
            </w:r>
          </w:p>
          <w:p w:rsidR="00B37D85" w:rsidRPr="00AF3C96" w:rsidP="00376B4A">
            <w:pPr>
              <w:pStyle w:val="ParaNum"/>
              <w:numPr>
                <w:ilvl w:val="0"/>
                <w:numId w:val="0"/>
              </w:numPr>
              <w:ind w:left="720"/>
              <w:rPr>
                <w:bCs/>
                <w:szCs w:val="22"/>
              </w:rPr>
            </w:pPr>
            <w:r w:rsidRPr="00AF3C96">
              <w:rPr>
                <w:bCs/>
                <w:szCs w:val="22"/>
              </w:rPr>
              <w:t>$13,480 for NGSO</w:t>
            </w:r>
          </w:p>
        </w:tc>
        <w:tc>
          <w:tcPr>
            <w:tcW w:w="2700" w:type="dxa"/>
          </w:tcPr>
          <w:p w:rsidR="00B37D85" w:rsidRPr="0059512C" w:rsidP="00376B4A">
            <w:pPr>
              <w:pStyle w:val="ParaNum"/>
              <w:numPr>
                <w:ilvl w:val="0"/>
                <w:numId w:val="0"/>
              </w:numPr>
              <w:ind w:left="720"/>
              <w:rPr>
                <w:szCs w:val="22"/>
              </w:rPr>
            </w:pPr>
            <w:r w:rsidRPr="0059512C">
              <w:rPr>
                <w:szCs w:val="22"/>
              </w:rPr>
              <w:t>$7</w:t>
            </w:r>
            <w:r w:rsidRPr="0059512C" w:rsidR="00956FCB">
              <w:rPr>
                <w:szCs w:val="22"/>
              </w:rPr>
              <w:t>45</w:t>
            </w:r>
          </w:p>
        </w:tc>
      </w:tr>
      <w:tr w:rsidTr="00F4210E">
        <w:tblPrEx>
          <w:tblW w:w="8820" w:type="dxa"/>
          <w:tblInd w:w="-5" w:type="dxa"/>
          <w:tblLook w:val="04A0"/>
        </w:tblPrEx>
        <w:tc>
          <w:tcPr>
            <w:tcW w:w="2520" w:type="dxa"/>
          </w:tcPr>
          <w:p w:rsidR="00B37D85" w:rsidRPr="0060706A" w:rsidP="00376B4A">
            <w:pPr>
              <w:pStyle w:val="ParaNum"/>
              <w:numPr>
                <w:ilvl w:val="0"/>
                <w:numId w:val="0"/>
              </w:numPr>
            </w:pPr>
            <w:r w:rsidRPr="0060706A">
              <w:t>Space Stations, Pro Forma Assignment or Transfer of Control, per Call Sign</w:t>
            </w:r>
          </w:p>
        </w:tc>
        <w:tc>
          <w:tcPr>
            <w:tcW w:w="3600" w:type="dxa"/>
          </w:tcPr>
          <w:p w:rsidR="00B37D85" w:rsidRPr="00AF3C96" w:rsidP="00376B4A">
            <w:pPr>
              <w:pStyle w:val="ParaNum"/>
              <w:numPr>
                <w:ilvl w:val="0"/>
                <w:numId w:val="0"/>
              </w:numPr>
              <w:ind w:left="720"/>
              <w:rPr>
                <w:bCs/>
                <w:szCs w:val="22"/>
              </w:rPr>
            </w:pPr>
            <w:r w:rsidRPr="00AF3C96">
              <w:rPr>
                <w:bCs/>
                <w:szCs w:val="22"/>
              </w:rPr>
              <w:t>n/a</w:t>
            </w:r>
          </w:p>
        </w:tc>
        <w:tc>
          <w:tcPr>
            <w:tcW w:w="2700" w:type="dxa"/>
          </w:tcPr>
          <w:p w:rsidR="00B37D85" w:rsidRPr="0059512C" w:rsidP="00376B4A">
            <w:pPr>
              <w:pStyle w:val="ParaNum"/>
              <w:numPr>
                <w:ilvl w:val="0"/>
                <w:numId w:val="0"/>
              </w:numPr>
              <w:ind w:left="720"/>
              <w:rPr>
                <w:szCs w:val="22"/>
              </w:rPr>
            </w:pPr>
            <w:r w:rsidRPr="0059512C">
              <w:rPr>
                <w:szCs w:val="22"/>
              </w:rPr>
              <w:t xml:space="preserve"> $</w:t>
            </w:r>
            <w:r w:rsidRPr="0059512C" w:rsidR="00956FCB">
              <w:rPr>
                <w:szCs w:val="22"/>
              </w:rPr>
              <w:t>400</w:t>
            </w:r>
            <w:r w:rsidRPr="0059512C">
              <w:rPr>
                <w:szCs w:val="22"/>
              </w:rPr>
              <w:t xml:space="preserve"> </w:t>
            </w:r>
          </w:p>
        </w:tc>
      </w:tr>
      <w:tr w:rsidTr="00F4210E">
        <w:tblPrEx>
          <w:tblW w:w="8820" w:type="dxa"/>
          <w:tblInd w:w="-5" w:type="dxa"/>
          <w:tblLook w:val="04A0"/>
        </w:tblPrEx>
        <w:tc>
          <w:tcPr>
            <w:tcW w:w="2520" w:type="dxa"/>
          </w:tcPr>
          <w:p w:rsidR="00B37D85" w:rsidRPr="0060706A" w:rsidP="00376B4A">
            <w:pPr>
              <w:pStyle w:val="ParaNum"/>
              <w:numPr>
                <w:ilvl w:val="0"/>
                <w:numId w:val="0"/>
              </w:numPr>
            </w:pPr>
            <w:r w:rsidRPr="0060706A">
              <w:t xml:space="preserve">Space Stations, Special </w:t>
            </w:r>
            <w:r w:rsidRPr="0060706A">
              <w:t>Temporary Authority, per Call Sign</w:t>
            </w:r>
          </w:p>
        </w:tc>
        <w:tc>
          <w:tcPr>
            <w:tcW w:w="3600" w:type="dxa"/>
          </w:tcPr>
          <w:p w:rsidR="00B37D85" w:rsidRPr="0059512C" w:rsidP="00376B4A">
            <w:pPr>
              <w:pStyle w:val="ParaNum"/>
              <w:numPr>
                <w:ilvl w:val="0"/>
                <w:numId w:val="0"/>
              </w:numPr>
              <w:ind w:left="720"/>
              <w:rPr>
                <w:szCs w:val="22"/>
              </w:rPr>
            </w:pPr>
            <w:r w:rsidRPr="0059512C">
              <w:rPr>
                <w:szCs w:val="22"/>
              </w:rPr>
              <w:t>$980 for GSO</w:t>
            </w:r>
          </w:p>
          <w:p w:rsidR="00B37D85" w:rsidRPr="0059512C" w:rsidP="00376B4A">
            <w:pPr>
              <w:pStyle w:val="ParaNum"/>
              <w:numPr>
                <w:ilvl w:val="0"/>
                <w:numId w:val="0"/>
              </w:numPr>
              <w:ind w:left="720"/>
              <w:rPr>
                <w:szCs w:val="22"/>
              </w:rPr>
            </w:pPr>
            <w:r w:rsidRPr="0059512C">
              <w:rPr>
                <w:szCs w:val="22"/>
              </w:rPr>
              <w:t>$3,375 for NGSO</w:t>
            </w:r>
          </w:p>
        </w:tc>
        <w:tc>
          <w:tcPr>
            <w:tcW w:w="2700" w:type="dxa"/>
          </w:tcPr>
          <w:p w:rsidR="00B37D85" w:rsidRPr="0059512C" w:rsidP="00376B4A">
            <w:pPr>
              <w:pStyle w:val="ParaNum"/>
              <w:numPr>
                <w:ilvl w:val="0"/>
                <w:numId w:val="0"/>
              </w:numPr>
              <w:ind w:left="720"/>
              <w:rPr>
                <w:szCs w:val="22"/>
              </w:rPr>
            </w:pPr>
            <w:r w:rsidRPr="0059512C">
              <w:rPr>
                <w:szCs w:val="22"/>
              </w:rPr>
              <w:t>$1,</w:t>
            </w:r>
            <w:r w:rsidRPr="0059512C" w:rsidR="00956FCB">
              <w:rPr>
                <w:szCs w:val="22"/>
              </w:rPr>
              <w:t>435</w:t>
            </w:r>
            <w:r w:rsidRPr="0059512C">
              <w:rPr>
                <w:szCs w:val="22"/>
              </w:rPr>
              <w:t xml:space="preserve"> </w:t>
            </w:r>
          </w:p>
        </w:tc>
      </w:tr>
    </w:tbl>
    <w:p w:rsidR="00B37D85" w:rsidRPr="0059512C" w:rsidP="00F364EF">
      <w:pPr>
        <w:pStyle w:val="ParaNum"/>
        <w:numPr>
          <w:ilvl w:val="0"/>
          <w:numId w:val="0"/>
        </w:numPr>
        <w:ind w:left="720"/>
        <w:rPr>
          <w:szCs w:val="22"/>
        </w:rPr>
      </w:pPr>
    </w:p>
    <w:p w:rsidR="00765E84" w:rsidRPr="0059512C" w:rsidP="00DC05DD">
      <w:pPr>
        <w:pStyle w:val="ParaNum"/>
        <w:rPr>
          <w:szCs w:val="22"/>
        </w:rPr>
      </w:pPr>
      <w:r w:rsidRPr="0059512C">
        <w:rPr>
          <w:szCs w:val="22"/>
        </w:rPr>
        <w:t>We estimate that the Commission’s</w:t>
      </w:r>
      <w:r w:rsidRPr="0059512C" w:rsidR="00A94B38">
        <w:rPr>
          <w:szCs w:val="22"/>
        </w:rPr>
        <w:t xml:space="preserve"> resource</w:t>
      </w:r>
      <w:r w:rsidRPr="0059512C">
        <w:rPr>
          <w:szCs w:val="22"/>
        </w:rPr>
        <w:t>s in processing an application to construct, deploy, and operate a G</w:t>
      </w:r>
      <w:r w:rsidR="00F17365">
        <w:rPr>
          <w:szCs w:val="22"/>
        </w:rPr>
        <w:t>SO</w:t>
      </w:r>
      <w:r w:rsidRPr="0059512C">
        <w:rPr>
          <w:szCs w:val="22"/>
        </w:rPr>
        <w:t xml:space="preserve"> </w:t>
      </w:r>
      <w:r w:rsidRPr="0059512C">
        <w:rPr>
          <w:szCs w:val="22"/>
        </w:rPr>
        <w:t xml:space="preserve">consist of the following:  industry analyst handling the application intake, attorney determining acceptability for filing, engineer determining acceptability for filing, industry analyst releasing the accepted for filing public notice, Policy Branch </w:t>
      </w:r>
      <w:r w:rsidR="00AF3C96">
        <w:rPr>
          <w:szCs w:val="22"/>
        </w:rPr>
        <w:t>c</w:t>
      </w:r>
      <w:r w:rsidRPr="0059512C">
        <w:rPr>
          <w:szCs w:val="22"/>
        </w:rPr>
        <w:t>hief</w:t>
      </w:r>
      <w:r w:rsidRPr="0059512C">
        <w:rPr>
          <w:szCs w:val="22"/>
        </w:rPr>
        <w:t xml:space="preserve"> first-level supervision, and Engineering Branch </w:t>
      </w:r>
      <w:r w:rsidR="00AF3C96">
        <w:rPr>
          <w:szCs w:val="22"/>
        </w:rPr>
        <w:t>c</w:t>
      </w:r>
      <w:r w:rsidRPr="0059512C">
        <w:rPr>
          <w:szCs w:val="22"/>
        </w:rPr>
        <w:t>hief first-level supervision.  Our estimate is that this process involves $3,</w:t>
      </w:r>
      <w:r w:rsidRPr="0059512C" w:rsidR="00E602D9">
        <w:rPr>
          <w:szCs w:val="22"/>
        </w:rPr>
        <w:t>555</w:t>
      </w:r>
      <w:r w:rsidRPr="0059512C">
        <w:rPr>
          <w:szCs w:val="22"/>
        </w:rPr>
        <w:t xml:space="preserve"> in costs.  </w:t>
      </w:r>
    </w:p>
    <w:p w:rsidR="00765E84" w:rsidRPr="0059512C" w:rsidP="00765E84">
      <w:pPr>
        <w:pStyle w:val="ParaNum"/>
        <w:rPr>
          <w:szCs w:val="22"/>
        </w:rPr>
      </w:pPr>
      <w:r w:rsidRPr="0059512C">
        <w:rPr>
          <w:szCs w:val="22"/>
        </w:rPr>
        <w:t xml:space="preserve">We seek comment on a new fee category: </w:t>
      </w:r>
      <w:r w:rsidR="00AF3C96">
        <w:rPr>
          <w:szCs w:val="22"/>
        </w:rPr>
        <w:t>a</w:t>
      </w:r>
      <w:r w:rsidRPr="0059512C">
        <w:rPr>
          <w:szCs w:val="22"/>
        </w:rPr>
        <w:t>pplication for authority to operate per satellite, a space station that i</w:t>
      </w:r>
      <w:r w:rsidRPr="0059512C">
        <w:rPr>
          <w:szCs w:val="22"/>
        </w:rPr>
        <w:t>s already in orbit as a U.S. licensed space station.  We expect that the costs involved in this process are identical to those for authority to construct, deploy, and operate a G</w:t>
      </w:r>
      <w:r w:rsidR="00AF3C96">
        <w:rPr>
          <w:szCs w:val="22"/>
        </w:rPr>
        <w:t>SO</w:t>
      </w:r>
      <w:r w:rsidRPr="0059512C">
        <w:rPr>
          <w:szCs w:val="22"/>
        </w:rPr>
        <w:t xml:space="preserve">, since the information required to be reviewed is the same in both cases.  </w:t>
      </w:r>
    </w:p>
    <w:p w:rsidR="00BA4A60" w:rsidRPr="0059512C" w:rsidP="00390165">
      <w:pPr>
        <w:pStyle w:val="ParaNum"/>
        <w:rPr>
          <w:szCs w:val="22"/>
        </w:rPr>
      </w:pPr>
      <w:r w:rsidRPr="0059512C">
        <w:rPr>
          <w:szCs w:val="22"/>
        </w:rPr>
        <w:t xml:space="preserve">We propose to remove the application fee for extension of launch authority as it is the same as a space station modification.  Any request to change to the terms or conditions of an authorization can and should be filed through a request for modification </w:t>
      </w:r>
      <w:r w:rsidRPr="0059512C">
        <w:rPr>
          <w:szCs w:val="22"/>
        </w:rPr>
        <w:t>of the authorization.  We do not see any reason to preserve a separate application fee for requests to extend authority for launch of geostationary satellites, and elimination of this separate fee category helps to streamline and simplify our fee structure</w:t>
      </w:r>
      <w:r w:rsidRPr="0059512C">
        <w:rPr>
          <w:szCs w:val="22"/>
        </w:rPr>
        <w:t xml:space="preserve">s.  </w:t>
      </w:r>
      <w:bookmarkStart w:id="367" w:name="_Hlk24711947"/>
    </w:p>
    <w:p w:rsidR="00765E84" w:rsidRPr="0059512C" w:rsidP="00390165">
      <w:pPr>
        <w:pStyle w:val="ParaNum"/>
        <w:rPr>
          <w:szCs w:val="22"/>
        </w:rPr>
      </w:pPr>
      <w:r w:rsidRPr="0059512C">
        <w:rPr>
          <w:szCs w:val="22"/>
        </w:rPr>
        <w:t>For a</w:t>
      </w:r>
      <w:r w:rsidRPr="0059512C" w:rsidR="00A94B38">
        <w:rPr>
          <w:szCs w:val="22"/>
        </w:rPr>
        <w:t xml:space="preserve">pplications for authority to construct, deploy, and operate, per system of technically identical satellites, per call sign </w:t>
      </w:r>
      <w:r w:rsidRPr="0059512C">
        <w:rPr>
          <w:szCs w:val="22"/>
        </w:rPr>
        <w:t xml:space="preserve">include </w:t>
      </w:r>
      <w:r w:rsidR="00F17365">
        <w:rPr>
          <w:szCs w:val="22"/>
        </w:rPr>
        <w:t xml:space="preserve">NGSO </w:t>
      </w:r>
      <w:r w:rsidRPr="0059512C">
        <w:rPr>
          <w:szCs w:val="22"/>
        </w:rPr>
        <w:t>satellites</w:t>
      </w:r>
      <w:r>
        <w:rPr>
          <w:rStyle w:val="FootnoteReference"/>
        </w:rPr>
        <w:footnoteReference w:id="155"/>
      </w:r>
      <w:r w:rsidRPr="0059512C">
        <w:rPr>
          <w:szCs w:val="22"/>
        </w:rPr>
        <w:t xml:space="preserve"> providing fixed-, mobile-, and earth-</w:t>
      </w:r>
      <w:r w:rsidR="00F9239F">
        <w:rPr>
          <w:szCs w:val="22"/>
        </w:rPr>
        <w:t>e</w:t>
      </w:r>
      <w:r w:rsidRPr="0059512C">
        <w:rPr>
          <w:szCs w:val="22"/>
        </w:rPr>
        <w:t>xploration satellite services</w:t>
      </w:r>
      <w:bookmarkEnd w:id="367"/>
      <w:r w:rsidRPr="0059512C" w:rsidR="00C06F7A">
        <w:rPr>
          <w:szCs w:val="22"/>
        </w:rPr>
        <w:t>,</w:t>
      </w:r>
      <w:r>
        <w:rPr>
          <w:rStyle w:val="FootnoteReference"/>
        </w:rPr>
        <w:footnoteReference w:id="156"/>
      </w:r>
      <w:r w:rsidRPr="0059512C">
        <w:rPr>
          <w:szCs w:val="22"/>
        </w:rPr>
        <w:t xml:space="preserve"> </w:t>
      </w:r>
      <w:bookmarkStart w:id="368" w:name="_Hlk24711979"/>
      <w:r w:rsidRPr="0059512C" w:rsidR="00C06F7A">
        <w:rPr>
          <w:szCs w:val="22"/>
        </w:rPr>
        <w:t>w</w:t>
      </w:r>
      <w:r w:rsidRPr="0059512C">
        <w:rPr>
          <w:szCs w:val="22"/>
        </w:rPr>
        <w:t>e estimate that the Commi</w:t>
      </w:r>
      <w:r w:rsidRPr="0059512C">
        <w:rPr>
          <w:szCs w:val="22"/>
        </w:rPr>
        <w:t xml:space="preserve">ssion’s </w:t>
      </w:r>
      <w:r w:rsidRPr="0059512C" w:rsidR="00A94B38">
        <w:rPr>
          <w:szCs w:val="22"/>
        </w:rPr>
        <w:t>resources</w:t>
      </w:r>
      <w:r w:rsidRPr="0059512C">
        <w:rPr>
          <w:szCs w:val="22"/>
        </w:rPr>
        <w:t xml:space="preserve"> in processing </w:t>
      </w:r>
      <w:r w:rsidRPr="0059512C" w:rsidR="00C06F7A">
        <w:rPr>
          <w:szCs w:val="22"/>
        </w:rPr>
        <w:t>the</w:t>
      </w:r>
      <w:r w:rsidRPr="0059512C">
        <w:rPr>
          <w:szCs w:val="22"/>
        </w:rPr>
        <w:t xml:space="preserve"> application consist of the following:  industry analyst handling the application intake, attorney determining acceptability for filing, engineer determining acceptability for filing, industry analyst preparing weekly acc</w:t>
      </w:r>
      <w:r w:rsidRPr="0059512C">
        <w:rPr>
          <w:szCs w:val="22"/>
        </w:rPr>
        <w:t xml:space="preserve">epted for filing public notice, Policy Branch chief first-level supervision, and Engineering Branch </w:t>
      </w:r>
      <w:r w:rsidRPr="0059512C">
        <w:rPr>
          <w:szCs w:val="22"/>
        </w:rPr>
        <w:t>chief first-level supervision.  Our estimate is that this process involves $1</w:t>
      </w:r>
      <w:r w:rsidRPr="0059512C" w:rsidR="002151D5">
        <w:rPr>
          <w:szCs w:val="22"/>
        </w:rPr>
        <w:t>5</w:t>
      </w:r>
      <w:r w:rsidRPr="0059512C">
        <w:rPr>
          <w:szCs w:val="22"/>
        </w:rPr>
        <w:t>,</w:t>
      </w:r>
      <w:r w:rsidRPr="0059512C" w:rsidR="002151D5">
        <w:rPr>
          <w:szCs w:val="22"/>
        </w:rPr>
        <w:t>050</w:t>
      </w:r>
      <w:r w:rsidRPr="0059512C">
        <w:rPr>
          <w:szCs w:val="22"/>
        </w:rPr>
        <w:t xml:space="preserve"> in costs.  </w:t>
      </w:r>
      <w:bookmarkEnd w:id="368"/>
    </w:p>
    <w:p w:rsidR="00C4326F" w:rsidRPr="0059512C" w:rsidP="00C06F7A">
      <w:pPr>
        <w:pStyle w:val="ParaNum"/>
        <w:rPr>
          <w:szCs w:val="22"/>
        </w:rPr>
      </w:pPr>
      <w:r w:rsidRPr="0059512C">
        <w:rPr>
          <w:szCs w:val="22"/>
        </w:rPr>
        <w:t xml:space="preserve">We seek comment on a new fee category: </w:t>
      </w:r>
      <w:r w:rsidRPr="0059512C" w:rsidR="007A6D72">
        <w:rPr>
          <w:szCs w:val="22"/>
        </w:rPr>
        <w:t>a</w:t>
      </w:r>
      <w:r w:rsidRPr="0059512C">
        <w:rPr>
          <w:szCs w:val="22"/>
        </w:rPr>
        <w:t>pplication for authority to operate per system, a space station that is already in orbit, as a U.S. licensed space station.  We expect that the costs involved in this process are identical to those for authority to construct, deploy, and operate Non-Geosta</w:t>
      </w:r>
      <w:r w:rsidRPr="0059512C">
        <w:rPr>
          <w:szCs w:val="22"/>
        </w:rPr>
        <w:t xml:space="preserve">tionary Space Stations, per system, since the information required to be reviewed is the same in both cases. </w:t>
      </w:r>
    </w:p>
    <w:p w:rsidR="00871F92" w:rsidRPr="0059512C" w:rsidP="003D2CEF">
      <w:pPr>
        <w:pStyle w:val="ParaNum"/>
        <w:rPr>
          <w:szCs w:val="22"/>
        </w:rPr>
      </w:pPr>
      <w:r w:rsidRPr="0059512C">
        <w:rPr>
          <w:szCs w:val="22"/>
        </w:rPr>
        <w:t>The Commission assesses application fees involving space stations (both in geostationary and in non-geostationary orbits) licensed, or to be licen</w:t>
      </w:r>
      <w:r w:rsidRPr="0059512C">
        <w:rPr>
          <w:szCs w:val="22"/>
        </w:rPr>
        <w:t>sed, by the Commission, but does not currently have an application fee for petitions for foreign-licensed space stations to access the U.S. market.  These petitions involve the submission and review of essentially the same information as provided in applic</w:t>
      </w:r>
      <w:r w:rsidRPr="0059512C">
        <w:rPr>
          <w:szCs w:val="22"/>
        </w:rPr>
        <w:t>ations (that is, Form 312, Schedule S, and Technical and Legal Narratives) involving U.S.-licensed space stations,</w:t>
      </w:r>
      <w:r>
        <w:rPr>
          <w:rStyle w:val="FootnoteReference"/>
          <w:sz w:val="22"/>
        </w:rPr>
        <w:footnoteReference w:id="157"/>
      </w:r>
      <w:r w:rsidRPr="0059512C">
        <w:rPr>
          <w:szCs w:val="22"/>
        </w:rPr>
        <w:t xml:space="preserve"> with very similar costs of processing.  </w:t>
      </w:r>
      <w:r w:rsidR="006D43D3">
        <w:rPr>
          <w:szCs w:val="22"/>
        </w:rPr>
        <w:t>T</w:t>
      </w:r>
      <w:r w:rsidRPr="0059512C">
        <w:rPr>
          <w:szCs w:val="22"/>
        </w:rPr>
        <w:t>he costs up through the first-level of supervision are identical for both applications for U.S. li</w:t>
      </w:r>
      <w:r w:rsidRPr="0059512C">
        <w:rPr>
          <w:szCs w:val="22"/>
        </w:rPr>
        <w:t>censes and petitions for declaratory ruling to access the U.S. market.  In both cases, the same documentation is required to be prepared and reviewed.  Thus, pursuant to the requirement of the RAY BAUM’S Act that we recover the costs of processing filings,</w:t>
      </w:r>
      <w:r>
        <w:rPr>
          <w:rStyle w:val="FootnoteReference"/>
        </w:rPr>
        <w:footnoteReference w:id="158"/>
      </w:r>
      <w:r w:rsidRPr="0059512C">
        <w:rPr>
          <w:szCs w:val="22"/>
        </w:rPr>
        <w:t xml:space="preserve"> we seek comment on adopting a new application fee for petitions for declaratory ruling to access the U.S. market by foreign</w:t>
      </w:r>
      <w:r w:rsidR="00EF6C20">
        <w:rPr>
          <w:szCs w:val="22"/>
        </w:rPr>
        <w:t xml:space="preserve"> </w:t>
      </w:r>
      <w:r w:rsidRPr="0059512C">
        <w:rPr>
          <w:szCs w:val="22"/>
        </w:rPr>
        <w:t xml:space="preserve">licensed space stations.  </w:t>
      </w:r>
    </w:p>
    <w:p w:rsidR="00871F92" w:rsidRPr="0059512C" w:rsidP="00510601">
      <w:pPr>
        <w:pStyle w:val="ParaNum"/>
        <w:rPr>
          <w:szCs w:val="22"/>
        </w:rPr>
      </w:pPr>
      <w:r w:rsidRPr="0059512C">
        <w:rPr>
          <w:szCs w:val="22"/>
        </w:rPr>
        <w:t>Small satellites typically are associated with small size, short duration missions, and relatively low</w:t>
      </w:r>
      <w:r w:rsidRPr="0059512C">
        <w:rPr>
          <w:szCs w:val="22"/>
        </w:rPr>
        <w:t xml:space="preserve"> cost.  In the </w:t>
      </w:r>
      <w:r w:rsidRPr="0059512C">
        <w:rPr>
          <w:i/>
          <w:szCs w:val="22"/>
        </w:rPr>
        <w:t>Small Satellite Report and Order</w:t>
      </w:r>
      <w:r w:rsidRPr="0059512C">
        <w:rPr>
          <w:szCs w:val="22"/>
        </w:rPr>
        <w:t>,</w:t>
      </w:r>
      <w:r>
        <w:rPr>
          <w:rStyle w:val="FootnoteReference"/>
        </w:rPr>
        <w:footnoteReference w:id="159"/>
      </w:r>
      <w:r w:rsidRPr="0059512C">
        <w:rPr>
          <w:szCs w:val="22"/>
        </w:rPr>
        <w:t xml:space="preserve"> the Commission adopted rules governing licensing of these small satellites and adopted an interim application fee for small satellites of $30,000.</w:t>
      </w:r>
      <w:r>
        <w:rPr>
          <w:rStyle w:val="FootnoteReference"/>
          <w:szCs w:val="22"/>
        </w:rPr>
        <w:footnoteReference w:id="160"/>
      </w:r>
      <w:r w:rsidRPr="0059512C">
        <w:rPr>
          <w:szCs w:val="22"/>
        </w:rPr>
        <w:t xml:space="preserve">  After review of anticipated costs involved with the pro</w:t>
      </w:r>
      <w:r w:rsidRPr="0059512C">
        <w:rPr>
          <w:szCs w:val="22"/>
        </w:rPr>
        <w:t xml:space="preserve">cessing of all space station filing fees, we propose and seek comment on a new cost-based application fees for satellites that are able to be licensed under the small satellite rules, based on the estimated costs involved in processing the applications. </w:t>
      </w:r>
      <w:r w:rsidRPr="0059512C" w:rsidR="00510601">
        <w:rPr>
          <w:szCs w:val="22"/>
        </w:rPr>
        <w:t xml:space="preserve"> We estimate that the Commission’s resources in processing a small satellite application to construct, deploy, and operate, per system, will consist of the following:  industry analyst handling the application intake, including checking fee payment, entering data in IBFS, and routing application to branch chiefs, attorney determining acceptability for filing, engineer determining acceptability for filing, industry analyst preparing weekly public notice for applications accepted for filing, Policy Branch chief first-level supervision, and Engineering Branch chief first-level supervision.  Our estimate is that this process will involve $2,103 in costs.  </w:t>
      </w:r>
    </w:p>
    <w:p w:rsidR="00871F92" w:rsidRPr="0059512C" w:rsidP="00871F92">
      <w:pPr>
        <w:pStyle w:val="ParaNum"/>
        <w:rPr>
          <w:szCs w:val="22"/>
        </w:rPr>
      </w:pPr>
      <w:r w:rsidRPr="0059512C">
        <w:rPr>
          <w:szCs w:val="22"/>
        </w:rPr>
        <w:t>We propose to create a separate fee category for amendments of all categories of space filings on a per call sign basis.  There are currently separate fees for amendments of filings involving geostationary and non-geostationary satellites; the fee for amen</w:t>
      </w:r>
      <w:r w:rsidRPr="0059512C">
        <w:rPr>
          <w:szCs w:val="22"/>
        </w:rPr>
        <w:t xml:space="preserve">dments for Space Stations (Geostationary) is currently $1,960; the fee for amendments for Space Stations (NGSO) is $6,740.  </w:t>
      </w:r>
      <w:r w:rsidR="006D43D3">
        <w:rPr>
          <w:szCs w:val="22"/>
        </w:rPr>
        <w:t>T</w:t>
      </w:r>
      <w:r w:rsidRPr="0059512C">
        <w:rPr>
          <w:szCs w:val="22"/>
        </w:rPr>
        <w:t>he costs involved with amendments up through the first-level of supervision are likely to be similar for both geostationary and non</w:t>
      </w:r>
      <w:r w:rsidRPr="0059512C">
        <w:rPr>
          <w:szCs w:val="22"/>
        </w:rPr>
        <w:t>-geostationary space stations, as well as for small satellites, since the information reviewed in all cases will be the same and the standard for acceptability for filing is also the same.</w:t>
      </w:r>
      <w:r>
        <w:rPr>
          <w:rStyle w:val="FootnoteReference"/>
        </w:rPr>
        <w:footnoteReference w:id="161"/>
      </w:r>
      <w:r w:rsidRPr="0059512C">
        <w:rPr>
          <w:szCs w:val="22"/>
        </w:rPr>
        <w:t xml:space="preserve">  It will be more </w:t>
      </w:r>
      <w:r w:rsidRPr="0059512C">
        <w:rPr>
          <w:szCs w:val="22"/>
        </w:rPr>
        <w:t>concise to have a single fee category for all am</w:t>
      </w:r>
      <w:r w:rsidRPr="0059512C">
        <w:rPr>
          <w:szCs w:val="22"/>
        </w:rPr>
        <w:t xml:space="preserve">endments to space station applications, rather than including a separate sub-category for amendments for each category of space station licenses.  </w:t>
      </w:r>
    </w:p>
    <w:p w:rsidR="00871F92" w:rsidRPr="0059512C" w:rsidP="00871F92">
      <w:pPr>
        <w:pStyle w:val="ParaNum"/>
        <w:rPr>
          <w:szCs w:val="22"/>
        </w:rPr>
      </w:pPr>
      <w:r w:rsidRPr="0059512C">
        <w:rPr>
          <w:szCs w:val="22"/>
        </w:rPr>
        <w:t>An application for amendment of a pending application or petition for declaratory ruling involving geostatio</w:t>
      </w:r>
      <w:r w:rsidRPr="0059512C">
        <w:rPr>
          <w:szCs w:val="22"/>
        </w:rPr>
        <w:t>nary, non-geostationary satellites, or small satellites, adds satellites, frequencies, or changes orbital location, but does not constitute a major amendment resulting in loss of place in the processing round.</w:t>
      </w:r>
      <w:r>
        <w:rPr>
          <w:rStyle w:val="FootnoteReference"/>
        </w:rPr>
        <w:footnoteReference w:id="162"/>
      </w:r>
      <w:r w:rsidRPr="0059512C">
        <w:rPr>
          <w:szCs w:val="22"/>
        </w:rPr>
        <w:t xml:space="preserve">  Under existing Commission rules, an entity </w:t>
      </w:r>
      <w:r w:rsidRPr="0059512C">
        <w:rPr>
          <w:szCs w:val="22"/>
        </w:rPr>
        <w:t>requesting access to the United States market through a non-U.S.-licensed space station pursuant to a petition for declaratory ruling may amend its request by submitting an additional petition for declaratory ruling.</w:t>
      </w:r>
      <w:r>
        <w:rPr>
          <w:rStyle w:val="FootnoteReference"/>
        </w:rPr>
        <w:footnoteReference w:id="163"/>
      </w:r>
      <w:r w:rsidRPr="0059512C">
        <w:rPr>
          <w:szCs w:val="22"/>
        </w:rPr>
        <w:t xml:space="preserve">  </w:t>
      </w:r>
      <w:r w:rsidRPr="0059512C" w:rsidR="008A0943">
        <w:rPr>
          <w:szCs w:val="22"/>
        </w:rPr>
        <w:t>We estimate that the Commission’s resources in processing amendments to applications for space stations consist of the following:</w:t>
      </w:r>
      <w:r>
        <w:rPr>
          <w:rStyle w:val="FootnoteReference"/>
        </w:rPr>
        <w:footnoteReference w:id="164"/>
      </w:r>
      <w:r w:rsidRPr="0059512C" w:rsidR="008A0943">
        <w:rPr>
          <w:szCs w:val="22"/>
        </w:rPr>
        <w:t xml:space="preserve"> industry analyst handling the application intake, including checking fee payment, entering data in IBFS, and routing application to branch chiefs, attorney determining acceptability for filing, engineer determining acceptability for filing, industry analyst preparing weekly public notice for applications accepted for filing, Policy Branch chief first-level supervision, and Engineering Branch chief first-level supervision.  Our estimate is that this process will involve $1,</w:t>
      </w:r>
      <w:r w:rsidRPr="0059512C" w:rsidR="002151D5">
        <w:rPr>
          <w:szCs w:val="22"/>
        </w:rPr>
        <w:t>620</w:t>
      </w:r>
      <w:r w:rsidRPr="0059512C" w:rsidR="008A0943">
        <w:rPr>
          <w:szCs w:val="22"/>
        </w:rPr>
        <w:t xml:space="preserve"> in costs.</w:t>
      </w:r>
    </w:p>
    <w:p w:rsidR="00871F92" w:rsidRPr="0059512C" w:rsidP="00A55346">
      <w:pPr>
        <w:pStyle w:val="ParaNum"/>
        <w:rPr>
          <w:szCs w:val="22"/>
        </w:rPr>
      </w:pPr>
      <w:r w:rsidRPr="0059512C">
        <w:rPr>
          <w:szCs w:val="22"/>
        </w:rPr>
        <w:t>Currently there is no fee associated with requests involving U.S. market access by non-U.S.-licensed space stations, so the fee is zero regardless of whether the amendment is made t</w:t>
      </w:r>
      <w:r w:rsidRPr="0059512C">
        <w:rPr>
          <w:szCs w:val="22"/>
        </w:rPr>
        <w:t xml:space="preserve">hrough another petition for declaratory ruling, or through an amendment, and in practice many petitioners for U.S. market access have sought to amend their pending petitions through amendments, rather than new petitions for declaratory ruling.  Because we </w:t>
      </w:r>
      <w:r w:rsidRPr="0059512C">
        <w:rPr>
          <w:szCs w:val="22"/>
        </w:rPr>
        <w:t xml:space="preserve">are proposing to assess fees on requests for U.S. market access in order to recover the costs involved with these requests, we propose to include amendments to a pending petition for U.S. market access in the Space Stations, Amendments fee category and we </w:t>
      </w:r>
      <w:r w:rsidRPr="0059512C">
        <w:rPr>
          <w:szCs w:val="22"/>
        </w:rPr>
        <w:t xml:space="preserve">seek comment on this proposal.  </w:t>
      </w:r>
    </w:p>
    <w:p w:rsidR="00871F92" w:rsidRPr="0059512C" w:rsidP="007A2A95">
      <w:pPr>
        <w:pStyle w:val="ParaNum"/>
        <w:rPr>
          <w:szCs w:val="22"/>
        </w:rPr>
      </w:pPr>
      <w:r w:rsidRPr="0059512C">
        <w:rPr>
          <w:szCs w:val="22"/>
        </w:rPr>
        <w:t>As a general matter, no modification of a station license that affects the parameters or terms and conditions of the station authorization can be made except upon application to and grant of such application by the Commissi</w:t>
      </w:r>
      <w:r w:rsidRPr="0059512C">
        <w:rPr>
          <w:szCs w:val="22"/>
        </w:rPr>
        <w:t>on.</w:t>
      </w:r>
      <w:r>
        <w:rPr>
          <w:rStyle w:val="FootnoteReference"/>
        </w:rPr>
        <w:footnoteReference w:id="165"/>
      </w:r>
      <w:r w:rsidRPr="0059512C">
        <w:rPr>
          <w:szCs w:val="22"/>
        </w:rPr>
        <w:t xml:space="preserve">  We propose to create a separate fee category for filings to modify all categories of space station license approvals on a per call sign basis.  Currently, there are separate fees for modifications depending on whether the space station involved is i</w:t>
      </w:r>
      <w:r w:rsidRPr="0059512C">
        <w:rPr>
          <w:szCs w:val="22"/>
        </w:rPr>
        <w:t>n geostationary or non-geostationary orbit: the fee for modification for Space Stations (G</w:t>
      </w:r>
      <w:r w:rsidR="0063708B">
        <w:rPr>
          <w:szCs w:val="22"/>
        </w:rPr>
        <w:t>SO</w:t>
      </w:r>
      <w:r w:rsidRPr="0059512C">
        <w:rPr>
          <w:szCs w:val="22"/>
        </w:rPr>
        <w:t xml:space="preserve">) is currently $9,785; the fee for modification for Space Stations (NGSO) is $33,685.  </w:t>
      </w:r>
      <w:r w:rsidR="006D43D3">
        <w:rPr>
          <w:szCs w:val="22"/>
        </w:rPr>
        <w:t>T</w:t>
      </w:r>
      <w:r w:rsidRPr="0059512C">
        <w:rPr>
          <w:szCs w:val="22"/>
        </w:rPr>
        <w:t>he costs involved with applications for modification through accepted for fi</w:t>
      </w:r>
      <w:r w:rsidRPr="0059512C">
        <w:rPr>
          <w:szCs w:val="22"/>
        </w:rPr>
        <w:t>ling public notice and up to first-level supervision are similar for both geostationary and non-geostationary space stations, as well as for small satellites, since the information reviewed in all cases will be the same and the standard for acceptability f</w:t>
      </w:r>
      <w:r w:rsidRPr="0059512C">
        <w:rPr>
          <w:szCs w:val="22"/>
        </w:rPr>
        <w:t>or filing is also the same.</w:t>
      </w:r>
      <w:r>
        <w:rPr>
          <w:rStyle w:val="FootnoteReference"/>
        </w:rPr>
        <w:footnoteReference w:id="166"/>
      </w:r>
      <w:r w:rsidRPr="0059512C">
        <w:rPr>
          <w:szCs w:val="22"/>
        </w:rPr>
        <w:t xml:space="preserve">  We estimate that the Commission’s resources in processing modification requests will consist of the following:  industry analyst handling the application intake, attorney determining acceptability for filing, engineer determi</w:t>
      </w:r>
      <w:r w:rsidRPr="0059512C">
        <w:rPr>
          <w:szCs w:val="22"/>
        </w:rPr>
        <w:t>ning acceptability for filing,  industry analyst preparing weekly public notice for applications accepted for filing, Policy Branch chief first-level supervision, and Engineering Branch chief first-level supervision.  Our estimate is that this process will</w:t>
      </w:r>
      <w:r w:rsidRPr="0059512C">
        <w:rPr>
          <w:szCs w:val="22"/>
        </w:rPr>
        <w:t xml:space="preserve"> involve $2,4</w:t>
      </w:r>
      <w:r w:rsidRPr="0059512C" w:rsidR="002151D5">
        <w:rPr>
          <w:szCs w:val="22"/>
        </w:rPr>
        <w:t>95</w:t>
      </w:r>
      <w:r w:rsidRPr="0059512C">
        <w:rPr>
          <w:szCs w:val="22"/>
        </w:rPr>
        <w:t xml:space="preserve"> in costs.</w:t>
      </w:r>
    </w:p>
    <w:p w:rsidR="00871F92" w:rsidRPr="0059512C" w:rsidP="00871F92">
      <w:pPr>
        <w:pStyle w:val="ParaNum"/>
        <w:rPr>
          <w:szCs w:val="22"/>
        </w:rPr>
      </w:pPr>
      <w:r w:rsidRPr="0059512C">
        <w:rPr>
          <w:szCs w:val="22"/>
        </w:rPr>
        <w:t>Commission rules permit requests for modification of U.S. market access grants.</w:t>
      </w:r>
      <w:r>
        <w:rPr>
          <w:rStyle w:val="FootnoteReference"/>
        </w:rPr>
        <w:footnoteReference w:id="167"/>
      </w:r>
      <w:r w:rsidRPr="0059512C">
        <w:rPr>
          <w:szCs w:val="22"/>
        </w:rPr>
        <w:t xml:space="preserve">  </w:t>
      </w:r>
      <w:r w:rsidRPr="0059512C">
        <w:rPr>
          <w:szCs w:val="22"/>
        </w:rPr>
        <w:t>Currently, no fee is assessed for such modification applications, consistent with Commission policy of not assessing fees involving grants of U.S. market access.  The process and costs involved in reviewing modification requests involving non-U.S. licensed</w:t>
      </w:r>
      <w:r w:rsidRPr="0059512C">
        <w:rPr>
          <w:szCs w:val="22"/>
        </w:rPr>
        <w:t xml:space="preserve"> satellites are generally the same as those for modifications of licenses issued by the FCC.  Because we are proposing to assess fees on filings involving requests for U.S. market access in order to recover the costs involved with these requests, we propos</w:t>
      </w:r>
      <w:r w:rsidRPr="0059512C">
        <w:rPr>
          <w:szCs w:val="22"/>
        </w:rPr>
        <w:t xml:space="preserve">e to include modifications to a grant of U.S. market access in the Space Stations, Modifications fee category.  </w:t>
      </w:r>
    </w:p>
    <w:p w:rsidR="002F767A" w:rsidRPr="0059512C" w:rsidP="002F767A">
      <w:pPr>
        <w:pStyle w:val="ParaNum"/>
        <w:rPr>
          <w:szCs w:val="22"/>
        </w:rPr>
      </w:pPr>
      <w:r w:rsidRPr="0059512C">
        <w:rPr>
          <w:szCs w:val="22"/>
        </w:rPr>
        <w:t xml:space="preserve">An application is required to be filed and granted before a space station license can be transferred, assigned, or disposed of (voluntarily or </w:t>
      </w:r>
      <w:r w:rsidRPr="0059512C">
        <w:rPr>
          <w:szCs w:val="22"/>
        </w:rPr>
        <w:t>involuntarily, directly or indirectly, or by transfer of control of any corporation or any other entity).</w:t>
      </w:r>
      <w:r>
        <w:rPr>
          <w:rStyle w:val="FootnoteReference"/>
        </w:rPr>
        <w:footnoteReference w:id="168"/>
      </w:r>
      <w:r w:rsidRPr="0059512C">
        <w:rPr>
          <w:szCs w:val="22"/>
        </w:rPr>
        <w:t xml:space="preserve">  We propose to create a separate fee category for filings to assign or transfer control of all categories of space station licenses on a per call si</w:t>
      </w:r>
      <w:r w:rsidRPr="0059512C">
        <w:rPr>
          <w:szCs w:val="22"/>
        </w:rPr>
        <w:t>gn basis.  Currently, there are separate fees for assignments and transfers of control depending on whether the space station involved is in geostationary or non-geostationary orbit: the fee for assignment or transfer of control for Space Stations (G</w:t>
      </w:r>
      <w:r w:rsidR="00BF568D">
        <w:rPr>
          <w:szCs w:val="22"/>
        </w:rPr>
        <w:t>SO</w:t>
      </w:r>
      <w:r w:rsidRPr="0059512C">
        <w:rPr>
          <w:szCs w:val="22"/>
        </w:rPr>
        <w:t>) is</w:t>
      </w:r>
      <w:r w:rsidRPr="0059512C">
        <w:rPr>
          <w:szCs w:val="22"/>
        </w:rPr>
        <w:t xml:space="preserve"> currently $9,785; the fee for assignment or transfer of control for Space Stations (NGSO) is $13,480. </w:t>
      </w:r>
      <w:r w:rsidR="00DB62F4">
        <w:rPr>
          <w:szCs w:val="22"/>
        </w:rPr>
        <w:t xml:space="preserve"> T</w:t>
      </w:r>
      <w:r w:rsidRPr="0059512C">
        <w:rPr>
          <w:szCs w:val="22"/>
        </w:rPr>
        <w:t>he costs involved with applications for assignment or transfer of control up through the first-level of supervision are likely to be similar for both g</w:t>
      </w:r>
      <w:r w:rsidRPr="0059512C">
        <w:rPr>
          <w:szCs w:val="22"/>
        </w:rPr>
        <w:t>eostationary and non-geostationary space stations, as well as for small satellites, since the information reviewed in all cases will be the same and the standard for acceptability for filing is also the same.</w:t>
      </w:r>
      <w:r w:rsidRPr="0059512C" w:rsidR="00A65364">
        <w:rPr>
          <w:szCs w:val="22"/>
        </w:rPr>
        <w:t xml:space="preserve"> </w:t>
      </w:r>
      <w:r w:rsidR="0003261B">
        <w:rPr>
          <w:szCs w:val="22"/>
        </w:rPr>
        <w:t xml:space="preserve"> </w:t>
      </w:r>
      <w:r w:rsidRPr="0059512C" w:rsidR="00A65364">
        <w:rPr>
          <w:szCs w:val="22"/>
        </w:rPr>
        <w:t>We estimate that the Commission’s resources in processing of applications for assignment or transfer of control include the following:</w:t>
      </w:r>
      <w:r>
        <w:rPr>
          <w:rStyle w:val="FootnoteReference"/>
          <w:sz w:val="22"/>
        </w:rPr>
        <w:footnoteReference w:id="169"/>
      </w:r>
      <w:r w:rsidRPr="0059512C" w:rsidR="00A65364">
        <w:rPr>
          <w:szCs w:val="22"/>
        </w:rPr>
        <w:t xml:space="preserve"> industry analyst handling the application intake, attorney determining acceptability for filing, industry analyst preparing weekly public notice for applications accepted for filing, and Policy Branch chief first-level supervision.  Our estimate is that this process will involve $719 in costs.</w:t>
      </w:r>
    </w:p>
    <w:p w:rsidR="002F767A" w:rsidRPr="0059512C" w:rsidP="002F767A">
      <w:pPr>
        <w:pStyle w:val="ParaNum"/>
        <w:rPr>
          <w:szCs w:val="22"/>
        </w:rPr>
      </w:pPr>
      <w:r w:rsidRPr="0059512C">
        <w:rPr>
          <w:szCs w:val="22"/>
        </w:rPr>
        <w:t xml:space="preserve">Commission rules do not require prior </w:t>
      </w:r>
      <w:r w:rsidRPr="0059512C" w:rsidR="00181E8A">
        <w:rPr>
          <w:szCs w:val="22"/>
        </w:rPr>
        <w:t>Commission</w:t>
      </w:r>
      <w:r w:rsidRPr="0059512C">
        <w:rPr>
          <w:szCs w:val="22"/>
        </w:rPr>
        <w:t xml:space="preserve"> consent to an assignment or transfer of control of a grant of U.S. market acc</w:t>
      </w:r>
      <w:r w:rsidRPr="0059512C">
        <w:rPr>
          <w:szCs w:val="22"/>
        </w:rPr>
        <w:t>ess by a non-U.S. licensed space station.  Instead, a non-U.S.</w:t>
      </w:r>
      <w:r w:rsidR="0003261B">
        <w:rPr>
          <w:szCs w:val="22"/>
        </w:rPr>
        <w:t xml:space="preserve"> </w:t>
      </w:r>
      <w:r w:rsidRPr="0059512C">
        <w:rPr>
          <w:szCs w:val="22"/>
        </w:rPr>
        <w:t>licensed satellite operator that acquires control of a non-U.S.</w:t>
      </w:r>
      <w:r w:rsidR="00D87029">
        <w:rPr>
          <w:szCs w:val="22"/>
        </w:rPr>
        <w:t xml:space="preserve"> </w:t>
      </w:r>
      <w:r w:rsidRPr="0059512C">
        <w:rPr>
          <w:szCs w:val="22"/>
        </w:rPr>
        <w:t>licensed space station that has been permitted to serve the United States must notify the Commission within 30 days after consumm</w:t>
      </w:r>
      <w:r w:rsidRPr="0059512C">
        <w:rPr>
          <w:szCs w:val="22"/>
        </w:rPr>
        <w:t>ation of the transaction so that the Commission can afford interested parties an opportunity to comment on whether the transaction affected any of the considerations we made when we allowed the satellite operator to enter the U.S. market.</w:t>
      </w:r>
      <w:r>
        <w:rPr>
          <w:rStyle w:val="FootnoteReference"/>
        </w:rPr>
        <w:footnoteReference w:id="170"/>
      </w:r>
      <w:r w:rsidRPr="0059512C">
        <w:rPr>
          <w:szCs w:val="22"/>
        </w:rPr>
        <w:t xml:space="preserve">  Currently, no </w:t>
      </w:r>
      <w:r w:rsidRPr="0059512C">
        <w:rPr>
          <w:szCs w:val="22"/>
        </w:rPr>
        <w:t>fee is assessed for such assignments or transfers of control involving non-U.S. licensed space stations, consistent with Commission policy of not assessing fees involving grants of U.S. market access.  The process and costs involved in reviewing assignment</w:t>
      </w:r>
      <w:r w:rsidRPr="0059512C">
        <w:rPr>
          <w:szCs w:val="22"/>
        </w:rPr>
        <w:t xml:space="preserve">s and transfers of control involving non-U.S. licensed satellites are generally the same as those for assignments and transfers of control of licenses issued by the FCC up through the first-level of supervision.  Because we are proposing to assess fees on </w:t>
      </w:r>
      <w:r w:rsidRPr="0059512C">
        <w:rPr>
          <w:szCs w:val="22"/>
        </w:rPr>
        <w:t>filings involving requests for U.S. market access in order to recover the costs involved with these requests, we propose to include assignment and transfer of control of a grant of U.S. market access in the Space Stations, Assignment or Transfer of Control</w:t>
      </w:r>
      <w:r w:rsidRPr="0059512C">
        <w:rPr>
          <w:szCs w:val="22"/>
        </w:rPr>
        <w:t xml:space="preserve"> fee category. </w:t>
      </w:r>
      <w:r w:rsidRPr="0059512C" w:rsidR="004E6AB9">
        <w:rPr>
          <w:szCs w:val="22"/>
        </w:rPr>
        <w:t xml:space="preserve"> We also seek comment on whether a separate fee category should be established for assignments and transfers that are non-substantial</w:t>
      </w:r>
      <w:r w:rsidRPr="0059512C" w:rsidR="004E6AB9">
        <w:rPr>
          <w:i/>
          <w:szCs w:val="22"/>
        </w:rPr>
        <w:t xml:space="preserve"> </w:t>
      </w:r>
      <w:r w:rsidRPr="0059512C" w:rsidR="004E6AB9">
        <w:rPr>
          <w:szCs w:val="22"/>
        </w:rPr>
        <w:t>(pro forma)</w:t>
      </w:r>
      <w:r w:rsidRPr="0059512C" w:rsidR="004E6AB9">
        <w:rPr>
          <w:i/>
          <w:szCs w:val="22"/>
        </w:rPr>
        <w:t xml:space="preserve"> </w:t>
      </w:r>
      <w:r w:rsidRPr="0059512C" w:rsidR="004E6AB9">
        <w:rPr>
          <w:szCs w:val="22"/>
        </w:rPr>
        <w:t xml:space="preserve">in nature. </w:t>
      </w:r>
      <w:r w:rsidR="0003261B">
        <w:rPr>
          <w:szCs w:val="22"/>
        </w:rPr>
        <w:t xml:space="preserve"> </w:t>
      </w:r>
      <w:r w:rsidRPr="0059512C" w:rsidR="004E6AB9">
        <w:rPr>
          <w:szCs w:val="22"/>
        </w:rPr>
        <w:t>In these instances, public notice and prior Commission approval are not needed.</w:t>
      </w:r>
      <w:r>
        <w:rPr>
          <w:rStyle w:val="FootnoteReference"/>
        </w:rPr>
        <w:footnoteReference w:id="171"/>
      </w:r>
      <w:r w:rsidRPr="0059512C" w:rsidR="004E6AB9">
        <w:rPr>
          <w:szCs w:val="22"/>
        </w:rPr>
        <w:t xml:space="preserve">  Accordingly, the estimated Commission’s costs in processing a typical pro forma assignment or transfer will consist of the following: program analyst handling the application intake, Policy Branch chief first-level supervision.  Our estimate is that this process will involve $</w:t>
      </w:r>
      <w:r w:rsidRPr="0059512C" w:rsidR="002151D5">
        <w:rPr>
          <w:szCs w:val="22"/>
        </w:rPr>
        <w:t>400</w:t>
      </w:r>
      <w:r w:rsidRPr="0059512C" w:rsidR="004E6AB9">
        <w:rPr>
          <w:szCs w:val="22"/>
        </w:rPr>
        <w:t xml:space="preserve"> in costs.</w:t>
      </w:r>
    </w:p>
    <w:p w:rsidR="002F767A" w:rsidRPr="0059512C" w:rsidP="002F767A">
      <w:pPr>
        <w:pStyle w:val="ParaNum"/>
        <w:rPr>
          <w:szCs w:val="22"/>
        </w:rPr>
      </w:pPr>
      <w:r w:rsidRPr="0059512C">
        <w:rPr>
          <w:szCs w:val="22"/>
        </w:rPr>
        <w:t xml:space="preserve">In circumstances requiring immediate or temporary use of facilities, request may be made </w:t>
      </w:r>
      <w:r w:rsidRPr="0059512C">
        <w:rPr>
          <w:szCs w:val="22"/>
        </w:rPr>
        <w:t>for STA to install and/or operate new or modified equipment.</w:t>
      </w:r>
      <w:r>
        <w:rPr>
          <w:rStyle w:val="FootnoteReference"/>
        </w:rPr>
        <w:footnoteReference w:id="172"/>
      </w:r>
      <w:r w:rsidRPr="0059512C">
        <w:rPr>
          <w:szCs w:val="22"/>
        </w:rPr>
        <w:t xml:space="preserve">  The Commission may grant a temporary authorization only upon a findi</w:t>
      </w:r>
      <w:r w:rsidRPr="0059512C">
        <w:rPr>
          <w:szCs w:val="22"/>
        </w:rPr>
        <w:t>ng that there are extraordinary circumstances requiring temporary operations in the public interest and that delay in the institution of these temporary operations would seriously prejudice the public interest.</w:t>
      </w:r>
      <w:r>
        <w:rPr>
          <w:rStyle w:val="FootnoteReference"/>
        </w:rPr>
        <w:footnoteReference w:id="173"/>
      </w:r>
      <w:r w:rsidRPr="0059512C">
        <w:rPr>
          <w:szCs w:val="22"/>
        </w:rPr>
        <w:t xml:space="preserve">  The Commission may grant a temporary autho</w:t>
      </w:r>
      <w:r w:rsidRPr="0059512C">
        <w:rPr>
          <w:szCs w:val="22"/>
        </w:rPr>
        <w:t>rization for a period not to exceed 180 days, with additional periods not exceeding 180 days, if the Commission has placed the STA request on public notice.</w:t>
      </w:r>
      <w:r>
        <w:rPr>
          <w:rStyle w:val="FootnoteReference"/>
          <w:sz w:val="22"/>
        </w:rPr>
        <w:footnoteReference w:id="174"/>
      </w:r>
      <w:r w:rsidRPr="0059512C">
        <w:rPr>
          <w:szCs w:val="22"/>
        </w:rPr>
        <w:t xml:space="preserve">  The Commission may grant STA without placing the request on public notice first, if the request </w:t>
      </w:r>
      <w:r w:rsidRPr="0059512C">
        <w:rPr>
          <w:szCs w:val="22"/>
        </w:rPr>
        <w:t>is for a period not to exceed 30 days, or the period is not to exceed 60 days and the applicant plans to file a request for regular authority for the service.</w:t>
      </w:r>
      <w:r>
        <w:rPr>
          <w:rStyle w:val="FootnoteReference"/>
        </w:rPr>
        <w:footnoteReference w:id="175"/>
      </w:r>
    </w:p>
    <w:p w:rsidR="00871F92" w:rsidRPr="0059512C" w:rsidP="00A55346">
      <w:pPr>
        <w:pStyle w:val="ParaNum"/>
        <w:rPr>
          <w:szCs w:val="22"/>
        </w:rPr>
      </w:pPr>
      <w:r w:rsidRPr="0059512C">
        <w:rPr>
          <w:szCs w:val="22"/>
        </w:rPr>
        <w:t xml:space="preserve">We propose to create a separate fee category for </w:t>
      </w:r>
      <w:r w:rsidRPr="0059512C" w:rsidR="00195672">
        <w:rPr>
          <w:szCs w:val="22"/>
        </w:rPr>
        <w:t xml:space="preserve">an </w:t>
      </w:r>
      <w:r w:rsidRPr="0059512C">
        <w:rPr>
          <w:szCs w:val="22"/>
        </w:rPr>
        <w:t xml:space="preserve">STA for all categories of space </w:t>
      </w:r>
      <w:r w:rsidRPr="0059512C">
        <w:rPr>
          <w:szCs w:val="22"/>
        </w:rPr>
        <w:t>station license applications on a per call sign basis.</w:t>
      </w:r>
      <w:r>
        <w:rPr>
          <w:rStyle w:val="FootnoteReference"/>
        </w:rPr>
        <w:footnoteReference w:id="176"/>
      </w:r>
      <w:r w:rsidRPr="0059512C">
        <w:rPr>
          <w:szCs w:val="22"/>
        </w:rPr>
        <w:t xml:space="preserve">  Currently, there are separate fees for </w:t>
      </w:r>
      <w:r w:rsidRPr="0059512C" w:rsidR="00195672">
        <w:rPr>
          <w:szCs w:val="22"/>
        </w:rPr>
        <w:t xml:space="preserve">an </w:t>
      </w:r>
      <w:r w:rsidRPr="0059512C">
        <w:rPr>
          <w:szCs w:val="22"/>
        </w:rPr>
        <w:t xml:space="preserve">STA depending on whether the space station involved is in geostationary or non-geostationary orbit: the fee for </w:t>
      </w:r>
      <w:r w:rsidRPr="0059512C" w:rsidR="00195672">
        <w:rPr>
          <w:szCs w:val="22"/>
        </w:rPr>
        <w:t xml:space="preserve">an </w:t>
      </w:r>
      <w:r w:rsidRPr="0059512C">
        <w:rPr>
          <w:szCs w:val="22"/>
        </w:rPr>
        <w:t>STA for Space Stations (G</w:t>
      </w:r>
      <w:r w:rsidR="00450819">
        <w:rPr>
          <w:szCs w:val="22"/>
        </w:rPr>
        <w:t>SO</w:t>
      </w:r>
      <w:r w:rsidRPr="0059512C">
        <w:rPr>
          <w:szCs w:val="22"/>
        </w:rPr>
        <w:t>) is currently</w:t>
      </w:r>
      <w:r w:rsidRPr="0059512C">
        <w:rPr>
          <w:szCs w:val="22"/>
        </w:rPr>
        <w:t xml:space="preserve"> $980; the fee for </w:t>
      </w:r>
      <w:r w:rsidRPr="0059512C" w:rsidR="00195672">
        <w:rPr>
          <w:szCs w:val="22"/>
        </w:rPr>
        <w:t xml:space="preserve">an </w:t>
      </w:r>
      <w:r w:rsidRPr="0059512C">
        <w:rPr>
          <w:szCs w:val="22"/>
        </w:rPr>
        <w:t xml:space="preserve">STA for Space Stations (NGSO) is $3,375.  </w:t>
      </w:r>
      <w:r w:rsidR="006D43D3">
        <w:rPr>
          <w:szCs w:val="22"/>
        </w:rPr>
        <w:t>T</w:t>
      </w:r>
      <w:r w:rsidRPr="0059512C">
        <w:rPr>
          <w:szCs w:val="22"/>
        </w:rPr>
        <w:t>he costs involved with applications for</w:t>
      </w:r>
      <w:r w:rsidRPr="0059512C" w:rsidR="00195672">
        <w:rPr>
          <w:szCs w:val="22"/>
        </w:rPr>
        <w:t xml:space="preserve"> an</w:t>
      </w:r>
      <w:r w:rsidRPr="0059512C">
        <w:rPr>
          <w:szCs w:val="22"/>
        </w:rPr>
        <w:t xml:space="preserve"> STA through accepted for filing public notice and up to first-level supervision are likely to be similar for both geostationary and non-geostationar</w:t>
      </w:r>
      <w:r w:rsidRPr="0059512C">
        <w:rPr>
          <w:szCs w:val="22"/>
        </w:rPr>
        <w:t>y space stations, as well as for small satellites, since the information reviewed in all cases will be the same and the standard for acceptability for filing is also the same.</w:t>
      </w:r>
      <w:r>
        <w:rPr>
          <w:rStyle w:val="FootnoteReference"/>
        </w:rPr>
        <w:footnoteReference w:id="177"/>
      </w:r>
      <w:r w:rsidRPr="0059512C">
        <w:rPr>
          <w:szCs w:val="22"/>
        </w:rPr>
        <w:t xml:space="preserve">  </w:t>
      </w:r>
    </w:p>
    <w:p w:rsidR="00765E84" w:rsidRPr="0059512C" w:rsidP="00613EFD">
      <w:pPr>
        <w:pStyle w:val="ParaNum"/>
        <w:widowControl/>
        <w:rPr>
          <w:szCs w:val="22"/>
        </w:rPr>
      </w:pPr>
      <w:r w:rsidRPr="0059512C">
        <w:rPr>
          <w:szCs w:val="22"/>
        </w:rPr>
        <w:t xml:space="preserve">We estimate that the Commission’s resources in processing an </w:t>
      </w:r>
      <w:r w:rsidRPr="0059512C">
        <w:rPr>
          <w:szCs w:val="22"/>
        </w:rPr>
        <w:t>application for Space Stations STA, per call sign, consist of the following: industry analyst handling the application intake, attorney determining acceptability for filing, engineer determining acceptability for filing, industry analyst preparing weekly p</w:t>
      </w:r>
      <w:r w:rsidRPr="0059512C">
        <w:rPr>
          <w:szCs w:val="22"/>
        </w:rPr>
        <w:t>ublic notice for applications accepted for filing, Policy Branch chief first-level supervision, and Engineering Branch chief first-level supervision.  Our estimate is that this process will involve $1,</w:t>
      </w:r>
      <w:r w:rsidRPr="0059512C" w:rsidR="002151D5">
        <w:rPr>
          <w:szCs w:val="22"/>
        </w:rPr>
        <w:t>435</w:t>
      </w:r>
      <w:r w:rsidRPr="0059512C">
        <w:rPr>
          <w:szCs w:val="22"/>
        </w:rPr>
        <w:t xml:space="preserve"> in costs.  </w:t>
      </w:r>
    </w:p>
    <w:p w:rsidR="001D4BF8" w:rsidRPr="0059512C" w:rsidP="00025560">
      <w:pPr>
        <w:pStyle w:val="Heading4"/>
        <w:rPr>
          <w:szCs w:val="22"/>
        </w:rPr>
      </w:pPr>
      <w:bookmarkStart w:id="369" w:name="_Toc28005120"/>
      <w:bookmarkStart w:id="370" w:name="_Toc29557418"/>
      <w:bookmarkStart w:id="371" w:name="_Toc35268601"/>
      <w:r w:rsidRPr="0059512C">
        <w:rPr>
          <w:szCs w:val="22"/>
        </w:rPr>
        <w:t>Direct Broadcast Satellites</w:t>
      </w:r>
      <w:bookmarkEnd w:id="369"/>
      <w:bookmarkEnd w:id="370"/>
      <w:bookmarkEnd w:id="371"/>
    </w:p>
    <w:p w:rsidR="007E6556" w:rsidRPr="0059512C" w:rsidP="001D4BF8">
      <w:pPr>
        <w:pStyle w:val="ParaNum"/>
        <w:rPr>
          <w:szCs w:val="22"/>
        </w:rPr>
      </w:pPr>
      <w:r w:rsidRPr="0059512C">
        <w:rPr>
          <w:szCs w:val="22"/>
        </w:rPr>
        <w:t xml:space="preserve">We propose </w:t>
      </w:r>
      <w:r w:rsidRPr="0059512C">
        <w:rPr>
          <w:szCs w:val="22"/>
        </w:rPr>
        <w:t>removing this fee category and using application fees and categories for Geostationary Space Stations instead.  In September 2019, the Commission revised and updated the rules governing DBS processing procedures to align them with the streamlined processin</w:t>
      </w:r>
      <w:r w:rsidRPr="0059512C">
        <w:rPr>
          <w:szCs w:val="22"/>
        </w:rPr>
        <w:t>g procedures for GSO FSS satellites.</w:t>
      </w:r>
      <w:r>
        <w:rPr>
          <w:rStyle w:val="FootnoteReference"/>
        </w:rPr>
        <w:footnoteReference w:id="178"/>
      </w:r>
      <w:r w:rsidRPr="0059512C">
        <w:rPr>
          <w:szCs w:val="22"/>
        </w:rPr>
        <w:t xml:space="preserve">  The Commission found that there is little difference technically between GSO FSS satellite systems and DBS systems in geostationary orbit, and that DBS license applications could be processed in the same manner as GS</w:t>
      </w:r>
      <w:r w:rsidRPr="0059512C">
        <w:rPr>
          <w:szCs w:val="22"/>
        </w:rPr>
        <w:t>O FSS satellites under a first-come, first-served basis.</w:t>
      </w:r>
      <w:r>
        <w:rPr>
          <w:rStyle w:val="FootnoteReference"/>
        </w:rPr>
        <w:footnoteReference w:id="179"/>
      </w:r>
      <w:r w:rsidRPr="0059512C">
        <w:rPr>
          <w:szCs w:val="22"/>
        </w:rPr>
        <w:t xml:space="preserve">  Given the technical and regulatory similarities between GSO FSS satellites and DBS satellites, there is no need to maintain a separate filing fee for DBS satellites, and we propose to assess filin</w:t>
      </w:r>
      <w:r w:rsidRPr="0059512C">
        <w:rPr>
          <w:szCs w:val="22"/>
        </w:rPr>
        <w:t xml:space="preserve">g fees for DBS satellites </w:t>
      </w:r>
      <w:r w:rsidRPr="0059512C">
        <w:rPr>
          <w:szCs w:val="22"/>
        </w:rPr>
        <w:t xml:space="preserve">under the proposed fees for geostationary space stations, which also apply to GSO FSS satellite applications.  </w:t>
      </w:r>
    </w:p>
    <w:p w:rsidR="001D4BF8" w:rsidRPr="0059512C" w:rsidP="00020760">
      <w:pPr>
        <w:pStyle w:val="Heading4"/>
        <w:rPr>
          <w:szCs w:val="22"/>
        </w:rPr>
      </w:pPr>
      <w:bookmarkStart w:id="372" w:name="_Toc28005121"/>
      <w:bookmarkStart w:id="373" w:name="_Toc29557419"/>
      <w:bookmarkStart w:id="374" w:name="_Toc35268602"/>
      <w:r w:rsidRPr="0059512C">
        <w:rPr>
          <w:szCs w:val="22"/>
        </w:rPr>
        <w:t>Unified Space and Earth Station Licenses</w:t>
      </w:r>
      <w:bookmarkEnd w:id="372"/>
      <w:bookmarkEnd w:id="373"/>
      <w:bookmarkEnd w:id="374"/>
    </w:p>
    <w:p w:rsidR="001D4BF8" w:rsidRPr="0059512C" w:rsidP="001D4BF8">
      <w:pPr>
        <w:pStyle w:val="ParaNum"/>
        <w:rPr>
          <w:szCs w:val="22"/>
        </w:rPr>
      </w:pPr>
      <w:r w:rsidRPr="0059512C">
        <w:rPr>
          <w:szCs w:val="22"/>
        </w:rPr>
        <w:t>The Commission has sought comment on a proposal to create a new unified licen</w:t>
      </w:r>
      <w:r w:rsidRPr="0059512C">
        <w:rPr>
          <w:szCs w:val="22"/>
        </w:rPr>
        <w:t>se that would include authority for both space stations and earth stations in a single grant.</w:t>
      </w:r>
      <w:r>
        <w:rPr>
          <w:rStyle w:val="FootnoteReference"/>
        </w:rPr>
        <w:footnoteReference w:id="180"/>
      </w:r>
      <w:r w:rsidRPr="0059512C">
        <w:rPr>
          <w:szCs w:val="22"/>
        </w:rPr>
        <w:t xml:space="preserve">  Currently, the Commission issues separate licenses for earth stations and space stations and has separate, and different, application requirements for each.</w:t>
      </w:r>
      <w:r>
        <w:rPr>
          <w:rStyle w:val="FootnoteReference"/>
        </w:rPr>
        <w:footnoteReference w:id="181"/>
      </w:r>
      <w:r w:rsidRPr="0059512C">
        <w:rPr>
          <w:szCs w:val="22"/>
        </w:rPr>
        <w:t xml:space="preserve"> </w:t>
      </w:r>
      <w:r w:rsidRPr="0059512C">
        <w:rPr>
          <w:szCs w:val="22"/>
        </w:rPr>
        <w:t xml:space="preserve"> As a result, there are separate fees associated with applications for earth or space station licenses, which we have proposed to update as set forth above.  The proposal to create a unified earth and licensing regime is pending before the Commission at th</w:t>
      </w:r>
      <w:r w:rsidRPr="0059512C">
        <w:rPr>
          <w:szCs w:val="22"/>
        </w:rPr>
        <w:t>e time of the release of this item.</w:t>
      </w:r>
    </w:p>
    <w:p w:rsidR="001D4BF8" w:rsidRPr="0059512C" w:rsidP="001D4BF8">
      <w:pPr>
        <w:pStyle w:val="ParaNum"/>
        <w:rPr>
          <w:szCs w:val="22"/>
        </w:rPr>
      </w:pPr>
      <w:r w:rsidRPr="0059512C">
        <w:rPr>
          <w:szCs w:val="22"/>
        </w:rPr>
        <w:t>As part of the proposal, the Commission sought comment on creating a new application fee category for unified space station/earth station licenses based on the fees for space station applications and sought comment on th</w:t>
      </w:r>
      <w:r w:rsidRPr="0059512C">
        <w:rPr>
          <w:szCs w:val="22"/>
        </w:rPr>
        <w:t>e appropriate values for the various types of applications.</w:t>
      </w:r>
      <w:r>
        <w:rPr>
          <w:rStyle w:val="FootnoteReference"/>
        </w:rPr>
        <w:footnoteReference w:id="182"/>
      </w:r>
      <w:r w:rsidRPr="0059512C">
        <w:rPr>
          <w:szCs w:val="22"/>
        </w:rPr>
        <w:t xml:space="preserve">  Alternatively, the Commission sought comment on applying the space station application fees to unified license applications as well.</w:t>
      </w:r>
      <w:r>
        <w:rPr>
          <w:rStyle w:val="FootnoteReference"/>
        </w:rPr>
        <w:footnoteReference w:id="183"/>
      </w:r>
    </w:p>
    <w:p w:rsidR="001D4BF8" w:rsidRPr="0059512C" w:rsidP="001D4BF8">
      <w:pPr>
        <w:pStyle w:val="ParaNum"/>
        <w:rPr>
          <w:szCs w:val="22"/>
        </w:rPr>
      </w:pPr>
      <w:r w:rsidRPr="0059512C">
        <w:rPr>
          <w:szCs w:val="22"/>
        </w:rPr>
        <w:t xml:space="preserve">In light of the changes proposed above to space and earth </w:t>
      </w:r>
      <w:r w:rsidRPr="0059512C">
        <w:rPr>
          <w:szCs w:val="22"/>
        </w:rPr>
        <w:t>station filing fees, we seek additional comment on the appropriate fees that would apply to applications for unified licenses if this proposal is adopted in some form.  Because the proposal is pending before the Commission, the exact nature and scope of an</w:t>
      </w:r>
      <w:r w:rsidRPr="0059512C">
        <w:rPr>
          <w:szCs w:val="22"/>
        </w:rPr>
        <w:t>y unified license, or the precise mechanics for applying for it, have not yet been decided.  Nonetheless, we seek comment on what the appropriate fee would be for applications for unified space station/earth station licenses based on the prior proposal and</w:t>
      </w:r>
      <w:r w:rsidRPr="0059512C">
        <w:rPr>
          <w:szCs w:val="22"/>
        </w:rPr>
        <w:t xml:space="preserve"> taking into account the revised fees proposed above. </w:t>
      </w:r>
    </w:p>
    <w:p w:rsidR="001D4BF8" w:rsidRPr="0059512C" w:rsidP="001D4BF8">
      <w:pPr>
        <w:pStyle w:val="ParaNum"/>
        <w:rPr>
          <w:szCs w:val="22"/>
        </w:rPr>
      </w:pPr>
      <w:r w:rsidRPr="0059512C">
        <w:rPr>
          <w:szCs w:val="22"/>
        </w:rPr>
        <w:t>The RAY BAUM’S Act requires that application fees recover the Commission’s costs in processing the application.</w:t>
      </w:r>
      <w:r>
        <w:rPr>
          <w:rStyle w:val="FootnoteReference"/>
        </w:rPr>
        <w:footnoteReference w:id="184"/>
      </w:r>
      <w:r w:rsidRPr="0059512C">
        <w:rPr>
          <w:szCs w:val="22"/>
        </w:rPr>
        <w:t xml:space="preserve">  Accordingly, should any new fee for a unified license simply be the sum of the filing </w:t>
      </w:r>
      <w:r w:rsidRPr="0059512C">
        <w:rPr>
          <w:szCs w:val="22"/>
        </w:rPr>
        <w:t xml:space="preserve">fees for the component space and earth station authorizations, since the unified license would require review of legal and technical parameters of both space and earth station operations?  Do the revised filing fees proposed above sufficiently account for </w:t>
      </w:r>
      <w:r w:rsidRPr="0059512C">
        <w:rPr>
          <w:szCs w:val="22"/>
        </w:rPr>
        <w:t>any reduction in the information required to be submitted and reviewed under the proposal for a unified license, or any other administrative efficiencies of a unified license?  For example, under the Commission’s proposal, a unified license applicant would</w:t>
      </w:r>
      <w:r w:rsidRPr="0059512C">
        <w:rPr>
          <w:szCs w:val="22"/>
        </w:rPr>
        <w:t xml:space="preserve"> be allowed to omit certain earth station information that is redundant with the information provided for the space station, thereby saving Commission staff review time.</w:t>
      </w:r>
      <w:r>
        <w:rPr>
          <w:rStyle w:val="FootnoteReference"/>
        </w:rPr>
        <w:footnoteReference w:id="185"/>
      </w:r>
      <w:r w:rsidRPr="0059512C">
        <w:rPr>
          <w:szCs w:val="22"/>
        </w:rPr>
        <w:t xml:space="preserve">  It may be the case that including blanket earth station authorization in a unified </w:t>
      </w:r>
      <w:r w:rsidRPr="0059512C">
        <w:rPr>
          <w:szCs w:val="22"/>
        </w:rPr>
        <w:t>license requires little more information, or review, than the satellite network description already provided in a space station license application.  If so, and depending on the implementation of any new, unified license, would it be appropriate to apply t</w:t>
      </w:r>
      <w:r w:rsidRPr="0059512C">
        <w:rPr>
          <w:szCs w:val="22"/>
        </w:rPr>
        <w:t xml:space="preserve">he space station application </w:t>
      </w:r>
      <w:r w:rsidRPr="0059512C">
        <w:rPr>
          <w:szCs w:val="22"/>
        </w:rPr>
        <w:t>fee schedule to unified license applications, or to create a new category of filing fees that would be less than the sum of the fees of the comparable space and earth station filings?  How should filing fees be applied to reque</w:t>
      </w:r>
      <w:r w:rsidRPr="0059512C">
        <w:rPr>
          <w:szCs w:val="22"/>
        </w:rPr>
        <w:t>sts for modification of licenses or amendments to pending applications that affect only the information provided for either the space station operations or the earth station operations?  Should new unified license filing fee categories be created in each o</w:t>
      </w:r>
      <w:r w:rsidRPr="0059512C">
        <w:rPr>
          <w:szCs w:val="22"/>
        </w:rPr>
        <w:t>f those instances, or should the fee assessed be the fee for the equivalent space or earth station filing?</w:t>
      </w:r>
    </w:p>
    <w:p w:rsidR="001D4BF8" w:rsidRPr="0059512C" w:rsidP="001D4BF8">
      <w:pPr>
        <w:pStyle w:val="ParaNum"/>
        <w:rPr>
          <w:szCs w:val="22"/>
        </w:rPr>
      </w:pPr>
      <w:r w:rsidRPr="0059512C">
        <w:rPr>
          <w:szCs w:val="22"/>
        </w:rPr>
        <w:t xml:space="preserve">Furthermore, how would filing fees for unified license applications apply to requests for access to the U.S. market by non-U.S. licensed satellites? </w:t>
      </w:r>
      <w:r w:rsidRPr="0059512C">
        <w:rPr>
          <w:szCs w:val="22"/>
        </w:rPr>
        <w:t xml:space="preserve"> Would the manner of application of the fees differ depending on whether we adopt the proposal above to apply filing fees to requests for U.S. market access?</w:t>
      </w:r>
    </w:p>
    <w:p w:rsidR="001D4BF8" w:rsidRPr="0059512C" w:rsidP="00020760">
      <w:pPr>
        <w:pStyle w:val="Heading4"/>
        <w:rPr>
          <w:szCs w:val="22"/>
        </w:rPr>
      </w:pPr>
      <w:bookmarkStart w:id="375" w:name="_Toc18066945"/>
      <w:bookmarkStart w:id="376" w:name="_Toc18939804"/>
      <w:bookmarkStart w:id="377" w:name="_Toc19795116"/>
      <w:bookmarkStart w:id="378" w:name="_Toc19796481"/>
      <w:bookmarkStart w:id="379" w:name="_Toc19796839"/>
      <w:bookmarkStart w:id="380" w:name="_Toc28005122"/>
      <w:bookmarkStart w:id="381" w:name="_Toc29557420"/>
      <w:bookmarkStart w:id="382" w:name="_Toc35268603"/>
      <w:r w:rsidRPr="0059512C">
        <w:rPr>
          <w:szCs w:val="22"/>
        </w:rPr>
        <w:t>International Broadcast Stations</w:t>
      </w:r>
      <w:bookmarkEnd w:id="375"/>
      <w:bookmarkEnd w:id="376"/>
      <w:bookmarkEnd w:id="377"/>
      <w:bookmarkEnd w:id="378"/>
      <w:bookmarkEnd w:id="379"/>
      <w:bookmarkEnd w:id="380"/>
      <w:bookmarkEnd w:id="381"/>
      <w:bookmarkEnd w:id="382"/>
    </w:p>
    <w:p w:rsidR="007E6556" w:rsidRPr="0059512C" w:rsidP="001D4BF8">
      <w:pPr>
        <w:pStyle w:val="ParaNum"/>
        <w:rPr>
          <w:szCs w:val="22"/>
        </w:rPr>
      </w:pPr>
      <w:r w:rsidRPr="0059512C">
        <w:rPr>
          <w:szCs w:val="22"/>
        </w:rPr>
        <w:t>An International Broadcast Station (IBS) uses broadcast frequenci</w:t>
      </w:r>
      <w:r w:rsidRPr="0059512C">
        <w:rPr>
          <w:szCs w:val="22"/>
        </w:rPr>
        <w:t>es between 5,950 kHz and 26,100 kHz to provide its broadcast service which is intended to be received in foreign countries.</w:t>
      </w:r>
      <w:r>
        <w:rPr>
          <w:rStyle w:val="FootnoteReference"/>
        </w:rPr>
        <w:footnoteReference w:id="186"/>
      </w:r>
      <w:r w:rsidRPr="0059512C">
        <w:rPr>
          <w:szCs w:val="22"/>
        </w:rPr>
        <w:t xml:space="preserve">  This service also is known as High Frequency Broadcasting (HF) or Shortwave Broadcasting.  Unlike other broadcasting services, HF</w:t>
      </w:r>
      <w:r w:rsidRPr="0059512C">
        <w:rPr>
          <w:szCs w:val="22"/>
        </w:rPr>
        <w:t xml:space="preserve"> broadcasters are authorized frequencies on a seasonal basis.  Currently, two seasons exist: a Summer season and a Winter season.  The adjustment of frequencies between seasons results mainly from changes in propagation conditions, altered programming need</w:t>
      </w:r>
      <w:r w:rsidRPr="0059512C">
        <w:rPr>
          <w:szCs w:val="22"/>
        </w:rPr>
        <w:t xml:space="preserve">s, and objectionable interference situations.  </w:t>
      </w:r>
    </w:p>
    <w:p w:rsidR="001D4BF8" w:rsidRPr="0059512C" w:rsidP="00647115">
      <w:pPr>
        <w:pStyle w:val="ParaNum"/>
        <w:rPr>
          <w:szCs w:val="22"/>
        </w:rPr>
      </w:pPr>
      <w:r w:rsidRPr="0059512C">
        <w:rPr>
          <w:szCs w:val="22"/>
        </w:rPr>
        <w:t xml:space="preserve">The following table summarizes the current application fees where they exist and the proposed cost-based fees.  </w:t>
      </w:r>
      <w:r w:rsidRPr="0059512C" w:rsidR="00647115">
        <w:rPr>
          <w:szCs w:val="22"/>
        </w:rPr>
        <w:t xml:space="preserve">We propose and seek comment on adopting the following cost-based fees for these applications—and we give as an example the current fees for these services.  </w:t>
      </w:r>
    </w:p>
    <w:tbl>
      <w:tblPr>
        <w:tblStyle w:val="TableGrid"/>
        <w:tblW w:w="0" w:type="auto"/>
        <w:tblInd w:w="990" w:type="dxa"/>
        <w:tblLook w:val="04A0"/>
      </w:tblPr>
      <w:tblGrid>
        <w:gridCol w:w="2828"/>
        <w:gridCol w:w="2757"/>
        <w:gridCol w:w="2775"/>
      </w:tblGrid>
      <w:tr w:rsidTr="004B401B">
        <w:tblPrEx>
          <w:tblW w:w="0" w:type="auto"/>
          <w:tblInd w:w="990" w:type="dxa"/>
          <w:tblLook w:val="04A0"/>
        </w:tblPrEx>
        <w:tc>
          <w:tcPr>
            <w:tcW w:w="2828" w:type="dxa"/>
          </w:tcPr>
          <w:p w:rsidR="001D4BF8" w:rsidRPr="0059512C" w:rsidP="004B401B">
            <w:pPr>
              <w:pStyle w:val="ParaNum"/>
              <w:numPr>
                <w:ilvl w:val="0"/>
                <w:numId w:val="0"/>
              </w:numPr>
              <w:rPr>
                <w:b/>
                <w:szCs w:val="22"/>
              </w:rPr>
            </w:pPr>
            <w:r w:rsidRPr="0059512C">
              <w:rPr>
                <w:b/>
                <w:szCs w:val="22"/>
              </w:rPr>
              <w:t>Application</w:t>
            </w:r>
          </w:p>
        </w:tc>
        <w:tc>
          <w:tcPr>
            <w:tcW w:w="2757" w:type="dxa"/>
          </w:tcPr>
          <w:p w:rsidR="001D4BF8" w:rsidRPr="0059512C" w:rsidP="004B401B">
            <w:pPr>
              <w:pStyle w:val="ParaNum"/>
              <w:numPr>
                <w:ilvl w:val="0"/>
                <w:numId w:val="0"/>
              </w:numPr>
              <w:rPr>
                <w:b/>
                <w:szCs w:val="22"/>
              </w:rPr>
            </w:pPr>
            <w:r w:rsidRPr="0059512C">
              <w:rPr>
                <w:b/>
                <w:szCs w:val="22"/>
              </w:rPr>
              <w:t xml:space="preserve">Current </w:t>
            </w:r>
            <w:r w:rsidRPr="0059512C" w:rsidR="00D057A3">
              <w:rPr>
                <w:b/>
                <w:szCs w:val="22"/>
              </w:rPr>
              <w:t>F</w:t>
            </w:r>
            <w:r w:rsidRPr="0059512C">
              <w:rPr>
                <w:b/>
                <w:szCs w:val="22"/>
              </w:rPr>
              <w:t>ee</w:t>
            </w:r>
          </w:p>
        </w:tc>
        <w:tc>
          <w:tcPr>
            <w:tcW w:w="2775" w:type="dxa"/>
          </w:tcPr>
          <w:p w:rsidR="001D4BF8" w:rsidRPr="0059512C" w:rsidP="004B401B">
            <w:pPr>
              <w:pStyle w:val="ParaNum"/>
              <w:numPr>
                <w:ilvl w:val="0"/>
                <w:numId w:val="0"/>
              </w:numPr>
              <w:rPr>
                <w:b/>
                <w:szCs w:val="22"/>
              </w:rPr>
            </w:pPr>
            <w:r w:rsidRPr="0059512C">
              <w:rPr>
                <w:b/>
                <w:szCs w:val="22"/>
              </w:rPr>
              <w:t xml:space="preserve">Cost-Based </w:t>
            </w:r>
            <w:r w:rsidRPr="0059512C" w:rsidR="00D057A3">
              <w:rPr>
                <w:b/>
                <w:szCs w:val="22"/>
              </w:rPr>
              <w:t>Fee</w:t>
            </w:r>
          </w:p>
        </w:tc>
      </w:tr>
      <w:tr w:rsidTr="004B401B">
        <w:tblPrEx>
          <w:tblW w:w="0" w:type="auto"/>
          <w:tblInd w:w="990" w:type="dxa"/>
          <w:tblLook w:val="04A0"/>
        </w:tblPrEx>
        <w:tc>
          <w:tcPr>
            <w:tcW w:w="2828" w:type="dxa"/>
          </w:tcPr>
          <w:p w:rsidR="001D4BF8" w:rsidRPr="0059512C" w:rsidP="004B401B">
            <w:pPr>
              <w:pStyle w:val="ParaNum"/>
              <w:numPr>
                <w:ilvl w:val="0"/>
                <w:numId w:val="0"/>
              </w:numPr>
              <w:rPr>
                <w:szCs w:val="22"/>
              </w:rPr>
            </w:pPr>
            <w:r w:rsidRPr="0059512C">
              <w:rPr>
                <w:szCs w:val="22"/>
              </w:rPr>
              <w:t>IBS New Construction Permit</w:t>
            </w:r>
          </w:p>
        </w:tc>
        <w:tc>
          <w:tcPr>
            <w:tcW w:w="2757" w:type="dxa"/>
          </w:tcPr>
          <w:p w:rsidR="001D4BF8" w:rsidRPr="0059512C" w:rsidP="004B401B">
            <w:pPr>
              <w:pStyle w:val="ParaNum"/>
              <w:numPr>
                <w:ilvl w:val="0"/>
                <w:numId w:val="0"/>
              </w:numPr>
              <w:rPr>
                <w:szCs w:val="22"/>
              </w:rPr>
            </w:pPr>
            <w:r w:rsidRPr="0059512C">
              <w:rPr>
                <w:szCs w:val="22"/>
              </w:rPr>
              <w:t>$3,340</w:t>
            </w:r>
          </w:p>
        </w:tc>
        <w:tc>
          <w:tcPr>
            <w:tcW w:w="2775" w:type="dxa"/>
          </w:tcPr>
          <w:p w:rsidR="001D4BF8" w:rsidRPr="0059512C" w:rsidP="004B401B">
            <w:pPr>
              <w:pStyle w:val="ParaNum"/>
              <w:numPr>
                <w:ilvl w:val="0"/>
                <w:numId w:val="0"/>
              </w:numPr>
              <w:rPr>
                <w:szCs w:val="22"/>
              </w:rPr>
            </w:pPr>
            <w:r w:rsidRPr="0059512C">
              <w:rPr>
                <w:szCs w:val="22"/>
              </w:rPr>
              <w:t>$</w:t>
            </w:r>
            <w:r w:rsidRPr="0059512C" w:rsidR="00956FCB">
              <w:rPr>
                <w:szCs w:val="22"/>
              </w:rPr>
              <w:t>4,010</w:t>
            </w:r>
          </w:p>
        </w:tc>
      </w:tr>
      <w:tr w:rsidTr="004B401B">
        <w:tblPrEx>
          <w:tblW w:w="0" w:type="auto"/>
          <w:tblInd w:w="990" w:type="dxa"/>
          <w:tblLook w:val="04A0"/>
        </w:tblPrEx>
        <w:tc>
          <w:tcPr>
            <w:tcW w:w="2828" w:type="dxa"/>
          </w:tcPr>
          <w:p w:rsidR="001D4BF8" w:rsidRPr="0059512C" w:rsidP="004B401B">
            <w:pPr>
              <w:pStyle w:val="ParaNum"/>
              <w:numPr>
                <w:ilvl w:val="0"/>
                <w:numId w:val="0"/>
              </w:numPr>
              <w:rPr>
                <w:szCs w:val="22"/>
              </w:rPr>
            </w:pPr>
            <w:r w:rsidRPr="0059512C">
              <w:rPr>
                <w:szCs w:val="22"/>
              </w:rPr>
              <w:t>IBS Construction Permit Modification</w:t>
            </w:r>
          </w:p>
        </w:tc>
        <w:tc>
          <w:tcPr>
            <w:tcW w:w="2757" w:type="dxa"/>
          </w:tcPr>
          <w:p w:rsidR="001D4BF8" w:rsidRPr="0059512C" w:rsidP="004B401B">
            <w:pPr>
              <w:pStyle w:val="ParaNum"/>
              <w:numPr>
                <w:ilvl w:val="0"/>
                <w:numId w:val="0"/>
              </w:numPr>
              <w:rPr>
                <w:szCs w:val="22"/>
              </w:rPr>
            </w:pPr>
            <w:r w:rsidRPr="0059512C">
              <w:rPr>
                <w:szCs w:val="22"/>
              </w:rPr>
              <w:t>$3,340</w:t>
            </w:r>
          </w:p>
        </w:tc>
        <w:tc>
          <w:tcPr>
            <w:tcW w:w="2775" w:type="dxa"/>
          </w:tcPr>
          <w:p w:rsidR="001D4BF8" w:rsidRPr="0059512C" w:rsidP="004B401B">
            <w:pPr>
              <w:pStyle w:val="ParaNum"/>
              <w:numPr>
                <w:ilvl w:val="0"/>
                <w:numId w:val="0"/>
              </w:numPr>
              <w:rPr>
                <w:szCs w:val="22"/>
              </w:rPr>
            </w:pPr>
            <w:r w:rsidRPr="0059512C">
              <w:rPr>
                <w:szCs w:val="22"/>
              </w:rPr>
              <w:t>$</w:t>
            </w:r>
            <w:r w:rsidRPr="0059512C" w:rsidR="00956FCB">
              <w:rPr>
                <w:szCs w:val="22"/>
              </w:rPr>
              <w:t>4,010</w:t>
            </w:r>
          </w:p>
        </w:tc>
      </w:tr>
      <w:tr w:rsidTr="004B401B">
        <w:tblPrEx>
          <w:tblW w:w="0" w:type="auto"/>
          <w:tblInd w:w="990" w:type="dxa"/>
          <w:tblLook w:val="04A0"/>
        </w:tblPrEx>
        <w:tc>
          <w:tcPr>
            <w:tcW w:w="2828" w:type="dxa"/>
          </w:tcPr>
          <w:p w:rsidR="001D4BF8" w:rsidRPr="0059512C" w:rsidP="004B401B">
            <w:pPr>
              <w:pStyle w:val="ParaNum"/>
              <w:numPr>
                <w:ilvl w:val="0"/>
                <w:numId w:val="0"/>
              </w:numPr>
              <w:rPr>
                <w:szCs w:val="22"/>
              </w:rPr>
            </w:pPr>
            <w:r w:rsidRPr="0059512C">
              <w:rPr>
                <w:szCs w:val="22"/>
              </w:rPr>
              <w:t>IBS New License</w:t>
            </w:r>
          </w:p>
        </w:tc>
        <w:tc>
          <w:tcPr>
            <w:tcW w:w="2757" w:type="dxa"/>
          </w:tcPr>
          <w:p w:rsidR="001D4BF8" w:rsidRPr="0059512C" w:rsidP="004B401B">
            <w:pPr>
              <w:pStyle w:val="ParaNum"/>
              <w:numPr>
                <w:ilvl w:val="0"/>
                <w:numId w:val="0"/>
              </w:numPr>
              <w:rPr>
                <w:szCs w:val="22"/>
              </w:rPr>
            </w:pPr>
            <w:r w:rsidRPr="0059512C">
              <w:rPr>
                <w:szCs w:val="22"/>
              </w:rPr>
              <w:t>$755</w:t>
            </w:r>
          </w:p>
        </w:tc>
        <w:tc>
          <w:tcPr>
            <w:tcW w:w="2775" w:type="dxa"/>
          </w:tcPr>
          <w:p w:rsidR="001D4BF8" w:rsidRPr="0059512C" w:rsidP="004B401B">
            <w:pPr>
              <w:pStyle w:val="ParaNum"/>
              <w:numPr>
                <w:ilvl w:val="0"/>
                <w:numId w:val="0"/>
              </w:numPr>
              <w:rPr>
                <w:szCs w:val="22"/>
              </w:rPr>
            </w:pPr>
            <w:r w:rsidRPr="0059512C">
              <w:rPr>
                <w:szCs w:val="22"/>
              </w:rPr>
              <w:t>$</w:t>
            </w:r>
            <w:r w:rsidRPr="0059512C" w:rsidR="00956FCB">
              <w:rPr>
                <w:szCs w:val="22"/>
              </w:rPr>
              <w:t>905</w:t>
            </w:r>
          </w:p>
        </w:tc>
      </w:tr>
      <w:tr w:rsidTr="004B401B">
        <w:tblPrEx>
          <w:tblW w:w="0" w:type="auto"/>
          <w:tblInd w:w="990" w:type="dxa"/>
          <w:tblLook w:val="04A0"/>
        </w:tblPrEx>
        <w:tc>
          <w:tcPr>
            <w:tcW w:w="2828" w:type="dxa"/>
          </w:tcPr>
          <w:p w:rsidR="001D4BF8" w:rsidRPr="0059512C" w:rsidP="004B401B">
            <w:pPr>
              <w:pStyle w:val="ParaNum"/>
              <w:numPr>
                <w:ilvl w:val="0"/>
                <w:numId w:val="0"/>
              </w:numPr>
              <w:rPr>
                <w:szCs w:val="22"/>
              </w:rPr>
            </w:pPr>
            <w:r w:rsidRPr="0059512C">
              <w:rPr>
                <w:szCs w:val="22"/>
              </w:rPr>
              <w:t>IBS License Renewal</w:t>
            </w:r>
          </w:p>
        </w:tc>
        <w:tc>
          <w:tcPr>
            <w:tcW w:w="2757" w:type="dxa"/>
          </w:tcPr>
          <w:p w:rsidR="001D4BF8" w:rsidRPr="0059512C" w:rsidP="004B401B">
            <w:pPr>
              <w:pStyle w:val="ParaNum"/>
              <w:numPr>
                <w:ilvl w:val="0"/>
                <w:numId w:val="0"/>
              </w:numPr>
              <w:rPr>
                <w:szCs w:val="22"/>
              </w:rPr>
            </w:pPr>
            <w:r w:rsidRPr="0059512C">
              <w:rPr>
                <w:szCs w:val="22"/>
              </w:rPr>
              <w:t>$190</w:t>
            </w:r>
          </w:p>
        </w:tc>
        <w:tc>
          <w:tcPr>
            <w:tcW w:w="2775" w:type="dxa"/>
          </w:tcPr>
          <w:p w:rsidR="001D4BF8" w:rsidRPr="0059512C" w:rsidP="004B401B">
            <w:pPr>
              <w:pStyle w:val="ParaNum"/>
              <w:numPr>
                <w:ilvl w:val="0"/>
                <w:numId w:val="0"/>
              </w:numPr>
              <w:rPr>
                <w:szCs w:val="22"/>
              </w:rPr>
            </w:pPr>
            <w:r w:rsidRPr="0059512C">
              <w:rPr>
                <w:szCs w:val="22"/>
              </w:rPr>
              <w:t>$2</w:t>
            </w:r>
            <w:r w:rsidRPr="0059512C" w:rsidR="00956FCB">
              <w:rPr>
                <w:szCs w:val="22"/>
              </w:rPr>
              <w:t>3</w:t>
            </w:r>
            <w:r w:rsidRPr="0059512C">
              <w:rPr>
                <w:szCs w:val="22"/>
              </w:rPr>
              <w:t>0</w:t>
            </w:r>
          </w:p>
        </w:tc>
      </w:tr>
      <w:tr w:rsidTr="004B401B">
        <w:tblPrEx>
          <w:tblW w:w="0" w:type="auto"/>
          <w:tblInd w:w="990" w:type="dxa"/>
          <w:tblLook w:val="04A0"/>
        </w:tblPrEx>
        <w:tc>
          <w:tcPr>
            <w:tcW w:w="2828" w:type="dxa"/>
          </w:tcPr>
          <w:p w:rsidR="001D4BF8" w:rsidRPr="0059512C" w:rsidP="004B401B">
            <w:pPr>
              <w:pStyle w:val="ParaNum"/>
              <w:numPr>
                <w:ilvl w:val="0"/>
                <w:numId w:val="0"/>
              </w:numPr>
              <w:rPr>
                <w:szCs w:val="22"/>
              </w:rPr>
            </w:pPr>
            <w:r w:rsidRPr="0059512C">
              <w:rPr>
                <w:szCs w:val="22"/>
              </w:rPr>
              <w:t xml:space="preserve">IBS Frequency Assignment </w:t>
            </w:r>
          </w:p>
        </w:tc>
        <w:tc>
          <w:tcPr>
            <w:tcW w:w="2757" w:type="dxa"/>
          </w:tcPr>
          <w:p w:rsidR="001D4BF8" w:rsidRPr="0059512C" w:rsidP="004B401B">
            <w:pPr>
              <w:pStyle w:val="ParaNum"/>
              <w:numPr>
                <w:ilvl w:val="0"/>
                <w:numId w:val="0"/>
              </w:numPr>
              <w:rPr>
                <w:szCs w:val="22"/>
              </w:rPr>
            </w:pPr>
            <w:r w:rsidRPr="0059512C">
              <w:rPr>
                <w:szCs w:val="22"/>
              </w:rPr>
              <w:t>$70 (per frequency hour)</w:t>
            </w:r>
          </w:p>
        </w:tc>
        <w:tc>
          <w:tcPr>
            <w:tcW w:w="2775" w:type="dxa"/>
          </w:tcPr>
          <w:p w:rsidR="001D4BF8" w:rsidRPr="0059512C" w:rsidP="004B401B">
            <w:pPr>
              <w:pStyle w:val="ParaNum"/>
              <w:numPr>
                <w:ilvl w:val="0"/>
                <w:numId w:val="0"/>
              </w:numPr>
              <w:rPr>
                <w:szCs w:val="22"/>
              </w:rPr>
            </w:pPr>
            <w:r w:rsidRPr="0059512C">
              <w:rPr>
                <w:szCs w:val="22"/>
              </w:rPr>
              <w:t>$</w:t>
            </w:r>
            <w:r w:rsidRPr="0059512C" w:rsidR="00956FCB">
              <w:rPr>
                <w:szCs w:val="22"/>
              </w:rPr>
              <w:t>80</w:t>
            </w:r>
          </w:p>
        </w:tc>
      </w:tr>
      <w:tr w:rsidTr="004B401B">
        <w:tblPrEx>
          <w:tblW w:w="0" w:type="auto"/>
          <w:tblInd w:w="990" w:type="dxa"/>
          <w:tblLook w:val="04A0"/>
        </w:tblPrEx>
        <w:tc>
          <w:tcPr>
            <w:tcW w:w="2828" w:type="dxa"/>
          </w:tcPr>
          <w:p w:rsidR="001D4BF8" w:rsidRPr="0059512C" w:rsidP="004B401B">
            <w:pPr>
              <w:pStyle w:val="ParaNum"/>
              <w:numPr>
                <w:ilvl w:val="0"/>
                <w:numId w:val="0"/>
              </w:numPr>
              <w:rPr>
                <w:szCs w:val="22"/>
              </w:rPr>
            </w:pPr>
            <w:r w:rsidRPr="0059512C">
              <w:rPr>
                <w:szCs w:val="22"/>
              </w:rPr>
              <w:t>IBS Transfer of Control</w:t>
            </w:r>
          </w:p>
        </w:tc>
        <w:tc>
          <w:tcPr>
            <w:tcW w:w="2757" w:type="dxa"/>
          </w:tcPr>
          <w:p w:rsidR="001D4BF8" w:rsidRPr="0059512C" w:rsidP="004B401B">
            <w:pPr>
              <w:pStyle w:val="ParaNum"/>
              <w:numPr>
                <w:ilvl w:val="0"/>
                <w:numId w:val="0"/>
              </w:numPr>
              <w:rPr>
                <w:szCs w:val="22"/>
              </w:rPr>
            </w:pPr>
            <w:r w:rsidRPr="0059512C">
              <w:rPr>
                <w:szCs w:val="22"/>
              </w:rPr>
              <w:t>$120</w:t>
            </w:r>
          </w:p>
        </w:tc>
        <w:tc>
          <w:tcPr>
            <w:tcW w:w="2775" w:type="dxa"/>
          </w:tcPr>
          <w:p w:rsidR="001D4BF8" w:rsidRPr="0059512C" w:rsidP="004B401B">
            <w:pPr>
              <w:pStyle w:val="ParaNum"/>
              <w:numPr>
                <w:ilvl w:val="0"/>
                <w:numId w:val="0"/>
              </w:numPr>
              <w:rPr>
                <w:szCs w:val="22"/>
              </w:rPr>
            </w:pPr>
            <w:r w:rsidRPr="0059512C">
              <w:rPr>
                <w:szCs w:val="22"/>
              </w:rPr>
              <w:t>$5</w:t>
            </w:r>
            <w:r w:rsidRPr="0059512C" w:rsidR="00956FCB">
              <w:rPr>
                <w:szCs w:val="22"/>
              </w:rPr>
              <w:t>9</w:t>
            </w:r>
            <w:r w:rsidRPr="0059512C">
              <w:rPr>
                <w:szCs w:val="22"/>
              </w:rPr>
              <w:t>5</w:t>
            </w:r>
          </w:p>
        </w:tc>
      </w:tr>
      <w:tr w:rsidTr="004B401B">
        <w:tblPrEx>
          <w:tblW w:w="0" w:type="auto"/>
          <w:tblInd w:w="990" w:type="dxa"/>
          <w:tblLook w:val="04A0"/>
        </w:tblPrEx>
        <w:tc>
          <w:tcPr>
            <w:tcW w:w="2828" w:type="dxa"/>
          </w:tcPr>
          <w:p w:rsidR="001D4BF8" w:rsidRPr="0059512C" w:rsidP="004B401B">
            <w:pPr>
              <w:pStyle w:val="ParaNum"/>
              <w:numPr>
                <w:ilvl w:val="0"/>
                <w:numId w:val="0"/>
              </w:numPr>
              <w:rPr>
                <w:szCs w:val="22"/>
              </w:rPr>
            </w:pPr>
            <w:r w:rsidRPr="0059512C">
              <w:rPr>
                <w:szCs w:val="22"/>
              </w:rPr>
              <w:t>IBS STA</w:t>
            </w:r>
          </w:p>
        </w:tc>
        <w:tc>
          <w:tcPr>
            <w:tcW w:w="2757" w:type="dxa"/>
          </w:tcPr>
          <w:p w:rsidR="001D4BF8" w:rsidRPr="0059512C" w:rsidP="004B401B">
            <w:pPr>
              <w:pStyle w:val="ParaNum"/>
              <w:numPr>
                <w:ilvl w:val="0"/>
                <w:numId w:val="0"/>
              </w:numPr>
              <w:rPr>
                <w:szCs w:val="22"/>
              </w:rPr>
            </w:pPr>
            <w:r w:rsidRPr="0059512C">
              <w:rPr>
                <w:szCs w:val="22"/>
              </w:rPr>
              <w:t>$200</w:t>
            </w:r>
          </w:p>
        </w:tc>
        <w:tc>
          <w:tcPr>
            <w:tcW w:w="2775" w:type="dxa"/>
          </w:tcPr>
          <w:p w:rsidR="001D4BF8" w:rsidRPr="0059512C" w:rsidP="004B401B">
            <w:pPr>
              <w:pStyle w:val="ParaNum"/>
              <w:numPr>
                <w:ilvl w:val="0"/>
                <w:numId w:val="0"/>
              </w:numPr>
              <w:rPr>
                <w:szCs w:val="22"/>
              </w:rPr>
            </w:pPr>
            <w:r w:rsidRPr="0059512C">
              <w:rPr>
                <w:szCs w:val="22"/>
              </w:rPr>
              <w:t>$3</w:t>
            </w:r>
            <w:r w:rsidRPr="0059512C" w:rsidR="00956FCB">
              <w:rPr>
                <w:szCs w:val="22"/>
              </w:rPr>
              <w:t>95</w:t>
            </w:r>
          </w:p>
        </w:tc>
      </w:tr>
    </w:tbl>
    <w:p w:rsidR="00273096" w:rsidRPr="0059512C" w:rsidP="00273096">
      <w:pPr>
        <w:pStyle w:val="ParaNum"/>
        <w:numPr>
          <w:ilvl w:val="0"/>
          <w:numId w:val="0"/>
        </w:numPr>
        <w:rPr>
          <w:i/>
          <w:szCs w:val="22"/>
        </w:rPr>
      </w:pPr>
    </w:p>
    <w:p w:rsidR="00D057A3" w:rsidRPr="0059512C" w:rsidP="00D057A3">
      <w:pPr>
        <w:pStyle w:val="ParaNum"/>
        <w:rPr>
          <w:szCs w:val="22"/>
        </w:rPr>
      </w:pPr>
      <w:r w:rsidRPr="0059512C">
        <w:rPr>
          <w:szCs w:val="22"/>
        </w:rPr>
        <w:t>Applications for a new construction permits and those for modified construction permits have</w:t>
      </w:r>
      <w:r w:rsidRPr="0059512C">
        <w:rPr>
          <w:szCs w:val="22"/>
        </w:rPr>
        <w:t xml:space="preserve"> a high level of complexity and requires significant engineering analysis to process.  We estimate that the Commission’s </w:t>
      </w:r>
      <w:r w:rsidRPr="0059512C" w:rsidR="00390165">
        <w:rPr>
          <w:szCs w:val="22"/>
        </w:rPr>
        <w:t>resources</w:t>
      </w:r>
      <w:r w:rsidRPr="0059512C">
        <w:rPr>
          <w:szCs w:val="22"/>
        </w:rPr>
        <w:t xml:space="preserve"> in processing either an application for a new IBS construction permit or a construction permit modification consist of the fo</w:t>
      </w:r>
      <w:r w:rsidRPr="0059512C">
        <w:rPr>
          <w:szCs w:val="22"/>
        </w:rPr>
        <w:t>llowing: engineer technical and administrative review, engineer supervisory review.  Our cost estimate of this process for either type of application is $</w:t>
      </w:r>
      <w:r w:rsidRPr="0059512C" w:rsidR="002151D5">
        <w:rPr>
          <w:szCs w:val="22"/>
        </w:rPr>
        <w:t>4</w:t>
      </w:r>
      <w:r w:rsidRPr="0059512C">
        <w:rPr>
          <w:szCs w:val="22"/>
        </w:rPr>
        <w:t>,</w:t>
      </w:r>
      <w:r w:rsidRPr="0059512C" w:rsidR="002151D5">
        <w:rPr>
          <w:szCs w:val="22"/>
        </w:rPr>
        <w:t>010</w:t>
      </w:r>
      <w:r w:rsidRPr="0059512C">
        <w:rPr>
          <w:szCs w:val="22"/>
        </w:rPr>
        <w:t xml:space="preserve">.  </w:t>
      </w:r>
    </w:p>
    <w:p w:rsidR="00273096" w:rsidRPr="0059512C" w:rsidP="002643FA">
      <w:pPr>
        <w:pStyle w:val="ParaNum"/>
        <w:rPr>
          <w:szCs w:val="22"/>
        </w:rPr>
      </w:pPr>
      <w:r w:rsidRPr="0059512C">
        <w:rPr>
          <w:szCs w:val="22"/>
        </w:rPr>
        <w:t>Applications for a new license require moderate engineering technical and administrative atte</w:t>
      </w:r>
      <w:r w:rsidRPr="0059512C">
        <w:rPr>
          <w:szCs w:val="22"/>
        </w:rPr>
        <w:t xml:space="preserve">ntion.  We estimate that the Commission’s resources in processing an application for an IBS License </w:t>
      </w:r>
      <w:r w:rsidRPr="0059512C">
        <w:rPr>
          <w:szCs w:val="22"/>
        </w:rPr>
        <w:t>consist of the following:  engineer administrative review, engineer supervising.  Our cost estimate of this process is $</w:t>
      </w:r>
      <w:r w:rsidRPr="0059512C" w:rsidR="002151D5">
        <w:rPr>
          <w:szCs w:val="22"/>
        </w:rPr>
        <w:t>905</w:t>
      </w:r>
      <w:r w:rsidRPr="0059512C">
        <w:rPr>
          <w:szCs w:val="22"/>
        </w:rPr>
        <w:t xml:space="preserve">.  </w:t>
      </w:r>
      <w:r w:rsidRPr="0059512C" w:rsidR="009B7407">
        <w:rPr>
          <w:szCs w:val="22"/>
        </w:rPr>
        <w:t>A</w:t>
      </w:r>
      <w:r w:rsidRPr="0059512C">
        <w:rPr>
          <w:szCs w:val="22"/>
        </w:rPr>
        <w:t>n IBS license renewal applica</w:t>
      </w:r>
      <w:r w:rsidRPr="0059512C">
        <w:rPr>
          <w:szCs w:val="22"/>
        </w:rPr>
        <w:t xml:space="preserve">tion involves moderate engineering technical and administrative attention. We estimate that the Commission’s </w:t>
      </w:r>
      <w:r w:rsidRPr="0059512C" w:rsidR="009B7407">
        <w:rPr>
          <w:szCs w:val="22"/>
        </w:rPr>
        <w:t>resources</w:t>
      </w:r>
      <w:r w:rsidRPr="0059512C">
        <w:rPr>
          <w:szCs w:val="22"/>
        </w:rPr>
        <w:t xml:space="preserve"> in processing an application for renewal consist of the following: engineer administrative review.  Our cost estimate of this process is </w:t>
      </w:r>
      <w:r w:rsidRPr="0059512C">
        <w:rPr>
          <w:szCs w:val="22"/>
        </w:rPr>
        <w:t>$2</w:t>
      </w:r>
      <w:r w:rsidRPr="0059512C" w:rsidR="002151D5">
        <w:rPr>
          <w:szCs w:val="22"/>
        </w:rPr>
        <w:t>3</w:t>
      </w:r>
      <w:r w:rsidRPr="0059512C">
        <w:rPr>
          <w:szCs w:val="22"/>
        </w:rPr>
        <w:t xml:space="preserve">0.  </w:t>
      </w:r>
    </w:p>
    <w:p w:rsidR="00626AED" w:rsidRPr="000478D6" w:rsidP="000478D6">
      <w:pPr>
        <w:pStyle w:val="ParaNum"/>
        <w:rPr>
          <w:szCs w:val="22"/>
        </w:rPr>
      </w:pPr>
      <w:r w:rsidRPr="0059512C">
        <w:rPr>
          <w:szCs w:val="22"/>
        </w:rPr>
        <w:t xml:space="preserve">Other applications require significant or moderate engineering or legal analysis.  </w:t>
      </w:r>
      <w:r w:rsidRPr="0059512C" w:rsidR="00273096">
        <w:rPr>
          <w:szCs w:val="22"/>
        </w:rPr>
        <w:t xml:space="preserve">An application for frequency assignment requires significant engineering analysis to process.  We estimate that the Commission’s </w:t>
      </w:r>
      <w:r w:rsidRPr="0059512C" w:rsidR="001D2A5E">
        <w:rPr>
          <w:szCs w:val="22"/>
        </w:rPr>
        <w:t>resource</w:t>
      </w:r>
      <w:r w:rsidRPr="0059512C" w:rsidR="00273096">
        <w:rPr>
          <w:szCs w:val="22"/>
        </w:rPr>
        <w:t>s in processing an application for a new IBS Construction Permit consist of the following: engineer technical and administrative review.  Our cost estimate of this process is $</w:t>
      </w:r>
      <w:r w:rsidRPr="0059512C" w:rsidR="002151D5">
        <w:rPr>
          <w:szCs w:val="22"/>
        </w:rPr>
        <w:t>80</w:t>
      </w:r>
      <w:r w:rsidRPr="0059512C" w:rsidR="00273096">
        <w:rPr>
          <w:szCs w:val="22"/>
        </w:rPr>
        <w:t xml:space="preserve"> per frequency hour.  </w:t>
      </w:r>
      <w:r w:rsidRPr="0059512C">
        <w:rPr>
          <w:szCs w:val="22"/>
        </w:rPr>
        <w:t xml:space="preserve">An </w:t>
      </w:r>
      <w:r w:rsidRPr="0059512C" w:rsidR="00273096">
        <w:rPr>
          <w:szCs w:val="22"/>
        </w:rPr>
        <w:t xml:space="preserve">IBS transfer of control involves significant legal analysis.  We estimate that the Commission’s </w:t>
      </w:r>
      <w:r w:rsidRPr="0059512C" w:rsidR="001D2A5E">
        <w:rPr>
          <w:szCs w:val="22"/>
        </w:rPr>
        <w:t>resources</w:t>
      </w:r>
      <w:r w:rsidRPr="0059512C" w:rsidR="00273096">
        <w:rPr>
          <w:szCs w:val="22"/>
        </w:rPr>
        <w:t xml:space="preserve"> in processing an IBS Transfer of Control application consist of the following:  attorney review of application, attorney supervising, attorney reviewing multiple ownership, attorney reviewing pleadings, attorney reviewing written disposition.  Our cost estimate is of this process is $5</w:t>
      </w:r>
      <w:r w:rsidRPr="0059512C" w:rsidR="002151D5">
        <w:rPr>
          <w:szCs w:val="22"/>
        </w:rPr>
        <w:t>9</w:t>
      </w:r>
      <w:r w:rsidRPr="0059512C" w:rsidR="00273096">
        <w:rPr>
          <w:szCs w:val="22"/>
        </w:rPr>
        <w:t xml:space="preserve">5.  </w:t>
      </w:r>
      <w:r w:rsidRPr="0059512C" w:rsidR="001D2A5E">
        <w:rPr>
          <w:szCs w:val="22"/>
        </w:rPr>
        <w:t>A</w:t>
      </w:r>
      <w:r w:rsidRPr="0059512C" w:rsidR="000E5A17">
        <w:rPr>
          <w:szCs w:val="22"/>
        </w:rPr>
        <w:t>n STA</w:t>
      </w:r>
      <w:r w:rsidRPr="0059512C" w:rsidR="00273096">
        <w:rPr>
          <w:szCs w:val="22"/>
        </w:rPr>
        <w:t xml:space="preserve"> involves moderate engineering and administrative process</w:t>
      </w:r>
      <w:r w:rsidRPr="0059512C" w:rsidR="001D2A5E">
        <w:rPr>
          <w:szCs w:val="22"/>
        </w:rPr>
        <w:t>ing</w:t>
      </w:r>
      <w:r w:rsidRPr="0059512C" w:rsidR="00273096">
        <w:rPr>
          <w:szCs w:val="22"/>
        </w:rPr>
        <w:t xml:space="preserve">.  We estimate that the Commission’s </w:t>
      </w:r>
      <w:r w:rsidRPr="0059512C" w:rsidR="001D2A5E">
        <w:rPr>
          <w:szCs w:val="22"/>
        </w:rPr>
        <w:t>resource</w:t>
      </w:r>
      <w:r w:rsidRPr="0059512C" w:rsidR="00273096">
        <w:rPr>
          <w:szCs w:val="22"/>
        </w:rPr>
        <w:t>s in processing an IBS STA consist of the following:  engineer technical and administrative review, supervisory engineer review.  Our cost estimate of this process is $3</w:t>
      </w:r>
      <w:r w:rsidRPr="0059512C" w:rsidR="002151D5">
        <w:rPr>
          <w:szCs w:val="22"/>
        </w:rPr>
        <w:t>95</w:t>
      </w:r>
      <w:r w:rsidRPr="0059512C" w:rsidR="00273096">
        <w:rPr>
          <w:szCs w:val="22"/>
        </w:rPr>
        <w:t xml:space="preserve">.  </w:t>
      </w:r>
      <w:r w:rsidRPr="000478D6" w:rsidR="009C0197">
        <w:rPr>
          <w:szCs w:val="22"/>
        </w:rPr>
        <w:t>We seek comment on th</w:t>
      </w:r>
      <w:r w:rsidRPr="000478D6" w:rsidR="00E8386E">
        <w:rPr>
          <w:szCs w:val="22"/>
        </w:rPr>
        <w:t>ese</w:t>
      </w:r>
      <w:r w:rsidRPr="000478D6" w:rsidR="009C0197">
        <w:rPr>
          <w:szCs w:val="22"/>
        </w:rPr>
        <w:t xml:space="preserve"> proposal</w:t>
      </w:r>
      <w:r w:rsidRPr="000478D6" w:rsidR="00E8386E">
        <w:rPr>
          <w:szCs w:val="22"/>
        </w:rPr>
        <w:t>s.</w:t>
      </w:r>
    </w:p>
    <w:p w:rsidR="001D4BF8" w:rsidRPr="0059512C" w:rsidP="00020760">
      <w:pPr>
        <w:pStyle w:val="Heading4"/>
        <w:rPr>
          <w:szCs w:val="22"/>
        </w:rPr>
      </w:pPr>
      <w:bookmarkStart w:id="383" w:name="_Toc18066946"/>
      <w:bookmarkStart w:id="384" w:name="_Toc18939805"/>
      <w:bookmarkStart w:id="385" w:name="_Toc19795117"/>
      <w:bookmarkStart w:id="386" w:name="_Toc19796482"/>
      <w:bookmarkStart w:id="387" w:name="_Toc19796840"/>
      <w:bookmarkStart w:id="388" w:name="_Toc28005123"/>
      <w:bookmarkStart w:id="389" w:name="_Toc29557421"/>
      <w:bookmarkStart w:id="390" w:name="_Toc35268604"/>
      <w:r w:rsidRPr="0059512C">
        <w:rPr>
          <w:szCs w:val="22"/>
        </w:rPr>
        <w:t>Permit to Deliver Programs to Foreign Broadcast Stations</w:t>
      </w:r>
      <w:bookmarkEnd w:id="383"/>
      <w:bookmarkEnd w:id="384"/>
      <w:bookmarkEnd w:id="385"/>
      <w:bookmarkEnd w:id="386"/>
      <w:bookmarkEnd w:id="387"/>
      <w:bookmarkEnd w:id="388"/>
      <w:bookmarkEnd w:id="389"/>
      <w:bookmarkEnd w:id="390"/>
    </w:p>
    <w:p w:rsidR="001D4BF8" w:rsidRPr="0059512C" w:rsidP="001D4BF8">
      <w:pPr>
        <w:pStyle w:val="ParaNum"/>
        <w:rPr>
          <w:szCs w:val="22"/>
        </w:rPr>
      </w:pPr>
      <w:r w:rsidRPr="0059512C">
        <w:rPr>
          <w:szCs w:val="22"/>
        </w:rPr>
        <w:t>An application for 325(c) authorization for a new license, license renewal</w:t>
      </w:r>
      <w:r w:rsidRPr="0059512C">
        <w:rPr>
          <w:szCs w:val="22"/>
        </w:rPr>
        <w:t xml:space="preserve">, license transfer of control, or </w:t>
      </w:r>
      <w:r w:rsidRPr="0059512C" w:rsidR="007669F1">
        <w:rPr>
          <w:szCs w:val="22"/>
        </w:rPr>
        <w:t>STA</w:t>
      </w:r>
      <w:r w:rsidRPr="0059512C">
        <w:rPr>
          <w:szCs w:val="22"/>
        </w:rPr>
        <w:t xml:space="preserve"> is received </w:t>
      </w:r>
      <w:r w:rsidRPr="0059512C" w:rsidR="00A63D02">
        <w:rPr>
          <w:szCs w:val="22"/>
        </w:rPr>
        <w:t>in electronic</w:t>
      </w:r>
      <w:r w:rsidRPr="0059512C">
        <w:rPr>
          <w:szCs w:val="22"/>
        </w:rPr>
        <w:t xml:space="preserve"> or hard copy</w:t>
      </w:r>
      <w:r w:rsidRPr="0059512C" w:rsidR="00A63D02">
        <w:rPr>
          <w:szCs w:val="22"/>
        </w:rPr>
        <w:t xml:space="preserve"> format</w:t>
      </w:r>
      <w:r w:rsidRPr="0059512C">
        <w:rPr>
          <w:szCs w:val="22"/>
        </w:rPr>
        <w:t xml:space="preserve"> and reviewed for completeness.  If the application is complete, then it will be placed on Public Notice for 30 days and reviewed.  The application </w:t>
      </w:r>
      <w:r w:rsidRPr="0059512C" w:rsidR="00575582">
        <w:rPr>
          <w:szCs w:val="22"/>
        </w:rPr>
        <w:t xml:space="preserve">also </w:t>
      </w:r>
      <w:r w:rsidRPr="0059512C">
        <w:rPr>
          <w:szCs w:val="22"/>
        </w:rPr>
        <w:t xml:space="preserve">is </w:t>
      </w:r>
      <w:r w:rsidRPr="0059512C" w:rsidR="00575582">
        <w:rPr>
          <w:szCs w:val="22"/>
        </w:rPr>
        <w:t>reviewed by</w:t>
      </w:r>
      <w:r w:rsidRPr="0059512C">
        <w:rPr>
          <w:szCs w:val="22"/>
        </w:rPr>
        <w:t xml:space="preserve"> IB/Cross Border Staff Engineer (AM, FM or TV) to ensure foreign station facilities are accurate and approved via Treaty guidelines.  Upon a positive review of application by IB engineering and legal the application is uploaded into IBFS.  The application </w:t>
      </w:r>
      <w:r w:rsidRPr="0059512C">
        <w:rPr>
          <w:szCs w:val="22"/>
        </w:rPr>
        <w:t xml:space="preserve">is </w:t>
      </w:r>
      <w:r w:rsidRPr="0059512C" w:rsidR="00575582">
        <w:rPr>
          <w:szCs w:val="22"/>
        </w:rPr>
        <w:t>coordinated with</w:t>
      </w:r>
      <w:r w:rsidRPr="0059512C">
        <w:rPr>
          <w:szCs w:val="22"/>
        </w:rPr>
        <w:t xml:space="preserve"> the Media Bureau and Enforcement Bureau for further analysis, enforcement violations, and possible ownership/applicant issues. If there are no problems, then the application will be granted, and the Public Notice of the grant will be re</w:t>
      </w:r>
      <w:r w:rsidRPr="0059512C">
        <w:rPr>
          <w:szCs w:val="22"/>
        </w:rPr>
        <w:t xml:space="preserve">leased.  </w:t>
      </w:r>
    </w:p>
    <w:p w:rsidR="001D4BF8" w:rsidRPr="0059512C" w:rsidP="00647115">
      <w:pPr>
        <w:pStyle w:val="ParaNum"/>
        <w:rPr>
          <w:szCs w:val="22"/>
        </w:rPr>
      </w:pPr>
      <w:r w:rsidRPr="0059512C">
        <w:rPr>
          <w:szCs w:val="22"/>
        </w:rPr>
        <w:t xml:space="preserve">The following table summarizes the current application fees where they exist </w:t>
      </w:r>
      <w:r w:rsidRPr="0059512C" w:rsidR="00575582">
        <w:rPr>
          <w:szCs w:val="22"/>
        </w:rPr>
        <w:t xml:space="preserve">and </w:t>
      </w:r>
      <w:r w:rsidRPr="0059512C">
        <w:rPr>
          <w:szCs w:val="22"/>
        </w:rPr>
        <w:t xml:space="preserve">the proposed cost-based fees.  </w:t>
      </w:r>
      <w:r w:rsidRPr="0059512C" w:rsidR="00647115">
        <w:rPr>
          <w:szCs w:val="22"/>
        </w:rPr>
        <w:t xml:space="preserve">We propose and seek comment on adopting the following cost-based fees for these applications—and we give as an example the current fees for these services.  </w:t>
      </w:r>
    </w:p>
    <w:tbl>
      <w:tblPr>
        <w:tblStyle w:val="TableGrid"/>
        <w:tblW w:w="0" w:type="auto"/>
        <w:tblInd w:w="990" w:type="dxa"/>
        <w:tblLook w:val="04A0"/>
      </w:tblPr>
      <w:tblGrid>
        <w:gridCol w:w="2828"/>
        <w:gridCol w:w="2757"/>
        <w:gridCol w:w="2775"/>
      </w:tblGrid>
      <w:tr w:rsidTr="004B401B">
        <w:tblPrEx>
          <w:tblW w:w="0" w:type="auto"/>
          <w:tblInd w:w="990" w:type="dxa"/>
          <w:tblLook w:val="04A0"/>
        </w:tblPrEx>
        <w:tc>
          <w:tcPr>
            <w:tcW w:w="2828" w:type="dxa"/>
          </w:tcPr>
          <w:p w:rsidR="001D4BF8" w:rsidRPr="0059512C" w:rsidP="004B401B">
            <w:pPr>
              <w:pStyle w:val="ParaNum"/>
              <w:numPr>
                <w:ilvl w:val="0"/>
                <w:numId w:val="0"/>
              </w:numPr>
              <w:rPr>
                <w:b/>
                <w:szCs w:val="22"/>
              </w:rPr>
            </w:pPr>
            <w:r w:rsidRPr="0059512C">
              <w:rPr>
                <w:b/>
                <w:szCs w:val="22"/>
              </w:rPr>
              <w:t>Application</w:t>
            </w:r>
          </w:p>
        </w:tc>
        <w:tc>
          <w:tcPr>
            <w:tcW w:w="2757" w:type="dxa"/>
          </w:tcPr>
          <w:p w:rsidR="001D4BF8" w:rsidRPr="0059512C" w:rsidP="004B401B">
            <w:pPr>
              <w:pStyle w:val="ParaNum"/>
              <w:numPr>
                <w:ilvl w:val="0"/>
                <w:numId w:val="0"/>
              </w:numPr>
              <w:rPr>
                <w:b/>
                <w:szCs w:val="22"/>
              </w:rPr>
            </w:pPr>
            <w:r w:rsidRPr="0059512C">
              <w:rPr>
                <w:b/>
                <w:szCs w:val="22"/>
              </w:rPr>
              <w:t xml:space="preserve">Current </w:t>
            </w:r>
            <w:r w:rsidRPr="0059512C" w:rsidR="00ED30A0">
              <w:rPr>
                <w:b/>
                <w:szCs w:val="22"/>
              </w:rPr>
              <w:t>F</w:t>
            </w:r>
            <w:r w:rsidRPr="0059512C">
              <w:rPr>
                <w:b/>
                <w:szCs w:val="22"/>
              </w:rPr>
              <w:t>ee</w:t>
            </w:r>
          </w:p>
        </w:tc>
        <w:tc>
          <w:tcPr>
            <w:tcW w:w="2775" w:type="dxa"/>
          </w:tcPr>
          <w:p w:rsidR="001D4BF8" w:rsidRPr="0059512C" w:rsidP="004B401B">
            <w:pPr>
              <w:pStyle w:val="ParaNum"/>
              <w:numPr>
                <w:ilvl w:val="0"/>
                <w:numId w:val="0"/>
              </w:numPr>
              <w:rPr>
                <w:b/>
                <w:szCs w:val="22"/>
              </w:rPr>
            </w:pPr>
            <w:r w:rsidRPr="0059512C">
              <w:rPr>
                <w:b/>
                <w:szCs w:val="22"/>
              </w:rPr>
              <w:t xml:space="preserve">Cost-based </w:t>
            </w:r>
            <w:r w:rsidRPr="0059512C" w:rsidR="00ED30A0">
              <w:rPr>
                <w:b/>
                <w:szCs w:val="22"/>
              </w:rPr>
              <w:t>Fee</w:t>
            </w:r>
          </w:p>
        </w:tc>
      </w:tr>
      <w:tr w:rsidTr="004B401B">
        <w:tblPrEx>
          <w:tblW w:w="0" w:type="auto"/>
          <w:tblInd w:w="990" w:type="dxa"/>
          <w:tblLook w:val="04A0"/>
        </w:tblPrEx>
        <w:tc>
          <w:tcPr>
            <w:tcW w:w="2828" w:type="dxa"/>
          </w:tcPr>
          <w:p w:rsidR="001D4BF8" w:rsidRPr="0059512C" w:rsidP="004B401B">
            <w:pPr>
              <w:pStyle w:val="ParaNum"/>
              <w:numPr>
                <w:ilvl w:val="0"/>
                <w:numId w:val="0"/>
              </w:numPr>
              <w:rPr>
                <w:szCs w:val="22"/>
              </w:rPr>
            </w:pPr>
            <w:r w:rsidRPr="0059512C">
              <w:rPr>
                <w:szCs w:val="22"/>
              </w:rPr>
              <w:t>325(c) New License</w:t>
            </w:r>
          </w:p>
        </w:tc>
        <w:tc>
          <w:tcPr>
            <w:tcW w:w="2757" w:type="dxa"/>
          </w:tcPr>
          <w:p w:rsidR="001D4BF8" w:rsidRPr="0059512C" w:rsidP="004B401B">
            <w:pPr>
              <w:pStyle w:val="ParaNum"/>
              <w:numPr>
                <w:ilvl w:val="0"/>
                <w:numId w:val="0"/>
              </w:numPr>
              <w:rPr>
                <w:szCs w:val="22"/>
              </w:rPr>
            </w:pPr>
            <w:r w:rsidRPr="0059512C">
              <w:rPr>
                <w:szCs w:val="22"/>
              </w:rPr>
              <w:t>$110</w:t>
            </w:r>
          </w:p>
        </w:tc>
        <w:tc>
          <w:tcPr>
            <w:tcW w:w="2775" w:type="dxa"/>
          </w:tcPr>
          <w:p w:rsidR="001D4BF8" w:rsidRPr="0059512C" w:rsidP="004B401B">
            <w:pPr>
              <w:pStyle w:val="ParaNum"/>
              <w:numPr>
                <w:ilvl w:val="0"/>
                <w:numId w:val="0"/>
              </w:numPr>
              <w:rPr>
                <w:szCs w:val="22"/>
              </w:rPr>
            </w:pPr>
            <w:r w:rsidRPr="0059512C">
              <w:rPr>
                <w:szCs w:val="22"/>
              </w:rPr>
              <w:t>$3</w:t>
            </w:r>
            <w:r w:rsidRPr="0059512C" w:rsidR="00956FCB">
              <w:rPr>
                <w:szCs w:val="22"/>
              </w:rPr>
              <w:t>6</w:t>
            </w:r>
            <w:r w:rsidRPr="0059512C">
              <w:rPr>
                <w:szCs w:val="22"/>
              </w:rPr>
              <w:t>0</w:t>
            </w:r>
          </w:p>
        </w:tc>
      </w:tr>
      <w:tr w:rsidTr="004B401B">
        <w:tblPrEx>
          <w:tblW w:w="0" w:type="auto"/>
          <w:tblInd w:w="990" w:type="dxa"/>
          <w:tblLook w:val="04A0"/>
        </w:tblPrEx>
        <w:tc>
          <w:tcPr>
            <w:tcW w:w="2828" w:type="dxa"/>
          </w:tcPr>
          <w:p w:rsidR="001D4BF8" w:rsidRPr="0059512C" w:rsidP="004B401B">
            <w:pPr>
              <w:pStyle w:val="ParaNum"/>
              <w:numPr>
                <w:ilvl w:val="0"/>
                <w:numId w:val="0"/>
              </w:numPr>
              <w:rPr>
                <w:szCs w:val="22"/>
              </w:rPr>
            </w:pPr>
            <w:r w:rsidRPr="0059512C">
              <w:rPr>
                <w:szCs w:val="22"/>
              </w:rPr>
              <w:t>325(c) License Modification</w:t>
            </w:r>
          </w:p>
        </w:tc>
        <w:tc>
          <w:tcPr>
            <w:tcW w:w="2757" w:type="dxa"/>
          </w:tcPr>
          <w:p w:rsidR="001D4BF8" w:rsidRPr="0059512C" w:rsidP="004B401B">
            <w:pPr>
              <w:pStyle w:val="ParaNum"/>
              <w:numPr>
                <w:ilvl w:val="0"/>
                <w:numId w:val="0"/>
              </w:numPr>
              <w:rPr>
                <w:szCs w:val="22"/>
              </w:rPr>
            </w:pPr>
            <w:r w:rsidRPr="0059512C">
              <w:rPr>
                <w:szCs w:val="22"/>
              </w:rPr>
              <w:t>$110</w:t>
            </w:r>
          </w:p>
        </w:tc>
        <w:tc>
          <w:tcPr>
            <w:tcW w:w="2775" w:type="dxa"/>
          </w:tcPr>
          <w:p w:rsidR="001D4BF8" w:rsidRPr="0059512C" w:rsidP="004B401B">
            <w:pPr>
              <w:pStyle w:val="ParaNum"/>
              <w:numPr>
                <w:ilvl w:val="0"/>
                <w:numId w:val="0"/>
              </w:numPr>
              <w:rPr>
                <w:szCs w:val="22"/>
              </w:rPr>
            </w:pPr>
            <w:r w:rsidRPr="0059512C">
              <w:rPr>
                <w:szCs w:val="22"/>
              </w:rPr>
              <w:t>$18</w:t>
            </w:r>
            <w:r w:rsidRPr="0059512C" w:rsidR="00956FCB">
              <w:rPr>
                <w:szCs w:val="22"/>
              </w:rPr>
              <w:t>5</w:t>
            </w:r>
          </w:p>
        </w:tc>
      </w:tr>
      <w:tr w:rsidTr="004B401B">
        <w:tblPrEx>
          <w:tblW w:w="0" w:type="auto"/>
          <w:tblInd w:w="990" w:type="dxa"/>
          <w:tblLook w:val="04A0"/>
        </w:tblPrEx>
        <w:tc>
          <w:tcPr>
            <w:tcW w:w="2828" w:type="dxa"/>
          </w:tcPr>
          <w:p w:rsidR="001D4BF8" w:rsidRPr="0059512C" w:rsidP="004B401B">
            <w:pPr>
              <w:pStyle w:val="ParaNum"/>
              <w:numPr>
                <w:ilvl w:val="0"/>
                <w:numId w:val="0"/>
              </w:numPr>
              <w:rPr>
                <w:szCs w:val="22"/>
              </w:rPr>
            </w:pPr>
            <w:r w:rsidRPr="0059512C">
              <w:rPr>
                <w:szCs w:val="22"/>
              </w:rPr>
              <w:t>325(c) License Renewal</w:t>
            </w:r>
          </w:p>
        </w:tc>
        <w:tc>
          <w:tcPr>
            <w:tcW w:w="2757" w:type="dxa"/>
          </w:tcPr>
          <w:p w:rsidR="001D4BF8" w:rsidRPr="0059512C" w:rsidP="004B401B">
            <w:pPr>
              <w:pStyle w:val="ParaNum"/>
              <w:numPr>
                <w:ilvl w:val="0"/>
                <w:numId w:val="0"/>
              </w:numPr>
              <w:rPr>
                <w:szCs w:val="22"/>
              </w:rPr>
            </w:pPr>
            <w:r w:rsidRPr="0059512C">
              <w:rPr>
                <w:szCs w:val="22"/>
              </w:rPr>
              <w:t>$110</w:t>
            </w:r>
          </w:p>
        </w:tc>
        <w:tc>
          <w:tcPr>
            <w:tcW w:w="2775" w:type="dxa"/>
          </w:tcPr>
          <w:p w:rsidR="001D4BF8" w:rsidRPr="0059512C" w:rsidP="004B401B">
            <w:pPr>
              <w:pStyle w:val="ParaNum"/>
              <w:numPr>
                <w:ilvl w:val="0"/>
                <w:numId w:val="0"/>
              </w:numPr>
              <w:rPr>
                <w:szCs w:val="22"/>
              </w:rPr>
            </w:pPr>
            <w:r w:rsidRPr="0059512C">
              <w:rPr>
                <w:szCs w:val="22"/>
              </w:rPr>
              <w:t>$15</w:t>
            </w:r>
            <w:r w:rsidRPr="0059512C" w:rsidR="00956FCB">
              <w:rPr>
                <w:szCs w:val="22"/>
              </w:rPr>
              <w:t>5</w:t>
            </w:r>
          </w:p>
        </w:tc>
      </w:tr>
      <w:tr w:rsidTr="004B401B">
        <w:tblPrEx>
          <w:tblW w:w="0" w:type="auto"/>
          <w:tblInd w:w="990" w:type="dxa"/>
          <w:tblLook w:val="04A0"/>
        </w:tblPrEx>
        <w:tc>
          <w:tcPr>
            <w:tcW w:w="2828" w:type="dxa"/>
          </w:tcPr>
          <w:p w:rsidR="001D4BF8" w:rsidRPr="0059512C" w:rsidP="004B401B">
            <w:pPr>
              <w:pStyle w:val="ParaNum"/>
              <w:numPr>
                <w:ilvl w:val="0"/>
                <w:numId w:val="0"/>
              </w:numPr>
              <w:rPr>
                <w:szCs w:val="22"/>
              </w:rPr>
            </w:pPr>
            <w:r w:rsidRPr="0059512C">
              <w:rPr>
                <w:szCs w:val="22"/>
              </w:rPr>
              <w:t>325(c) STA</w:t>
            </w:r>
          </w:p>
        </w:tc>
        <w:tc>
          <w:tcPr>
            <w:tcW w:w="2757" w:type="dxa"/>
          </w:tcPr>
          <w:p w:rsidR="001D4BF8" w:rsidRPr="0059512C" w:rsidP="004B401B">
            <w:pPr>
              <w:pStyle w:val="ParaNum"/>
              <w:numPr>
                <w:ilvl w:val="0"/>
                <w:numId w:val="0"/>
              </w:numPr>
              <w:rPr>
                <w:szCs w:val="22"/>
              </w:rPr>
            </w:pPr>
            <w:r w:rsidRPr="0059512C">
              <w:rPr>
                <w:szCs w:val="22"/>
              </w:rPr>
              <w:t>$110</w:t>
            </w:r>
          </w:p>
        </w:tc>
        <w:tc>
          <w:tcPr>
            <w:tcW w:w="2775" w:type="dxa"/>
          </w:tcPr>
          <w:p w:rsidR="001D4BF8" w:rsidRPr="0059512C" w:rsidP="004B401B">
            <w:pPr>
              <w:pStyle w:val="ParaNum"/>
              <w:numPr>
                <w:ilvl w:val="0"/>
                <w:numId w:val="0"/>
              </w:numPr>
              <w:rPr>
                <w:szCs w:val="22"/>
              </w:rPr>
            </w:pPr>
            <w:r w:rsidRPr="0059512C">
              <w:rPr>
                <w:szCs w:val="22"/>
              </w:rPr>
              <w:t>$15</w:t>
            </w:r>
            <w:r w:rsidRPr="0059512C" w:rsidR="00956FCB">
              <w:rPr>
                <w:szCs w:val="22"/>
              </w:rPr>
              <w:t>5</w:t>
            </w:r>
          </w:p>
        </w:tc>
      </w:tr>
      <w:tr w:rsidTr="004B401B">
        <w:tblPrEx>
          <w:tblW w:w="0" w:type="auto"/>
          <w:tblInd w:w="990" w:type="dxa"/>
          <w:tblLook w:val="04A0"/>
        </w:tblPrEx>
        <w:tc>
          <w:tcPr>
            <w:tcW w:w="2828" w:type="dxa"/>
          </w:tcPr>
          <w:p w:rsidR="001D4BF8" w:rsidRPr="0059512C" w:rsidP="004B401B">
            <w:pPr>
              <w:pStyle w:val="ParaNum"/>
              <w:numPr>
                <w:ilvl w:val="0"/>
                <w:numId w:val="0"/>
              </w:numPr>
              <w:rPr>
                <w:szCs w:val="22"/>
              </w:rPr>
            </w:pPr>
            <w:r w:rsidRPr="0059512C">
              <w:rPr>
                <w:szCs w:val="22"/>
              </w:rPr>
              <w:t>325(c) Transfer of Control</w:t>
            </w:r>
          </w:p>
        </w:tc>
        <w:tc>
          <w:tcPr>
            <w:tcW w:w="2757" w:type="dxa"/>
          </w:tcPr>
          <w:p w:rsidR="001D4BF8" w:rsidRPr="0059512C" w:rsidP="004B401B">
            <w:pPr>
              <w:pStyle w:val="ParaNum"/>
              <w:numPr>
                <w:ilvl w:val="0"/>
                <w:numId w:val="0"/>
              </w:numPr>
              <w:rPr>
                <w:szCs w:val="22"/>
              </w:rPr>
            </w:pPr>
            <w:r w:rsidRPr="0059512C">
              <w:rPr>
                <w:szCs w:val="22"/>
              </w:rPr>
              <w:t>$110</w:t>
            </w:r>
          </w:p>
        </w:tc>
        <w:tc>
          <w:tcPr>
            <w:tcW w:w="2775" w:type="dxa"/>
          </w:tcPr>
          <w:p w:rsidR="001D4BF8" w:rsidRPr="0059512C" w:rsidP="004B401B">
            <w:pPr>
              <w:pStyle w:val="ParaNum"/>
              <w:numPr>
                <w:ilvl w:val="0"/>
                <w:numId w:val="0"/>
              </w:numPr>
              <w:rPr>
                <w:szCs w:val="22"/>
              </w:rPr>
            </w:pPr>
            <w:r w:rsidRPr="0059512C">
              <w:rPr>
                <w:szCs w:val="22"/>
              </w:rPr>
              <w:t>$2</w:t>
            </w:r>
            <w:r w:rsidRPr="0059512C" w:rsidR="00956FCB">
              <w:rPr>
                <w:szCs w:val="22"/>
              </w:rPr>
              <w:t>6</w:t>
            </w:r>
            <w:r w:rsidRPr="0059512C">
              <w:rPr>
                <w:szCs w:val="22"/>
              </w:rPr>
              <w:t>0</w:t>
            </w:r>
          </w:p>
        </w:tc>
      </w:tr>
    </w:tbl>
    <w:p w:rsidR="00E8386E" w:rsidRPr="0059512C" w:rsidP="00E8386E">
      <w:pPr>
        <w:pStyle w:val="ParaNum"/>
        <w:numPr>
          <w:ilvl w:val="0"/>
          <w:numId w:val="0"/>
        </w:numPr>
        <w:ind w:left="720"/>
        <w:rPr>
          <w:szCs w:val="22"/>
        </w:rPr>
      </w:pPr>
    </w:p>
    <w:p w:rsidR="00774D77" w:rsidRPr="0059512C" w:rsidP="009C0197">
      <w:pPr>
        <w:pStyle w:val="ParaNum"/>
        <w:rPr>
          <w:szCs w:val="22"/>
        </w:rPr>
      </w:pPr>
      <w:r w:rsidRPr="0059512C">
        <w:rPr>
          <w:szCs w:val="22"/>
        </w:rPr>
        <w:t xml:space="preserve">Applications related to 325(c) require the filing of FCC form 308 under a new authorization (except applications for license renewal, which may be made under extension of existing authority). </w:t>
      </w:r>
      <w:r w:rsidR="000478D6">
        <w:rPr>
          <w:szCs w:val="22"/>
        </w:rPr>
        <w:t xml:space="preserve"> </w:t>
      </w:r>
      <w:r w:rsidRPr="0059512C">
        <w:rPr>
          <w:szCs w:val="22"/>
        </w:rPr>
        <w:t xml:space="preserve">We estimate that the Commission’s resources in processing </w:t>
      </w:r>
      <w:r w:rsidRPr="0059512C" w:rsidR="00626AED">
        <w:rPr>
          <w:szCs w:val="22"/>
        </w:rPr>
        <w:t xml:space="preserve">325(c) </w:t>
      </w:r>
      <w:r w:rsidRPr="0059512C">
        <w:rPr>
          <w:szCs w:val="22"/>
        </w:rPr>
        <w:t>application</w:t>
      </w:r>
      <w:r w:rsidRPr="0059512C" w:rsidR="00626AED">
        <w:rPr>
          <w:szCs w:val="22"/>
        </w:rPr>
        <w:t>s</w:t>
      </w:r>
      <w:r w:rsidRPr="0059512C">
        <w:rPr>
          <w:szCs w:val="22"/>
        </w:rPr>
        <w:t xml:space="preserve"> for a new 325(c) license consist of the following:  engineer technical and compliance review, attorney review.  </w:t>
      </w:r>
      <w:r w:rsidRPr="0059512C" w:rsidR="00626AED">
        <w:rPr>
          <w:szCs w:val="22"/>
        </w:rPr>
        <w:t>A</w:t>
      </w:r>
      <w:r w:rsidRPr="0059512C">
        <w:rPr>
          <w:szCs w:val="22"/>
        </w:rPr>
        <w:t>pplication</w:t>
      </w:r>
      <w:r w:rsidRPr="0059512C" w:rsidR="00626AED">
        <w:rPr>
          <w:szCs w:val="22"/>
        </w:rPr>
        <w:t>s</w:t>
      </w:r>
      <w:r w:rsidRPr="0059512C">
        <w:rPr>
          <w:szCs w:val="22"/>
        </w:rPr>
        <w:t xml:space="preserve"> for a new 325(c) license involve legal analysis and minor engineering and technical compliance review.  Our estimate</w:t>
      </w:r>
      <w:r w:rsidRPr="0059512C">
        <w:rPr>
          <w:szCs w:val="22"/>
        </w:rPr>
        <w:t xml:space="preserve"> is that the cost of this process is $3</w:t>
      </w:r>
      <w:r w:rsidRPr="0059512C" w:rsidR="002151D5">
        <w:rPr>
          <w:szCs w:val="22"/>
        </w:rPr>
        <w:t>6</w:t>
      </w:r>
      <w:r w:rsidRPr="0059512C">
        <w:rPr>
          <w:szCs w:val="22"/>
        </w:rPr>
        <w:t xml:space="preserve">0.  </w:t>
      </w:r>
      <w:r w:rsidRPr="0059512C" w:rsidR="009C0197">
        <w:rPr>
          <w:szCs w:val="22"/>
        </w:rPr>
        <w:t>A</w:t>
      </w:r>
      <w:r w:rsidRPr="0059512C">
        <w:rPr>
          <w:szCs w:val="22"/>
        </w:rPr>
        <w:t>pplication</w:t>
      </w:r>
      <w:r w:rsidRPr="0059512C" w:rsidR="009C0197">
        <w:rPr>
          <w:szCs w:val="22"/>
        </w:rPr>
        <w:t>s</w:t>
      </w:r>
      <w:r w:rsidRPr="0059512C">
        <w:rPr>
          <w:szCs w:val="22"/>
        </w:rPr>
        <w:t xml:space="preserve"> for a 325(c) license modification involve legal analysis and minor engineering and technical compliance review.  Our estimate is that the cost of this process is $180.  </w:t>
      </w:r>
      <w:r w:rsidRPr="0059512C" w:rsidR="009C0197">
        <w:rPr>
          <w:szCs w:val="22"/>
        </w:rPr>
        <w:t>A</w:t>
      </w:r>
      <w:r w:rsidRPr="0059512C">
        <w:rPr>
          <w:szCs w:val="22"/>
        </w:rPr>
        <w:t>pplication</w:t>
      </w:r>
      <w:r w:rsidRPr="0059512C" w:rsidR="000842A3">
        <w:rPr>
          <w:szCs w:val="22"/>
        </w:rPr>
        <w:t>s</w:t>
      </w:r>
      <w:r w:rsidRPr="0059512C">
        <w:rPr>
          <w:szCs w:val="22"/>
        </w:rPr>
        <w:t xml:space="preserve"> for a 325(c) lice</w:t>
      </w:r>
      <w:r w:rsidRPr="0059512C">
        <w:rPr>
          <w:szCs w:val="22"/>
        </w:rPr>
        <w:t>nse renewal involve legal analysis.  Our estimate is that the cost of this process is $15</w:t>
      </w:r>
      <w:r w:rsidRPr="0059512C" w:rsidR="002151D5">
        <w:rPr>
          <w:szCs w:val="22"/>
        </w:rPr>
        <w:t>5</w:t>
      </w:r>
      <w:r w:rsidRPr="0059512C">
        <w:rPr>
          <w:szCs w:val="22"/>
        </w:rPr>
        <w:t xml:space="preserve">.  </w:t>
      </w:r>
    </w:p>
    <w:p w:rsidR="009C0197" w:rsidRPr="000478D6" w:rsidP="000478D6">
      <w:pPr>
        <w:pStyle w:val="ParaNum"/>
        <w:rPr>
          <w:szCs w:val="22"/>
        </w:rPr>
      </w:pPr>
      <w:r w:rsidRPr="0059512C">
        <w:rPr>
          <w:szCs w:val="22"/>
        </w:rPr>
        <w:t>A</w:t>
      </w:r>
      <w:r w:rsidRPr="0059512C" w:rsidR="00774D77">
        <w:rPr>
          <w:szCs w:val="22"/>
        </w:rPr>
        <w:t>pplication</w:t>
      </w:r>
      <w:r w:rsidRPr="0059512C">
        <w:rPr>
          <w:szCs w:val="22"/>
        </w:rPr>
        <w:t>s</w:t>
      </w:r>
      <w:r w:rsidRPr="0059512C" w:rsidR="00774D77">
        <w:rPr>
          <w:szCs w:val="22"/>
        </w:rPr>
        <w:t xml:space="preserve"> for a 325(c) STA involve legal analysis and minor engineering and technical compliance review.  Our estimate is that the cost of this process is $150.  </w:t>
      </w:r>
      <w:r w:rsidRPr="0059512C">
        <w:rPr>
          <w:szCs w:val="22"/>
        </w:rPr>
        <w:t>A</w:t>
      </w:r>
      <w:r w:rsidRPr="0059512C" w:rsidR="00774D77">
        <w:rPr>
          <w:szCs w:val="22"/>
        </w:rPr>
        <w:t>pplication</w:t>
      </w:r>
      <w:r w:rsidRPr="0059512C">
        <w:rPr>
          <w:szCs w:val="22"/>
        </w:rPr>
        <w:t>s</w:t>
      </w:r>
      <w:r w:rsidRPr="0059512C" w:rsidR="00774D77">
        <w:rPr>
          <w:szCs w:val="22"/>
        </w:rPr>
        <w:t xml:space="preserve"> for a 325(c) transfer of control involve legal analysis.</w:t>
      </w:r>
      <w:r w:rsidRPr="0060706A" w:rsidR="00774D77">
        <w:rPr>
          <w:rStyle w:val="FootnoteReference"/>
          <w:sz w:val="22"/>
        </w:rPr>
        <w:t xml:space="preserve"> </w:t>
      </w:r>
      <w:r>
        <w:rPr>
          <w:rStyle w:val="FootnoteReference"/>
          <w:sz w:val="22"/>
        </w:rPr>
        <w:footnoteReference w:id="187"/>
      </w:r>
      <w:r w:rsidRPr="0059512C" w:rsidR="00774D77">
        <w:rPr>
          <w:szCs w:val="22"/>
        </w:rPr>
        <w:t xml:space="preserve">   We estimate that the Commission’s costs in processing a 325(c) transfer of control application consist of the following:  attorney review.  Our estimate is that the cost of this process is $2</w:t>
      </w:r>
      <w:r w:rsidRPr="0059512C" w:rsidR="002151D5">
        <w:rPr>
          <w:szCs w:val="22"/>
        </w:rPr>
        <w:t>6</w:t>
      </w:r>
      <w:r w:rsidRPr="0059512C" w:rsidR="00774D77">
        <w:rPr>
          <w:szCs w:val="22"/>
        </w:rPr>
        <w:t xml:space="preserve">0.  </w:t>
      </w:r>
      <w:r w:rsidRPr="000478D6">
        <w:rPr>
          <w:szCs w:val="22"/>
        </w:rPr>
        <w:t>We seek comment on these proposals.</w:t>
      </w:r>
    </w:p>
    <w:p w:rsidR="00732044" w:rsidRPr="0059512C" w:rsidP="00732044">
      <w:pPr>
        <w:pStyle w:val="Heading4"/>
        <w:rPr>
          <w:szCs w:val="22"/>
        </w:rPr>
      </w:pPr>
      <w:bookmarkStart w:id="391" w:name="_Toc18066933"/>
      <w:bookmarkStart w:id="392" w:name="_Toc18939794"/>
      <w:bookmarkStart w:id="393" w:name="_Toc19795097"/>
      <w:bookmarkStart w:id="394" w:name="_Toc19796462"/>
      <w:bookmarkStart w:id="395" w:name="_Toc19796820"/>
      <w:bookmarkStart w:id="396" w:name="_Toc28005110"/>
      <w:bookmarkStart w:id="397" w:name="_Toc29557408"/>
      <w:bookmarkStart w:id="398" w:name="_Toc35268591"/>
      <w:r w:rsidRPr="0059512C">
        <w:rPr>
          <w:szCs w:val="22"/>
        </w:rPr>
        <w:t>International Fixed Public Radio</w:t>
      </w:r>
      <w:bookmarkEnd w:id="391"/>
      <w:bookmarkEnd w:id="392"/>
      <w:bookmarkEnd w:id="393"/>
      <w:bookmarkEnd w:id="394"/>
      <w:bookmarkEnd w:id="395"/>
      <w:bookmarkEnd w:id="396"/>
      <w:bookmarkEnd w:id="397"/>
      <w:bookmarkEnd w:id="398"/>
    </w:p>
    <w:p w:rsidR="00732044" w:rsidRPr="000478D6" w:rsidP="000478D6">
      <w:pPr>
        <w:pStyle w:val="ParaNum"/>
        <w:rPr>
          <w:szCs w:val="22"/>
        </w:rPr>
      </w:pPr>
      <w:r w:rsidRPr="0059512C">
        <w:rPr>
          <w:szCs w:val="22"/>
        </w:rPr>
        <w:t>We propose eliminating this fee category from the application fee schedule because this service was removed from the Commission’s rules in 2010.</w:t>
      </w:r>
      <w:r>
        <w:rPr>
          <w:rStyle w:val="FootnoteReference"/>
          <w:sz w:val="22"/>
        </w:rPr>
        <w:footnoteReference w:id="188"/>
      </w:r>
      <w:r w:rsidRPr="0059512C">
        <w:rPr>
          <w:szCs w:val="22"/>
        </w:rPr>
        <w:t xml:space="preserve">  </w:t>
      </w:r>
      <w:bookmarkStart w:id="399" w:name="_Hlk33433749"/>
      <w:r w:rsidRPr="000478D6">
        <w:rPr>
          <w:szCs w:val="22"/>
        </w:rPr>
        <w:t>We seek comment on th</w:t>
      </w:r>
      <w:r w:rsidRPr="000478D6">
        <w:rPr>
          <w:szCs w:val="22"/>
        </w:rPr>
        <w:t xml:space="preserve">is proposal.  </w:t>
      </w:r>
      <w:bookmarkEnd w:id="399"/>
    </w:p>
    <w:p w:rsidR="000A0D62" w:rsidRPr="0059512C" w:rsidP="007A48E3">
      <w:pPr>
        <w:pStyle w:val="Heading2"/>
        <w:rPr>
          <w:szCs w:val="22"/>
        </w:rPr>
      </w:pPr>
      <w:bookmarkStart w:id="400" w:name="_Toc42256290"/>
      <w:bookmarkStart w:id="401" w:name="_Toc44581655"/>
      <w:bookmarkStart w:id="402" w:name="_Toc6326143"/>
      <w:bookmarkStart w:id="403" w:name="_Toc28005125"/>
      <w:bookmarkStart w:id="404" w:name="_Toc29557423"/>
      <w:bookmarkStart w:id="405" w:name="_Toc30085275"/>
      <w:bookmarkStart w:id="406" w:name="_Toc30085379"/>
      <w:bookmarkStart w:id="407" w:name="_Toc31033145"/>
      <w:bookmarkStart w:id="408" w:name="_Toc31288157"/>
      <w:bookmarkStart w:id="409" w:name="_Toc31980689"/>
      <w:bookmarkStart w:id="410" w:name="_Toc35268605"/>
      <w:r w:rsidRPr="0059512C">
        <w:rPr>
          <w:szCs w:val="22"/>
        </w:rPr>
        <w:t>Exemptions</w:t>
      </w:r>
      <w:bookmarkEnd w:id="400"/>
      <w:bookmarkEnd w:id="401"/>
    </w:p>
    <w:p w:rsidR="003278FF" w:rsidRPr="0059512C" w:rsidP="003278FF">
      <w:pPr>
        <w:pStyle w:val="ParaNum"/>
        <w:rPr>
          <w:szCs w:val="22"/>
        </w:rPr>
      </w:pPr>
      <w:r w:rsidRPr="0059512C">
        <w:rPr>
          <w:szCs w:val="22"/>
        </w:rPr>
        <w:t xml:space="preserve">Among the changes made by the RAY BAUM’s Act is the inclusion of </w:t>
      </w:r>
      <w:r w:rsidR="00732044">
        <w:rPr>
          <w:szCs w:val="22"/>
        </w:rPr>
        <w:t>noncommercial radio station and television station</w:t>
      </w:r>
      <w:r w:rsidRPr="0059512C" w:rsidR="009127BC">
        <w:rPr>
          <w:szCs w:val="22"/>
        </w:rPr>
        <w:t xml:space="preserve"> licensee</w:t>
      </w:r>
      <w:r w:rsidRPr="0059512C">
        <w:rPr>
          <w:szCs w:val="22"/>
        </w:rPr>
        <w:t>s as statutorily exempt</w:t>
      </w:r>
      <w:r w:rsidRPr="0059512C" w:rsidR="009127BC">
        <w:rPr>
          <w:szCs w:val="22"/>
        </w:rPr>
        <w:t xml:space="preserve"> from fees</w:t>
      </w:r>
      <w:r w:rsidRPr="0059512C">
        <w:rPr>
          <w:szCs w:val="22"/>
        </w:rPr>
        <w:t>.</w:t>
      </w:r>
      <w:r>
        <w:rPr>
          <w:rStyle w:val="FootnoteReference"/>
          <w:sz w:val="22"/>
        </w:rPr>
        <w:footnoteReference w:id="189"/>
      </w:r>
      <w:r w:rsidRPr="0059512C">
        <w:rPr>
          <w:szCs w:val="22"/>
        </w:rPr>
        <w:t xml:space="preserve">  Because this new statutory exemption codifies the regulatory exemption found in section 1.1116 of the Commission’s rules, no amendment to the rule </w:t>
      </w:r>
      <w:r w:rsidRPr="0059512C" w:rsidR="0018779E">
        <w:rPr>
          <w:szCs w:val="22"/>
        </w:rPr>
        <w:t>in regard to</w:t>
      </w:r>
      <w:r w:rsidRPr="0059512C">
        <w:rPr>
          <w:szCs w:val="22"/>
        </w:rPr>
        <w:t xml:space="preserve"> </w:t>
      </w:r>
      <w:r w:rsidR="00732044">
        <w:rPr>
          <w:szCs w:val="22"/>
        </w:rPr>
        <w:t>noncommercial radio station and television station</w:t>
      </w:r>
      <w:r w:rsidRPr="0059512C" w:rsidR="00732044">
        <w:rPr>
          <w:szCs w:val="22"/>
        </w:rPr>
        <w:t xml:space="preserve"> </w:t>
      </w:r>
      <w:r w:rsidRPr="0059512C" w:rsidR="009127BC">
        <w:rPr>
          <w:szCs w:val="22"/>
        </w:rPr>
        <w:t>license</w:t>
      </w:r>
      <w:r w:rsidRPr="0059512C">
        <w:rPr>
          <w:szCs w:val="22"/>
        </w:rPr>
        <w:t>s is necessary.</w:t>
      </w:r>
      <w:r w:rsidRPr="002E374F" w:rsidR="00CA4AC8">
        <w:rPr>
          <w:shd w:val="clear" w:color="auto" w:fill="FFFFFF"/>
        </w:rPr>
        <w:t xml:space="preserve"> </w:t>
      </w:r>
      <w:r w:rsidRPr="0060706A" w:rsidR="000478D6">
        <w:rPr>
          <w:shd w:val="clear" w:color="auto" w:fill="FFFFFF"/>
        </w:rPr>
        <w:t xml:space="preserve"> </w:t>
      </w:r>
      <w:r w:rsidRPr="0060706A" w:rsidR="00CA4AC8">
        <w:rPr>
          <w:shd w:val="clear" w:color="auto" w:fill="FFFFFF"/>
        </w:rPr>
        <w:t>Congress did not otherwise add further exemptions to the statutory list of exempt entities</w:t>
      </w:r>
      <w:r w:rsidR="00CD3686">
        <w:rPr>
          <w:shd w:val="clear" w:color="auto" w:fill="FFFFFF"/>
        </w:rPr>
        <w:t xml:space="preserve"> and therefore</w:t>
      </w:r>
      <w:r w:rsidRPr="0060706A" w:rsidR="00CA4AC8">
        <w:rPr>
          <w:shd w:val="clear" w:color="auto" w:fill="FFFFFF"/>
        </w:rPr>
        <w:t xml:space="preserve"> we do not propose further exemptions to </w:t>
      </w:r>
      <w:r w:rsidR="00732044">
        <w:rPr>
          <w:szCs w:val="22"/>
          <w:shd w:val="clear" w:color="auto" w:fill="FFFFFF"/>
        </w:rPr>
        <w:t>s</w:t>
      </w:r>
      <w:r w:rsidRPr="0059512C" w:rsidR="00CA4AC8">
        <w:rPr>
          <w:szCs w:val="22"/>
          <w:shd w:val="clear" w:color="auto" w:fill="FFFFFF"/>
        </w:rPr>
        <w:t>ection</w:t>
      </w:r>
      <w:r w:rsidRPr="0060706A" w:rsidR="00CA4AC8">
        <w:rPr>
          <w:shd w:val="clear" w:color="auto" w:fill="FFFFFF"/>
        </w:rPr>
        <w:t xml:space="preserve"> 1.1116 here.  We further note that because Congress elected not to update the list of application fees, but instead directed the Commission to do so, applications that were previously not subject to fees will now be subject to fees under our proposals above.  If additional exemptions are sought by commenters, we direct commenters to provide relevant authority and/or legislative history that would support modifying the limited Congressional list of exemptions.  Moreover, commenters should address the legal effect of the limited list of exemptions adopted by Congress.</w:t>
      </w:r>
      <w:r w:rsidRPr="0059512C">
        <w:rPr>
          <w:szCs w:val="22"/>
        </w:rPr>
        <w:t xml:space="preserve"> </w:t>
      </w:r>
    </w:p>
    <w:p w:rsidR="000A0D62" w:rsidRPr="0059512C" w:rsidP="00EC6810">
      <w:pPr>
        <w:pStyle w:val="ParaNum"/>
        <w:rPr>
          <w:szCs w:val="22"/>
        </w:rPr>
      </w:pPr>
      <w:r w:rsidRPr="0059512C">
        <w:rPr>
          <w:szCs w:val="22"/>
        </w:rPr>
        <w:t>In 2019, as part of the Commission’s ongoing effort to maxim</w:t>
      </w:r>
      <w:r w:rsidRPr="0059512C">
        <w:rPr>
          <w:szCs w:val="22"/>
        </w:rPr>
        <w:t>ize spectrum use in the commercial marketplace, the Commission issued an order in which it eliminated eligibility, educational use and leasing restrictions for EBS licenses, clearing the way for commercial, non-educational use of the channels within the 2.</w:t>
      </w:r>
      <w:r w:rsidRPr="0059512C">
        <w:rPr>
          <w:szCs w:val="22"/>
        </w:rPr>
        <w:t>5 GHz Band previously reserved for EBS services.</w:t>
      </w:r>
      <w:r>
        <w:rPr>
          <w:rStyle w:val="FootnoteReference"/>
        </w:rPr>
        <w:footnoteReference w:id="190"/>
      </w:r>
      <w:r w:rsidRPr="0059512C">
        <w:rPr>
          <w:szCs w:val="22"/>
        </w:rPr>
        <w:t xml:space="preserve">  In light </w:t>
      </w:r>
      <w:r w:rsidRPr="0059512C" w:rsidR="0001187B">
        <w:rPr>
          <w:szCs w:val="22"/>
        </w:rPr>
        <w:t xml:space="preserve">of </w:t>
      </w:r>
      <w:r w:rsidRPr="0059512C">
        <w:rPr>
          <w:szCs w:val="22"/>
        </w:rPr>
        <w:t>these transformational changes, we propose to eliminate section 1.1116(e)(4) of  the Commission’s regulations, which exempts EBS licensees from application fees.  We seek comment on this propo</w:t>
      </w:r>
      <w:r w:rsidRPr="0059512C">
        <w:rPr>
          <w:szCs w:val="22"/>
        </w:rPr>
        <w:t>sal.</w:t>
      </w:r>
    </w:p>
    <w:bookmarkEnd w:id="402"/>
    <w:bookmarkEnd w:id="403"/>
    <w:bookmarkEnd w:id="404"/>
    <w:bookmarkEnd w:id="405"/>
    <w:bookmarkEnd w:id="406"/>
    <w:bookmarkEnd w:id="407"/>
    <w:bookmarkEnd w:id="408"/>
    <w:bookmarkEnd w:id="409"/>
    <w:bookmarkEnd w:id="410"/>
    <w:p w:rsidR="001A60A0" w:rsidRPr="0059512C" w:rsidP="001A60A0">
      <w:pPr>
        <w:pStyle w:val="ParaNum"/>
        <w:rPr>
          <w:szCs w:val="22"/>
        </w:rPr>
      </w:pPr>
      <w:r w:rsidRPr="0059512C">
        <w:rPr>
          <w:szCs w:val="22"/>
        </w:rPr>
        <w:t>Section 8(d)(2) of the RAY BAUM’S Act allows the Commission to eliminate an application fee when the Commission determines that the cost of collecting the fee exceeds the amount collected.</w:t>
      </w:r>
      <w:r>
        <w:rPr>
          <w:rStyle w:val="FootnoteReference"/>
        </w:rPr>
        <w:footnoteReference w:id="191"/>
      </w:r>
      <w:r w:rsidRPr="0059512C">
        <w:rPr>
          <w:szCs w:val="22"/>
        </w:rPr>
        <w:t xml:space="preserve">  Specifically, section 8(d)(2) provides that “[i]f in the ju</w:t>
      </w:r>
      <w:r w:rsidRPr="0059512C">
        <w:rPr>
          <w:szCs w:val="22"/>
        </w:rPr>
        <w:t>dgment of the Commission, the cost of collecting an application fee established under this section would exceed the amount collected, the Commission may by rule eliminate such fee.”</w:t>
      </w:r>
      <w:r>
        <w:rPr>
          <w:rStyle w:val="FootnoteReference"/>
        </w:rPr>
        <w:footnoteReference w:id="192"/>
      </w:r>
      <w:r w:rsidRPr="0059512C">
        <w:rPr>
          <w:szCs w:val="22"/>
        </w:rPr>
        <w:t xml:space="preserve">  </w:t>
      </w:r>
    </w:p>
    <w:p w:rsidR="001A60A0" w:rsidRPr="0059512C" w:rsidP="001A60A0">
      <w:pPr>
        <w:pStyle w:val="ParaNum"/>
        <w:rPr>
          <w:szCs w:val="22"/>
        </w:rPr>
      </w:pPr>
      <w:r w:rsidRPr="0059512C">
        <w:rPr>
          <w:szCs w:val="22"/>
        </w:rPr>
        <w:t xml:space="preserve">In the FY 2019 regulatory fee proceeding we discussed implementation of a similar provision, section 9(e)(2) of the RAY BAUM’s Act, which permits the Commission to exempt a </w:t>
      </w:r>
      <w:r w:rsidRPr="0059512C">
        <w:rPr>
          <w:szCs w:val="22"/>
        </w:rPr>
        <w:t>regulatory fee if the cost of collecting the fee is more than the fee itself.</w:t>
      </w:r>
      <w:r>
        <w:rPr>
          <w:rStyle w:val="FootnoteReference"/>
        </w:rPr>
        <w:footnoteReference w:id="193"/>
      </w:r>
      <w:r w:rsidRPr="0059512C">
        <w:rPr>
          <w:szCs w:val="22"/>
        </w:rPr>
        <w:t xml:space="preserve"> </w:t>
      </w:r>
      <w:r w:rsidRPr="0059512C" w:rsidR="00F434B7">
        <w:rPr>
          <w:szCs w:val="22"/>
        </w:rPr>
        <w:t xml:space="preserve"> </w:t>
      </w:r>
      <w:r w:rsidRPr="0059512C">
        <w:rPr>
          <w:szCs w:val="22"/>
        </w:rPr>
        <w:t>We</w:t>
      </w:r>
      <w:r w:rsidRPr="0059512C">
        <w:rPr>
          <w:szCs w:val="22"/>
        </w:rPr>
        <w:t xml:space="preserve"> then adopted a $1</w:t>
      </w:r>
      <w:r w:rsidRPr="0059512C" w:rsidR="002151D5">
        <w:rPr>
          <w:szCs w:val="22"/>
        </w:rPr>
        <w:t>,</w:t>
      </w:r>
      <w:r w:rsidRPr="0059512C">
        <w:rPr>
          <w:szCs w:val="22"/>
        </w:rPr>
        <w:t>000 de minimis regulatory fee exemption based on our estimate that the cost of collecting a delinquent regulatory fee debt would exceed $1000</w:t>
      </w:r>
      <w:r w:rsidRPr="0060706A">
        <w:rPr>
          <w:sz w:val="20"/>
        </w:rPr>
        <w:t>.</w:t>
      </w:r>
      <w:r>
        <w:rPr>
          <w:rStyle w:val="FootnoteReference"/>
        </w:rPr>
        <w:footnoteReference w:id="194"/>
      </w:r>
      <w:r w:rsidRPr="0059512C">
        <w:rPr>
          <w:szCs w:val="22"/>
        </w:rPr>
        <w:t xml:space="preserve">  </w:t>
      </w:r>
    </w:p>
    <w:p w:rsidR="001A60A0" w:rsidRPr="0059512C" w:rsidP="001A60A0">
      <w:pPr>
        <w:pStyle w:val="ParaNum"/>
        <w:rPr>
          <w:szCs w:val="22"/>
        </w:rPr>
      </w:pPr>
      <w:r w:rsidRPr="0059512C">
        <w:rPr>
          <w:szCs w:val="22"/>
        </w:rPr>
        <w:t>Unlike delinquent regulatory fees, the Commission has no or nominal collection costs for delinquent application fees, for the simple reason that we do not consider or grant applications for which  application fees are owed unless the fee is paid at the tim</w:t>
      </w:r>
      <w:r w:rsidRPr="0059512C">
        <w:rPr>
          <w:szCs w:val="22"/>
        </w:rPr>
        <w:t>e of filing.  Occasionally, an applicant will, in lieu of paying an application fee, file a waiver and deferral request when it files its application, and under those circumstances the relevant bureau may process the pending application before a decision o</w:t>
      </w:r>
      <w:r w:rsidRPr="0059512C">
        <w:rPr>
          <w:szCs w:val="22"/>
        </w:rPr>
        <w:t xml:space="preserve">n the waiver request has issued.  If the waiver request is denied thereafter, the Commission may incur costs to collect the application fee debt.  </w:t>
      </w:r>
      <w:r w:rsidRPr="0059512C" w:rsidR="00DD2C4A">
        <w:rPr>
          <w:szCs w:val="22"/>
        </w:rPr>
        <w:t>T</w:t>
      </w:r>
      <w:r w:rsidRPr="0059512C">
        <w:rPr>
          <w:szCs w:val="22"/>
        </w:rPr>
        <w:t>hese circumstances</w:t>
      </w:r>
      <w:r w:rsidRPr="0059512C" w:rsidR="00DD2C4A">
        <w:rPr>
          <w:szCs w:val="22"/>
        </w:rPr>
        <w:t xml:space="preserve"> however</w:t>
      </w:r>
      <w:r w:rsidRPr="0059512C">
        <w:rPr>
          <w:szCs w:val="22"/>
        </w:rPr>
        <w:t xml:space="preserve"> are infrequent and do not merit implementation of a rule based on section 9(e)(2)</w:t>
      </w:r>
      <w:r w:rsidRPr="0059512C" w:rsidR="00DD2C4A">
        <w:rPr>
          <w:szCs w:val="22"/>
        </w:rPr>
        <w:t xml:space="preserve"> of the statute</w:t>
      </w:r>
      <w:r w:rsidRPr="0059512C">
        <w:rPr>
          <w:szCs w:val="22"/>
        </w:rPr>
        <w:t xml:space="preserve">.  We therefore </w:t>
      </w:r>
      <w:r w:rsidRPr="0059512C" w:rsidR="00DD2C4A">
        <w:rPr>
          <w:szCs w:val="22"/>
        </w:rPr>
        <w:t xml:space="preserve">do not propose to </w:t>
      </w:r>
      <w:r w:rsidRPr="0059512C">
        <w:rPr>
          <w:szCs w:val="22"/>
        </w:rPr>
        <w:t>create such a rule</w:t>
      </w:r>
      <w:r w:rsidRPr="0059512C" w:rsidR="00DD2C4A">
        <w:rPr>
          <w:szCs w:val="22"/>
        </w:rPr>
        <w:t xml:space="preserve"> at this time</w:t>
      </w:r>
      <w:r w:rsidRPr="0059512C">
        <w:rPr>
          <w:szCs w:val="22"/>
        </w:rPr>
        <w:t xml:space="preserve">.  </w:t>
      </w:r>
    </w:p>
    <w:p w:rsidR="004A7DB3" w:rsidRPr="0059512C" w:rsidP="004A7DB3">
      <w:pPr>
        <w:pStyle w:val="Heading2"/>
        <w:rPr>
          <w:szCs w:val="22"/>
        </w:rPr>
      </w:pPr>
      <w:bookmarkStart w:id="411" w:name="_Toc28005126"/>
      <w:bookmarkStart w:id="412" w:name="_Toc29557424"/>
      <w:bookmarkStart w:id="413" w:name="_Toc30085276"/>
      <w:bookmarkStart w:id="414" w:name="_Toc30085380"/>
      <w:bookmarkStart w:id="415" w:name="_Toc31033146"/>
      <w:bookmarkStart w:id="416" w:name="_Toc31288158"/>
      <w:bookmarkStart w:id="417" w:name="_Toc31980690"/>
      <w:bookmarkStart w:id="418" w:name="_Toc35268606"/>
      <w:bookmarkStart w:id="419" w:name="_Toc42256291"/>
      <w:bookmarkStart w:id="420" w:name="_Toc44581656"/>
      <w:r w:rsidRPr="0059512C">
        <w:rPr>
          <w:szCs w:val="22"/>
        </w:rPr>
        <w:t>Large and Small Application Fees</w:t>
      </w:r>
      <w:bookmarkEnd w:id="411"/>
      <w:bookmarkEnd w:id="412"/>
      <w:bookmarkEnd w:id="413"/>
      <w:bookmarkEnd w:id="414"/>
      <w:bookmarkEnd w:id="415"/>
      <w:bookmarkEnd w:id="416"/>
      <w:bookmarkEnd w:id="417"/>
      <w:bookmarkEnd w:id="418"/>
      <w:bookmarkEnd w:id="419"/>
      <w:bookmarkEnd w:id="420"/>
    </w:p>
    <w:p w:rsidR="00D45D48" w:rsidRPr="0059512C" w:rsidP="00D45D48">
      <w:pPr>
        <w:pStyle w:val="ParaNum"/>
        <w:rPr>
          <w:szCs w:val="22"/>
        </w:rPr>
      </w:pPr>
      <w:r w:rsidRPr="0059512C">
        <w:rPr>
          <w:szCs w:val="22"/>
        </w:rPr>
        <w:t>Under section 9A(e)(1) of the RAY BAUM’S Act, the Commission must permit payment of large application fees in installments.</w:t>
      </w:r>
      <w:r>
        <w:rPr>
          <w:rStyle w:val="FootnoteReference"/>
        </w:rPr>
        <w:footnoteReference w:id="195"/>
      </w:r>
      <w:r w:rsidRPr="0059512C">
        <w:rPr>
          <w:szCs w:val="22"/>
        </w:rPr>
        <w:t xml:space="preserve">  Neither the </w:t>
      </w:r>
      <w:r w:rsidRPr="0059512C">
        <w:rPr>
          <w:szCs w:val="22"/>
        </w:rPr>
        <w:t>RAY BAUM’S Act itself nor the act’s legislative history defines “large” fees.  In determining how to define “large” for the purpose of implementing this provision, we aim to adopt a rule for large fee installment payments that can be fairly and efficiently</w:t>
      </w:r>
      <w:r w:rsidRPr="0059512C">
        <w:rPr>
          <w:szCs w:val="22"/>
        </w:rPr>
        <w:t xml:space="preserve"> administered, without undue administrative burden or cost.  With that aim in mind, we seek comment on how to define “large” fees</w:t>
      </w:r>
      <w:r w:rsidRPr="0059512C" w:rsidR="00E94968">
        <w:rPr>
          <w:szCs w:val="22"/>
        </w:rPr>
        <w:t>.</w:t>
      </w:r>
      <w:r w:rsidRPr="0059512C">
        <w:rPr>
          <w:szCs w:val="22"/>
        </w:rPr>
        <w:t xml:space="preserve">  </w:t>
      </w:r>
      <w:r w:rsidRPr="0059512C" w:rsidR="00E94968">
        <w:rPr>
          <w:szCs w:val="22"/>
        </w:rPr>
        <w:t>S</w:t>
      </w:r>
      <w:r w:rsidRPr="0059512C" w:rsidR="00050C34">
        <w:rPr>
          <w:szCs w:val="22"/>
        </w:rPr>
        <w:t>h</w:t>
      </w:r>
      <w:r w:rsidRPr="0059512C" w:rsidR="00E94968">
        <w:rPr>
          <w:szCs w:val="22"/>
        </w:rPr>
        <w:t xml:space="preserve">ould we define a fee as large if it exceeds a specified amount, for example $20,000, or should we define a fee as large on some other basis, and if so, on what basis and why? </w:t>
      </w:r>
      <w:r w:rsidR="000478D6">
        <w:rPr>
          <w:szCs w:val="22"/>
        </w:rPr>
        <w:t xml:space="preserve"> </w:t>
      </w:r>
      <w:r w:rsidRPr="0059512C" w:rsidR="00E94968">
        <w:rPr>
          <w:szCs w:val="22"/>
        </w:rPr>
        <w:t xml:space="preserve">Also pertinent to the determination of what constitutes a large fee is whether we </w:t>
      </w:r>
      <w:r w:rsidRPr="0059512C">
        <w:rPr>
          <w:szCs w:val="22"/>
        </w:rPr>
        <w:t xml:space="preserve">should consider </w:t>
      </w:r>
      <w:r w:rsidRPr="0059512C" w:rsidR="00E94968">
        <w:rPr>
          <w:szCs w:val="22"/>
        </w:rPr>
        <w:t xml:space="preserve">individual application </w:t>
      </w:r>
      <w:r w:rsidRPr="0059512C">
        <w:rPr>
          <w:szCs w:val="22"/>
        </w:rPr>
        <w:t>fees or whether we should aggregate application fees in some way</w:t>
      </w:r>
      <w:r w:rsidRPr="0059512C" w:rsidR="00E94968">
        <w:rPr>
          <w:szCs w:val="22"/>
        </w:rPr>
        <w:t xml:space="preserve">, for example, </w:t>
      </w:r>
      <w:r w:rsidRPr="0059512C">
        <w:rPr>
          <w:szCs w:val="22"/>
        </w:rPr>
        <w:t>by</w:t>
      </w:r>
      <w:r w:rsidRPr="0059512C">
        <w:rPr>
          <w:szCs w:val="22"/>
        </w:rPr>
        <w:t xml:space="preserve"> licensee and/or </w:t>
      </w:r>
      <w:r w:rsidRPr="0059512C" w:rsidR="00E94968">
        <w:rPr>
          <w:szCs w:val="22"/>
        </w:rPr>
        <w:t xml:space="preserve">by </w:t>
      </w:r>
      <w:r w:rsidRPr="0059512C">
        <w:rPr>
          <w:szCs w:val="22"/>
        </w:rPr>
        <w:t>fees that arise within a specified timeframe</w:t>
      </w:r>
      <w:r w:rsidRPr="0059512C" w:rsidR="00050C34">
        <w:rPr>
          <w:szCs w:val="22"/>
        </w:rPr>
        <w:t>,</w:t>
      </w:r>
      <w:r w:rsidRPr="0059512C">
        <w:rPr>
          <w:szCs w:val="22"/>
        </w:rPr>
        <w:t xml:space="preserve"> in defining “large” fees.  </w:t>
      </w:r>
      <w:r w:rsidRPr="0059512C" w:rsidR="00E94968">
        <w:rPr>
          <w:szCs w:val="22"/>
        </w:rPr>
        <w:t>We note that many of the fees that we have proposed in this item are lower than their current counterparts; even so, those or other fees when aggregated, as in the case of a bidder that wins multiple licen</w:t>
      </w:r>
      <w:r w:rsidRPr="0059512C" w:rsidR="00050C34">
        <w:rPr>
          <w:szCs w:val="22"/>
        </w:rPr>
        <w:t>s</w:t>
      </w:r>
      <w:r w:rsidRPr="0059512C" w:rsidR="00E94968">
        <w:rPr>
          <w:szCs w:val="22"/>
        </w:rPr>
        <w:t xml:space="preserve">es at auction, could be large. </w:t>
      </w:r>
    </w:p>
    <w:p w:rsidR="00D45D48" w:rsidRPr="0059512C" w:rsidP="00D45D48">
      <w:pPr>
        <w:pStyle w:val="ParaNum"/>
        <w:rPr>
          <w:szCs w:val="22"/>
        </w:rPr>
      </w:pPr>
      <w:r w:rsidRPr="0059512C">
        <w:rPr>
          <w:szCs w:val="22"/>
        </w:rPr>
        <w:t xml:space="preserve">We also seek comment on </w:t>
      </w:r>
      <w:r w:rsidRPr="0059512C" w:rsidR="00E94968">
        <w:rPr>
          <w:szCs w:val="22"/>
        </w:rPr>
        <w:t xml:space="preserve">how to structure an installment payment program for large fees.  </w:t>
      </w:r>
      <w:r w:rsidRPr="0059512C" w:rsidR="00050C34">
        <w:rPr>
          <w:szCs w:val="22"/>
        </w:rPr>
        <w:t>F</w:t>
      </w:r>
      <w:r w:rsidRPr="0059512C" w:rsidR="00E94968">
        <w:rPr>
          <w:szCs w:val="22"/>
        </w:rPr>
        <w:t xml:space="preserve">or example, should we require payment of all fee installments for an application before the application is filed, or should we permit an application to be filed with less than full payment of the fee, with </w:t>
      </w:r>
      <w:r w:rsidRPr="0059512C" w:rsidR="00050C34">
        <w:rPr>
          <w:szCs w:val="22"/>
        </w:rPr>
        <w:t xml:space="preserve">fee or </w:t>
      </w:r>
      <w:r w:rsidRPr="0059512C" w:rsidR="00E94968">
        <w:rPr>
          <w:szCs w:val="22"/>
        </w:rPr>
        <w:t xml:space="preserve">the balance </w:t>
      </w:r>
      <w:r w:rsidRPr="0059512C" w:rsidR="00050C34">
        <w:rPr>
          <w:szCs w:val="22"/>
        </w:rPr>
        <w:t xml:space="preserve">of the fee </w:t>
      </w:r>
      <w:r w:rsidRPr="0059512C" w:rsidR="00E94968">
        <w:rPr>
          <w:szCs w:val="22"/>
        </w:rPr>
        <w:t xml:space="preserve">to be paid in installments?  </w:t>
      </w:r>
      <w:r w:rsidR="00CD3686">
        <w:rPr>
          <w:szCs w:val="22"/>
        </w:rPr>
        <w:t xml:space="preserve">Or should we require the installments to be paid while the application is pending but before final disposition?  </w:t>
      </w:r>
      <w:r w:rsidRPr="0059512C" w:rsidR="002437DF">
        <w:rPr>
          <w:szCs w:val="22"/>
        </w:rPr>
        <w:t>W</w:t>
      </w:r>
      <w:r w:rsidRPr="0059512C" w:rsidR="00E94968">
        <w:rPr>
          <w:szCs w:val="22"/>
        </w:rPr>
        <w:t>e seek comment on how we should protect the Commission against the risk of non-pa</w:t>
      </w:r>
      <w:r w:rsidRPr="0059512C" w:rsidR="00050C34">
        <w:rPr>
          <w:szCs w:val="22"/>
        </w:rPr>
        <w:t>y</w:t>
      </w:r>
      <w:r w:rsidRPr="0059512C" w:rsidR="00E94968">
        <w:rPr>
          <w:szCs w:val="22"/>
        </w:rPr>
        <w:t>ment</w:t>
      </w:r>
      <w:r w:rsidRPr="0059512C" w:rsidR="00050C34">
        <w:rPr>
          <w:szCs w:val="22"/>
        </w:rPr>
        <w:t xml:space="preserve"> if we permit an applicant to pay its fee in installments after the application is filed.  For example, should we condition a grant on full payment of the fee, the effect of which would void any grant in the event of nonpayment?  </w:t>
      </w:r>
      <w:r w:rsidRPr="0059512C" w:rsidR="002437DF">
        <w:rPr>
          <w:szCs w:val="22"/>
        </w:rPr>
        <w:t xml:space="preserve">Bearing in mind </w:t>
      </w:r>
      <w:r w:rsidRPr="0059512C" w:rsidR="008E1B04">
        <w:rPr>
          <w:szCs w:val="22"/>
        </w:rPr>
        <w:t xml:space="preserve">that the Supreme Court’s decision in the </w:t>
      </w:r>
      <w:r w:rsidRPr="0059512C" w:rsidR="002437DF">
        <w:rPr>
          <w:i/>
          <w:iCs/>
          <w:szCs w:val="22"/>
        </w:rPr>
        <w:t>Nextwave</w:t>
      </w:r>
      <w:r w:rsidRPr="0059512C" w:rsidR="002437DF">
        <w:rPr>
          <w:szCs w:val="22"/>
        </w:rPr>
        <w:t xml:space="preserve"> </w:t>
      </w:r>
      <w:r w:rsidRPr="0059512C" w:rsidR="008E1B04">
        <w:rPr>
          <w:szCs w:val="22"/>
        </w:rPr>
        <w:t>case</w:t>
      </w:r>
      <w:r>
        <w:rPr>
          <w:rStyle w:val="FootnoteReference"/>
        </w:rPr>
        <w:footnoteReference w:id="196"/>
      </w:r>
      <w:r w:rsidRPr="0059512C" w:rsidR="008E1B04">
        <w:rPr>
          <w:szCs w:val="22"/>
        </w:rPr>
        <w:t xml:space="preserve"> severely curtails the Commission’s ability to cancel a license for nonpayment when a licensee files bankruptcy, are there other protections against </w:t>
      </w:r>
      <w:r w:rsidRPr="0059512C" w:rsidR="005A4549">
        <w:rPr>
          <w:szCs w:val="22"/>
        </w:rPr>
        <w:t xml:space="preserve">nonpayment </w:t>
      </w:r>
      <w:r w:rsidRPr="0059512C" w:rsidR="008E1B04">
        <w:rPr>
          <w:szCs w:val="22"/>
        </w:rPr>
        <w:t xml:space="preserve">risk that the Commission should consider? </w:t>
      </w:r>
      <w:r w:rsidRPr="0059512C" w:rsidR="00050C34">
        <w:rPr>
          <w:szCs w:val="22"/>
        </w:rPr>
        <w:t xml:space="preserve">In certain circumstances, (e.g., when a party demonstrates financial inability to pay a fee or other debt to the Commission), the Commission will permit the debt then due to be repaid in installments.  In those cases, we fix the terms of repayment, such as the interest rate to be assessed, based on our determination of the risk of nonpayment.  If we permit a large fee to be paid in installments after an application is filed, should we employ a similar construct?  And more generally, how many installment payments should we permit and over what term? </w:t>
      </w:r>
    </w:p>
    <w:p w:rsidR="00331893" w:rsidRPr="0059512C" w:rsidP="00D45D48">
      <w:pPr>
        <w:pStyle w:val="ParaNum"/>
        <w:rPr>
          <w:szCs w:val="22"/>
        </w:rPr>
      </w:pPr>
      <w:r w:rsidRPr="0059512C">
        <w:rPr>
          <w:szCs w:val="22"/>
        </w:rPr>
        <w:t>U</w:t>
      </w:r>
      <w:r w:rsidRPr="0059512C" w:rsidR="004A7DB3">
        <w:rPr>
          <w:szCs w:val="22"/>
        </w:rPr>
        <w:t xml:space="preserve">nder </w:t>
      </w:r>
      <w:r w:rsidRPr="0059512C" w:rsidR="008B0E19">
        <w:rPr>
          <w:szCs w:val="22"/>
        </w:rPr>
        <w:t>s</w:t>
      </w:r>
      <w:r w:rsidRPr="0059512C" w:rsidR="004A7DB3">
        <w:rPr>
          <w:szCs w:val="22"/>
        </w:rPr>
        <w:t xml:space="preserve">ection 9A(e)(2) of the RAY BAUM’S Act, the Commission must permit payment of application fees “in small amounts, in advance for a number of years not to exceed the term of the </w:t>
      </w:r>
      <w:r w:rsidRPr="0059512C" w:rsidR="004A7DB3">
        <w:rPr>
          <w:szCs w:val="22"/>
        </w:rPr>
        <w:t>license held by the payor.”</w:t>
      </w:r>
      <w:r>
        <w:rPr>
          <w:rStyle w:val="FootnoteReference"/>
        </w:rPr>
        <w:footnoteReference w:id="197"/>
      </w:r>
      <w:r w:rsidRPr="0059512C" w:rsidR="004A7DB3">
        <w:rPr>
          <w:szCs w:val="22"/>
        </w:rPr>
        <w:t xml:space="preserve">  Again, the RAY BAUM’S Act </w:t>
      </w:r>
      <w:r w:rsidRPr="0059512C" w:rsidR="00050C34">
        <w:rPr>
          <w:szCs w:val="22"/>
        </w:rPr>
        <w:t xml:space="preserve">does not </w:t>
      </w:r>
      <w:r w:rsidRPr="0059512C" w:rsidR="004A7DB3">
        <w:rPr>
          <w:szCs w:val="22"/>
        </w:rPr>
        <w:t>define “small” for the purpose of implementing section 9A(e)(2).  In the regulatory fee context, where a similar statutory provision was enacted in 1994,</w:t>
      </w:r>
      <w:r>
        <w:rPr>
          <w:rStyle w:val="FootnoteReference"/>
          <w:sz w:val="22"/>
        </w:rPr>
        <w:footnoteReference w:id="198"/>
      </w:r>
      <w:r w:rsidRPr="0059512C" w:rsidR="004A7DB3">
        <w:rPr>
          <w:szCs w:val="22"/>
        </w:rPr>
        <w:t xml:space="preserve"> we began by defining “small” fees as fees that would be inefficient to collect on an annual basis and more efficient to collect in total upfront,</w:t>
      </w:r>
      <w:r>
        <w:rPr>
          <w:rStyle w:val="FootnoteReference"/>
        </w:rPr>
        <w:footnoteReference w:id="199"/>
      </w:r>
      <w:r w:rsidRPr="0059512C" w:rsidR="004A7DB3">
        <w:rPr>
          <w:szCs w:val="22"/>
        </w:rPr>
        <w:t xml:space="preserve"> and by permitting a small fee licensee to prepay its annual regulatory fees for the entire term of their license by paying an amount equal to the first year regulatory fee times the number of years in the license term concurrently with the licensee’s new, renewal or reinstatement application.</w:t>
      </w:r>
      <w:r>
        <w:rPr>
          <w:rStyle w:val="FootnoteReference"/>
        </w:rPr>
        <w:footnoteReference w:id="200"/>
      </w:r>
      <w:r w:rsidRPr="0059512C" w:rsidR="004A7DB3">
        <w:rPr>
          <w:szCs w:val="22"/>
        </w:rPr>
        <w:t xml:space="preserve">  That precedent, while helpful in considering how to define “small” fees, is not helpful in otherwise fashioning a companion rule for application fees, which unlike regulatory fees, are neither regular nor predictable during the term of a license.</w:t>
      </w:r>
      <w:r w:rsidRPr="0059512C" w:rsidR="00FB2204">
        <w:rPr>
          <w:szCs w:val="22"/>
        </w:rPr>
        <w:t xml:space="preserve"> </w:t>
      </w:r>
      <w:r w:rsidRPr="0059512C" w:rsidR="004A7DB3">
        <w:rPr>
          <w:szCs w:val="22"/>
        </w:rPr>
        <w:t xml:space="preserve"> Though construction related applications and fees are sometimes required of licenses won at auction, the great majority of licensees do not know what applications they might need or want to file during a license term.  We therefore seek comment on how and under what circumstances to implement such a rule, as well as how to define “small” fees for the purpose of the rule.  </w:t>
      </w:r>
      <w:r w:rsidRPr="0059512C" w:rsidR="00050C34">
        <w:rPr>
          <w:szCs w:val="22"/>
        </w:rPr>
        <w:t>Specifically, should we focus our efforts on defining small fees in the auction context or are there other circumstances in which this rule can be usefully applied?  How should we define small fees in the auction or other context</w:t>
      </w:r>
      <w:r w:rsidRPr="0059512C" w:rsidR="00FD2361">
        <w:rPr>
          <w:szCs w:val="22"/>
        </w:rPr>
        <w:t>s and how should we structur</w:t>
      </w:r>
      <w:r w:rsidRPr="0059512C" w:rsidR="008B0E19">
        <w:rPr>
          <w:szCs w:val="22"/>
        </w:rPr>
        <w:t xml:space="preserve">e </w:t>
      </w:r>
      <w:r w:rsidRPr="0059512C" w:rsidR="00FD2361">
        <w:rPr>
          <w:szCs w:val="22"/>
        </w:rPr>
        <w:t xml:space="preserve">payment of those fees?  To the latter question, should we simply permit an applicant to pay all of its anticipated small fees at rates then applicable, as we have for small regulatory fees?  </w:t>
      </w:r>
      <w:r w:rsidRPr="0059512C" w:rsidR="00050C34">
        <w:rPr>
          <w:szCs w:val="22"/>
        </w:rPr>
        <w:t xml:space="preserve"> </w:t>
      </w:r>
    </w:p>
    <w:p w:rsidR="00D127A3" w:rsidRPr="0059512C" w:rsidP="00D127A3">
      <w:pPr>
        <w:pStyle w:val="Heading2"/>
        <w:rPr>
          <w:szCs w:val="22"/>
        </w:rPr>
      </w:pPr>
      <w:bookmarkStart w:id="421" w:name="_Toc28005127"/>
      <w:bookmarkStart w:id="422" w:name="_Toc29557425"/>
      <w:bookmarkStart w:id="423" w:name="_Toc30085277"/>
      <w:bookmarkStart w:id="424" w:name="_Toc30085381"/>
      <w:bookmarkStart w:id="425" w:name="_Toc31033147"/>
      <w:bookmarkStart w:id="426" w:name="_Toc31288159"/>
      <w:bookmarkStart w:id="427" w:name="_Toc31980691"/>
      <w:bookmarkStart w:id="428" w:name="_Toc35268607"/>
      <w:bookmarkStart w:id="429" w:name="_Toc42256292"/>
      <w:bookmarkStart w:id="430" w:name="_Toc44581657"/>
      <w:r w:rsidRPr="0059512C">
        <w:rPr>
          <w:szCs w:val="22"/>
        </w:rPr>
        <w:t>Fram</w:t>
      </w:r>
      <w:r w:rsidRPr="0059512C" w:rsidR="0025181F">
        <w:rPr>
          <w:szCs w:val="22"/>
        </w:rPr>
        <w:t>e</w:t>
      </w:r>
      <w:r w:rsidRPr="0059512C">
        <w:rPr>
          <w:szCs w:val="22"/>
        </w:rPr>
        <w:t>work for Section 8 Fees</w:t>
      </w:r>
      <w:bookmarkEnd w:id="421"/>
      <w:bookmarkEnd w:id="422"/>
      <w:bookmarkEnd w:id="423"/>
      <w:bookmarkEnd w:id="424"/>
      <w:bookmarkEnd w:id="425"/>
      <w:bookmarkEnd w:id="426"/>
      <w:bookmarkEnd w:id="427"/>
      <w:bookmarkEnd w:id="428"/>
      <w:bookmarkEnd w:id="429"/>
      <w:bookmarkEnd w:id="430"/>
    </w:p>
    <w:p w:rsidR="00D127A3" w:rsidRPr="0059512C" w:rsidP="00D127A3">
      <w:pPr>
        <w:pStyle w:val="ParaNum"/>
        <w:rPr>
          <w:szCs w:val="22"/>
        </w:rPr>
      </w:pPr>
      <w:r w:rsidRPr="0059512C">
        <w:rPr>
          <w:szCs w:val="22"/>
        </w:rPr>
        <w:t xml:space="preserve">Above we explained the specific fee proposals under the reformulated Section 8.  In this section, we describe our </w:t>
      </w:r>
      <w:r w:rsidR="000125D3">
        <w:rPr>
          <w:szCs w:val="22"/>
        </w:rPr>
        <w:t>s</w:t>
      </w:r>
      <w:r w:rsidRPr="0059512C">
        <w:rPr>
          <w:szCs w:val="22"/>
        </w:rPr>
        <w:t xml:space="preserve">ection 8 authority in context with our other fee setting authority, </w:t>
      </w:r>
      <w:r w:rsidR="00A84065">
        <w:rPr>
          <w:szCs w:val="22"/>
        </w:rPr>
        <w:t xml:space="preserve">we </w:t>
      </w:r>
      <w:r w:rsidRPr="0059512C">
        <w:rPr>
          <w:szCs w:val="22"/>
        </w:rPr>
        <w:t>discuss economic concepts related to our fee statute, and</w:t>
      </w:r>
      <w:r w:rsidR="00A84065">
        <w:rPr>
          <w:szCs w:val="22"/>
        </w:rPr>
        <w:t xml:space="preserve"> we</w:t>
      </w:r>
      <w:r w:rsidRPr="0059512C">
        <w:rPr>
          <w:szCs w:val="22"/>
        </w:rPr>
        <w:t xml:space="preserve"> also seek</w:t>
      </w:r>
      <w:r w:rsidRPr="0059512C">
        <w:rPr>
          <w:szCs w:val="22"/>
        </w:rPr>
        <w:t xml:space="preserve"> proposals to make our process less burdensome for all entities.  In particular, we seek comment on whether our proposed fee setting methodologies could be improved or changed to ensure that our application fees accurately reflect the Commission’s cost of </w:t>
      </w:r>
      <w:r w:rsidRPr="0059512C">
        <w:rPr>
          <w:szCs w:val="22"/>
        </w:rPr>
        <w:t>processing the applications.  Moreover, we seek comment on how the reformulation of our authority under Section 8 impacts the Commission’s responsibilities in assessing and collecting application fees.  Commenters should discuss any effect on the Commissio</w:t>
      </w:r>
      <w:r w:rsidRPr="0059512C">
        <w:rPr>
          <w:szCs w:val="22"/>
        </w:rPr>
        <w:t>n’s proposed application fee methodology explained in detail above as it relates to the reformulation of the requirements under section 8</w:t>
      </w:r>
      <w:bookmarkStart w:id="431" w:name="_Toc351572423"/>
      <w:bookmarkEnd w:id="431"/>
      <w:r w:rsidRPr="0059512C">
        <w:rPr>
          <w:szCs w:val="22"/>
        </w:rPr>
        <w:t>.</w:t>
      </w:r>
    </w:p>
    <w:p w:rsidR="000266FD" w:rsidRPr="0059512C" w:rsidP="000266FD">
      <w:pPr>
        <w:pStyle w:val="ParaNum"/>
        <w:rPr>
          <w:szCs w:val="22"/>
        </w:rPr>
      </w:pPr>
      <w:r w:rsidRPr="0059512C">
        <w:rPr>
          <w:szCs w:val="22"/>
        </w:rPr>
        <w:t xml:space="preserve">In </w:t>
      </w:r>
      <w:r w:rsidRPr="0059512C" w:rsidR="00CE4D31">
        <w:rPr>
          <w:szCs w:val="22"/>
        </w:rPr>
        <w:t xml:space="preserve">seeking comment, </w:t>
      </w:r>
      <w:r w:rsidRPr="0059512C">
        <w:rPr>
          <w:szCs w:val="22"/>
        </w:rPr>
        <w:t>we remind commenters that our section 8 authority is distinct from the Commission’s authority wit</w:t>
      </w:r>
      <w:r w:rsidRPr="0059512C">
        <w:rPr>
          <w:szCs w:val="22"/>
        </w:rPr>
        <w:t>h respect to other collections.  In particular, the Commission is required by Congress to assess and collect as an offsetting collection regulatory fees each year in an amount that can reasonably be expected to equal the amount of the Commission’s Salaries</w:t>
      </w:r>
      <w:r w:rsidRPr="0059512C">
        <w:rPr>
          <w:szCs w:val="22"/>
        </w:rPr>
        <w:t xml:space="preserve"> and Expenses (S&amp;E) annual appropriation.</w:t>
      </w:r>
      <w:r>
        <w:rPr>
          <w:rStyle w:val="FootnoteReference"/>
        </w:rPr>
        <w:footnoteReference w:id="201"/>
      </w:r>
      <w:r w:rsidRPr="0059512C">
        <w:rPr>
          <w:szCs w:val="22"/>
        </w:rPr>
        <w:t xml:space="preserve">  The Commission is also directed by Congress to recover, as an offsetting collection, against auction proceeds costs incurred, subject to an annual cap, in developing and implementing our section 309(j) spectrum </w:t>
      </w:r>
      <w:r w:rsidRPr="0059512C">
        <w:rPr>
          <w:szCs w:val="22"/>
        </w:rPr>
        <w:t>auctions program.</w:t>
      </w:r>
      <w:r>
        <w:rPr>
          <w:rStyle w:val="FootnoteReference"/>
        </w:rPr>
        <w:footnoteReference w:id="202"/>
      </w:r>
      <w:r w:rsidRPr="0059512C">
        <w:rPr>
          <w:szCs w:val="22"/>
        </w:rPr>
        <w:t xml:space="preserve">  Both such collections are deposited with </w:t>
      </w:r>
      <w:r w:rsidRPr="0059512C">
        <w:rPr>
          <w:szCs w:val="22"/>
        </w:rPr>
        <w:t>the U.S. Treasury and credited to the Commission’s account.</w:t>
      </w:r>
      <w:r>
        <w:rPr>
          <w:rStyle w:val="FootnoteReference"/>
        </w:rPr>
        <w:footnoteReference w:id="203"/>
      </w:r>
      <w:r w:rsidRPr="0059512C">
        <w:rPr>
          <w:szCs w:val="22"/>
        </w:rPr>
        <w:t xml:space="preserve">  The Commission also administers two permanent indefinite appropriations, the Telecommunications Relay Service Fund and Universal Se</w:t>
      </w:r>
      <w:r w:rsidRPr="0059512C">
        <w:rPr>
          <w:szCs w:val="22"/>
        </w:rPr>
        <w:t>rvice  Fund.  Both funds are held in the Treasury under a dedicated account as a special fund.</w:t>
      </w:r>
      <w:r>
        <w:rPr>
          <w:rStyle w:val="FootnoteReference"/>
          <w:sz w:val="22"/>
        </w:rPr>
        <w:footnoteReference w:id="204"/>
      </w:r>
      <w:r w:rsidRPr="0059512C">
        <w:rPr>
          <w:szCs w:val="22"/>
        </w:rPr>
        <w:t xml:space="preserve">  </w:t>
      </w:r>
    </w:p>
    <w:p w:rsidR="000266FD" w:rsidRPr="0059512C" w:rsidP="000266FD">
      <w:pPr>
        <w:pStyle w:val="ParaNum"/>
        <w:rPr>
          <w:szCs w:val="22"/>
        </w:rPr>
      </w:pPr>
      <w:r w:rsidRPr="0059512C">
        <w:rPr>
          <w:szCs w:val="22"/>
        </w:rPr>
        <w:t>Application fees collected by the Commission are deposited in the general fund of the U.S. Treasury.  Thus, while the determination of the fee amount will be</w:t>
      </w:r>
      <w:r w:rsidRPr="0059512C">
        <w:rPr>
          <w:szCs w:val="22"/>
        </w:rPr>
        <w:t xml:space="preserve"> based on cost, the collected fees are not used to fund Commission activities.  This is in contrast, for example to the treatment of fees as enacted in COBRA-85.</w:t>
      </w:r>
      <w:r>
        <w:rPr>
          <w:rStyle w:val="FootnoteReference"/>
        </w:rPr>
        <w:footnoteReference w:id="205"/>
      </w:r>
      <w:r w:rsidRPr="0059512C">
        <w:rPr>
          <w:szCs w:val="22"/>
        </w:rPr>
        <w:t xml:space="preserve">  In this context, we view the Congressional direction here as a narrowly tailored task – a c</w:t>
      </w:r>
      <w:r w:rsidRPr="0059512C">
        <w:rPr>
          <w:szCs w:val="22"/>
        </w:rPr>
        <w:t>onclusion bolstered by limitations on review included in the statute.</w:t>
      </w:r>
      <w:r>
        <w:rPr>
          <w:rStyle w:val="FootnoteReference"/>
        </w:rPr>
        <w:footnoteReference w:id="206"/>
      </w:r>
      <w:r w:rsidRPr="0059512C">
        <w:rPr>
          <w:szCs w:val="22"/>
        </w:rPr>
        <w:t xml:space="preserve">  Accordingly, as </w:t>
      </w:r>
      <w:r w:rsidRPr="0059512C" w:rsidR="00CE4D31">
        <w:rPr>
          <w:szCs w:val="22"/>
        </w:rPr>
        <w:t xml:space="preserve">previously </w:t>
      </w:r>
      <w:r w:rsidRPr="0059512C">
        <w:rPr>
          <w:szCs w:val="22"/>
        </w:rPr>
        <w:t xml:space="preserve">detailed </w:t>
      </w:r>
      <w:r w:rsidRPr="0059512C" w:rsidR="00CE4D31">
        <w:rPr>
          <w:szCs w:val="22"/>
        </w:rPr>
        <w:t xml:space="preserve">in this Notice, </w:t>
      </w:r>
      <w:r w:rsidRPr="0059512C">
        <w:rPr>
          <w:szCs w:val="22"/>
        </w:rPr>
        <w:t xml:space="preserve">we propose to interpret processing under our section 8 authority as a limited set of activities and seek comment on this proposal. </w:t>
      </w:r>
      <w:r w:rsidRPr="0059512C">
        <w:rPr>
          <w:szCs w:val="22"/>
        </w:rPr>
        <w:t xml:space="preserve"> </w:t>
      </w:r>
    </w:p>
    <w:p w:rsidR="000266FD" w:rsidRPr="0059512C" w:rsidP="000266FD">
      <w:pPr>
        <w:pStyle w:val="ParaNum"/>
        <w:rPr>
          <w:szCs w:val="22"/>
        </w:rPr>
      </w:pPr>
      <w:r>
        <w:t xml:space="preserve">The specific application fee proposals included above are based on </w:t>
      </w:r>
      <w:r w:rsidRPr="0059512C">
        <w:rPr>
          <w:szCs w:val="22"/>
        </w:rPr>
        <w:t xml:space="preserve">using direct costs as the measure of costs for purposes of establishing application fees.  Direct application processing costs for a particular type of application are costs attributable </w:t>
      </w:r>
      <w:r w:rsidRPr="0059512C">
        <w:rPr>
          <w:szCs w:val="22"/>
        </w:rPr>
        <w:t xml:space="preserve">to processing an application.  </w:t>
      </w:r>
      <w:r>
        <w:t xml:space="preserve">Although our specific fee proposals included above are based on solely on </w:t>
      </w:r>
      <w:bookmarkStart w:id="434" w:name="_Hlk18603929"/>
      <w:r w:rsidRPr="0059512C">
        <w:rPr>
          <w:szCs w:val="22"/>
        </w:rPr>
        <w:t>direct labor cost</w:t>
      </w:r>
      <w:r>
        <w:t>, we also seek comment on using</w:t>
      </w:r>
      <w:r w:rsidRPr="0059512C">
        <w:rPr>
          <w:szCs w:val="22"/>
        </w:rPr>
        <w:t xml:space="preserve"> other direct costs to process an application</w:t>
      </w:r>
      <w:r>
        <w:rPr>
          <w:szCs w:val="22"/>
        </w:rPr>
        <w:t xml:space="preserve">.  </w:t>
      </w:r>
      <w:r>
        <w:t>Moreover, we seek comment on whether direct costs</w:t>
      </w:r>
      <w:r>
        <w:rPr>
          <w:szCs w:val="22"/>
        </w:rPr>
        <w:t xml:space="preserve"> are</w:t>
      </w:r>
      <w:r w:rsidRPr="0059512C">
        <w:rPr>
          <w:szCs w:val="22"/>
        </w:rPr>
        <w:t xml:space="preserve"> a</w:t>
      </w:r>
      <w:r w:rsidRPr="0059512C">
        <w:rPr>
          <w:szCs w:val="22"/>
        </w:rPr>
        <w:t xml:space="preserve"> reasonable methodology to implement the requirements of the RAY BAUM’S Act.</w:t>
      </w:r>
      <w:bookmarkEnd w:id="434"/>
      <w:r w:rsidRPr="0059512C">
        <w:rPr>
          <w:szCs w:val="22"/>
        </w:rPr>
        <w:t xml:space="preserve">  Labor costs generally are traceable to activities, such as application processing.  Non-labor costs often are not traceable, tending to be common costs, or are traceable but only</w:t>
      </w:r>
      <w:r w:rsidRPr="0059512C">
        <w:rPr>
          <w:szCs w:val="22"/>
        </w:rPr>
        <w:t xml:space="preserve"> with a lot of effort and at great expense.    </w:t>
      </w:r>
    </w:p>
    <w:p w:rsidR="000266FD" w:rsidRPr="0059512C" w:rsidP="000266FD">
      <w:pPr>
        <w:pStyle w:val="ParaNum"/>
        <w:rPr>
          <w:szCs w:val="22"/>
        </w:rPr>
      </w:pPr>
      <w:r>
        <w:rPr>
          <w:szCs w:val="22"/>
        </w:rPr>
        <w:t xml:space="preserve">In our fee proposals, we have based </w:t>
      </w:r>
      <w:r w:rsidRPr="0059512C">
        <w:rPr>
          <w:szCs w:val="22"/>
        </w:rPr>
        <w:t>direct labor costs on time estimates and staff compensation</w:t>
      </w:r>
      <w:r w:rsidR="00A30B91">
        <w:rPr>
          <w:szCs w:val="22"/>
        </w:rPr>
        <w:t xml:space="preserve"> (salaries and the cost of employer-paid benefits)</w:t>
      </w:r>
      <w:r w:rsidRPr="0059512C">
        <w:rPr>
          <w:szCs w:val="22"/>
        </w:rPr>
        <w:t>.  We recognize</w:t>
      </w:r>
      <w:r>
        <w:rPr>
          <w:szCs w:val="22"/>
        </w:rPr>
        <w:t>, however,</w:t>
      </w:r>
      <w:r w:rsidRPr="0059512C">
        <w:rPr>
          <w:szCs w:val="22"/>
        </w:rPr>
        <w:t xml:space="preserve"> that there are different ways to esti</w:t>
      </w:r>
      <w:r w:rsidRPr="0059512C">
        <w:rPr>
          <w:szCs w:val="22"/>
        </w:rPr>
        <w:t xml:space="preserve">mate the direct labor cost to process an application. </w:t>
      </w:r>
      <w:r>
        <w:rPr>
          <w:szCs w:val="22"/>
        </w:rPr>
        <w:t>We have estimated direct costs in our proposals on an</w:t>
      </w:r>
      <w:r w:rsidRPr="0059512C">
        <w:rPr>
          <w:szCs w:val="22"/>
        </w:rPr>
        <w:t xml:space="preserve"> estimate </w:t>
      </w:r>
      <w:r>
        <w:rPr>
          <w:szCs w:val="22"/>
        </w:rPr>
        <w:t xml:space="preserve">of </w:t>
      </w:r>
      <w:r w:rsidRPr="0059512C">
        <w:rPr>
          <w:szCs w:val="22"/>
        </w:rPr>
        <w:t>the cost of staff that process a particular application, based on the time spent processing that application and the compensation receiv</w:t>
      </w:r>
      <w:r w:rsidRPr="0059512C">
        <w:rPr>
          <w:szCs w:val="22"/>
        </w:rPr>
        <w:t xml:space="preserve">ed for that work time.  We seek comment on whether direct labor cost estimates based on such an approach are likely to be reliable estimates.  </w:t>
      </w:r>
      <w:r w:rsidRPr="0059512C" w:rsidR="007D0FD4">
        <w:rPr>
          <w:szCs w:val="22"/>
        </w:rPr>
        <w:t xml:space="preserve">As we explained above, </w:t>
      </w:r>
      <w:r>
        <w:rPr>
          <w:szCs w:val="22"/>
        </w:rPr>
        <w:t xml:space="preserve">our specific fee proposals </w:t>
      </w:r>
      <w:r w:rsidRPr="0059512C" w:rsidR="00CE4D31">
        <w:rPr>
          <w:szCs w:val="22"/>
        </w:rPr>
        <w:t>include first line supervisory direct labor costs.  We seek comment</w:t>
      </w:r>
      <w:r w:rsidR="000F35C0">
        <w:rPr>
          <w:szCs w:val="22"/>
        </w:rPr>
        <w:t>, however,</w:t>
      </w:r>
      <w:r w:rsidRPr="0059512C" w:rsidR="00CE4D31">
        <w:rPr>
          <w:szCs w:val="22"/>
        </w:rPr>
        <w:t xml:space="preserve"> on whether </w:t>
      </w:r>
      <w:r w:rsidRPr="0059512C">
        <w:rPr>
          <w:szCs w:val="22"/>
        </w:rPr>
        <w:t xml:space="preserve">direct labor costs </w:t>
      </w:r>
      <w:r w:rsidRPr="0059512C" w:rsidR="00CE4D31">
        <w:rPr>
          <w:szCs w:val="22"/>
        </w:rPr>
        <w:t xml:space="preserve">should </w:t>
      </w:r>
      <w:r w:rsidRPr="0059512C">
        <w:rPr>
          <w:szCs w:val="22"/>
        </w:rPr>
        <w:t xml:space="preserve">exclude </w:t>
      </w:r>
      <w:r w:rsidRPr="0059512C" w:rsidR="00CE4D31">
        <w:rPr>
          <w:szCs w:val="22"/>
        </w:rPr>
        <w:t xml:space="preserve">those first line </w:t>
      </w:r>
      <w:r w:rsidRPr="0059512C">
        <w:rPr>
          <w:szCs w:val="22"/>
        </w:rPr>
        <w:t>supervisory costs</w:t>
      </w:r>
      <w:r w:rsidR="000F35C0">
        <w:rPr>
          <w:szCs w:val="22"/>
        </w:rPr>
        <w:t>.</w:t>
      </w:r>
      <w:r w:rsidRPr="0059512C">
        <w:rPr>
          <w:szCs w:val="22"/>
        </w:rPr>
        <w:t xml:space="preserve"> </w:t>
      </w:r>
      <w:r w:rsidR="000F35C0">
        <w:rPr>
          <w:szCs w:val="22"/>
        </w:rPr>
        <w:t xml:space="preserve"> We also seek comment on whether </w:t>
      </w:r>
      <w:r w:rsidRPr="0059512C">
        <w:rPr>
          <w:szCs w:val="22"/>
        </w:rPr>
        <w:t xml:space="preserve">direct labor costs </w:t>
      </w:r>
      <w:r w:rsidR="000F35C0">
        <w:rPr>
          <w:szCs w:val="22"/>
        </w:rPr>
        <w:t xml:space="preserve">should </w:t>
      </w:r>
      <w:r w:rsidRPr="0059512C">
        <w:rPr>
          <w:szCs w:val="22"/>
        </w:rPr>
        <w:t xml:space="preserve">include costs for </w:t>
      </w:r>
      <w:r w:rsidR="000F35C0">
        <w:rPr>
          <w:szCs w:val="22"/>
        </w:rPr>
        <w:t>beyond the supervisory level and include second or third supervisory direct labor</w:t>
      </w:r>
      <w:r w:rsidRPr="0059512C">
        <w:rPr>
          <w:szCs w:val="22"/>
        </w:rPr>
        <w:t xml:space="preserve">?  </w:t>
      </w:r>
      <w:r w:rsidR="00F24A7D">
        <w:rPr>
          <w:szCs w:val="22"/>
        </w:rPr>
        <w:t xml:space="preserve">As explained above, our proposals include </w:t>
      </w:r>
      <w:r w:rsidRPr="0059512C">
        <w:rPr>
          <w:szCs w:val="22"/>
        </w:rPr>
        <w:t>the cost of employer-paid benefits</w:t>
      </w:r>
      <w:r w:rsidR="00F24A7D">
        <w:rPr>
          <w:szCs w:val="22"/>
        </w:rPr>
        <w:t>.  We seek comment, however, on whether such costs should</w:t>
      </w:r>
      <w:r w:rsidRPr="0059512C">
        <w:rPr>
          <w:szCs w:val="22"/>
        </w:rPr>
        <w:t xml:space="preserve"> be included and how </w:t>
      </w:r>
      <w:r w:rsidR="00F24A7D">
        <w:rPr>
          <w:szCs w:val="22"/>
        </w:rPr>
        <w:t xml:space="preserve">they </w:t>
      </w:r>
      <w:r w:rsidRPr="0059512C">
        <w:rPr>
          <w:szCs w:val="22"/>
        </w:rPr>
        <w:t xml:space="preserve">should be estimated?  </w:t>
      </w:r>
    </w:p>
    <w:p w:rsidR="000266FD" w:rsidRPr="0059512C" w:rsidP="000266FD">
      <w:pPr>
        <w:pStyle w:val="ParaNum"/>
        <w:rPr>
          <w:szCs w:val="22"/>
        </w:rPr>
      </w:pPr>
      <w:r w:rsidRPr="0059512C">
        <w:rPr>
          <w:szCs w:val="22"/>
        </w:rPr>
        <w:t xml:space="preserve">We </w:t>
      </w:r>
      <w:r w:rsidR="00250779">
        <w:rPr>
          <w:szCs w:val="22"/>
        </w:rPr>
        <w:t xml:space="preserve">generally </w:t>
      </w:r>
      <w:r w:rsidRPr="0059512C" w:rsidR="007D0FD4">
        <w:rPr>
          <w:szCs w:val="22"/>
        </w:rPr>
        <w:t xml:space="preserve">have not proposed to recover non-labor costs in application fees but we </w:t>
      </w:r>
      <w:r w:rsidRPr="0059512C">
        <w:rPr>
          <w:szCs w:val="22"/>
        </w:rPr>
        <w:t xml:space="preserve">seek comment on whether </w:t>
      </w:r>
      <w:r w:rsidRPr="0059512C" w:rsidR="007D0FD4">
        <w:rPr>
          <w:szCs w:val="22"/>
        </w:rPr>
        <w:t>we should</w:t>
      </w:r>
      <w:r w:rsidRPr="0059512C" w:rsidR="00AE7070">
        <w:rPr>
          <w:szCs w:val="22"/>
        </w:rPr>
        <w:t xml:space="preserve"> include </w:t>
      </w:r>
      <w:r w:rsidRPr="0059512C" w:rsidR="00F95071">
        <w:rPr>
          <w:szCs w:val="22"/>
        </w:rPr>
        <w:t xml:space="preserve">some of </w:t>
      </w:r>
      <w:r w:rsidRPr="0059512C" w:rsidR="00AE7070">
        <w:rPr>
          <w:szCs w:val="22"/>
        </w:rPr>
        <w:t>them</w:t>
      </w:r>
      <w:r w:rsidRPr="0059512C" w:rsidR="007D0FD4">
        <w:rPr>
          <w:szCs w:val="22"/>
        </w:rPr>
        <w:t xml:space="preserve">. </w:t>
      </w:r>
      <w:r w:rsidRPr="0059512C">
        <w:rPr>
          <w:szCs w:val="22"/>
        </w:rPr>
        <w:t xml:space="preserve"> If commenters contend that some non-labor </w:t>
      </w:r>
      <w:r w:rsidRPr="0059512C">
        <w:rPr>
          <w:szCs w:val="22"/>
        </w:rPr>
        <w:t>direct cost should be included in the application fees, they should identify with specificity the non-</w:t>
      </w:r>
      <w:r w:rsidRPr="0059512C" w:rsidR="00F95071">
        <w:rPr>
          <w:szCs w:val="22"/>
        </w:rPr>
        <w:t xml:space="preserve">labor </w:t>
      </w:r>
      <w:r w:rsidRPr="0059512C">
        <w:rPr>
          <w:szCs w:val="22"/>
        </w:rPr>
        <w:t xml:space="preserve">direct costs to be included.  </w:t>
      </w:r>
      <w:r w:rsidRPr="0059512C">
        <w:rPr>
          <w:szCs w:val="22"/>
        </w:rPr>
        <w:t>For example, each employee that processes applications typically does so using standard desktop hardware issued for that employee’s exclusive use.  Many employees that process applications, however, also work on projects in addition to processing applicati</w:t>
      </w:r>
      <w:r w:rsidRPr="0059512C">
        <w:rPr>
          <w:szCs w:val="22"/>
        </w:rPr>
        <w:t xml:space="preserve">ons.  Should an estimate of the cost for desktop hardware be developed and included in the application fees along with the direct labor costs?  Should </w:t>
      </w:r>
      <w:r w:rsidRPr="0059512C" w:rsidR="00F95071">
        <w:rPr>
          <w:szCs w:val="22"/>
        </w:rPr>
        <w:t xml:space="preserve">an allowance for </w:t>
      </w:r>
      <w:r w:rsidRPr="0059512C">
        <w:rPr>
          <w:szCs w:val="22"/>
        </w:rPr>
        <w:t>depreciation expense associated with the Commission’s investment in desktop hardware (re</w:t>
      </w:r>
      <w:r w:rsidRPr="0059512C">
        <w:rPr>
          <w:szCs w:val="22"/>
        </w:rPr>
        <w:t xml:space="preserve">flecting the loss in economic value of such a long-lived asset over time) and a return on the undepreciated portion of that investment (reflecting the opportunity cost of the money invested in desktop hardware) be estimated, and </w:t>
      </w:r>
      <w:r w:rsidRPr="0059512C" w:rsidR="00F95071">
        <w:rPr>
          <w:szCs w:val="22"/>
        </w:rPr>
        <w:t xml:space="preserve">included and </w:t>
      </w:r>
      <w:r w:rsidRPr="0059512C">
        <w:rPr>
          <w:szCs w:val="22"/>
        </w:rPr>
        <w:t xml:space="preserve">if so, how?  </w:t>
      </w:r>
      <w:r w:rsidRPr="0059512C" w:rsidR="00F95071">
        <w:rPr>
          <w:szCs w:val="22"/>
        </w:rPr>
        <w:t>S</w:t>
      </w:r>
      <w:r w:rsidRPr="0059512C">
        <w:rPr>
          <w:szCs w:val="22"/>
        </w:rPr>
        <w:t>hould we take into consideration the fact that regulatory fees are an offsetting collection for our annual S&amp;E appropriation</w:t>
      </w:r>
      <w:r w:rsidRPr="0059512C" w:rsidR="00F95071">
        <w:rPr>
          <w:szCs w:val="22"/>
        </w:rPr>
        <w:t xml:space="preserve"> in deciding on whether to include non-labor costs in addition to direct labor costs</w:t>
      </w:r>
      <w:r w:rsidRPr="0059512C">
        <w:rPr>
          <w:szCs w:val="22"/>
        </w:rPr>
        <w:t>.  Is the fact that some of the same entities th</w:t>
      </w:r>
      <w:r w:rsidRPr="0059512C">
        <w:rPr>
          <w:szCs w:val="22"/>
        </w:rPr>
        <w:t xml:space="preserve">at pay application fees also pay regulatory fees </w:t>
      </w:r>
      <w:r w:rsidR="000F35C0">
        <w:rPr>
          <w:szCs w:val="22"/>
        </w:rPr>
        <w:t xml:space="preserve">relevant to the determining the scope of costs to include </w:t>
      </w:r>
      <w:r w:rsidRPr="0059512C">
        <w:rPr>
          <w:szCs w:val="22"/>
        </w:rPr>
        <w:t xml:space="preserve">in the application fees? </w:t>
      </w:r>
    </w:p>
    <w:p w:rsidR="000266FD" w:rsidRPr="0059512C" w:rsidP="000266FD">
      <w:pPr>
        <w:pStyle w:val="ParaNum"/>
        <w:rPr>
          <w:szCs w:val="22"/>
        </w:rPr>
      </w:pPr>
      <w:r w:rsidRPr="0059512C">
        <w:rPr>
          <w:szCs w:val="22"/>
        </w:rPr>
        <w:t>We seek comment on whether fees based on direct costs promote the same efficiencies as fees based on incremental or margina</w:t>
      </w:r>
      <w:r w:rsidRPr="0059512C">
        <w:rPr>
          <w:szCs w:val="22"/>
        </w:rPr>
        <w:t xml:space="preserve">l cost.  The concept of direct costs </w:t>
      </w:r>
      <w:r w:rsidRPr="0059512C" w:rsidR="00AE7070">
        <w:rPr>
          <w:szCs w:val="22"/>
        </w:rPr>
        <w:t xml:space="preserve">on which the Commission relied to establish the application fees it proposes in this rulemaking </w:t>
      </w:r>
      <w:r w:rsidRPr="0059512C">
        <w:rPr>
          <w:szCs w:val="22"/>
        </w:rPr>
        <w:t xml:space="preserve">is more of an accounting concept than an economic concept.  </w:t>
      </w:r>
      <w:r w:rsidRPr="0059512C" w:rsidR="006A33F8">
        <w:rPr>
          <w:szCs w:val="22"/>
        </w:rPr>
        <w:t>Economic reasoning suggests that an application fee could be efficient only if it discourages (encourages) the filing of applications for which the benefit to the applicant is less (greater) than the cost to the Commission (or more broadly to society at large) to process it.</w:t>
      </w:r>
      <w:r>
        <w:rPr>
          <w:rStyle w:val="FootnoteReference"/>
        </w:rPr>
        <w:footnoteReference w:id="207"/>
      </w:r>
      <w:r w:rsidRPr="0059512C" w:rsidR="006A33F8">
        <w:rPr>
          <w:szCs w:val="22"/>
        </w:rPr>
        <w:t xml:space="preserve">  </w:t>
      </w:r>
      <w:r w:rsidRPr="0059512C">
        <w:rPr>
          <w:szCs w:val="22"/>
        </w:rPr>
        <w:t xml:space="preserve">Economic theory would suggest that we </w:t>
      </w:r>
      <w:r w:rsidRPr="0059512C">
        <w:rPr>
          <w:szCs w:val="22"/>
        </w:rPr>
        <w:t>base application fees on marginal or incremental cost</w:t>
      </w:r>
      <w:r w:rsidRPr="0059512C" w:rsidR="00AE7070">
        <w:rPr>
          <w:szCs w:val="22"/>
        </w:rPr>
        <w:t xml:space="preserve"> instead</w:t>
      </w:r>
      <w:r w:rsidR="006A33F8">
        <w:rPr>
          <w:szCs w:val="22"/>
        </w:rPr>
        <w:t xml:space="preserve"> of direct costs</w:t>
      </w:r>
      <w:r w:rsidRPr="0059512C">
        <w:rPr>
          <w:szCs w:val="22"/>
        </w:rPr>
        <w:t>.</w:t>
      </w:r>
      <w:r>
        <w:rPr>
          <w:rStyle w:val="FootnoteReference"/>
        </w:rPr>
        <w:footnoteReference w:id="208"/>
      </w:r>
      <w:r w:rsidRPr="0059512C">
        <w:rPr>
          <w:szCs w:val="22"/>
        </w:rPr>
        <w:t xml:space="preserve">  If, for example, an application fee is set below marginal cost, marginal cost exceeds the price applicants are willing to pay.  In that case, too many of the Commission’s res</w:t>
      </w:r>
      <w:r w:rsidRPr="0059512C">
        <w:rPr>
          <w:szCs w:val="22"/>
        </w:rPr>
        <w:t>ources are devoted to processing applications.  Commenters should discuss whether the costs of an application should be based on the marginal cost or the incremental cost to process an additional application.  Marginal or incremental cost is an esoteric co</w:t>
      </w:r>
      <w:r w:rsidRPr="0059512C">
        <w:rPr>
          <w:szCs w:val="22"/>
        </w:rPr>
        <w:t>ncept and as defined by economists is difficult to measure to an economist’s satisfaction in practice.</w:t>
      </w:r>
      <w:r>
        <w:rPr>
          <w:rStyle w:val="FootnoteReference"/>
        </w:rPr>
        <w:footnoteReference w:id="209"/>
      </w:r>
      <w:r w:rsidRPr="0059512C">
        <w:rPr>
          <w:szCs w:val="22"/>
        </w:rPr>
        <w:t xml:space="preserve">  Do estimates of the direct cost to process an application, developed as described above, roughly approximate incremental or marginal cost, and do fees</w:t>
      </w:r>
      <w:r w:rsidRPr="0059512C">
        <w:rPr>
          <w:szCs w:val="22"/>
        </w:rPr>
        <w:t xml:space="preserve"> based on direct cost roughly promote the same efficiencies as fees based on marginal or incremental cost?  We seek comment on the advantages and the disadvantages of the  </w:t>
      </w:r>
      <w:r w:rsidRPr="0059512C" w:rsidR="000244EF">
        <w:rPr>
          <w:szCs w:val="22"/>
        </w:rPr>
        <w:t xml:space="preserve">direct cost versus the marginal or incremental  </w:t>
      </w:r>
      <w:r w:rsidRPr="0059512C">
        <w:rPr>
          <w:szCs w:val="22"/>
        </w:rPr>
        <w:t>approaches, including the administra</w:t>
      </w:r>
      <w:r w:rsidRPr="0059512C">
        <w:rPr>
          <w:szCs w:val="22"/>
        </w:rPr>
        <w:t xml:space="preserve">bility of the two approaches.  </w:t>
      </w:r>
    </w:p>
    <w:p w:rsidR="000266FD" w:rsidRPr="0059512C" w:rsidP="000266FD">
      <w:pPr>
        <w:pStyle w:val="ParaNum"/>
        <w:rPr>
          <w:szCs w:val="22"/>
        </w:rPr>
      </w:pPr>
      <w:r>
        <w:rPr>
          <w:szCs w:val="22"/>
        </w:rPr>
        <w:t>While not included in our specific fee proposals above, c</w:t>
      </w:r>
      <w:r w:rsidRPr="0059512C">
        <w:rPr>
          <w:szCs w:val="22"/>
        </w:rPr>
        <w:t>ommenters should discuss whether application processing fees should recover common costs.  Common costs include costs incurred to operate the Commission as a whole, not for any singular regulatory activity.  Such costs include, for example, the salaries of</w:t>
      </w:r>
      <w:r w:rsidRPr="0059512C">
        <w:rPr>
          <w:szCs w:val="22"/>
        </w:rPr>
        <w:t xml:space="preserve"> the Commissioners and employees who work in personnel, accounting, payroll, information technology, and security, and payments for rent, and utilities.  Commenters should discuss </w:t>
      </w:r>
      <w:r w:rsidRPr="0059512C">
        <w:rPr>
          <w:szCs w:val="22"/>
        </w:rPr>
        <w:t>whether any of these common costs should be reflected in the application fee</w:t>
      </w:r>
      <w:r w:rsidRPr="0059512C">
        <w:rPr>
          <w:szCs w:val="22"/>
        </w:rPr>
        <w:t xml:space="preserve">s, how these costs should be estimated, and the basis for allocating these costs between application processing activities and the Commission’s other regulatory activities, and among the different types of applications. </w:t>
      </w:r>
    </w:p>
    <w:p w:rsidR="000266FD" w:rsidRPr="0059512C" w:rsidP="000266FD">
      <w:pPr>
        <w:pStyle w:val="ParaNum"/>
        <w:rPr>
          <w:szCs w:val="22"/>
        </w:rPr>
      </w:pPr>
      <w:r w:rsidRPr="0059512C">
        <w:rPr>
          <w:szCs w:val="22"/>
        </w:rPr>
        <w:t xml:space="preserve">The direct </w:t>
      </w:r>
      <w:r w:rsidR="000F35C0">
        <w:rPr>
          <w:szCs w:val="22"/>
        </w:rPr>
        <w:t xml:space="preserve">labor </w:t>
      </w:r>
      <w:r w:rsidRPr="0059512C">
        <w:rPr>
          <w:szCs w:val="22"/>
        </w:rPr>
        <w:t>costs of processin</w:t>
      </w:r>
      <w:r w:rsidRPr="0059512C">
        <w:rPr>
          <w:szCs w:val="22"/>
        </w:rPr>
        <w:t>g applications vary widely across the Commission.  Some applications take considerable Commission resources to process, particularly if the application is contested.  The Commission has, however, automated the application process for other services and the</w:t>
      </w:r>
      <w:r w:rsidRPr="0059512C">
        <w:rPr>
          <w:szCs w:val="22"/>
        </w:rPr>
        <w:t>re is little input from Commission staff in these instances.  For applications that involve considerable staff review and analysis, such as space station applications, we recognize that these application fees must consider the significant staff input and a</w:t>
      </w:r>
      <w:r w:rsidRPr="0059512C">
        <w:rPr>
          <w:szCs w:val="22"/>
        </w:rPr>
        <w:t xml:space="preserve">nalysis involved in each application.  For applications that are wholly or largely automated, </w:t>
      </w:r>
      <w:r w:rsidRPr="0059512C" w:rsidR="00513DA7">
        <w:rPr>
          <w:szCs w:val="22"/>
        </w:rPr>
        <w:t xml:space="preserve">in this rulemaking </w:t>
      </w:r>
      <w:r w:rsidRPr="0059512C">
        <w:rPr>
          <w:szCs w:val="22"/>
        </w:rPr>
        <w:t xml:space="preserve">we propose a fee to account for the </w:t>
      </w:r>
      <w:r w:rsidR="000F35C0">
        <w:rPr>
          <w:szCs w:val="22"/>
        </w:rPr>
        <w:t>nominal direct labor costs</w:t>
      </w:r>
      <w:r w:rsidRPr="0059512C" w:rsidR="000F35C0">
        <w:rPr>
          <w:szCs w:val="22"/>
        </w:rPr>
        <w:t xml:space="preserve"> </w:t>
      </w:r>
      <w:r w:rsidRPr="0059512C">
        <w:rPr>
          <w:szCs w:val="22"/>
        </w:rPr>
        <w:t>needed to maintain the automation over time, and to process the small percentage</w:t>
      </w:r>
      <w:r w:rsidRPr="0059512C">
        <w:rPr>
          <w:szCs w:val="22"/>
        </w:rPr>
        <w:t xml:space="preserve">s in these categories that are not automated.  </w:t>
      </w:r>
    </w:p>
    <w:p w:rsidR="000266FD" w:rsidRPr="0059512C" w:rsidP="000266FD">
      <w:pPr>
        <w:pStyle w:val="ParaNum"/>
        <w:rPr>
          <w:szCs w:val="22"/>
        </w:rPr>
      </w:pPr>
      <w:r w:rsidRPr="0059512C">
        <w:rPr>
          <w:szCs w:val="22"/>
        </w:rPr>
        <w:t xml:space="preserve">We seek comment on which tasks should be included in application processing.  </w:t>
      </w:r>
      <w:r w:rsidR="000F35C0">
        <w:rPr>
          <w:szCs w:val="22"/>
        </w:rPr>
        <w:t>In our proposals above, w</w:t>
      </w:r>
      <w:r w:rsidRPr="0059512C">
        <w:rPr>
          <w:szCs w:val="22"/>
        </w:rPr>
        <w:t>e have provided estimates of the Commission’s costs in processing applications.  In many examples we have</w:t>
      </w:r>
      <w:r w:rsidRPr="0059512C">
        <w:rPr>
          <w:szCs w:val="22"/>
        </w:rPr>
        <w:t xml:space="preserve"> included the estimated costs up through the first level supervisor reviewing the application.  Commenters should discuss whether this is the appropriate amount of costs to include or if we should include more, or fewer, levels of processing.  We seek comm</w:t>
      </w:r>
      <w:r w:rsidRPr="0059512C">
        <w:rPr>
          <w:szCs w:val="22"/>
        </w:rPr>
        <w:t xml:space="preserve">ent on which staff inputs we should use in defining the application process.  Some applications involve complex policy issues that may also affect Commission proceedings beyond the application at issue.  </w:t>
      </w:r>
      <w:r w:rsidR="00CF76DE">
        <w:rPr>
          <w:szCs w:val="22"/>
        </w:rPr>
        <w:t>As explained above, the specific fee proposals</w:t>
      </w:r>
      <w:r w:rsidRPr="0059512C" w:rsidR="00CF76DE">
        <w:rPr>
          <w:szCs w:val="22"/>
        </w:rPr>
        <w:t xml:space="preserve"> </w:t>
      </w:r>
      <w:r w:rsidRPr="0059512C">
        <w:rPr>
          <w:szCs w:val="22"/>
        </w:rPr>
        <w:t>in mo</w:t>
      </w:r>
      <w:r w:rsidRPr="0059512C">
        <w:rPr>
          <w:szCs w:val="22"/>
        </w:rPr>
        <w:t xml:space="preserve">st instances </w:t>
      </w:r>
      <w:r w:rsidR="00CF76DE">
        <w:rPr>
          <w:szCs w:val="22"/>
        </w:rPr>
        <w:t xml:space="preserve">use as </w:t>
      </w:r>
      <w:r w:rsidRPr="0059512C">
        <w:rPr>
          <w:szCs w:val="22"/>
        </w:rPr>
        <w:t>the basis of the application fees the initial steps in the application process, and exclude costs relating to steps that take place after the first level of supervisory review.  We also propose basing the application fee on costs for an</w:t>
      </w:r>
      <w:r w:rsidRPr="0059512C">
        <w:rPr>
          <w:szCs w:val="22"/>
        </w:rPr>
        <w:t xml:space="preserve"> unopposed application.  Commenters should discuss the appropriate definition of application process for each service.  In </w:t>
      </w:r>
      <w:r w:rsidRPr="0059512C" w:rsidR="00513DA7">
        <w:rPr>
          <w:szCs w:val="22"/>
        </w:rPr>
        <w:t xml:space="preserve">the </w:t>
      </w:r>
      <w:r w:rsidRPr="0059512C">
        <w:rPr>
          <w:szCs w:val="22"/>
        </w:rPr>
        <w:t xml:space="preserve">estimates </w:t>
      </w:r>
      <w:r w:rsidRPr="0059512C" w:rsidR="00513DA7">
        <w:rPr>
          <w:szCs w:val="22"/>
        </w:rPr>
        <w:t>we provided above</w:t>
      </w:r>
      <w:r w:rsidRPr="0059512C">
        <w:rPr>
          <w:szCs w:val="22"/>
        </w:rPr>
        <w:t>, we have included various activities by attorneys, analysts, engineers, and others that are part of p</w:t>
      </w:r>
      <w:r w:rsidRPr="0059512C">
        <w:rPr>
          <w:szCs w:val="22"/>
        </w:rPr>
        <w:t>rocessing an application and we invite comment on those estimates and how they should be used in determining the application fee.  Our estimates of costs for processing applications are based on staff estimates of the amount of time it takes to perform var</w:t>
      </w:r>
      <w:r w:rsidRPr="0059512C">
        <w:rPr>
          <w:szCs w:val="22"/>
        </w:rPr>
        <w:t>ious steps in processing an application that the staff has determined to be typical.  Each step may be considered a potential cost and commenters should discuss which steps should be used, and which should be excluded, in the estimate of cost for determini</w:t>
      </w:r>
      <w:r w:rsidRPr="0059512C">
        <w:rPr>
          <w:szCs w:val="22"/>
        </w:rPr>
        <w:t>ng an appropriate application fee.  Not all applications for a given service are the same and we invite comment on whether we have over-estimated or under-estimated a level of complexity for cost-based fees.</w:t>
      </w:r>
    </w:p>
    <w:p w:rsidR="00D127A3" w:rsidRPr="0059512C" w:rsidP="00D127A3">
      <w:pPr>
        <w:pStyle w:val="Heading2"/>
        <w:rPr>
          <w:szCs w:val="22"/>
        </w:rPr>
      </w:pPr>
      <w:bookmarkStart w:id="438" w:name="_Toc6326145"/>
      <w:bookmarkStart w:id="439" w:name="_Toc28005128"/>
      <w:bookmarkStart w:id="440" w:name="_Toc29557426"/>
      <w:bookmarkStart w:id="441" w:name="_Toc30085278"/>
      <w:bookmarkStart w:id="442" w:name="_Toc30085382"/>
      <w:bookmarkStart w:id="443" w:name="_Toc31033148"/>
      <w:bookmarkStart w:id="444" w:name="_Toc31288160"/>
      <w:bookmarkStart w:id="445" w:name="_Toc31980692"/>
      <w:bookmarkStart w:id="446" w:name="_Toc35268608"/>
      <w:bookmarkStart w:id="447" w:name="_Toc42256293"/>
      <w:bookmarkStart w:id="448" w:name="_Toc44581658"/>
      <w:r w:rsidRPr="0059512C">
        <w:rPr>
          <w:szCs w:val="22"/>
        </w:rPr>
        <w:t>Restatement of Certain Rules Fundamental to Waiv</w:t>
      </w:r>
      <w:r w:rsidRPr="0059512C">
        <w:rPr>
          <w:szCs w:val="22"/>
        </w:rPr>
        <w:t>er, Enforcement</w:t>
      </w:r>
      <w:r w:rsidRPr="0059512C" w:rsidR="008B0E19">
        <w:rPr>
          <w:szCs w:val="22"/>
        </w:rPr>
        <w:t>,</w:t>
      </w:r>
      <w:r w:rsidRPr="0059512C">
        <w:rPr>
          <w:szCs w:val="22"/>
        </w:rPr>
        <w:t xml:space="preserve"> and Collection of Application Fees</w:t>
      </w:r>
      <w:bookmarkEnd w:id="438"/>
      <w:bookmarkEnd w:id="439"/>
      <w:bookmarkEnd w:id="440"/>
      <w:bookmarkEnd w:id="441"/>
      <w:bookmarkEnd w:id="442"/>
      <w:bookmarkEnd w:id="443"/>
      <w:bookmarkEnd w:id="444"/>
      <w:bookmarkEnd w:id="445"/>
      <w:bookmarkEnd w:id="446"/>
      <w:bookmarkEnd w:id="447"/>
      <w:bookmarkEnd w:id="448"/>
    </w:p>
    <w:p w:rsidR="00232EB9" w:rsidRPr="0059512C" w:rsidP="00BD386F">
      <w:pPr>
        <w:pStyle w:val="ParaNum"/>
        <w:rPr>
          <w:szCs w:val="22"/>
        </w:rPr>
      </w:pPr>
      <w:r w:rsidRPr="0059512C">
        <w:rPr>
          <w:szCs w:val="22"/>
        </w:rPr>
        <w:t>Section 9A of t</w:t>
      </w:r>
      <w:r w:rsidRPr="0059512C" w:rsidR="00D127A3">
        <w:rPr>
          <w:szCs w:val="22"/>
        </w:rPr>
        <w:t>he RAY BAUM’</w:t>
      </w:r>
      <w:r w:rsidRPr="0059512C" w:rsidR="00402E3E">
        <w:rPr>
          <w:szCs w:val="22"/>
        </w:rPr>
        <w:t>S</w:t>
      </w:r>
      <w:r w:rsidRPr="0059512C" w:rsidR="00D127A3">
        <w:rPr>
          <w:szCs w:val="22"/>
        </w:rPr>
        <w:t xml:space="preserve"> Act moved, reformatted and changed certain provisions of prior section</w:t>
      </w:r>
      <w:r w:rsidRPr="0059512C">
        <w:rPr>
          <w:szCs w:val="22"/>
        </w:rPr>
        <w:t>s</w:t>
      </w:r>
      <w:r w:rsidRPr="0059512C" w:rsidR="00D127A3">
        <w:rPr>
          <w:szCs w:val="22"/>
        </w:rPr>
        <w:t xml:space="preserve"> 8 </w:t>
      </w:r>
      <w:r w:rsidRPr="0059512C">
        <w:rPr>
          <w:szCs w:val="22"/>
        </w:rPr>
        <w:t xml:space="preserve">and 9 </w:t>
      </w:r>
      <w:r w:rsidRPr="0059512C" w:rsidR="00D127A3">
        <w:rPr>
          <w:szCs w:val="22"/>
        </w:rPr>
        <w:t xml:space="preserve">relating to waiver, enforcement and collection of </w:t>
      </w:r>
      <w:r w:rsidRPr="0059512C" w:rsidR="00BF78A7">
        <w:rPr>
          <w:szCs w:val="22"/>
        </w:rPr>
        <w:t xml:space="preserve">application </w:t>
      </w:r>
      <w:r w:rsidRPr="0059512C">
        <w:rPr>
          <w:szCs w:val="22"/>
        </w:rPr>
        <w:t xml:space="preserve">and </w:t>
      </w:r>
      <w:r w:rsidRPr="0059512C" w:rsidR="00D127A3">
        <w:rPr>
          <w:szCs w:val="22"/>
        </w:rPr>
        <w:t>regulatory fees.</w:t>
      </w:r>
      <w:r>
        <w:rPr>
          <w:rStyle w:val="FootnoteReference"/>
        </w:rPr>
        <w:footnoteReference w:id="210"/>
      </w:r>
      <w:r w:rsidRPr="0059512C" w:rsidR="00D127A3">
        <w:rPr>
          <w:szCs w:val="22"/>
        </w:rPr>
        <w:t xml:space="preserve">  </w:t>
      </w:r>
      <w:r w:rsidRPr="0059512C" w:rsidR="007028E7">
        <w:rPr>
          <w:szCs w:val="22"/>
        </w:rPr>
        <w:t>T</w:t>
      </w:r>
      <w:r w:rsidRPr="0059512C" w:rsidR="00BF78A7">
        <w:rPr>
          <w:szCs w:val="22"/>
        </w:rPr>
        <w:t>h</w:t>
      </w:r>
      <w:r w:rsidRPr="0059512C">
        <w:rPr>
          <w:szCs w:val="22"/>
        </w:rPr>
        <w:t xml:space="preserve">e </w:t>
      </w:r>
      <w:r w:rsidRPr="0059512C" w:rsidR="00CE117B">
        <w:rPr>
          <w:szCs w:val="22"/>
        </w:rPr>
        <w:t>s</w:t>
      </w:r>
      <w:r w:rsidRPr="0059512C">
        <w:rPr>
          <w:szCs w:val="22"/>
        </w:rPr>
        <w:t>ecti</w:t>
      </w:r>
      <w:r w:rsidRPr="0059512C">
        <w:rPr>
          <w:szCs w:val="22"/>
        </w:rPr>
        <w:t xml:space="preserve">on 9A </w:t>
      </w:r>
      <w:r w:rsidRPr="0059512C" w:rsidR="00D953B6">
        <w:rPr>
          <w:szCs w:val="22"/>
        </w:rPr>
        <w:t>provision</w:t>
      </w:r>
      <w:r w:rsidRPr="0059512C" w:rsidR="00CE117B">
        <w:rPr>
          <w:szCs w:val="22"/>
        </w:rPr>
        <w:t>s</w:t>
      </w:r>
      <w:r w:rsidRPr="0059512C" w:rsidR="00D953B6">
        <w:rPr>
          <w:szCs w:val="22"/>
        </w:rPr>
        <w:t xml:space="preserve"> </w:t>
      </w:r>
      <w:r w:rsidRPr="0059512C">
        <w:rPr>
          <w:szCs w:val="22"/>
        </w:rPr>
        <w:t xml:space="preserve">are </w:t>
      </w:r>
      <w:r w:rsidRPr="0059512C" w:rsidR="007028E7">
        <w:rPr>
          <w:szCs w:val="22"/>
        </w:rPr>
        <w:t xml:space="preserve">virtually </w:t>
      </w:r>
      <w:r w:rsidRPr="0059512C">
        <w:rPr>
          <w:szCs w:val="22"/>
        </w:rPr>
        <w:t>identical for application fees and regulatory fees.</w:t>
      </w:r>
      <w:r>
        <w:rPr>
          <w:rStyle w:val="FootnoteReference"/>
        </w:rPr>
        <w:footnoteReference w:id="211"/>
      </w:r>
      <w:r w:rsidRPr="0059512C">
        <w:rPr>
          <w:szCs w:val="22"/>
        </w:rPr>
        <w:t xml:space="preserve"> </w:t>
      </w:r>
      <w:r w:rsidR="00940377">
        <w:rPr>
          <w:szCs w:val="22"/>
        </w:rPr>
        <w:t xml:space="preserve"> </w:t>
      </w:r>
      <w:r w:rsidRPr="0059512C" w:rsidR="00D127A3">
        <w:rPr>
          <w:szCs w:val="22"/>
        </w:rPr>
        <w:t>Because</w:t>
      </w:r>
      <w:r w:rsidRPr="0059512C" w:rsidR="0048686D">
        <w:rPr>
          <w:szCs w:val="22"/>
        </w:rPr>
        <w:t xml:space="preserve"> </w:t>
      </w:r>
      <w:r w:rsidRPr="0059512C" w:rsidR="00D127A3">
        <w:rPr>
          <w:szCs w:val="22"/>
        </w:rPr>
        <w:t>we t</w:t>
      </w:r>
      <w:r w:rsidRPr="0059512C" w:rsidR="00540587">
        <w:rPr>
          <w:szCs w:val="22"/>
        </w:rPr>
        <w:t xml:space="preserve">ook great care in our  </w:t>
      </w:r>
      <w:r w:rsidRPr="0059512C" w:rsidR="00CE117B">
        <w:rPr>
          <w:i/>
          <w:iCs/>
          <w:szCs w:val="22"/>
        </w:rPr>
        <w:t>FY 2019</w:t>
      </w:r>
      <w:r w:rsidRPr="0059512C" w:rsidR="00CE117B">
        <w:rPr>
          <w:szCs w:val="22"/>
        </w:rPr>
        <w:t xml:space="preserve"> </w:t>
      </w:r>
      <w:r w:rsidRPr="0059512C" w:rsidR="00CE117B">
        <w:rPr>
          <w:i/>
          <w:iCs/>
          <w:szCs w:val="22"/>
        </w:rPr>
        <w:t>Report and Order</w:t>
      </w:r>
      <w:r w:rsidRPr="0059512C" w:rsidR="00CE117B">
        <w:rPr>
          <w:szCs w:val="22"/>
        </w:rPr>
        <w:t xml:space="preserve"> </w:t>
      </w:r>
      <w:r w:rsidRPr="0059512C" w:rsidR="00D127A3">
        <w:rPr>
          <w:szCs w:val="22"/>
        </w:rPr>
        <w:t xml:space="preserve">to explain </w:t>
      </w:r>
      <w:r w:rsidRPr="0059512C" w:rsidR="00540587">
        <w:rPr>
          <w:szCs w:val="22"/>
        </w:rPr>
        <w:t>the RAY BAUM’</w:t>
      </w:r>
      <w:r w:rsidRPr="0059512C" w:rsidR="007028E7">
        <w:rPr>
          <w:szCs w:val="22"/>
        </w:rPr>
        <w:t>S</w:t>
      </w:r>
      <w:r w:rsidRPr="0059512C" w:rsidR="00540587">
        <w:rPr>
          <w:szCs w:val="22"/>
        </w:rPr>
        <w:t xml:space="preserve"> Act revisions to those essential aspects of old section 9,</w:t>
      </w:r>
      <w:r>
        <w:rPr>
          <w:rStyle w:val="FootnoteReference"/>
        </w:rPr>
        <w:footnoteReference w:id="212"/>
      </w:r>
      <w:r w:rsidRPr="0059512C" w:rsidR="00540587">
        <w:rPr>
          <w:szCs w:val="22"/>
        </w:rPr>
        <w:t xml:space="preserve"> we will not belabor the same point</w:t>
      </w:r>
      <w:r w:rsidRPr="0059512C" w:rsidR="00CE117B">
        <w:rPr>
          <w:szCs w:val="22"/>
        </w:rPr>
        <w:t>s</w:t>
      </w:r>
      <w:r w:rsidRPr="0059512C" w:rsidR="00540587">
        <w:rPr>
          <w:szCs w:val="22"/>
        </w:rPr>
        <w:t xml:space="preserve"> here</w:t>
      </w:r>
      <w:r w:rsidRPr="0059512C" w:rsidR="00CE117B">
        <w:rPr>
          <w:szCs w:val="22"/>
        </w:rPr>
        <w:t xml:space="preserve"> as relate to old section 8</w:t>
      </w:r>
      <w:r w:rsidRPr="0059512C" w:rsidR="00540587">
        <w:rPr>
          <w:szCs w:val="22"/>
        </w:rPr>
        <w:t>, but only summarize them</w:t>
      </w:r>
      <w:r w:rsidRPr="0059512C" w:rsidR="00CE117B">
        <w:rPr>
          <w:szCs w:val="22"/>
        </w:rPr>
        <w:t xml:space="preserve"> </w:t>
      </w:r>
      <w:r w:rsidRPr="0059512C" w:rsidR="00D127A3">
        <w:rPr>
          <w:szCs w:val="22"/>
        </w:rPr>
        <w:t>and note</w:t>
      </w:r>
      <w:r w:rsidRPr="0059512C" w:rsidR="00540587">
        <w:rPr>
          <w:szCs w:val="22"/>
        </w:rPr>
        <w:t xml:space="preserve">, </w:t>
      </w:r>
      <w:r w:rsidRPr="0059512C" w:rsidR="007028E7">
        <w:rPr>
          <w:szCs w:val="22"/>
        </w:rPr>
        <w:t xml:space="preserve">as </w:t>
      </w:r>
      <w:r w:rsidRPr="0059512C" w:rsidR="00540587">
        <w:rPr>
          <w:szCs w:val="22"/>
        </w:rPr>
        <w:t xml:space="preserve">we did in the </w:t>
      </w:r>
      <w:r w:rsidRPr="0060706A" w:rsidR="00CE117B">
        <w:rPr>
          <w:i/>
        </w:rPr>
        <w:t>FY 2019 Report and Order</w:t>
      </w:r>
      <w:r w:rsidRPr="0059512C" w:rsidR="00CE117B">
        <w:rPr>
          <w:szCs w:val="22"/>
        </w:rPr>
        <w:t>,</w:t>
      </w:r>
      <w:r w:rsidRPr="0059512C" w:rsidR="00D127A3">
        <w:rPr>
          <w:szCs w:val="22"/>
        </w:rPr>
        <w:t xml:space="preserve"> that our application of the provisions remains largely unchanged.</w:t>
      </w:r>
      <w:r>
        <w:rPr>
          <w:rStyle w:val="FootnoteReference"/>
        </w:rPr>
        <w:footnoteReference w:id="213"/>
      </w:r>
      <w:r w:rsidRPr="0059512C" w:rsidR="00D127A3">
        <w:rPr>
          <w:szCs w:val="22"/>
        </w:rPr>
        <w:t xml:space="preserve"> </w:t>
      </w:r>
    </w:p>
    <w:p w:rsidR="00232EB9" w:rsidRPr="0059512C" w:rsidP="00BD386F">
      <w:pPr>
        <w:pStyle w:val="ParaNum"/>
        <w:rPr>
          <w:szCs w:val="22"/>
        </w:rPr>
      </w:pPr>
      <w:bookmarkStart w:id="450" w:name="_Toc6326146"/>
      <w:bookmarkStart w:id="451" w:name="_Toc28005129"/>
      <w:bookmarkStart w:id="452" w:name="_Toc29557427"/>
      <w:bookmarkStart w:id="453" w:name="_Toc30085279"/>
      <w:bookmarkStart w:id="454" w:name="_Toc30085383"/>
      <w:bookmarkStart w:id="455" w:name="_Toc31033149"/>
      <w:bookmarkStart w:id="456" w:name="_Toc31288161"/>
      <w:bookmarkStart w:id="457" w:name="_Toc31980693"/>
      <w:r w:rsidRPr="0059512C">
        <w:rPr>
          <w:i/>
          <w:szCs w:val="22"/>
        </w:rPr>
        <w:t xml:space="preserve">Waiver of </w:t>
      </w:r>
      <w:r w:rsidRPr="0059512C">
        <w:rPr>
          <w:i/>
          <w:iCs/>
          <w:szCs w:val="22"/>
        </w:rPr>
        <w:t>Application</w:t>
      </w:r>
      <w:r w:rsidRPr="0059512C">
        <w:rPr>
          <w:i/>
          <w:szCs w:val="22"/>
        </w:rPr>
        <w:t xml:space="preserve"> Fees</w:t>
      </w:r>
      <w:bookmarkEnd w:id="450"/>
      <w:bookmarkEnd w:id="451"/>
      <w:bookmarkEnd w:id="452"/>
      <w:bookmarkEnd w:id="453"/>
      <w:bookmarkEnd w:id="454"/>
      <w:bookmarkEnd w:id="455"/>
      <w:bookmarkEnd w:id="456"/>
      <w:bookmarkEnd w:id="457"/>
      <w:r w:rsidRPr="0059512C">
        <w:rPr>
          <w:szCs w:val="22"/>
        </w:rPr>
        <w:t xml:space="preserve">. </w:t>
      </w:r>
      <w:r w:rsidRPr="0059512C" w:rsidR="00CE117B">
        <w:rPr>
          <w:szCs w:val="22"/>
        </w:rPr>
        <w:t xml:space="preserve">The Commission continues to interpret its statutory waiver </w:t>
      </w:r>
      <w:r w:rsidRPr="0059512C" w:rsidR="00CE117B">
        <w:rPr>
          <w:szCs w:val="22"/>
        </w:rPr>
        <w:t xml:space="preserve">authority </w:t>
      </w:r>
      <w:r w:rsidRPr="0059512C">
        <w:rPr>
          <w:szCs w:val="22"/>
        </w:rPr>
        <w:t>narrowly</w:t>
      </w:r>
      <w:r w:rsidRPr="0059512C" w:rsidR="00CE117B">
        <w:rPr>
          <w:szCs w:val="22"/>
        </w:rPr>
        <w:t>,</w:t>
      </w:r>
      <w:r w:rsidRPr="0059512C">
        <w:rPr>
          <w:szCs w:val="22"/>
        </w:rPr>
        <w:t xml:space="preserve"> to permit only those waivers “unambiguously articulating ‘extraordinary circumstances’ outweighing the public interest in recoup</w:t>
      </w:r>
      <w:r w:rsidRPr="0059512C">
        <w:rPr>
          <w:szCs w:val="22"/>
        </w:rPr>
        <w:t>ing the cost of the Commission’s regulatory services for a particular regulatee.”</w:t>
      </w:r>
      <w:r>
        <w:rPr>
          <w:rStyle w:val="FootnoteReference"/>
        </w:rPr>
        <w:footnoteReference w:id="214"/>
      </w:r>
      <w:r w:rsidRPr="0059512C">
        <w:rPr>
          <w:szCs w:val="22"/>
        </w:rPr>
        <w:t xml:space="preserve">  W</w:t>
      </w:r>
      <w:r w:rsidRPr="0059512C" w:rsidR="00D57E46">
        <w:rPr>
          <w:szCs w:val="22"/>
        </w:rPr>
        <w:t xml:space="preserve">hile </w:t>
      </w:r>
      <w:r w:rsidRPr="0059512C">
        <w:rPr>
          <w:szCs w:val="22"/>
        </w:rPr>
        <w:t>financial hardship may justify waiving and/or deferring a party’s application fees</w:t>
      </w:r>
      <w:r w:rsidRPr="0059512C" w:rsidR="00D57E46">
        <w:rPr>
          <w:szCs w:val="22"/>
        </w:rPr>
        <w:t>,</w:t>
      </w:r>
      <w:r>
        <w:rPr>
          <w:rStyle w:val="FootnoteReference"/>
        </w:rPr>
        <w:footnoteReference w:id="215"/>
      </w:r>
      <w:r w:rsidRPr="0059512C" w:rsidR="00D57E46">
        <w:rPr>
          <w:szCs w:val="22"/>
        </w:rPr>
        <w:t xml:space="preserve"> the circumstances must be extraordinary and conclusively proven through full and complete documentation provided by the requesting party</w:t>
      </w:r>
      <w:r w:rsidRPr="0059512C">
        <w:rPr>
          <w:szCs w:val="22"/>
        </w:rPr>
        <w:t>.</w:t>
      </w:r>
      <w:r>
        <w:rPr>
          <w:rStyle w:val="FootnoteReference"/>
        </w:rPr>
        <w:footnoteReference w:id="216"/>
      </w:r>
      <w:r w:rsidRPr="0059512C">
        <w:rPr>
          <w:szCs w:val="22"/>
        </w:rPr>
        <w:t xml:space="preserve">    </w:t>
      </w:r>
    </w:p>
    <w:p w:rsidR="00417D9A" w:rsidRPr="0059512C" w:rsidP="00BD386F">
      <w:pPr>
        <w:pStyle w:val="ParaNum"/>
        <w:rPr>
          <w:szCs w:val="22"/>
        </w:rPr>
      </w:pPr>
      <w:r w:rsidRPr="0059512C">
        <w:rPr>
          <w:i/>
          <w:szCs w:val="22"/>
        </w:rPr>
        <w:t xml:space="preserve">Dismissal and other </w:t>
      </w:r>
      <w:r w:rsidRPr="0059512C" w:rsidR="00453C68">
        <w:rPr>
          <w:i/>
          <w:szCs w:val="22"/>
        </w:rPr>
        <w:t xml:space="preserve">enforcement </w:t>
      </w:r>
      <w:r w:rsidRPr="0059512C">
        <w:rPr>
          <w:i/>
          <w:szCs w:val="22"/>
        </w:rPr>
        <w:t>remedies.</w:t>
      </w:r>
      <w:r w:rsidRPr="0059512C" w:rsidR="00232EB9">
        <w:rPr>
          <w:szCs w:val="22"/>
        </w:rPr>
        <w:t xml:space="preserve">  A</w:t>
      </w:r>
      <w:r w:rsidRPr="0059512C">
        <w:rPr>
          <w:szCs w:val="22"/>
        </w:rPr>
        <w:t>n a</w:t>
      </w:r>
      <w:r w:rsidRPr="0059512C" w:rsidR="00232EB9">
        <w:rPr>
          <w:szCs w:val="22"/>
        </w:rPr>
        <w:t>pplication fee</w:t>
      </w:r>
      <w:r w:rsidRPr="0059512C">
        <w:rPr>
          <w:szCs w:val="22"/>
        </w:rPr>
        <w:t xml:space="preserve"> </w:t>
      </w:r>
      <w:r w:rsidRPr="0059512C" w:rsidR="00232EB9">
        <w:rPr>
          <w:szCs w:val="22"/>
        </w:rPr>
        <w:t xml:space="preserve"> must be paid when </w:t>
      </w:r>
      <w:r w:rsidRPr="0059512C">
        <w:rPr>
          <w:szCs w:val="22"/>
        </w:rPr>
        <w:t xml:space="preserve">the application </w:t>
      </w:r>
      <w:r w:rsidRPr="0059512C" w:rsidR="00232EB9">
        <w:rPr>
          <w:szCs w:val="22"/>
        </w:rPr>
        <w:t>t</w:t>
      </w:r>
      <w:r w:rsidRPr="0059512C">
        <w:rPr>
          <w:szCs w:val="22"/>
        </w:rPr>
        <w:t>o which it pe</w:t>
      </w:r>
      <w:r w:rsidRPr="0059512C">
        <w:rPr>
          <w:szCs w:val="22"/>
        </w:rPr>
        <w:t>rtains is filed</w:t>
      </w:r>
      <w:r w:rsidRPr="0059512C" w:rsidR="00232EB9">
        <w:rPr>
          <w:szCs w:val="22"/>
        </w:rPr>
        <w:t>.</w:t>
      </w:r>
      <w:r>
        <w:rPr>
          <w:rStyle w:val="FootnoteReference"/>
        </w:rPr>
        <w:footnoteReference w:id="217"/>
      </w:r>
      <w:r w:rsidRPr="0059512C" w:rsidR="00232EB9">
        <w:rPr>
          <w:szCs w:val="22"/>
        </w:rPr>
        <w:t xml:space="preserve">  </w:t>
      </w:r>
      <w:r w:rsidRPr="0059512C">
        <w:rPr>
          <w:szCs w:val="22"/>
        </w:rPr>
        <w:t xml:space="preserve">Failure to </w:t>
      </w:r>
      <w:r w:rsidRPr="0059512C" w:rsidR="0083089E">
        <w:rPr>
          <w:szCs w:val="22"/>
        </w:rPr>
        <w:t xml:space="preserve">timely </w:t>
      </w:r>
      <w:r w:rsidRPr="0059512C">
        <w:rPr>
          <w:szCs w:val="22"/>
        </w:rPr>
        <w:t>pay an application fee may result in the dismissal of the application</w:t>
      </w:r>
      <w:r w:rsidRPr="0059512C" w:rsidR="00C913C2">
        <w:rPr>
          <w:szCs w:val="22"/>
        </w:rPr>
        <w:t>.</w:t>
      </w:r>
      <w:r>
        <w:rPr>
          <w:rStyle w:val="FootnoteReference"/>
        </w:rPr>
        <w:footnoteReference w:id="218"/>
      </w:r>
      <w:r w:rsidRPr="0059512C">
        <w:rPr>
          <w:szCs w:val="22"/>
        </w:rPr>
        <w:t xml:space="preserve"> </w:t>
      </w:r>
      <w:r w:rsidRPr="0059512C" w:rsidR="001D40B6">
        <w:rPr>
          <w:szCs w:val="22"/>
        </w:rPr>
        <w:t xml:space="preserve">In the event an application for which a fee is due has not been dismissed, the Commission will </w:t>
      </w:r>
      <w:r w:rsidRPr="0059512C" w:rsidR="00232EB9">
        <w:rPr>
          <w:szCs w:val="22"/>
        </w:rPr>
        <w:t xml:space="preserve">impose a </w:t>
      </w:r>
      <w:r w:rsidRPr="0059512C" w:rsidR="001D40B6">
        <w:rPr>
          <w:szCs w:val="22"/>
        </w:rPr>
        <w:t>25%</w:t>
      </w:r>
      <w:r w:rsidRPr="0059512C" w:rsidR="00453C68">
        <w:rPr>
          <w:szCs w:val="22"/>
        </w:rPr>
        <w:t xml:space="preserve"> </w:t>
      </w:r>
      <w:r w:rsidRPr="0059512C" w:rsidR="00232EB9">
        <w:rPr>
          <w:szCs w:val="22"/>
        </w:rPr>
        <w:t xml:space="preserve">late payment penalty </w:t>
      </w:r>
      <w:r w:rsidRPr="0059512C" w:rsidR="001D40B6">
        <w:rPr>
          <w:szCs w:val="22"/>
        </w:rPr>
        <w:t xml:space="preserve">on the </w:t>
      </w:r>
      <w:r w:rsidRPr="0059512C" w:rsidR="00232EB9">
        <w:rPr>
          <w:szCs w:val="22"/>
        </w:rPr>
        <w:t>unpaid application fee debt</w:t>
      </w:r>
      <w:r w:rsidRPr="0059512C" w:rsidR="001D40B6">
        <w:rPr>
          <w:szCs w:val="22"/>
        </w:rPr>
        <w:t>, and the application fee plus the penalty will accrue interest</w:t>
      </w:r>
      <w:r w:rsidRPr="0059512C" w:rsidR="00232EB9">
        <w:rPr>
          <w:szCs w:val="22"/>
        </w:rPr>
        <w:t>, until the debt is paid in full.</w:t>
      </w:r>
      <w:r>
        <w:rPr>
          <w:rStyle w:val="FootnoteReference"/>
        </w:rPr>
        <w:footnoteReference w:id="219"/>
      </w:r>
      <w:r w:rsidRPr="0059512C" w:rsidR="00232EB9">
        <w:rPr>
          <w:szCs w:val="22"/>
        </w:rPr>
        <w:t xml:space="preserve">  </w:t>
      </w:r>
      <w:r w:rsidRPr="0059512C" w:rsidR="00453C68">
        <w:rPr>
          <w:szCs w:val="22"/>
        </w:rPr>
        <w:t>A</w:t>
      </w:r>
      <w:r w:rsidRPr="0059512C" w:rsidR="0048686D">
        <w:rPr>
          <w:szCs w:val="22"/>
        </w:rPr>
        <w:t>n a</w:t>
      </w:r>
      <w:r w:rsidRPr="0059512C" w:rsidR="00453C68">
        <w:rPr>
          <w:szCs w:val="22"/>
        </w:rPr>
        <w:t xml:space="preserve">pplicant that fails to pay its application fee debt will also be on “red light” </w:t>
      </w:r>
      <w:r w:rsidRPr="0059512C" w:rsidR="0048686D">
        <w:rPr>
          <w:szCs w:val="22"/>
        </w:rPr>
        <w:t xml:space="preserve">and </w:t>
      </w:r>
      <w:r w:rsidRPr="0059512C" w:rsidR="00453C68">
        <w:rPr>
          <w:szCs w:val="22"/>
        </w:rPr>
        <w:t>the Commission wi</w:t>
      </w:r>
      <w:r w:rsidRPr="0059512C" w:rsidR="0048686D">
        <w:rPr>
          <w:szCs w:val="22"/>
        </w:rPr>
        <w:t>ll wi</w:t>
      </w:r>
      <w:r w:rsidRPr="0059512C" w:rsidR="00453C68">
        <w:rPr>
          <w:szCs w:val="22"/>
        </w:rPr>
        <w:t>thhold action on and subsequently dismiss all applications and other requests for benefits by the applicant, until all debt owed by the applicant is paid in full.</w:t>
      </w:r>
      <w:r>
        <w:rPr>
          <w:rStyle w:val="FootnoteReference"/>
        </w:rPr>
        <w:footnoteReference w:id="220"/>
      </w:r>
      <w:r w:rsidRPr="0059512C" w:rsidR="00453C68">
        <w:rPr>
          <w:szCs w:val="22"/>
        </w:rPr>
        <w:t xml:space="preserve">  </w:t>
      </w:r>
      <w:r w:rsidRPr="0059512C" w:rsidR="00232EB9">
        <w:rPr>
          <w:szCs w:val="22"/>
        </w:rPr>
        <w:t>The Commission will pursue collection of all past due application fees, including penalties and accrued interest, using collection remedies available to it under the Debt Collection Improvement Act of 1996, its implementing regulations and federal common law</w:t>
      </w:r>
      <w:r w:rsidRPr="0059512C" w:rsidR="0048686D">
        <w:rPr>
          <w:szCs w:val="22"/>
        </w:rPr>
        <w:t>, including offsetting application fee debt against monies owed to the debtor by the Commission, and referral of the debt to the United States Treasury for further collection efforts, including centralized offset against monies other federal agencies may owe the debtor</w:t>
      </w:r>
      <w:r w:rsidRPr="0059512C" w:rsidR="00232EB9">
        <w:rPr>
          <w:szCs w:val="22"/>
        </w:rPr>
        <w:t>.</w:t>
      </w:r>
      <w:r>
        <w:rPr>
          <w:rStyle w:val="FootnoteReference"/>
        </w:rPr>
        <w:footnoteReference w:id="221"/>
      </w:r>
      <w:r w:rsidRPr="0059512C">
        <w:rPr>
          <w:szCs w:val="22"/>
        </w:rPr>
        <w:t xml:space="preserve"> </w:t>
      </w:r>
    </w:p>
    <w:p w:rsidR="005B5E40" w:rsidRPr="0060706A" w:rsidP="00874B4D">
      <w:pPr>
        <w:pStyle w:val="Heading1"/>
        <w:rPr>
          <w:rFonts w:ascii="Times New Roman" w:hAnsi="Times New Roman"/>
        </w:rPr>
      </w:pPr>
      <w:bookmarkStart w:id="458" w:name="_Toc16611325"/>
      <w:bookmarkStart w:id="459" w:name="_Toc17709354"/>
      <w:bookmarkStart w:id="460" w:name="_Toc17972533"/>
      <w:bookmarkStart w:id="461" w:name="_Toc18066948"/>
      <w:bookmarkStart w:id="462" w:name="_Toc18939807"/>
      <w:bookmarkStart w:id="463" w:name="_Toc19795119"/>
      <w:bookmarkStart w:id="464" w:name="_Toc19796484"/>
      <w:bookmarkStart w:id="465" w:name="_Toc19796842"/>
      <w:bookmarkStart w:id="466" w:name="_Toc22299871"/>
      <w:bookmarkStart w:id="467" w:name="_Toc24453223"/>
      <w:bookmarkStart w:id="468" w:name="_Toc28005132"/>
      <w:bookmarkStart w:id="469" w:name="_Toc29557430"/>
      <w:bookmarkStart w:id="470" w:name="_Toc30085282"/>
      <w:bookmarkStart w:id="471" w:name="_Toc30085386"/>
      <w:bookmarkStart w:id="472" w:name="_Toc31033152"/>
      <w:bookmarkStart w:id="473" w:name="_Toc31288164"/>
      <w:bookmarkStart w:id="474" w:name="_Toc31980697"/>
      <w:bookmarkStart w:id="475" w:name="_Toc35268613"/>
      <w:bookmarkStart w:id="476" w:name="_Toc42256294"/>
      <w:bookmarkStart w:id="477" w:name="_Toc44581659"/>
      <w:r w:rsidRPr="0060706A">
        <w:rPr>
          <w:rFonts w:ascii="Times New Roman" w:hAnsi="Times New Roman"/>
        </w:rPr>
        <w:t>procedural matters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874B4D" w:rsidRPr="0059512C" w:rsidP="00874B4D">
      <w:pPr>
        <w:pStyle w:val="ParaNum"/>
        <w:rPr>
          <w:szCs w:val="22"/>
        </w:rPr>
      </w:pPr>
      <w:r w:rsidRPr="0059512C">
        <w:rPr>
          <w:i/>
          <w:szCs w:val="22"/>
        </w:rPr>
        <w:t>Paperwork Reduction Act Analysis</w:t>
      </w:r>
      <w:r w:rsidRPr="0059512C">
        <w:rPr>
          <w:szCs w:val="22"/>
        </w:rPr>
        <w:t xml:space="preserve">.  </w:t>
      </w:r>
      <w:r w:rsidRPr="0059512C">
        <w:rPr>
          <w:szCs w:val="22"/>
        </w:rPr>
        <w:t>This document does not contain new or modified information collection requirements subject to the Paperwork Reduction Act of 1995 (PRA), Public Law 104-13.  In addition, therefore, it does not contain any new or modified information collection burden for s</w:t>
      </w:r>
      <w:r w:rsidRPr="0059512C">
        <w:rPr>
          <w:szCs w:val="22"/>
        </w:rPr>
        <w:t xml:space="preserve">mall business concerns with fewer than 25 employees, pursuant to the Small Business Paperwork Relief Act of 2002, Public Law 107-198, </w:t>
      </w:r>
      <w:r w:rsidRPr="0059512C">
        <w:rPr>
          <w:i/>
          <w:iCs/>
          <w:szCs w:val="22"/>
        </w:rPr>
        <w:t xml:space="preserve">see </w:t>
      </w:r>
      <w:r w:rsidRPr="0059512C">
        <w:rPr>
          <w:szCs w:val="22"/>
        </w:rPr>
        <w:t>44 U.S.C. § 3506(c)(4).</w:t>
      </w:r>
    </w:p>
    <w:p w:rsidR="00D21E7C" w:rsidRPr="0059512C" w:rsidP="00D21E7C">
      <w:pPr>
        <w:pStyle w:val="ParaNum"/>
        <w:rPr>
          <w:szCs w:val="22"/>
        </w:rPr>
      </w:pPr>
      <w:r w:rsidRPr="0059512C">
        <w:rPr>
          <w:i/>
          <w:szCs w:val="22"/>
        </w:rPr>
        <w:t>Initial Regulatory Flexibility Analysis</w:t>
      </w:r>
      <w:r w:rsidRPr="0059512C">
        <w:rPr>
          <w:szCs w:val="22"/>
        </w:rPr>
        <w:t>.  As required by the Regulatory Flexibility Act of 198</w:t>
      </w:r>
      <w:r w:rsidRPr="0059512C">
        <w:rPr>
          <w:szCs w:val="22"/>
        </w:rPr>
        <w:t>0 (RFA)</w:t>
      </w:r>
      <w:r>
        <w:rPr>
          <w:rStyle w:val="FootnoteReference"/>
          <w:sz w:val="22"/>
          <w:szCs w:val="22"/>
        </w:rPr>
        <w:footnoteReference w:id="222"/>
      </w:r>
      <w:r w:rsidRPr="0059512C">
        <w:rPr>
          <w:szCs w:val="22"/>
        </w:rPr>
        <w:t xml:space="preserve"> the Commission has prepared an Initial Regulatory Flexibility Analysis (IRFA) relating to this Further Notice of Proposed Rulemaking.  The IRFA is contained in Appendix </w:t>
      </w:r>
      <w:r w:rsidR="00C54209">
        <w:rPr>
          <w:szCs w:val="22"/>
        </w:rPr>
        <w:t>B</w:t>
      </w:r>
      <w:r w:rsidRPr="008A2209">
        <w:rPr>
          <w:szCs w:val="22"/>
        </w:rPr>
        <w:t>.</w:t>
      </w:r>
      <w:r w:rsidRPr="0059512C">
        <w:rPr>
          <w:szCs w:val="22"/>
        </w:rPr>
        <w:t xml:space="preserve">  </w:t>
      </w:r>
    </w:p>
    <w:p w:rsidR="00930909" w:rsidRPr="0059512C" w:rsidP="00F364EF">
      <w:pPr>
        <w:pStyle w:val="ParaNum"/>
        <w:rPr>
          <w:szCs w:val="22"/>
        </w:rPr>
      </w:pPr>
      <w:r w:rsidRPr="0059512C">
        <w:rPr>
          <w:i/>
          <w:szCs w:val="22"/>
        </w:rPr>
        <w:t>Filing Instructions</w:t>
      </w:r>
      <w:r w:rsidRPr="0059512C">
        <w:rPr>
          <w:szCs w:val="22"/>
        </w:rPr>
        <w:t xml:space="preserve">.  Pursuant to sections 1.415 and 1.419 of the Commission’s rules, 47 </w:t>
      </w:r>
      <w:r w:rsidRPr="0059512C">
        <w:rPr>
          <w:szCs w:val="22"/>
        </w:rPr>
        <w:t>CFR §§</w:t>
      </w:r>
      <w:r w:rsidRPr="0059512C" w:rsidR="00125C6E">
        <w:rPr>
          <w:szCs w:val="22"/>
        </w:rPr>
        <w:t xml:space="preserve"> </w:t>
      </w:r>
      <w:r w:rsidRPr="0059512C">
        <w:rPr>
          <w:szCs w:val="22"/>
        </w:rPr>
        <w:t>1.415, 1.419, interested parties may file comments and reply comments on or before the dates indicated on the first page of this document.    Comments may be filed using the Commi</w:t>
      </w:r>
      <w:r w:rsidRPr="0059512C">
        <w:rPr>
          <w:szCs w:val="22"/>
        </w:rPr>
        <w:t>ssion’s</w:t>
      </w:r>
      <w:r w:rsidR="0070042A">
        <w:rPr>
          <w:szCs w:val="22"/>
        </w:rPr>
        <w:t xml:space="preserve"> </w:t>
      </w:r>
      <w:r w:rsidRPr="0059512C">
        <w:rPr>
          <w:szCs w:val="22"/>
        </w:rPr>
        <w:t>Electronic Comment Filing System (ECFS)</w:t>
      </w:r>
      <w:r>
        <w:rPr>
          <w:rStyle w:val="FootnoteReference"/>
          <w:sz w:val="22"/>
          <w:szCs w:val="22"/>
        </w:rPr>
        <w:footnoteReference w:id="223"/>
      </w:r>
      <w:r w:rsidRPr="0059512C">
        <w:rPr>
          <w:szCs w:val="22"/>
        </w:rPr>
        <w:t xml:space="preserve"> or by paper.  All filings must be addressed to the Commission’s Secretary, Office of the Secretary, Federal Communications Commission.</w:t>
      </w:r>
    </w:p>
    <w:p w:rsidR="00930909" w:rsidRPr="0059512C" w:rsidP="00CE4C9A">
      <w:pPr>
        <w:widowControl/>
        <w:numPr>
          <w:ilvl w:val="0"/>
          <w:numId w:val="27"/>
        </w:numPr>
        <w:autoSpaceDE w:val="0"/>
        <w:autoSpaceDN w:val="0"/>
        <w:rPr>
          <w:szCs w:val="22"/>
        </w:rPr>
      </w:pPr>
      <w:r w:rsidRPr="0059512C">
        <w:rPr>
          <w:szCs w:val="22"/>
        </w:rPr>
        <w:t>Electronic Filers:  Comments may be filed electronically by accessing E</w:t>
      </w:r>
      <w:r w:rsidRPr="0059512C">
        <w:rPr>
          <w:szCs w:val="22"/>
        </w:rPr>
        <w:t>CFS at </w:t>
      </w:r>
      <w:hyperlink r:id="rId5" w:history="1">
        <w:r w:rsidRPr="0059512C">
          <w:rPr>
            <w:rStyle w:val="Hyperlink"/>
            <w:szCs w:val="22"/>
          </w:rPr>
          <w:t>http://apps.fcc.gov/ecfs/</w:t>
        </w:r>
      </w:hyperlink>
      <w:r w:rsidRPr="0059512C">
        <w:rPr>
          <w:szCs w:val="22"/>
        </w:rPr>
        <w:t>.</w:t>
      </w:r>
    </w:p>
    <w:p w:rsidR="00930909" w:rsidRPr="0059512C" w:rsidP="00930909">
      <w:pPr>
        <w:autoSpaceDE w:val="0"/>
        <w:autoSpaceDN w:val="0"/>
        <w:ind w:left="720"/>
        <w:rPr>
          <w:rFonts w:eastAsiaTheme="minorHAnsi"/>
          <w:szCs w:val="22"/>
        </w:rPr>
      </w:pPr>
    </w:p>
    <w:p w:rsidR="00930909" w:rsidRPr="0059512C" w:rsidP="00CE4C9A">
      <w:pPr>
        <w:widowControl/>
        <w:numPr>
          <w:ilvl w:val="0"/>
          <w:numId w:val="28"/>
        </w:numPr>
        <w:autoSpaceDE w:val="0"/>
        <w:autoSpaceDN w:val="0"/>
        <w:rPr>
          <w:szCs w:val="22"/>
        </w:rPr>
      </w:pPr>
      <w:r w:rsidRPr="0059512C">
        <w:rPr>
          <w:i/>
          <w:iCs/>
          <w:szCs w:val="22"/>
        </w:rPr>
        <w:t>Paper Filers</w:t>
      </w:r>
      <w:r w:rsidRPr="0059512C">
        <w:rPr>
          <w:szCs w:val="22"/>
        </w:rPr>
        <w:t xml:space="preserve">: Parties who choose to file by paper must file an original and one copy of each filing.  </w:t>
      </w:r>
    </w:p>
    <w:p w:rsidR="00930909" w:rsidRPr="0059512C" w:rsidP="00930909">
      <w:pPr>
        <w:autoSpaceDE w:val="0"/>
        <w:autoSpaceDN w:val="0"/>
        <w:ind w:left="720"/>
        <w:rPr>
          <w:rFonts w:eastAsiaTheme="minorHAnsi"/>
          <w:szCs w:val="22"/>
        </w:rPr>
      </w:pPr>
    </w:p>
    <w:p w:rsidR="00930909" w:rsidRPr="0059512C" w:rsidP="00CE4C9A">
      <w:pPr>
        <w:widowControl/>
        <w:numPr>
          <w:ilvl w:val="1"/>
          <w:numId w:val="28"/>
        </w:numPr>
        <w:autoSpaceDE w:val="0"/>
        <w:autoSpaceDN w:val="0"/>
        <w:rPr>
          <w:szCs w:val="22"/>
        </w:rPr>
      </w:pPr>
      <w:r w:rsidRPr="0059512C">
        <w:rPr>
          <w:szCs w:val="22"/>
        </w:rPr>
        <w:t>Filings can be sent by commercial overnight courier or by first-class or ov</w:t>
      </w:r>
      <w:r w:rsidRPr="0059512C">
        <w:rPr>
          <w:szCs w:val="22"/>
        </w:rPr>
        <w:t>ernight U.S. Postal Service mail.</w:t>
      </w:r>
      <w:r>
        <w:rPr>
          <w:rStyle w:val="FootnoteReference"/>
          <w:sz w:val="22"/>
          <w:szCs w:val="22"/>
        </w:rPr>
        <w:footnoteReference w:id="224"/>
      </w:r>
      <w:r w:rsidRPr="0059512C">
        <w:rPr>
          <w:szCs w:val="22"/>
        </w:rPr>
        <w:t xml:space="preserve"> All filings must be addressed to the Commission’s Secretary, Office of the Secretary, Federal Communications Commission.</w:t>
      </w:r>
    </w:p>
    <w:p w:rsidR="00930909" w:rsidRPr="0059512C" w:rsidP="00930909">
      <w:pPr>
        <w:autoSpaceDE w:val="0"/>
        <w:autoSpaceDN w:val="0"/>
        <w:ind w:left="720"/>
        <w:rPr>
          <w:rFonts w:eastAsiaTheme="minorHAnsi"/>
          <w:szCs w:val="22"/>
        </w:rPr>
      </w:pPr>
    </w:p>
    <w:p w:rsidR="00930909" w:rsidRPr="0059512C" w:rsidP="00CE4C9A">
      <w:pPr>
        <w:widowControl/>
        <w:numPr>
          <w:ilvl w:val="1"/>
          <w:numId w:val="28"/>
        </w:numPr>
        <w:autoSpaceDE w:val="0"/>
        <w:autoSpaceDN w:val="0"/>
        <w:rPr>
          <w:szCs w:val="22"/>
        </w:rPr>
      </w:pPr>
      <w:r w:rsidRPr="0059512C">
        <w:rPr>
          <w:szCs w:val="22"/>
        </w:rPr>
        <w:t xml:space="preserve">Commercial overnight mail (other than U.S. Postal Service Express Mail and Priority Mail) must be </w:t>
      </w:r>
      <w:r w:rsidRPr="0059512C">
        <w:rPr>
          <w:szCs w:val="22"/>
        </w:rPr>
        <w:t>sent to 9050 Junction Drive, Annapolis Junction, MD 20701.</w:t>
      </w:r>
    </w:p>
    <w:p w:rsidR="00930909" w:rsidRPr="0059512C" w:rsidP="00930909">
      <w:pPr>
        <w:autoSpaceDE w:val="0"/>
        <w:autoSpaceDN w:val="0"/>
        <w:ind w:left="720"/>
        <w:rPr>
          <w:rFonts w:eastAsiaTheme="minorHAnsi"/>
          <w:szCs w:val="22"/>
        </w:rPr>
      </w:pPr>
    </w:p>
    <w:p w:rsidR="00930909" w:rsidRPr="0059512C" w:rsidP="00CE4C9A">
      <w:pPr>
        <w:widowControl/>
        <w:numPr>
          <w:ilvl w:val="1"/>
          <w:numId w:val="28"/>
        </w:numPr>
        <w:autoSpaceDE w:val="0"/>
        <w:autoSpaceDN w:val="0"/>
        <w:rPr>
          <w:szCs w:val="22"/>
        </w:rPr>
      </w:pPr>
      <w:r w:rsidRPr="0059512C">
        <w:rPr>
          <w:szCs w:val="22"/>
        </w:rPr>
        <w:t>U.S. Postal Service first-class, Express, and Priority mail must be addressed to 445 12</w:t>
      </w:r>
      <w:r w:rsidRPr="0059512C">
        <w:rPr>
          <w:szCs w:val="22"/>
          <w:vertAlign w:val="superscript"/>
        </w:rPr>
        <w:t>th</w:t>
      </w:r>
      <w:r w:rsidRPr="0059512C">
        <w:rPr>
          <w:szCs w:val="22"/>
        </w:rPr>
        <w:t xml:space="preserve"> Street, SW, Washington, DC 20554.</w:t>
      </w:r>
    </w:p>
    <w:p w:rsidR="00930909" w:rsidRPr="0059512C" w:rsidP="00930909">
      <w:pPr>
        <w:autoSpaceDE w:val="0"/>
        <w:autoSpaceDN w:val="0"/>
        <w:spacing w:after="120"/>
        <w:ind w:firstLine="720"/>
        <w:rPr>
          <w:rFonts w:eastAsiaTheme="minorHAnsi"/>
          <w:szCs w:val="22"/>
        </w:rPr>
      </w:pPr>
    </w:p>
    <w:p w:rsidR="00930909" w:rsidRPr="0060706A" w:rsidP="00930909">
      <w:r w:rsidRPr="0059512C">
        <w:rPr>
          <w:szCs w:val="22"/>
        </w:rPr>
        <w:t xml:space="preserve">People with Disabilities:  To request materials in accessible formats for people with disabilities (braille, large print, electronic files, audio format), send an e-mail to </w:t>
      </w:r>
      <w:hyperlink r:id="rId6" w:history="1">
        <w:r w:rsidRPr="0059512C">
          <w:rPr>
            <w:rStyle w:val="Hyperlink"/>
            <w:szCs w:val="22"/>
          </w:rPr>
          <w:t>fcc504@fcc.gov</w:t>
        </w:r>
      </w:hyperlink>
      <w:r w:rsidRPr="0059512C">
        <w:rPr>
          <w:szCs w:val="22"/>
        </w:rPr>
        <w:t xml:space="preserve"> or call the Consumer and Gover</w:t>
      </w:r>
      <w:r w:rsidRPr="0059512C">
        <w:rPr>
          <w:szCs w:val="22"/>
        </w:rPr>
        <w:t>nmental Affairs Bureau at 202-418-0530 (voice), 1-888-835-5322 (tty).</w:t>
      </w:r>
    </w:p>
    <w:p w:rsidR="00930909" w:rsidRPr="0059512C" w:rsidP="00F364EF">
      <w:pPr>
        <w:pStyle w:val="ParaNum"/>
        <w:numPr>
          <w:ilvl w:val="0"/>
          <w:numId w:val="0"/>
        </w:numPr>
        <w:ind w:left="720"/>
        <w:rPr>
          <w:szCs w:val="22"/>
        </w:rPr>
      </w:pPr>
    </w:p>
    <w:p w:rsidR="00874B4D" w:rsidRPr="0059512C" w:rsidP="00874B4D">
      <w:pPr>
        <w:pStyle w:val="ParaNum"/>
        <w:rPr>
          <w:szCs w:val="22"/>
        </w:rPr>
      </w:pPr>
      <w:r w:rsidRPr="0059512C">
        <w:rPr>
          <w:i/>
          <w:szCs w:val="22"/>
        </w:rPr>
        <w:t>Ex Parte</w:t>
      </w:r>
      <w:r w:rsidRPr="0059512C">
        <w:rPr>
          <w:szCs w:val="22"/>
        </w:rPr>
        <w:t xml:space="preserve"> </w:t>
      </w:r>
      <w:r w:rsidRPr="0059512C">
        <w:rPr>
          <w:i/>
          <w:szCs w:val="22"/>
        </w:rPr>
        <w:t>Information</w:t>
      </w:r>
      <w:r w:rsidRPr="0059512C">
        <w:rPr>
          <w:szCs w:val="22"/>
        </w:rPr>
        <w:t>.  This proceeding shall be treated as a permit-but-disclose proceeding in accordance with the Commission’s ex parte rules.  Persons making ex parte presentations mu</w:t>
      </w:r>
      <w:r w:rsidRPr="0059512C">
        <w:rPr>
          <w:szCs w:val="22"/>
        </w:rPr>
        <w:t>st file a copy of any written presentation or a memorandum summarizing any oral presentation within two business days after the presentation (unless a different deadline applicable to the Sunshine period applies).  Persons making oral ex parte presentation</w:t>
      </w:r>
      <w:r w:rsidRPr="0059512C">
        <w:rPr>
          <w:szCs w:val="22"/>
        </w:rPr>
        <w:t xml:space="preserve">s are reminded that memoranda summarizing the presentation must list all persons attending or otherwise participating in the meeting at which the ex parte presentation was made, and summarize all data presented and arguments made during the presentation.  </w:t>
      </w:r>
      <w:r w:rsidRPr="0059512C">
        <w:rPr>
          <w:szCs w:val="22"/>
        </w:rPr>
        <w:t>If the presentation consisted in whole or in part of the presentation of data or arguments already reflected in the presenter’s written comments, memoranda, or other filings in the proceeding, the presenter may provide citations to such data or arguments i</w:t>
      </w:r>
      <w:r w:rsidRPr="0059512C">
        <w:rPr>
          <w:szCs w:val="22"/>
        </w:rPr>
        <w:t>n his or her prior comments, memoranda, or other filings (specifying the relevant page and/or paragraph numbers where such data or arguments can be found) in lieu of summarizing them in the memorandum.  Documents shown or given to Commission staff during e</w:t>
      </w:r>
      <w:r w:rsidRPr="0059512C">
        <w:rPr>
          <w:szCs w:val="22"/>
        </w:rPr>
        <w:t>x parte meetings are deemed to be written ex parte presentations and must be filed consistent with section 1.1206(b) of the Commission’s rules.  In proceedings governed by section 1.49(f) of the Commission’s rules or for which the Commission has made avail</w:t>
      </w:r>
      <w:r w:rsidRPr="0059512C">
        <w:rPr>
          <w:szCs w:val="22"/>
        </w:rPr>
        <w:t xml:space="preserve">able a method of electronic filing, written ex parte presentations and memoranda summarizing oral ex parte presentations, and all attachments thereto, must be filed through the electronic comment filing system available for that </w:t>
      </w:r>
      <w:r w:rsidRPr="0059512C">
        <w:rPr>
          <w:szCs w:val="22"/>
        </w:rPr>
        <w:t>proceeding, and must be fil</w:t>
      </w:r>
      <w:r w:rsidRPr="0059512C">
        <w:rPr>
          <w:szCs w:val="22"/>
        </w:rPr>
        <w:t>ed in their native format (e.g., .doc, .xml, .ppt, searchable .pdf).  Participants in this proceeding should familiarize themselves with the Commission’s ex parte rules.</w:t>
      </w:r>
    </w:p>
    <w:p w:rsidR="00874B4D" w:rsidRPr="0060706A" w:rsidP="00874B4D">
      <w:pPr>
        <w:pStyle w:val="Heading1"/>
        <w:rPr>
          <w:rFonts w:ascii="Times New Roman" w:hAnsi="Times New Roman"/>
        </w:rPr>
      </w:pPr>
      <w:bookmarkStart w:id="478" w:name="_Toc16611326"/>
      <w:bookmarkStart w:id="479" w:name="_Toc17709355"/>
      <w:bookmarkStart w:id="480" w:name="_Toc17972534"/>
      <w:bookmarkStart w:id="481" w:name="_Toc18066949"/>
      <w:bookmarkStart w:id="482" w:name="_Toc18939808"/>
      <w:bookmarkStart w:id="483" w:name="_Toc19795120"/>
      <w:bookmarkStart w:id="484" w:name="_Toc19796485"/>
      <w:bookmarkStart w:id="485" w:name="_Toc19796843"/>
      <w:bookmarkStart w:id="486" w:name="_Toc22299872"/>
      <w:bookmarkStart w:id="487" w:name="_Toc24453224"/>
      <w:bookmarkStart w:id="488" w:name="_Toc28005133"/>
      <w:bookmarkStart w:id="489" w:name="_Toc29557431"/>
      <w:bookmarkStart w:id="490" w:name="_Toc30085283"/>
      <w:bookmarkStart w:id="491" w:name="_Toc30085387"/>
      <w:bookmarkStart w:id="492" w:name="_Toc31033153"/>
      <w:bookmarkStart w:id="493" w:name="_Toc31288165"/>
      <w:bookmarkStart w:id="494" w:name="_Toc31980698"/>
      <w:bookmarkStart w:id="495" w:name="_Toc35268614"/>
      <w:bookmarkStart w:id="496" w:name="_Toc42256295"/>
      <w:bookmarkStart w:id="497" w:name="_Toc44581660"/>
      <w:r w:rsidRPr="0060706A">
        <w:rPr>
          <w:rFonts w:ascii="Times New Roman" w:hAnsi="Times New Roman"/>
        </w:rPr>
        <w:t>Ordering clause</w:t>
      </w:r>
      <w:r w:rsidRPr="0060706A" w:rsidR="007032FD">
        <w:rPr>
          <w:rFonts w:ascii="Times New Roman" w:hAnsi="Times New Roman"/>
        </w:rPr>
        <w: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417D9A" w:rsidRPr="0059512C" w:rsidP="00BD386F">
      <w:pPr>
        <w:pStyle w:val="ParaNum"/>
        <w:rPr>
          <w:szCs w:val="22"/>
        </w:rPr>
      </w:pPr>
      <w:r w:rsidRPr="0059512C">
        <w:rPr>
          <w:szCs w:val="22"/>
        </w:rPr>
        <w:t xml:space="preserve">Accordingly, </w:t>
      </w:r>
      <w:r w:rsidRPr="0059512C">
        <w:rPr>
          <w:b/>
          <w:szCs w:val="22"/>
        </w:rPr>
        <w:t>IT IS ORDERED</w:t>
      </w:r>
      <w:r w:rsidRPr="0059512C">
        <w:rPr>
          <w:szCs w:val="22"/>
        </w:rPr>
        <w:t xml:space="preserve"> that, pursuant to </w:t>
      </w:r>
      <w:r w:rsidRPr="0059512C" w:rsidR="00C47575">
        <w:rPr>
          <w:szCs w:val="22"/>
        </w:rPr>
        <w:t>s</w:t>
      </w:r>
      <w:r w:rsidRPr="0059512C" w:rsidR="007032FD">
        <w:rPr>
          <w:szCs w:val="22"/>
        </w:rPr>
        <w:t xml:space="preserve">ection 8 </w:t>
      </w:r>
      <w:r w:rsidRPr="0059512C">
        <w:rPr>
          <w:szCs w:val="22"/>
        </w:rPr>
        <w:t xml:space="preserve">of the Communications Act of 1934, as amended, 47 U.S.C. </w:t>
      </w:r>
      <w:r w:rsidRPr="0059512C" w:rsidR="007032FD">
        <w:rPr>
          <w:szCs w:val="22"/>
        </w:rPr>
        <w:t>§ 158</w:t>
      </w:r>
      <w:r w:rsidRPr="0059512C">
        <w:rPr>
          <w:szCs w:val="22"/>
        </w:rPr>
        <w:t xml:space="preserve">, this Notice of Proposed Rulemaking </w:t>
      </w:r>
      <w:r w:rsidRPr="0059512C">
        <w:rPr>
          <w:b/>
          <w:szCs w:val="22"/>
        </w:rPr>
        <w:t>IS HEREBY ADOPTED</w:t>
      </w:r>
      <w:r w:rsidRPr="0059512C">
        <w:rPr>
          <w:szCs w:val="22"/>
        </w:rPr>
        <w:t>.</w:t>
      </w:r>
    </w:p>
    <w:p w:rsidR="00026F62" w:rsidRPr="0059512C" w:rsidP="00874B4D">
      <w:pPr>
        <w:pStyle w:val="ParaNum"/>
        <w:rPr>
          <w:szCs w:val="22"/>
        </w:rPr>
      </w:pPr>
      <w:r w:rsidRPr="0059512C">
        <w:rPr>
          <w:b/>
          <w:szCs w:val="22"/>
        </w:rPr>
        <w:t xml:space="preserve">IT IS FURTHER ORDERED </w:t>
      </w:r>
      <w:r w:rsidRPr="0059512C">
        <w:rPr>
          <w:szCs w:val="22"/>
        </w:rPr>
        <w:t>that the Commission’s Consumer and Governmental Affairs Bureau, Reference Information Center, SHALL SEND a copy of t</w:t>
      </w:r>
      <w:r w:rsidRPr="0059512C">
        <w:rPr>
          <w:szCs w:val="22"/>
        </w:rPr>
        <w:t>his Notice of Proposed Rulemaking, including the Initial Regulatory Flexibility Analysis, to the Chief Counsel for Advocacy of the Small Business Administration.</w:t>
      </w:r>
    </w:p>
    <w:p w:rsidR="00874B4D" w:rsidRPr="0060706A" w:rsidP="00874B4D">
      <w:pPr>
        <w:pStyle w:val="Heading1"/>
        <w:numPr>
          <w:ilvl w:val="0"/>
          <w:numId w:val="0"/>
        </w:numPr>
        <w:ind w:left="720" w:hanging="720"/>
        <w:rPr>
          <w:rFonts w:ascii="Times New Roman" w:hAnsi="Times New Roman"/>
        </w:rPr>
      </w:pPr>
    </w:p>
    <w:p w:rsidR="00874B4D" w:rsidRPr="0059512C" w:rsidP="00874B4D">
      <w:pPr>
        <w:rPr>
          <w:szCs w:val="22"/>
        </w:rPr>
      </w:pPr>
      <w:r w:rsidRPr="0059512C">
        <w:rPr>
          <w:szCs w:val="22"/>
        </w:rPr>
        <w:tab/>
      </w:r>
      <w:r w:rsidRPr="0059512C">
        <w:rPr>
          <w:szCs w:val="22"/>
        </w:rPr>
        <w:tab/>
      </w:r>
      <w:r w:rsidRPr="0059512C">
        <w:rPr>
          <w:szCs w:val="22"/>
        </w:rPr>
        <w:tab/>
      </w:r>
      <w:r w:rsidRPr="0059512C">
        <w:rPr>
          <w:szCs w:val="22"/>
        </w:rPr>
        <w:tab/>
      </w:r>
      <w:r w:rsidRPr="0059512C">
        <w:rPr>
          <w:szCs w:val="22"/>
        </w:rPr>
        <w:tab/>
      </w:r>
      <w:r w:rsidRPr="0059512C">
        <w:rPr>
          <w:szCs w:val="22"/>
        </w:rPr>
        <w:tab/>
        <w:t>FEDERAL COMMUNICATIONS COMMISSION</w:t>
      </w:r>
    </w:p>
    <w:p w:rsidR="00874B4D" w:rsidP="00874B4D">
      <w:pPr>
        <w:rPr>
          <w:szCs w:val="22"/>
        </w:rPr>
      </w:pPr>
    </w:p>
    <w:p w:rsidR="00CE4C9A" w:rsidRPr="0059512C" w:rsidP="00874B4D">
      <w:pPr>
        <w:rPr>
          <w:szCs w:val="22"/>
        </w:rPr>
      </w:pPr>
    </w:p>
    <w:p w:rsidR="00874B4D" w:rsidRPr="0059512C" w:rsidP="00874B4D">
      <w:pPr>
        <w:rPr>
          <w:szCs w:val="22"/>
        </w:rPr>
      </w:pPr>
    </w:p>
    <w:p w:rsidR="00874B4D" w:rsidRPr="0059512C" w:rsidP="00874B4D">
      <w:pPr>
        <w:rPr>
          <w:szCs w:val="22"/>
        </w:rPr>
      </w:pPr>
    </w:p>
    <w:p w:rsidR="00874B4D" w:rsidRPr="0059512C" w:rsidP="00874B4D">
      <w:pPr>
        <w:rPr>
          <w:szCs w:val="22"/>
        </w:rPr>
      </w:pPr>
      <w:r w:rsidRPr="0059512C">
        <w:rPr>
          <w:szCs w:val="22"/>
        </w:rPr>
        <w:tab/>
      </w:r>
      <w:r w:rsidRPr="0059512C">
        <w:rPr>
          <w:szCs w:val="22"/>
        </w:rPr>
        <w:tab/>
      </w:r>
      <w:r w:rsidRPr="0059512C">
        <w:rPr>
          <w:szCs w:val="22"/>
        </w:rPr>
        <w:tab/>
      </w:r>
      <w:r w:rsidRPr="0059512C">
        <w:rPr>
          <w:szCs w:val="22"/>
        </w:rPr>
        <w:tab/>
      </w:r>
      <w:r w:rsidRPr="0059512C">
        <w:rPr>
          <w:szCs w:val="22"/>
        </w:rPr>
        <w:tab/>
      </w:r>
      <w:r w:rsidRPr="0059512C">
        <w:rPr>
          <w:szCs w:val="22"/>
        </w:rPr>
        <w:tab/>
        <w:t>Marlene H. Dortch</w:t>
      </w:r>
    </w:p>
    <w:p w:rsidR="00650014" w:rsidRPr="0059512C" w:rsidP="000266FD">
      <w:pPr>
        <w:rPr>
          <w:szCs w:val="22"/>
        </w:rPr>
      </w:pPr>
      <w:r w:rsidRPr="0059512C">
        <w:rPr>
          <w:szCs w:val="22"/>
        </w:rPr>
        <w:tab/>
      </w:r>
      <w:r w:rsidRPr="0059512C">
        <w:rPr>
          <w:szCs w:val="22"/>
        </w:rPr>
        <w:tab/>
      </w:r>
      <w:r w:rsidRPr="0059512C">
        <w:rPr>
          <w:szCs w:val="22"/>
        </w:rPr>
        <w:tab/>
      </w:r>
      <w:r w:rsidRPr="0059512C">
        <w:rPr>
          <w:szCs w:val="22"/>
        </w:rPr>
        <w:tab/>
      </w:r>
      <w:r w:rsidRPr="0059512C">
        <w:rPr>
          <w:szCs w:val="22"/>
        </w:rPr>
        <w:tab/>
      </w:r>
      <w:r w:rsidRPr="0059512C">
        <w:rPr>
          <w:szCs w:val="22"/>
        </w:rPr>
        <w:tab/>
        <w:t>Secretary</w:t>
      </w:r>
      <w:r w:rsidRPr="0059512C">
        <w:rPr>
          <w:szCs w:val="22"/>
        </w:rPr>
        <w:br w:type="page"/>
      </w:r>
    </w:p>
    <w:p w:rsidR="00650014" w:rsidRPr="0059512C" w:rsidP="00650014">
      <w:pPr>
        <w:rPr>
          <w:szCs w:val="22"/>
        </w:rPr>
      </w:pPr>
    </w:p>
    <w:p w:rsidR="00874B4D" w:rsidRPr="0059512C">
      <w:pPr>
        <w:jc w:val="center"/>
        <w:rPr>
          <w:b/>
          <w:szCs w:val="22"/>
        </w:rPr>
      </w:pPr>
      <w:r w:rsidRPr="0059512C">
        <w:rPr>
          <w:b/>
          <w:szCs w:val="22"/>
        </w:rPr>
        <w:t>A</w:t>
      </w:r>
      <w:r w:rsidRPr="0059512C">
        <w:rPr>
          <w:b/>
          <w:szCs w:val="22"/>
        </w:rPr>
        <w:t>PPENDIX A</w:t>
      </w:r>
    </w:p>
    <w:p w:rsidR="00ED4E25" w:rsidRPr="0059512C">
      <w:pPr>
        <w:tabs>
          <w:tab w:val="left" w:pos="3629"/>
        </w:tabs>
        <w:jc w:val="center"/>
        <w:rPr>
          <w:b/>
          <w:szCs w:val="22"/>
        </w:rPr>
      </w:pPr>
    </w:p>
    <w:p w:rsidR="00ED5194" w:rsidRPr="0059512C" w:rsidP="00B13758">
      <w:pPr>
        <w:jc w:val="center"/>
        <w:rPr>
          <w:b/>
          <w:bCs/>
          <w:szCs w:val="22"/>
        </w:rPr>
      </w:pPr>
      <w:r w:rsidRPr="0059512C">
        <w:rPr>
          <w:b/>
          <w:bCs/>
          <w:szCs w:val="22"/>
        </w:rPr>
        <w:t>Proposed Rules</w:t>
      </w:r>
    </w:p>
    <w:p w:rsidR="00ED5194" w:rsidRPr="0059512C" w:rsidP="00B13758">
      <w:pPr>
        <w:jc w:val="center"/>
        <w:rPr>
          <w:b/>
          <w:bCs/>
          <w:szCs w:val="22"/>
        </w:rPr>
      </w:pPr>
    </w:p>
    <w:p w:rsidR="00ED5194" w:rsidRPr="0059512C" w:rsidP="00B13758">
      <w:pPr>
        <w:jc w:val="center"/>
        <w:rPr>
          <w:b/>
          <w:bCs/>
          <w:szCs w:val="22"/>
        </w:rPr>
      </w:pPr>
    </w:p>
    <w:p w:rsidR="00ED5194" w:rsidRPr="0059512C" w:rsidP="00ED5194">
      <w:pPr>
        <w:rPr>
          <w:szCs w:val="22"/>
        </w:rPr>
      </w:pPr>
      <w:r w:rsidRPr="0059512C">
        <w:rPr>
          <w:szCs w:val="22"/>
        </w:rPr>
        <w:t>Part 1 of Title 47 of the Code of Federal Regulations is amended to read as follows:</w:t>
      </w:r>
    </w:p>
    <w:p w:rsidR="00ED5194" w:rsidRPr="0059512C" w:rsidP="00ED5194">
      <w:pPr>
        <w:rPr>
          <w:szCs w:val="22"/>
        </w:rPr>
      </w:pPr>
    </w:p>
    <w:p w:rsidR="009478E3" w:rsidRPr="0059512C" w:rsidP="006974D3">
      <w:pPr>
        <w:rPr>
          <w:b/>
          <w:szCs w:val="22"/>
        </w:rPr>
      </w:pPr>
      <w:r w:rsidRPr="0059512C">
        <w:rPr>
          <w:b/>
          <w:szCs w:val="22"/>
        </w:rPr>
        <w:t>PART 1</w:t>
      </w:r>
      <w:r w:rsidRPr="0059512C">
        <w:rPr>
          <w:szCs w:val="22"/>
        </w:rPr>
        <w:t xml:space="preserve"> – </w:t>
      </w:r>
      <w:r w:rsidRPr="0059512C">
        <w:rPr>
          <w:b/>
          <w:szCs w:val="22"/>
        </w:rPr>
        <w:t>PRACTICE AND PROCEDURE</w:t>
      </w:r>
    </w:p>
    <w:p w:rsidR="009478E3" w:rsidRPr="0059512C" w:rsidP="006974D3">
      <w:pPr>
        <w:rPr>
          <w:b/>
          <w:szCs w:val="22"/>
        </w:rPr>
      </w:pPr>
    </w:p>
    <w:p w:rsidR="00ED5194" w:rsidRPr="0059512C" w:rsidP="006974D3">
      <w:pPr>
        <w:rPr>
          <w:szCs w:val="22"/>
        </w:rPr>
      </w:pPr>
      <w:r w:rsidRPr="0059512C">
        <w:rPr>
          <w:b/>
          <w:szCs w:val="22"/>
        </w:rPr>
        <w:t>The authority citation for Part 1 continues to read as follows:</w:t>
      </w:r>
    </w:p>
    <w:p w:rsidR="00ED5194" w:rsidRPr="0059512C" w:rsidP="00ED5194">
      <w:pPr>
        <w:pStyle w:val="ListParagraph"/>
        <w:ind w:left="690"/>
        <w:rPr>
          <w:b/>
          <w:szCs w:val="22"/>
        </w:rPr>
      </w:pPr>
    </w:p>
    <w:p w:rsidR="009478E3" w:rsidRPr="0060706A" w:rsidP="006974D3">
      <w:pPr>
        <w:pStyle w:val="ParaNum"/>
        <w:numPr>
          <w:ilvl w:val="0"/>
          <w:numId w:val="0"/>
        </w:numPr>
        <w:tabs>
          <w:tab w:val="left" w:pos="720"/>
        </w:tabs>
        <w:spacing w:after="0" w:line="480" w:lineRule="auto"/>
      </w:pPr>
      <w:r w:rsidRPr="0059512C">
        <w:rPr>
          <w:szCs w:val="22"/>
        </w:rPr>
        <w:t xml:space="preserve">Authority:  47 U.S.C. §§ 151, 154(i), </w:t>
      </w:r>
      <w:r w:rsidRPr="0059512C">
        <w:rPr>
          <w:szCs w:val="22"/>
        </w:rPr>
        <w:t>154(j), 155, 157, 225, 227, 303(r), 309, 1403, 1404, 1451, and 1452.</w:t>
      </w:r>
      <w:r w:rsidRPr="0060706A" w:rsidR="00157FB1">
        <w:t xml:space="preserve"> </w:t>
      </w:r>
    </w:p>
    <w:p w:rsidR="009478E3" w:rsidRPr="0059512C" w:rsidP="006974D3">
      <w:pPr>
        <w:pStyle w:val="ParaNum"/>
        <w:numPr>
          <w:ilvl w:val="0"/>
          <w:numId w:val="0"/>
        </w:numPr>
        <w:tabs>
          <w:tab w:val="left" w:pos="720"/>
        </w:tabs>
        <w:spacing w:after="0" w:line="480" w:lineRule="auto"/>
        <w:rPr>
          <w:szCs w:val="22"/>
        </w:rPr>
      </w:pPr>
      <w:r w:rsidRPr="0059512C">
        <w:rPr>
          <w:szCs w:val="22"/>
        </w:rPr>
        <w:t>2.  Section 1.767(e) of the Commission’s rules is revised to read as follows:</w:t>
      </w:r>
    </w:p>
    <w:p w:rsidR="009478E3" w:rsidRPr="0059512C" w:rsidP="006974D3">
      <w:pPr>
        <w:pStyle w:val="ParaNum"/>
        <w:numPr>
          <w:ilvl w:val="0"/>
          <w:numId w:val="0"/>
        </w:numPr>
        <w:tabs>
          <w:tab w:val="left" w:pos="720"/>
        </w:tabs>
        <w:spacing w:after="0" w:line="480" w:lineRule="auto"/>
        <w:rPr>
          <w:szCs w:val="22"/>
        </w:rPr>
      </w:pPr>
      <w:r w:rsidRPr="0059512C">
        <w:rPr>
          <w:szCs w:val="22"/>
        </w:rPr>
        <w:t>§ 1.1101 Cable landing licenses.</w:t>
      </w:r>
    </w:p>
    <w:p w:rsidR="009478E3" w:rsidRPr="0059512C" w:rsidP="006974D3">
      <w:pPr>
        <w:pStyle w:val="ParaNum"/>
        <w:numPr>
          <w:ilvl w:val="0"/>
          <w:numId w:val="0"/>
        </w:numPr>
        <w:tabs>
          <w:tab w:val="left" w:pos="720"/>
        </w:tabs>
        <w:spacing w:after="0" w:line="480" w:lineRule="auto"/>
        <w:rPr>
          <w:szCs w:val="22"/>
        </w:rPr>
      </w:pPr>
      <w:r w:rsidRPr="0059512C">
        <w:rPr>
          <w:szCs w:val="22"/>
        </w:rPr>
        <w:t>*****</w:t>
      </w:r>
    </w:p>
    <w:p w:rsidR="009478E3" w:rsidRPr="0059512C" w:rsidP="006974D3">
      <w:pPr>
        <w:pStyle w:val="ParaNum"/>
        <w:numPr>
          <w:ilvl w:val="0"/>
          <w:numId w:val="0"/>
        </w:numPr>
        <w:tabs>
          <w:tab w:val="left" w:pos="720"/>
        </w:tabs>
        <w:spacing w:after="0" w:line="480" w:lineRule="auto"/>
        <w:rPr>
          <w:szCs w:val="22"/>
        </w:rPr>
      </w:pPr>
      <w:r w:rsidRPr="0059512C">
        <w:rPr>
          <w:szCs w:val="22"/>
        </w:rPr>
        <w:t>(e) A separate application shall be filed with respect to each indivi</w:t>
      </w:r>
      <w:r w:rsidRPr="0059512C">
        <w:rPr>
          <w:szCs w:val="22"/>
        </w:rPr>
        <w:t xml:space="preserve">dual cable system for which a license is requested or </w:t>
      </w:r>
      <w:r w:rsidRPr="0059512C" w:rsidR="00102187">
        <w:rPr>
          <w:szCs w:val="22"/>
        </w:rPr>
        <w:t xml:space="preserve">a </w:t>
      </w:r>
      <w:r w:rsidRPr="0059512C">
        <w:rPr>
          <w:szCs w:val="22"/>
        </w:rPr>
        <w:t>modification</w:t>
      </w:r>
      <w:r w:rsidR="0070042A">
        <w:rPr>
          <w:szCs w:val="22"/>
        </w:rPr>
        <w:t xml:space="preserve"> of the cable system</w:t>
      </w:r>
      <w:r w:rsidRPr="0059512C" w:rsidR="00102187">
        <w:rPr>
          <w:szCs w:val="22"/>
        </w:rPr>
        <w:t xml:space="preserve">, </w:t>
      </w:r>
      <w:r w:rsidRPr="0060706A" w:rsidR="00102187">
        <w:t>renewal, or extension</w:t>
      </w:r>
      <w:r w:rsidRPr="0059512C">
        <w:rPr>
          <w:szCs w:val="22"/>
        </w:rPr>
        <w:t xml:space="preserve"> of an existing license is requested.  Applicants for common carrier cable landing licenses shall also separately file an international section 2</w:t>
      </w:r>
      <w:r w:rsidRPr="0059512C">
        <w:rPr>
          <w:szCs w:val="22"/>
        </w:rPr>
        <w:t>14 authorization for overseas cable construction.</w:t>
      </w:r>
    </w:p>
    <w:p w:rsidR="009478E3" w:rsidRPr="0059512C" w:rsidP="006974D3">
      <w:pPr>
        <w:pStyle w:val="ParaNum"/>
        <w:numPr>
          <w:ilvl w:val="0"/>
          <w:numId w:val="0"/>
        </w:numPr>
        <w:tabs>
          <w:tab w:val="left" w:pos="720"/>
        </w:tabs>
        <w:spacing w:after="0" w:line="480" w:lineRule="auto"/>
        <w:rPr>
          <w:szCs w:val="22"/>
        </w:rPr>
      </w:pPr>
      <w:r w:rsidRPr="0059512C">
        <w:rPr>
          <w:szCs w:val="22"/>
        </w:rPr>
        <w:t>*****</w:t>
      </w:r>
    </w:p>
    <w:p w:rsidR="00157FB1" w:rsidRPr="0059512C" w:rsidP="006974D3">
      <w:pPr>
        <w:pStyle w:val="ParaNum"/>
        <w:numPr>
          <w:ilvl w:val="0"/>
          <w:numId w:val="0"/>
        </w:numPr>
        <w:tabs>
          <w:tab w:val="left" w:pos="720"/>
        </w:tabs>
        <w:spacing w:after="0" w:line="480" w:lineRule="auto"/>
        <w:rPr>
          <w:szCs w:val="22"/>
        </w:rPr>
      </w:pPr>
      <w:r w:rsidRPr="0059512C">
        <w:rPr>
          <w:szCs w:val="22"/>
        </w:rPr>
        <w:t>3</w:t>
      </w:r>
      <w:r w:rsidRPr="0059512C" w:rsidR="00725630">
        <w:rPr>
          <w:szCs w:val="22"/>
        </w:rPr>
        <w:t xml:space="preserve">.  </w:t>
      </w:r>
      <w:r w:rsidRPr="0059512C">
        <w:rPr>
          <w:szCs w:val="22"/>
        </w:rPr>
        <w:t xml:space="preserve">Section 1.1101 of the Commission’s rules is revised to read as follows: </w:t>
      </w:r>
    </w:p>
    <w:p w:rsidR="00157FB1" w:rsidRPr="0059512C" w:rsidP="00157FB1">
      <w:pPr>
        <w:rPr>
          <w:b/>
          <w:szCs w:val="22"/>
        </w:rPr>
      </w:pPr>
    </w:p>
    <w:p w:rsidR="00157FB1" w:rsidRPr="0059512C" w:rsidP="00725630">
      <w:pPr>
        <w:rPr>
          <w:b/>
          <w:bCs/>
          <w:szCs w:val="22"/>
        </w:rPr>
      </w:pPr>
      <w:r w:rsidRPr="0059512C">
        <w:rPr>
          <w:b/>
          <w:bCs/>
          <w:szCs w:val="22"/>
        </w:rPr>
        <w:t>§ 1.1101 Authority.</w:t>
      </w:r>
    </w:p>
    <w:p w:rsidR="00157FB1" w:rsidRPr="0059512C" w:rsidP="00157FB1">
      <w:pPr>
        <w:rPr>
          <w:szCs w:val="22"/>
        </w:rPr>
      </w:pPr>
    </w:p>
    <w:p w:rsidR="00157FB1" w:rsidRPr="0059512C" w:rsidP="00725630">
      <w:pPr>
        <w:rPr>
          <w:szCs w:val="22"/>
        </w:rPr>
      </w:pPr>
      <w:r w:rsidRPr="0059512C">
        <w:rPr>
          <w:szCs w:val="22"/>
        </w:rPr>
        <w:t xml:space="preserve">(a) Authority to impose and collect these charges is contained in section 8 of the </w:t>
      </w:r>
      <w:r w:rsidRPr="0059512C">
        <w:rPr>
          <w:szCs w:val="22"/>
        </w:rPr>
        <w:t xml:space="preserve">Communications Act, as amended by sections 102 and 103 of title I of the Consolidated Appropriations Act of 2018 (Pub. L. 115-141, 132 Stat. 1084), 47 U.S.C. §158, which directs the Commission to assess and collect application fees to recover the costs of </w:t>
      </w:r>
      <w:r w:rsidRPr="0059512C">
        <w:rPr>
          <w:szCs w:val="22"/>
        </w:rPr>
        <w:t>the Commission to process applications.   .</w:t>
      </w:r>
    </w:p>
    <w:p w:rsidR="00ED5194" w:rsidRPr="0059512C" w:rsidP="006974D3">
      <w:pPr>
        <w:rPr>
          <w:szCs w:val="22"/>
        </w:rPr>
      </w:pPr>
      <w:r w:rsidRPr="0059512C">
        <w:rPr>
          <w:szCs w:val="22"/>
        </w:rPr>
        <w:t>3.Section 1.1102 is revised to read as follows:</w:t>
      </w:r>
    </w:p>
    <w:p w:rsidR="00ED5194" w:rsidRPr="0059512C" w:rsidP="00ED5194">
      <w:pPr>
        <w:ind w:left="360"/>
        <w:rPr>
          <w:b/>
          <w:szCs w:val="22"/>
        </w:rPr>
      </w:pPr>
    </w:p>
    <w:p w:rsidR="00ED5194" w:rsidRPr="0059512C" w:rsidP="006974D3">
      <w:pPr>
        <w:ind w:right="-180"/>
        <w:rPr>
          <w:bCs/>
          <w:szCs w:val="22"/>
          <w:u w:val="single"/>
        </w:rPr>
      </w:pPr>
      <w:r w:rsidRPr="0059512C">
        <w:rPr>
          <w:bCs/>
          <w:szCs w:val="22"/>
          <w:u w:val="single"/>
        </w:rPr>
        <w:t>§1.1102 Schedule of charges for applications and other filings in the wireless telecommunications services</w:t>
      </w:r>
      <w:r w:rsidRPr="0059512C">
        <w:rPr>
          <w:bCs/>
          <w:szCs w:val="22"/>
        </w:rPr>
        <w:t>.</w:t>
      </w:r>
      <w:r w:rsidRPr="0059512C">
        <w:rPr>
          <w:bCs/>
          <w:szCs w:val="22"/>
          <w:u w:val="single"/>
        </w:rPr>
        <w:t xml:space="preserve"> </w:t>
      </w:r>
    </w:p>
    <w:p w:rsidR="00ED5194" w:rsidRPr="0059512C" w:rsidP="00ED5194">
      <w:pPr>
        <w:rPr>
          <w:b/>
          <w:szCs w:val="22"/>
        </w:rPr>
      </w:pPr>
    </w:p>
    <w:p w:rsidR="00ED5194" w:rsidRPr="0059512C" w:rsidP="00ED5194">
      <w:pPr>
        <w:ind w:left="360"/>
        <w:rPr>
          <w:bCs/>
          <w:szCs w:val="22"/>
        </w:rPr>
      </w:pPr>
    </w:p>
    <w:p w:rsidR="00157FB1" w:rsidRPr="0059512C" w:rsidP="00725630">
      <w:pPr>
        <w:rPr>
          <w:szCs w:val="22"/>
        </w:rPr>
      </w:pPr>
      <w:r w:rsidRPr="0059512C">
        <w:rPr>
          <w:szCs w:val="22"/>
        </w:rPr>
        <w:t>In the table below, the amounts appearing in the col</w:t>
      </w:r>
      <w:r w:rsidRPr="0059512C">
        <w:rPr>
          <w:szCs w:val="22"/>
        </w:rPr>
        <w:t xml:space="preserve">umn labeled “Fee Amount” are for application fees only. Those services designated in the table below with an asterisk (*) in the column labeled “Payment Type Code” also have associated regulatory fees that must be paid at the same time the application fee </w:t>
      </w:r>
      <w:r w:rsidRPr="0059512C">
        <w:rPr>
          <w:szCs w:val="22"/>
        </w:rPr>
        <w:t>is paid. Please refer to the FY ______ Wireless Telecommunications Fee Filing Guide (updated and effective ______) for the corresponding regulatory fee amount located at https://www.fcc.gov/document/wtb-fee-filing-guide-effective-______________. For additi</w:t>
      </w:r>
      <w:r w:rsidRPr="0059512C">
        <w:rPr>
          <w:szCs w:val="22"/>
        </w:rPr>
        <w:t xml:space="preserve">onal guidance, please refer to </w:t>
      </w:r>
      <w:hyperlink r:id="rId7" w:history="1">
        <w:r w:rsidRPr="0059512C">
          <w:rPr>
            <w:color w:val="0000FF"/>
            <w:szCs w:val="22"/>
            <w:u w:val="single"/>
          </w:rPr>
          <w:t>§ 1.1152</w:t>
        </w:r>
      </w:hyperlink>
      <w:r w:rsidRPr="0059512C">
        <w:rPr>
          <w:szCs w:val="22"/>
        </w:rPr>
        <w:t xml:space="preserve">. Payment can be made electronically using the Commission's electronic filing and payment system “Fee Filer” (www.fcc.gov/feefiler). Remit manual filings and/or payments for these </w:t>
      </w:r>
      <w:r w:rsidRPr="0059512C">
        <w:rPr>
          <w:szCs w:val="22"/>
        </w:rPr>
        <w:t>services to: Federal Communica</w:t>
      </w:r>
      <w:r w:rsidRPr="0059512C">
        <w:rPr>
          <w:szCs w:val="22"/>
        </w:rPr>
        <w:t>tions Commission, Wireless Bureau Applications, P.O. Box 979097, St. Louis, MO 63197–9000.</w:t>
      </w:r>
    </w:p>
    <w:p w:rsidR="00ED5194" w:rsidRPr="0059512C" w:rsidP="00ED5194">
      <w:pPr>
        <w:ind w:left="360" w:right="-180"/>
        <w:jc w:val="center"/>
        <w:rPr>
          <w:b/>
          <w:bCs/>
          <w:szCs w:val="22"/>
        </w:rPr>
      </w:pPr>
    </w:p>
    <w:p w:rsidR="00ED5194" w:rsidRPr="0059512C" w:rsidP="00ED5194">
      <w:pPr>
        <w:ind w:left="360" w:right="-180"/>
        <w:rPr>
          <w:bCs/>
          <w:szCs w:val="22"/>
        </w:rPr>
      </w:pPr>
    </w:p>
    <w:tbl>
      <w:tblPr>
        <w:tblW w:w="7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3716"/>
        <w:gridCol w:w="1322"/>
        <w:gridCol w:w="1322"/>
        <w:gridCol w:w="1322"/>
      </w:tblGrid>
      <w:tr w:rsidTr="001B3814">
        <w:tblPrEx>
          <w:tblW w:w="7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Ex>
        <w:trPr>
          <w:trHeight w:val="577"/>
          <w:tblHeader/>
        </w:trPr>
        <w:tc>
          <w:tcPr>
            <w:tcW w:w="3716" w:type="dxa"/>
            <w:shd w:val="clear" w:color="auto" w:fill="auto"/>
            <w:vAlign w:val="center"/>
          </w:tcPr>
          <w:p w:rsidR="00ED5194" w:rsidRPr="0060706A" w:rsidP="001B3814">
            <w:pPr>
              <w:autoSpaceDE w:val="0"/>
              <w:autoSpaceDN w:val="0"/>
              <w:adjustRightInd w:val="0"/>
              <w:jc w:val="center"/>
              <w:rPr>
                <w:b/>
              </w:rPr>
            </w:pPr>
            <w:r w:rsidRPr="0060706A">
              <w:rPr>
                <w:b/>
              </w:rPr>
              <w:t>Service</w:t>
            </w:r>
          </w:p>
        </w:tc>
        <w:tc>
          <w:tcPr>
            <w:tcW w:w="1322" w:type="dxa"/>
          </w:tcPr>
          <w:p w:rsidR="00ED5194" w:rsidRPr="0060706A" w:rsidP="001B3814">
            <w:pPr>
              <w:autoSpaceDE w:val="0"/>
              <w:autoSpaceDN w:val="0"/>
              <w:adjustRightInd w:val="0"/>
              <w:jc w:val="center"/>
              <w:rPr>
                <w:b/>
              </w:rPr>
            </w:pPr>
            <w:r w:rsidRPr="0060706A">
              <w:rPr>
                <w:b/>
              </w:rPr>
              <w:t>FCC Form No.</w:t>
            </w:r>
          </w:p>
        </w:tc>
        <w:tc>
          <w:tcPr>
            <w:tcW w:w="1322" w:type="dxa"/>
            <w:shd w:val="clear" w:color="auto" w:fill="auto"/>
            <w:vAlign w:val="center"/>
          </w:tcPr>
          <w:p w:rsidR="00ED5194" w:rsidRPr="0060706A" w:rsidP="001B3814">
            <w:pPr>
              <w:autoSpaceDE w:val="0"/>
              <w:autoSpaceDN w:val="0"/>
              <w:adjustRightInd w:val="0"/>
              <w:jc w:val="center"/>
              <w:rPr>
                <w:b/>
              </w:rPr>
            </w:pPr>
            <w:r w:rsidRPr="0060706A">
              <w:rPr>
                <w:b/>
              </w:rPr>
              <w:t>Fee</w:t>
            </w:r>
          </w:p>
          <w:p w:rsidR="00ED5194" w:rsidRPr="0060706A" w:rsidP="001B3814">
            <w:pPr>
              <w:autoSpaceDE w:val="0"/>
              <w:autoSpaceDN w:val="0"/>
              <w:adjustRightInd w:val="0"/>
              <w:jc w:val="center"/>
              <w:rPr>
                <w:b/>
              </w:rPr>
            </w:pPr>
            <w:r w:rsidRPr="0060706A">
              <w:rPr>
                <w:b/>
              </w:rPr>
              <w:t>Amount</w:t>
            </w:r>
          </w:p>
        </w:tc>
        <w:tc>
          <w:tcPr>
            <w:tcW w:w="1322" w:type="dxa"/>
          </w:tcPr>
          <w:p w:rsidR="00ED5194" w:rsidRPr="0060706A" w:rsidP="001B3814">
            <w:pPr>
              <w:autoSpaceDE w:val="0"/>
              <w:autoSpaceDN w:val="0"/>
              <w:adjustRightInd w:val="0"/>
              <w:jc w:val="center"/>
              <w:rPr>
                <w:b/>
              </w:rPr>
            </w:pPr>
            <w:r w:rsidRPr="0060706A">
              <w:rPr>
                <w:b/>
              </w:rPr>
              <w:t>Payment Type Code</w:t>
            </w:r>
          </w:p>
        </w:tc>
      </w:tr>
      <w:tr w:rsidTr="00B13758">
        <w:tblPrEx>
          <w:tblW w:w="7682" w:type="dxa"/>
          <w:tblCellMar>
            <w:left w:w="54" w:type="dxa"/>
            <w:right w:w="54" w:type="dxa"/>
          </w:tblCellMar>
          <w:tblLook w:val="0000"/>
        </w:tblPrEx>
        <w:trPr>
          <w:trHeight w:val="1115"/>
        </w:trPr>
        <w:tc>
          <w:tcPr>
            <w:tcW w:w="3716" w:type="dxa"/>
            <w:shd w:val="clear" w:color="auto" w:fill="auto"/>
          </w:tcPr>
          <w:p w:rsidR="008123E9" w:rsidRPr="0060706A" w:rsidP="008123E9">
            <w:pPr>
              <w:autoSpaceDE w:val="0"/>
              <w:autoSpaceDN w:val="0"/>
              <w:adjustRightInd w:val="0"/>
              <w:rPr>
                <w:b/>
              </w:rPr>
            </w:pPr>
            <w:r w:rsidRPr="0060706A">
              <w:rPr>
                <w:b/>
              </w:rPr>
              <w:t>1.  Site-Based Wireless Licenses</w:t>
            </w:r>
          </w:p>
          <w:p w:rsidR="008123E9" w:rsidRPr="0060706A" w:rsidP="008123E9">
            <w:pPr>
              <w:autoSpaceDE w:val="0"/>
              <w:autoSpaceDN w:val="0"/>
              <w:adjustRightInd w:val="0"/>
              <w:rPr>
                <w:b/>
              </w:rPr>
            </w:pPr>
            <w:r w:rsidRPr="0060706A">
              <w:t xml:space="preserve">  a. New; Major Modification</w:t>
            </w:r>
          </w:p>
        </w:tc>
        <w:tc>
          <w:tcPr>
            <w:tcW w:w="1322"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601 &amp; 159</w:t>
            </w:r>
          </w:p>
          <w:p w:rsidR="008123E9" w:rsidRPr="0060706A" w:rsidP="008123E9">
            <w:pPr>
              <w:autoSpaceDE w:val="0"/>
              <w:autoSpaceDN w:val="0"/>
              <w:adjustRightInd w:val="0"/>
              <w:ind w:hanging="54"/>
              <w:jc w:val="center"/>
            </w:pPr>
          </w:p>
        </w:tc>
        <w:tc>
          <w:tcPr>
            <w:tcW w:w="1322" w:type="dxa"/>
            <w:shd w:val="clear" w:color="auto" w:fill="auto"/>
          </w:tcPr>
          <w:p w:rsidR="008123E9" w:rsidRPr="0060706A">
            <w:pPr>
              <w:autoSpaceDE w:val="0"/>
              <w:autoSpaceDN w:val="0"/>
              <w:adjustRightInd w:val="0"/>
              <w:ind w:hanging="54"/>
              <w:jc w:val="center"/>
            </w:pPr>
          </w:p>
          <w:p w:rsidR="008123E9" w:rsidRPr="0060706A">
            <w:pPr>
              <w:autoSpaceDE w:val="0"/>
              <w:autoSpaceDN w:val="0"/>
              <w:adjustRightInd w:val="0"/>
              <w:ind w:hanging="54"/>
              <w:jc w:val="center"/>
            </w:pPr>
            <w:r w:rsidRPr="0060706A">
              <w:t>$190.00</w:t>
            </w:r>
          </w:p>
        </w:tc>
        <w:tc>
          <w:tcPr>
            <w:tcW w:w="1322" w:type="dxa"/>
          </w:tcPr>
          <w:p w:rsidR="008123E9" w:rsidRPr="0060706A" w:rsidP="008123E9">
            <w:pPr>
              <w:autoSpaceDE w:val="0"/>
              <w:autoSpaceDN w:val="0"/>
              <w:adjustRightInd w:val="0"/>
              <w:ind w:hanging="54"/>
              <w:jc w:val="center"/>
            </w:pPr>
          </w:p>
        </w:tc>
      </w:tr>
      <w:tr w:rsidTr="00B13758">
        <w:tblPrEx>
          <w:tblW w:w="7682" w:type="dxa"/>
          <w:tblCellMar>
            <w:left w:w="54" w:type="dxa"/>
            <w:right w:w="54" w:type="dxa"/>
          </w:tblCellMar>
          <w:tblLook w:val="0000"/>
        </w:tblPrEx>
        <w:trPr>
          <w:trHeight w:val="1070"/>
        </w:trPr>
        <w:tc>
          <w:tcPr>
            <w:tcW w:w="3716" w:type="dxa"/>
            <w:shd w:val="clear" w:color="auto" w:fill="auto"/>
          </w:tcPr>
          <w:p w:rsidR="008123E9" w:rsidRPr="0060706A" w:rsidP="008123E9">
            <w:pPr>
              <w:autoSpaceDE w:val="0"/>
              <w:autoSpaceDN w:val="0"/>
              <w:adjustRightInd w:val="0"/>
              <w:ind w:left="396" w:hanging="396"/>
            </w:pPr>
            <w:r w:rsidRPr="0060706A">
              <w:t xml:space="preserve">  b. Minor Modification</w:t>
            </w:r>
          </w:p>
          <w:p w:rsidR="008123E9" w:rsidRPr="0060706A" w:rsidP="008123E9">
            <w:pPr>
              <w:autoSpaceDE w:val="0"/>
              <w:autoSpaceDN w:val="0"/>
              <w:adjustRightInd w:val="0"/>
              <w:ind w:left="396" w:hanging="396"/>
            </w:pPr>
          </w:p>
        </w:tc>
        <w:tc>
          <w:tcPr>
            <w:tcW w:w="1322"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601 &amp; 159</w:t>
            </w:r>
          </w:p>
          <w:p w:rsidR="008123E9" w:rsidRPr="0060706A" w:rsidP="008123E9">
            <w:pPr>
              <w:autoSpaceDE w:val="0"/>
              <w:autoSpaceDN w:val="0"/>
              <w:adjustRightInd w:val="0"/>
              <w:jc w:val="center"/>
            </w:pPr>
          </w:p>
        </w:tc>
        <w:tc>
          <w:tcPr>
            <w:tcW w:w="1322" w:type="dxa"/>
            <w:shd w:val="clear" w:color="auto" w:fill="auto"/>
          </w:tcPr>
          <w:p w:rsidR="00EA3286" w:rsidP="00EA3286">
            <w:pPr>
              <w:autoSpaceDE w:val="0"/>
              <w:autoSpaceDN w:val="0"/>
              <w:adjustRightInd w:val="0"/>
              <w:jc w:val="center"/>
            </w:pPr>
          </w:p>
          <w:p w:rsidR="008123E9" w:rsidRPr="0060706A">
            <w:pPr>
              <w:autoSpaceDE w:val="0"/>
              <w:autoSpaceDN w:val="0"/>
              <w:adjustRightInd w:val="0"/>
              <w:jc w:val="center"/>
            </w:pPr>
            <w:r w:rsidRPr="0060706A">
              <w:t>$</w:t>
            </w:r>
            <w:r w:rsidR="003951F6">
              <w:t>5</w:t>
            </w:r>
            <w:r w:rsidRPr="002E374F">
              <w:t>0</w:t>
            </w:r>
            <w:r w:rsidRPr="0060706A">
              <w:t>.00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70"/>
        </w:trPr>
        <w:tc>
          <w:tcPr>
            <w:tcW w:w="3716" w:type="dxa"/>
            <w:shd w:val="clear" w:color="auto" w:fill="auto"/>
          </w:tcPr>
          <w:p w:rsidR="008123E9" w:rsidRPr="0060706A" w:rsidP="008123E9">
            <w:pPr>
              <w:autoSpaceDE w:val="0"/>
              <w:autoSpaceDN w:val="0"/>
              <w:adjustRightInd w:val="0"/>
              <w:ind w:left="396" w:hanging="396"/>
            </w:pPr>
            <w:r w:rsidRPr="0060706A">
              <w:t>c. Special Temporary Authority</w:t>
            </w:r>
          </w:p>
        </w:tc>
        <w:tc>
          <w:tcPr>
            <w:tcW w:w="1322"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601 &amp; 159</w:t>
            </w:r>
          </w:p>
          <w:p w:rsidR="008123E9" w:rsidRPr="0060706A" w:rsidP="008123E9">
            <w:pPr>
              <w:autoSpaceDE w:val="0"/>
              <w:autoSpaceDN w:val="0"/>
              <w:adjustRightInd w:val="0"/>
              <w:jc w:val="center"/>
            </w:pPr>
          </w:p>
        </w:tc>
        <w:tc>
          <w:tcPr>
            <w:tcW w:w="1322" w:type="dxa"/>
            <w:shd w:val="clear" w:color="auto" w:fill="auto"/>
          </w:tcPr>
          <w:p w:rsidR="00EA3286" w:rsidP="00EA3286">
            <w:pPr>
              <w:autoSpaceDE w:val="0"/>
              <w:autoSpaceDN w:val="0"/>
              <w:adjustRightInd w:val="0"/>
              <w:jc w:val="center"/>
            </w:pPr>
          </w:p>
          <w:p w:rsidR="008123E9" w:rsidRPr="0060706A">
            <w:pPr>
              <w:autoSpaceDE w:val="0"/>
              <w:autoSpaceDN w:val="0"/>
              <w:adjustRightInd w:val="0"/>
              <w:jc w:val="center"/>
            </w:pPr>
            <w:r w:rsidRPr="0060706A">
              <w:t>$135.00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70"/>
        </w:trPr>
        <w:tc>
          <w:tcPr>
            <w:tcW w:w="3716" w:type="dxa"/>
            <w:shd w:val="clear" w:color="auto" w:fill="auto"/>
          </w:tcPr>
          <w:p w:rsidR="008123E9" w:rsidRPr="0060706A" w:rsidP="008123E9">
            <w:pPr>
              <w:autoSpaceDE w:val="0"/>
              <w:autoSpaceDN w:val="0"/>
              <w:adjustRightInd w:val="0"/>
              <w:ind w:left="540" w:hanging="540"/>
            </w:pPr>
            <w:r w:rsidRPr="0060706A">
              <w:t xml:space="preserve">  d.  Assignment/Transfer of Control</w:t>
            </w:r>
          </w:p>
        </w:tc>
        <w:tc>
          <w:tcPr>
            <w:tcW w:w="1322"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603 &amp; 159</w:t>
            </w:r>
          </w:p>
        </w:tc>
        <w:tc>
          <w:tcPr>
            <w:tcW w:w="1322" w:type="dxa"/>
            <w:shd w:val="clear" w:color="auto" w:fill="auto"/>
          </w:tcPr>
          <w:p w:rsidR="00EA3286" w:rsidP="00EA3286">
            <w:pPr>
              <w:autoSpaceDE w:val="0"/>
              <w:autoSpaceDN w:val="0"/>
              <w:adjustRightInd w:val="0"/>
              <w:jc w:val="center"/>
            </w:pPr>
          </w:p>
          <w:p w:rsidR="008123E9" w:rsidRPr="0060706A">
            <w:pPr>
              <w:autoSpaceDE w:val="0"/>
              <w:autoSpaceDN w:val="0"/>
              <w:adjustRightInd w:val="0"/>
              <w:jc w:val="center"/>
            </w:pPr>
            <w:r w:rsidRPr="0060706A">
              <w:t>$</w:t>
            </w:r>
            <w:r w:rsidR="003951F6">
              <w:t>5</w:t>
            </w:r>
            <w:r w:rsidRPr="002E374F">
              <w:t>0</w:t>
            </w:r>
            <w:r w:rsidRPr="0060706A">
              <w:t>.00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70"/>
        </w:trPr>
        <w:tc>
          <w:tcPr>
            <w:tcW w:w="3716" w:type="dxa"/>
            <w:shd w:val="clear" w:color="auto" w:fill="auto"/>
          </w:tcPr>
          <w:p w:rsidR="008123E9" w:rsidRPr="0060706A" w:rsidP="008123E9">
            <w:pPr>
              <w:autoSpaceDE w:val="0"/>
              <w:autoSpaceDN w:val="0"/>
              <w:adjustRightInd w:val="0"/>
              <w:ind w:left="540" w:hanging="540"/>
            </w:pPr>
            <w:r w:rsidRPr="0060706A">
              <w:t xml:space="preserve">  e.  Renewal</w:t>
            </w:r>
          </w:p>
        </w:tc>
        <w:tc>
          <w:tcPr>
            <w:tcW w:w="1322"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601 &amp; 159</w:t>
            </w:r>
          </w:p>
          <w:p w:rsidR="008123E9" w:rsidRPr="0060706A" w:rsidP="008123E9">
            <w:pPr>
              <w:autoSpaceDE w:val="0"/>
              <w:autoSpaceDN w:val="0"/>
              <w:adjustRightInd w:val="0"/>
              <w:ind w:hanging="54"/>
              <w:jc w:val="center"/>
            </w:pPr>
          </w:p>
        </w:tc>
        <w:tc>
          <w:tcPr>
            <w:tcW w:w="1322" w:type="dxa"/>
            <w:shd w:val="clear" w:color="auto" w:fill="auto"/>
          </w:tcPr>
          <w:p w:rsidR="008123E9" w:rsidRPr="0060706A">
            <w:pPr>
              <w:autoSpaceDE w:val="0"/>
              <w:autoSpaceDN w:val="0"/>
              <w:adjustRightInd w:val="0"/>
              <w:ind w:hanging="54"/>
              <w:jc w:val="center"/>
            </w:pPr>
          </w:p>
          <w:p w:rsidR="008123E9" w:rsidRPr="0060706A">
            <w:pPr>
              <w:autoSpaceDE w:val="0"/>
              <w:autoSpaceDN w:val="0"/>
              <w:adjustRightInd w:val="0"/>
              <w:jc w:val="center"/>
            </w:pPr>
            <w:r w:rsidRPr="0060706A">
              <w:t>$</w:t>
            </w:r>
            <w:r w:rsidR="003951F6">
              <w:t>5</w:t>
            </w:r>
            <w:r w:rsidRPr="002E374F">
              <w:t>0</w:t>
            </w:r>
            <w:r w:rsidRPr="0060706A">
              <w:t>.00</w:t>
            </w:r>
          </w:p>
        </w:tc>
        <w:tc>
          <w:tcPr>
            <w:tcW w:w="1322" w:type="dxa"/>
          </w:tcPr>
          <w:p w:rsidR="008123E9" w:rsidRPr="0060706A" w:rsidP="008123E9">
            <w:pPr>
              <w:autoSpaceDE w:val="0"/>
              <w:autoSpaceDN w:val="0"/>
              <w:adjustRightInd w:val="0"/>
              <w:ind w:hanging="54"/>
              <w:jc w:val="center"/>
            </w:pPr>
          </w:p>
        </w:tc>
      </w:tr>
      <w:tr w:rsidTr="00B13758">
        <w:tblPrEx>
          <w:tblW w:w="7682" w:type="dxa"/>
          <w:tblCellMar>
            <w:left w:w="54" w:type="dxa"/>
            <w:right w:w="54" w:type="dxa"/>
          </w:tblCellMar>
          <w:tblLook w:val="0000"/>
        </w:tblPrEx>
        <w:trPr>
          <w:trHeight w:val="1070"/>
        </w:trPr>
        <w:tc>
          <w:tcPr>
            <w:tcW w:w="3716" w:type="dxa"/>
            <w:shd w:val="clear" w:color="auto" w:fill="auto"/>
          </w:tcPr>
          <w:p w:rsidR="008123E9" w:rsidRPr="0060706A" w:rsidP="008123E9">
            <w:pPr>
              <w:autoSpaceDE w:val="0"/>
              <w:autoSpaceDN w:val="0"/>
              <w:adjustRightInd w:val="0"/>
              <w:ind w:left="540" w:hanging="540"/>
            </w:pPr>
            <w:r w:rsidRPr="0060706A">
              <w:t xml:space="preserve">  e.  Rule Waiver</w:t>
            </w:r>
          </w:p>
        </w:tc>
        <w:tc>
          <w:tcPr>
            <w:tcW w:w="1322"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 xml:space="preserve">601, 603, 608 </w:t>
            </w:r>
          </w:p>
          <w:p w:rsidR="008123E9" w:rsidRPr="0060706A" w:rsidP="008123E9">
            <w:pPr>
              <w:autoSpaceDE w:val="0"/>
              <w:autoSpaceDN w:val="0"/>
              <w:adjustRightInd w:val="0"/>
              <w:jc w:val="center"/>
            </w:pPr>
            <w:r w:rsidRPr="0060706A">
              <w:t>or 609-T &amp; 159</w:t>
            </w:r>
          </w:p>
        </w:tc>
        <w:tc>
          <w:tcPr>
            <w:tcW w:w="1322" w:type="dxa"/>
            <w:shd w:val="clear" w:color="auto" w:fill="auto"/>
          </w:tcPr>
          <w:p w:rsidR="00EA3286" w:rsidP="00EA3286">
            <w:pPr>
              <w:autoSpaceDE w:val="0"/>
              <w:autoSpaceDN w:val="0"/>
              <w:adjustRightInd w:val="0"/>
              <w:jc w:val="center"/>
            </w:pPr>
          </w:p>
          <w:p w:rsidR="008123E9" w:rsidRPr="0060706A">
            <w:pPr>
              <w:autoSpaceDE w:val="0"/>
              <w:autoSpaceDN w:val="0"/>
              <w:adjustRightInd w:val="0"/>
              <w:jc w:val="center"/>
            </w:pPr>
            <w:r w:rsidRPr="0060706A">
              <w:t>$380.00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70"/>
        </w:trPr>
        <w:tc>
          <w:tcPr>
            <w:tcW w:w="3716" w:type="dxa"/>
            <w:shd w:val="clear" w:color="auto" w:fill="auto"/>
          </w:tcPr>
          <w:p w:rsidR="008123E9" w:rsidRPr="0060706A" w:rsidP="008123E9">
            <w:pPr>
              <w:autoSpaceDE w:val="0"/>
              <w:autoSpaceDN w:val="0"/>
              <w:adjustRightInd w:val="0"/>
              <w:ind w:left="540" w:hanging="540"/>
            </w:pPr>
            <w:r w:rsidRPr="0060706A">
              <w:t xml:space="preserve"> f. Construction Notification</w:t>
            </w:r>
          </w:p>
        </w:tc>
        <w:tc>
          <w:tcPr>
            <w:tcW w:w="1322"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608 &amp; 159</w:t>
            </w:r>
          </w:p>
        </w:tc>
        <w:tc>
          <w:tcPr>
            <w:tcW w:w="1322" w:type="dxa"/>
            <w:shd w:val="clear" w:color="auto" w:fill="auto"/>
          </w:tcPr>
          <w:p w:rsidR="00EA3286" w:rsidP="00EA3286">
            <w:pPr>
              <w:autoSpaceDE w:val="0"/>
              <w:autoSpaceDN w:val="0"/>
              <w:adjustRightInd w:val="0"/>
              <w:jc w:val="center"/>
            </w:pPr>
          </w:p>
          <w:p w:rsidR="008123E9" w:rsidRPr="0060706A">
            <w:pPr>
              <w:autoSpaceDE w:val="0"/>
              <w:autoSpaceDN w:val="0"/>
              <w:adjustRightInd w:val="0"/>
              <w:jc w:val="center"/>
            </w:pPr>
            <w:r w:rsidRPr="0060706A">
              <w:t>$</w:t>
            </w:r>
            <w:r w:rsidR="003951F6">
              <w:t>5</w:t>
            </w:r>
            <w:r w:rsidRPr="002E374F">
              <w:t>0</w:t>
            </w:r>
            <w:r w:rsidRPr="0060706A">
              <w:t>.00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70"/>
        </w:trPr>
        <w:tc>
          <w:tcPr>
            <w:tcW w:w="3716" w:type="dxa"/>
            <w:shd w:val="clear" w:color="auto" w:fill="auto"/>
          </w:tcPr>
          <w:p w:rsidR="008123E9" w:rsidRPr="0060706A" w:rsidP="008123E9">
            <w:pPr>
              <w:autoSpaceDE w:val="0"/>
              <w:autoSpaceDN w:val="0"/>
              <w:adjustRightInd w:val="0"/>
              <w:ind w:left="540" w:hanging="540"/>
            </w:pPr>
            <w:r w:rsidRPr="0060706A">
              <w:t xml:space="preserve"> g. Spectrum Leasing</w:t>
            </w:r>
          </w:p>
        </w:tc>
        <w:tc>
          <w:tcPr>
            <w:tcW w:w="1322"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608 &amp; 159</w:t>
            </w:r>
          </w:p>
        </w:tc>
        <w:tc>
          <w:tcPr>
            <w:tcW w:w="1322" w:type="dxa"/>
            <w:shd w:val="clear" w:color="auto" w:fill="auto"/>
          </w:tcPr>
          <w:p w:rsidR="00EA3286" w:rsidP="00EA3286">
            <w:pPr>
              <w:autoSpaceDE w:val="0"/>
              <w:autoSpaceDN w:val="0"/>
              <w:adjustRightInd w:val="0"/>
              <w:jc w:val="center"/>
            </w:pPr>
          </w:p>
          <w:p w:rsidR="008123E9" w:rsidRPr="0060706A">
            <w:pPr>
              <w:autoSpaceDE w:val="0"/>
              <w:autoSpaceDN w:val="0"/>
              <w:adjustRightInd w:val="0"/>
              <w:jc w:val="center"/>
            </w:pPr>
            <w:r w:rsidRPr="0060706A">
              <w:t>$</w:t>
            </w:r>
            <w:r w:rsidR="003951F6">
              <w:t>5</w:t>
            </w:r>
            <w:r w:rsidRPr="002E374F">
              <w:t>0</w:t>
            </w:r>
            <w:r w:rsidRPr="0060706A">
              <w:t>.00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70"/>
        </w:trPr>
        <w:tc>
          <w:tcPr>
            <w:tcW w:w="3716" w:type="dxa"/>
            <w:shd w:val="clear" w:color="auto" w:fill="auto"/>
          </w:tcPr>
          <w:p w:rsidR="008123E9" w:rsidRPr="0060706A" w:rsidP="008123E9">
            <w:pPr>
              <w:autoSpaceDE w:val="0"/>
              <w:autoSpaceDN w:val="0"/>
              <w:adjustRightInd w:val="0"/>
              <w:ind w:left="540" w:hanging="540"/>
              <w:rPr>
                <w:b/>
              </w:rPr>
            </w:pPr>
            <w:r w:rsidRPr="0060706A">
              <w:rPr>
                <w:b/>
              </w:rPr>
              <w:t>2.  Personal Wireless Licenses</w:t>
            </w:r>
          </w:p>
          <w:p w:rsidR="008123E9" w:rsidRPr="0060706A" w:rsidP="008123E9">
            <w:pPr>
              <w:autoSpaceDE w:val="0"/>
              <w:autoSpaceDN w:val="0"/>
              <w:adjustRightInd w:val="0"/>
              <w:ind w:left="540" w:hanging="540"/>
              <w:rPr>
                <w:b/>
              </w:rPr>
            </w:pPr>
            <w:r w:rsidRPr="0060706A">
              <w:t xml:space="preserve">  a.  New; Major Modification</w:t>
            </w:r>
            <w:r w:rsidR="00474749">
              <w:t>; Amateur Vanity Callsign</w:t>
            </w:r>
          </w:p>
        </w:tc>
        <w:tc>
          <w:tcPr>
            <w:tcW w:w="1322"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601 &amp; 159</w:t>
            </w:r>
          </w:p>
          <w:p w:rsidR="008123E9" w:rsidRPr="0060706A" w:rsidP="008123E9">
            <w:pPr>
              <w:autoSpaceDE w:val="0"/>
              <w:autoSpaceDN w:val="0"/>
              <w:adjustRightInd w:val="0"/>
              <w:ind w:hanging="54"/>
              <w:jc w:val="center"/>
            </w:pPr>
          </w:p>
        </w:tc>
        <w:tc>
          <w:tcPr>
            <w:tcW w:w="1322" w:type="dxa"/>
            <w:shd w:val="clear" w:color="auto" w:fill="auto"/>
          </w:tcPr>
          <w:p w:rsidR="008123E9" w:rsidRPr="0060706A">
            <w:pPr>
              <w:autoSpaceDE w:val="0"/>
              <w:autoSpaceDN w:val="0"/>
              <w:adjustRightInd w:val="0"/>
              <w:ind w:hanging="54"/>
              <w:jc w:val="center"/>
            </w:pPr>
          </w:p>
          <w:p w:rsidR="008123E9" w:rsidRPr="0060706A">
            <w:pPr>
              <w:autoSpaceDE w:val="0"/>
              <w:autoSpaceDN w:val="0"/>
              <w:adjustRightInd w:val="0"/>
              <w:jc w:val="center"/>
            </w:pPr>
            <w:r w:rsidRPr="0060706A">
              <w:t>$</w:t>
            </w:r>
            <w:r w:rsidR="003951F6">
              <w:t>5</w:t>
            </w:r>
            <w:r w:rsidRPr="002E374F">
              <w:t>0</w:t>
            </w:r>
            <w:r w:rsidRPr="0060706A">
              <w:t>.00</w:t>
            </w:r>
          </w:p>
        </w:tc>
        <w:tc>
          <w:tcPr>
            <w:tcW w:w="1322" w:type="dxa"/>
          </w:tcPr>
          <w:p w:rsidR="008123E9" w:rsidRPr="0060706A" w:rsidP="008123E9">
            <w:pPr>
              <w:autoSpaceDE w:val="0"/>
              <w:autoSpaceDN w:val="0"/>
              <w:adjustRightInd w:val="0"/>
              <w:ind w:hanging="54"/>
              <w:jc w:val="center"/>
            </w:pPr>
          </w:p>
        </w:tc>
      </w:tr>
      <w:tr w:rsidTr="00B13758">
        <w:tblPrEx>
          <w:tblW w:w="7682" w:type="dxa"/>
          <w:tblCellMar>
            <w:left w:w="54" w:type="dxa"/>
            <w:right w:w="54" w:type="dxa"/>
          </w:tblCellMar>
          <w:tblLook w:val="0000"/>
        </w:tblPrEx>
        <w:trPr>
          <w:trHeight w:val="1052"/>
        </w:trPr>
        <w:tc>
          <w:tcPr>
            <w:tcW w:w="3716" w:type="dxa"/>
            <w:shd w:val="clear" w:color="auto" w:fill="auto"/>
          </w:tcPr>
          <w:p w:rsidR="008123E9" w:rsidRPr="0060706A" w:rsidP="008123E9">
            <w:pPr>
              <w:autoSpaceDE w:val="0"/>
              <w:autoSpaceDN w:val="0"/>
              <w:adjustRightInd w:val="0"/>
              <w:ind w:left="540" w:hanging="540"/>
            </w:pPr>
            <w:r w:rsidRPr="0060706A">
              <w:t xml:space="preserve">  b.  Minor Modification</w:t>
            </w:r>
          </w:p>
        </w:tc>
        <w:tc>
          <w:tcPr>
            <w:tcW w:w="1322"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601 &amp; 159</w:t>
            </w:r>
          </w:p>
          <w:p w:rsidR="008123E9" w:rsidRPr="0060706A">
            <w:pPr>
              <w:autoSpaceDE w:val="0"/>
              <w:autoSpaceDN w:val="0"/>
              <w:adjustRightInd w:val="0"/>
              <w:jc w:val="center"/>
            </w:pPr>
          </w:p>
        </w:tc>
        <w:tc>
          <w:tcPr>
            <w:tcW w:w="1322" w:type="dxa"/>
            <w:shd w:val="clear" w:color="auto" w:fill="auto"/>
          </w:tcPr>
          <w:p w:rsidR="00677E20" w:rsidP="00677E20">
            <w:pPr>
              <w:autoSpaceDE w:val="0"/>
              <w:autoSpaceDN w:val="0"/>
              <w:adjustRightInd w:val="0"/>
              <w:jc w:val="center"/>
            </w:pPr>
          </w:p>
          <w:p w:rsidR="008123E9" w:rsidRPr="0060706A">
            <w:pPr>
              <w:autoSpaceDE w:val="0"/>
              <w:autoSpaceDN w:val="0"/>
              <w:adjustRightInd w:val="0"/>
              <w:jc w:val="center"/>
            </w:pPr>
            <w:r w:rsidRPr="0060706A">
              <w:t>$</w:t>
            </w:r>
            <w:r w:rsidR="003951F6">
              <w:t>5</w:t>
            </w:r>
            <w:r w:rsidRPr="002E374F">
              <w:t>0</w:t>
            </w:r>
            <w:r w:rsidRPr="0060706A">
              <w:t>.00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52"/>
        </w:trPr>
        <w:tc>
          <w:tcPr>
            <w:tcW w:w="3716" w:type="dxa"/>
            <w:shd w:val="clear" w:color="auto" w:fill="auto"/>
          </w:tcPr>
          <w:p w:rsidR="008123E9" w:rsidRPr="0060706A" w:rsidP="008123E9">
            <w:pPr>
              <w:autoSpaceDE w:val="0"/>
              <w:autoSpaceDN w:val="0"/>
              <w:adjustRightInd w:val="0"/>
              <w:ind w:left="540" w:hanging="540"/>
            </w:pPr>
            <w:r w:rsidRPr="0060706A">
              <w:t xml:space="preserve"> c. Special Temporary Authority</w:t>
            </w:r>
          </w:p>
        </w:tc>
        <w:tc>
          <w:tcPr>
            <w:tcW w:w="1322"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601 &amp; 159</w:t>
            </w:r>
          </w:p>
          <w:p w:rsidR="008123E9" w:rsidRPr="0060706A">
            <w:pPr>
              <w:autoSpaceDE w:val="0"/>
              <w:autoSpaceDN w:val="0"/>
              <w:adjustRightInd w:val="0"/>
              <w:jc w:val="center"/>
            </w:pPr>
          </w:p>
        </w:tc>
        <w:tc>
          <w:tcPr>
            <w:tcW w:w="1322" w:type="dxa"/>
            <w:shd w:val="clear" w:color="auto" w:fill="auto"/>
          </w:tcPr>
          <w:p w:rsidR="00677E20" w:rsidP="00677E20">
            <w:pPr>
              <w:autoSpaceDE w:val="0"/>
              <w:autoSpaceDN w:val="0"/>
              <w:adjustRightInd w:val="0"/>
              <w:jc w:val="center"/>
            </w:pPr>
          </w:p>
          <w:p w:rsidR="008123E9" w:rsidRPr="0060706A">
            <w:pPr>
              <w:autoSpaceDE w:val="0"/>
              <w:autoSpaceDN w:val="0"/>
              <w:adjustRightInd w:val="0"/>
              <w:jc w:val="center"/>
            </w:pPr>
            <w:r w:rsidRPr="0060706A">
              <w:t>$135.00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52"/>
        </w:trPr>
        <w:tc>
          <w:tcPr>
            <w:tcW w:w="3716" w:type="dxa"/>
            <w:shd w:val="clear" w:color="auto" w:fill="auto"/>
          </w:tcPr>
          <w:p w:rsidR="008123E9" w:rsidRPr="0060706A" w:rsidP="008123E9">
            <w:pPr>
              <w:autoSpaceDE w:val="0"/>
              <w:autoSpaceDN w:val="0"/>
              <w:adjustRightInd w:val="0"/>
              <w:ind w:left="540" w:hanging="540"/>
            </w:pPr>
            <w:r w:rsidRPr="0060706A">
              <w:t xml:space="preserve"> d. Rule Waiver</w:t>
            </w:r>
          </w:p>
        </w:tc>
        <w:tc>
          <w:tcPr>
            <w:tcW w:w="1322"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601, 603</w:t>
            </w:r>
          </w:p>
          <w:p w:rsidR="008123E9" w:rsidRPr="0060706A">
            <w:pPr>
              <w:autoSpaceDE w:val="0"/>
              <w:autoSpaceDN w:val="0"/>
              <w:adjustRightInd w:val="0"/>
              <w:jc w:val="center"/>
            </w:pPr>
            <w:r w:rsidRPr="0060706A">
              <w:t>or</w:t>
            </w:r>
          </w:p>
          <w:p w:rsidR="008123E9" w:rsidRPr="0060706A">
            <w:pPr>
              <w:autoSpaceDE w:val="0"/>
              <w:autoSpaceDN w:val="0"/>
              <w:adjustRightInd w:val="0"/>
              <w:jc w:val="center"/>
            </w:pPr>
            <w:r w:rsidRPr="0060706A">
              <w:t>608 &amp; 159</w:t>
            </w:r>
          </w:p>
        </w:tc>
        <w:tc>
          <w:tcPr>
            <w:tcW w:w="1322" w:type="dxa"/>
            <w:shd w:val="clear" w:color="auto" w:fill="auto"/>
          </w:tcPr>
          <w:p w:rsidR="00677E20" w:rsidP="00677E20">
            <w:pPr>
              <w:autoSpaceDE w:val="0"/>
              <w:autoSpaceDN w:val="0"/>
              <w:adjustRightInd w:val="0"/>
              <w:jc w:val="center"/>
            </w:pPr>
          </w:p>
          <w:p w:rsidR="008123E9" w:rsidRPr="0060706A">
            <w:pPr>
              <w:autoSpaceDE w:val="0"/>
              <w:autoSpaceDN w:val="0"/>
              <w:adjustRightInd w:val="0"/>
              <w:jc w:val="center"/>
            </w:pPr>
            <w:r w:rsidRPr="0060706A">
              <w:t>$</w:t>
            </w:r>
            <w:r w:rsidR="003951F6">
              <w:t>5</w:t>
            </w:r>
            <w:r w:rsidRPr="002E374F">
              <w:t>0</w:t>
            </w:r>
            <w:r w:rsidRPr="0060706A">
              <w:t>.00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70"/>
        </w:trPr>
        <w:tc>
          <w:tcPr>
            <w:tcW w:w="3716" w:type="dxa"/>
            <w:shd w:val="clear" w:color="auto" w:fill="auto"/>
          </w:tcPr>
          <w:p w:rsidR="008123E9" w:rsidRPr="0060706A" w:rsidP="008123E9">
            <w:pPr>
              <w:autoSpaceDE w:val="0"/>
              <w:autoSpaceDN w:val="0"/>
              <w:adjustRightInd w:val="0"/>
              <w:ind w:left="540" w:hanging="540"/>
            </w:pPr>
            <w:r w:rsidRPr="0060706A">
              <w:t xml:space="preserve">  e.  Renewal </w:t>
            </w:r>
          </w:p>
        </w:tc>
        <w:tc>
          <w:tcPr>
            <w:tcW w:w="1322"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601 &amp; 159</w:t>
            </w:r>
          </w:p>
          <w:p w:rsidR="008123E9" w:rsidRPr="0060706A">
            <w:pPr>
              <w:autoSpaceDE w:val="0"/>
              <w:autoSpaceDN w:val="0"/>
              <w:adjustRightInd w:val="0"/>
              <w:ind w:hanging="54"/>
              <w:jc w:val="center"/>
            </w:pPr>
          </w:p>
        </w:tc>
        <w:tc>
          <w:tcPr>
            <w:tcW w:w="1322" w:type="dxa"/>
            <w:shd w:val="clear" w:color="auto" w:fill="auto"/>
          </w:tcPr>
          <w:p w:rsidR="008123E9" w:rsidRPr="0060706A">
            <w:pPr>
              <w:autoSpaceDE w:val="0"/>
              <w:autoSpaceDN w:val="0"/>
              <w:adjustRightInd w:val="0"/>
              <w:ind w:hanging="54"/>
              <w:jc w:val="center"/>
            </w:pPr>
          </w:p>
          <w:p w:rsidR="008123E9" w:rsidRPr="0060706A">
            <w:pPr>
              <w:autoSpaceDE w:val="0"/>
              <w:autoSpaceDN w:val="0"/>
              <w:adjustRightInd w:val="0"/>
              <w:jc w:val="center"/>
            </w:pPr>
            <w:r w:rsidRPr="0060706A">
              <w:t>$</w:t>
            </w:r>
            <w:r w:rsidR="003951F6">
              <w:t>5</w:t>
            </w:r>
            <w:r w:rsidRPr="002E374F">
              <w:t>0</w:t>
            </w:r>
            <w:r w:rsidRPr="0060706A">
              <w:t>.00</w:t>
            </w:r>
          </w:p>
        </w:tc>
        <w:tc>
          <w:tcPr>
            <w:tcW w:w="1322" w:type="dxa"/>
          </w:tcPr>
          <w:p w:rsidR="008123E9" w:rsidRPr="0060706A" w:rsidP="008123E9">
            <w:pPr>
              <w:autoSpaceDE w:val="0"/>
              <w:autoSpaceDN w:val="0"/>
              <w:adjustRightInd w:val="0"/>
              <w:ind w:hanging="54"/>
              <w:jc w:val="center"/>
            </w:pPr>
          </w:p>
        </w:tc>
      </w:tr>
      <w:tr w:rsidTr="00B13758">
        <w:tblPrEx>
          <w:tblW w:w="7682" w:type="dxa"/>
          <w:tblCellMar>
            <w:left w:w="54" w:type="dxa"/>
            <w:right w:w="54" w:type="dxa"/>
          </w:tblCellMar>
          <w:tblLook w:val="0000"/>
        </w:tblPrEx>
        <w:trPr>
          <w:trHeight w:val="1070"/>
        </w:trPr>
        <w:tc>
          <w:tcPr>
            <w:tcW w:w="3716" w:type="dxa"/>
            <w:shd w:val="clear" w:color="auto" w:fill="auto"/>
          </w:tcPr>
          <w:p w:rsidR="008123E9" w:rsidRPr="0060706A" w:rsidP="008123E9">
            <w:pPr>
              <w:autoSpaceDE w:val="0"/>
              <w:autoSpaceDN w:val="0"/>
              <w:adjustRightInd w:val="0"/>
              <w:ind w:left="540" w:hanging="540"/>
              <w:rPr>
                <w:b/>
              </w:rPr>
            </w:pPr>
            <w:r w:rsidRPr="0060706A">
              <w:rPr>
                <w:b/>
              </w:rPr>
              <w:t>3.  Geographic-Based Wireless Licenses</w:t>
            </w:r>
          </w:p>
          <w:p w:rsidR="008123E9" w:rsidRPr="0060706A" w:rsidP="008123E9">
            <w:pPr>
              <w:autoSpaceDE w:val="0"/>
              <w:autoSpaceDN w:val="0"/>
              <w:adjustRightInd w:val="0"/>
              <w:ind w:left="540" w:hanging="540"/>
              <w:rPr>
                <w:b/>
              </w:rPr>
            </w:pPr>
            <w:r w:rsidRPr="0060706A">
              <w:t xml:space="preserve">  a.  New (other than auction long form); Major Modification</w:t>
            </w:r>
          </w:p>
          <w:p w:rsidR="008123E9" w:rsidRPr="0060706A" w:rsidP="008123E9">
            <w:pPr>
              <w:autoSpaceDE w:val="0"/>
              <w:autoSpaceDN w:val="0"/>
              <w:adjustRightInd w:val="0"/>
              <w:ind w:left="540" w:hanging="540"/>
              <w:rPr>
                <w:b/>
              </w:rPr>
            </w:pPr>
          </w:p>
        </w:tc>
        <w:tc>
          <w:tcPr>
            <w:tcW w:w="1322"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601 &amp; 159</w:t>
            </w:r>
          </w:p>
        </w:tc>
        <w:tc>
          <w:tcPr>
            <w:tcW w:w="1322" w:type="dxa"/>
            <w:shd w:val="clear" w:color="auto" w:fill="auto"/>
          </w:tcPr>
          <w:p w:rsidR="008123E9" w:rsidRPr="0060706A">
            <w:pPr>
              <w:autoSpaceDE w:val="0"/>
              <w:autoSpaceDN w:val="0"/>
              <w:adjustRightInd w:val="0"/>
              <w:jc w:val="center"/>
            </w:pPr>
          </w:p>
          <w:p w:rsidR="008123E9" w:rsidRPr="0060706A">
            <w:pPr>
              <w:autoSpaceDE w:val="0"/>
              <w:autoSpaceDN w:val="0"/>
              <w:adjustRightInd w:val="0"/>
              <w:jc w:val="center"/>
            </w:pPr>
            <w:r w:rsidRPr="0060706A">
              <w:t>$305.00</w:t>
            </w:r>
          </w:p>
          <w:p w:rsidR="008123E9" w:rsidRPr="0060706A">
            <w:pPr>
              <w:autoSpaceDE w:val="0"/>
              <w:autoSpaceDN w:val="0"/>
              <w:adjustRightInd w:val="0"/>
              <w:jc w:val="center"/>
            </w:pPr>
          </w:p>
          <w:p w:rsidR="008123E9" w:rsidRPr="0060706A">
            <w:pPr>
              <w:autoSpaceDE w:val="0"/>
              <w:autoSpaceDN w:val="0"/>
              <w:adjustRightInd w:val="0"/>
              <w:jc w:val="center"/>
            </w:pP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70"/>
        </w:trPr>
        <w:tc>
          <w:tcPr>
            <w:tcW w:w="3716" w:type="dxa"/>
            <w:shd w:val="clear" w:color="auto" w:fill="auto"/>
          </w:tcPr>
          <w:p w:rsidR="00A01C27" w:rsidRPr="0060706A" w:rsidP="008123E9">
            <w:pPr>
              <w:autoSpaceDE w:val="0"/>
              <w:autoSpaceDN w:val="0"/>
              <w:adjustRightInd w:val="0"/>
              <w:ind w:left="540" w:hanging="540"/>
              <w:rPr>
                <w:b/>
              </w:rPr>
            </w:pPr>
            <w:r>
              <w:t>New License (Pre-Auction Short Form Application) (per application; NOT per call sign)</w:t>
            </w:r>
          </w:p>
        </w:tc>
        <w:tc>
          <w:tcPr>
            <w:tcW w:w="1322" w:type="dxa"/>
          </w:tcPr>
          <w:p w:rsidR="00A01C27" w:rsidRPr="0060706A">
            <w:pPr>
              <w:autoSpaceDE w:val="0"/>
              <w:autoSpaceDN w:val="0"/>
              <w:adjustRightInd w:val="0"/>
              <w:jc w:val="center"/>
            </w:pPr>
          </w:p>
        </w:tc>
        <w:tc>
          <w:tcPr>
            <w:tcW w:w="1322" w:type="dxa"/>
            <w:shd w:val="clear" w:color="auto" w:fill="auto"/>
          </w:tcPr>
          <w:p w:rsidR="00677E20" w:rsidP="00677E20">
            <w:pPr>
              <w:autoSpaceDE w:val="0"/>
              <w:autoSpaceDN w:val="0"/>
              <w:adjustRightInd w:val="0"/>
              <w:jc w:val="center"/>
            </w:pPr>
          </w:p>
          <w:p w:rsidR="00A01C27" w:rsidRPr="0060706A">
            <w:pPr>
              <w:autoSpaceDE w:val="0"/>
              <w:autoSpaceDN w:val="0"/>
              <w:adjustRightInd w:val="0"/>
              <w:jc w:val="center"/>
            </w:pPr>
            <w:r>
              <w:t>$575</w:t>
            </w:r>
          </w:p>
        </w:tc>
        <w:tc>
          <w:tcPr>
            <w:tcW w:w="1322" w:type="dxa"/>
          </w:tcPr>
          <w:p w:rsidR="00A01C27"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70"/>
        </w:trPr>
        <w:tc>
          <w:tcPr>
            <w:tcW w:w="3716" w:type="dxa"/>
            <w:shd w:val="clear" w:color="auto" w:fill="auto"/>
          </w:tcPr>
          <w:p w:rsidR="008123E9" w:rsidRPr="0060706A" w:rsidP="008123E9">
            <w:pPr>
              <w:autoSpaceDE w:val="0"/>
              <w:autoSpaceDN w:val="0"/>
              <w:adjustRightInd w:val="0"/>
              <w:ind w:left="540" w:hanging="540"/>
              <w:rPr>
                <w:b/>
              </w:rPr>
            </w:pPr>
            <w:r w:rsidRPr="0060706A">
              <w:t xml:space="preserve"> b. New (auction long form, spectrum auction; per application)</w:t>
            </w:r>
          </w:p>
        </w:tc>
        <w:tc>
          <w:tcPr>
            <w:tcW w:w="1322" w:type="dxa"/>
          </w:tcPr>
          <w:p w:rsidR="00677E20" w:rsidP="00677E20">
            <w:pPr>
              <w:autoSpaceDE w:val="0"/>
              <w:autoSpaceDN w:val="0"/>
              <w:adjustRightInd w:val="0"/>
              <w:jc w:val="center"/>
            </w:pPr>
          </w:p>
          <w:p w:rsidR="008123E9" w:rsidRPr="0060706A">
            <w:pPr>
              <w:autoSpaceDE w:val="0"/>
              <w:autoSpaceDN w:val="0"/>
              <w:adjustRightInd w:val="0"/>
              <w:jc w:val="center"/>
            </w:pPr>
            <w:r w:rsidRPr="0060706A">
              <w:t>601 &amp; 159</w:t>
            </w:r>
          </w:p>
        </w:tc>
        <w:tc>
          <w:tcPr>
            <w:tcW w:w="1322" w:type="dxa"/>
            <w:shd w:val="clear" w:color="auto" w:fill="auto"/>
          </w:tcPr>
          <w:p w:rsidR="00677E20" w:rsidP="00677E20">
            <w:pPr>
              <w:autoSpaceDE w:val="0"/>
              <w:autoSpaceDN w:val="0"/>
              <w:adjustRightInd w:val="0"/>
              <w:jc w:val="center"/>
            </w:pPr>
          </w:p>
          <w:p w:rsidR="008123E9" w:rsidRPr="0060706A">
            <w:pPr>
              <w:autoSpaceDE w:val="0"/>
              <w:autoSpaceDN w:val="0"/>
              <w:adjustRightInd w:val="0"/>
              <w:jc w:val="center"/>
            </w:pPr>
            <w:r w:rsidRPr="0060706A">
              <w:t>$2,600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971"/>
        </w:trPr>
        <w:tc>
          <w:tcPr>
            <w:tcW w:w="3716" w:type="dxa"/>
            <w:shd w:val="clear" w:color="auto" w:fill="auto"/>
          </w:tcPr>
          <w:p w:rsidR="008123E9" w:rsidRPr="0060706A" w:rsidP="008123E9">
            <w:pPr>
              <w:autoSpaceDE w:val="0"/>
              <w:autoSpaceDN w:val="0"/>
              <w:adjustRightInd w:val="0"/>
              <w:ind w:left="540" w:hanging="540"/>
              <w:rPr>
                <w:b/>
              </w:rPr>
            </w:pPr>
            <w:r w:rsidRPr="0060706A">
              <w:t xml:space="preserve">  c.  Renewal </w:t>
            </w:r>
          </w:p>
          <w:p w:rsidR="008123E9" w:rsidRPr="0060706A" w:rsidP="008123E9">
            <w:pPr>
              <w:autoSpaceDE w:val="0"/>
              <w:autoSpaceDN w:val="0"/>
              <w:adjustRightInd w:val="0"/>
              <w:ind w:left="540" w:hanging="540"/>
              <w:rPr>
                <w:b/>
              </w:rPr>
            </w:pPr>
          </w:p>
        </w:tc>
        <w:tc>
          <w:tcPr>
            <w:tcW w:w="1322" w:type="dxa"/>
          </w:tcPr>
          <w:p w:rsidR="008123E9" w:rsidRPr="0060706A">
            <w:pPr>
              <w:autoSpaceDE w:val="0"/>
              <w:autoSpaceDN w:val="0"/>
              <w:adjustRightInd w:val="0"/>
              <w:jc w:val="center"/>
            </w:pPr>
          </w:p>
        </w:tc>
        <w:tc>
          <w:tcPr>
            <w:tcW w:w="1322" w:type="dxa"/>
            <w:shd w:val="clear" w:color="auto" w:fill="auto"/>
          </w:tcPr>
          <w:p w:rsidR="00677E20" w:rsidP="00677E20">
            <w:pPr>
              <w:autoSpaceDE w:val="0"/>
              <w:autoSpaceDN w:val="0"/>
              <w:adjustRightInd w:val="0"/>
              <w:jc w:val="center"/>
            </w:pPr>
          </w:p>
          <w:p w:rsidR="008123E9" w:rsidRPr="0060706A">
            <w:pPr>
              <w:autoSpaceDE w:val="0"/>
              <w:autoSpaceDN w:val="0"/>
              <w:adjustRightInd w:val="0"/>
              <w:jc w:val="center"/>
            </w:pPr>
            <w:r w:rsidRPr="0060706A">
              <w:t>$</w:t>
            </w:r>
            <w:r w:rsidR="003951F6">
              <w:t>5</w:t>
            </w:r>
            <w:r w:rsidRPr="002E374F">
              <w:t>0</w:t>
            </w:r>
            <w:r w:rsidRPr="0060706A">
              <w:t>.00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980"/>
        </w:trPr>
        <w:tc>
          <w:tcPr>
            <w:tcW w:w="3716" w:type="dxa"/>
            <w:shd w:val="clear" w:color="auto" w:fill="auto"/>
          </w:tcPr>
          <w:p w:rsidR="008123E9" w:rsidRPr="0060706A" w:rsidP="008123E9">
            <w:pPr>
              <w:autoSpaceDE w:val="0"/>
              <w:autoSpaceDN w:val="0"/>
              <w:adjustRightInd w:val="0"/>
              <w:ind w:left="540" w:hanging="540"/>
            </w:pPr>
            <w:r w:rsidRPr="0060706A">
              <w:t xml:space="preserve">  d.  Minor Modification</w:t>
            </w:r>
          </w:p>
        </w:tc>
        <w:tc>
          <w:tcPr>
            <w:tcW w:w="1322"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601 &amp; 159</w:t>
            </w:r>
          </w:p>
        </w:tc>
        <w:tc>
          <w:tcPr>
            <w:tcW w:w="1322" w:type="dxa"/>
            <w:shd w:val="clear" w:color="auto" w:fill="auto"/>
          </w:tcPr>
          <w:p w:rsidR="00677E20" w:rsidP="00677E20">
            <w:pPr>
              <w:autoSpaceDE w:val="0"/>
              <w:autoSpaceDN w:val="0"/>
              <w:adjustRightInd w:val="0"/>
              <w:jc w:val="center"/>
            </w:pPr>
          </w:p>
          <w:p w:rsidR="008123E9" w:rsidRPr="0060706A">
            <w:pPr>
              <w:autoSpaceDE w:val="0"/>
              <w:autoSpaceDN w:val="0"/>
              <w:adjustRightInd w:val="0"/>
              <w:jc w:val="center"/>
            </w:pPr>
            <w:r w:rsidRPr="0060706A">
              <w:t>$200.00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61"/>
        </w:trPr>
        <w:tc>
          <w:tcPr>
            <w:tcW w:w="3716" w:type="dxa"/>
            <w:shd w:val="clear" w:color="auto" w:fill="auto"/>
          </w:tcPr>
          <w:p w:rsidR="008123E9" w:rsidRPr="0060706A" w:rsidP="008123E9">
            <w:pPr>
              <w:autoSpaceDE w:val="0"/>
              <w:autoSpaceDN w:val="0"/>
              <w:adjustRightInd w:val="0"/>
              <w:ind w:left="540" w:hanging="540"/>
            </w:pPr>
            <w:r w:rsidRPr="0060706A">
              <w:t xml:space="preserve">  e.  Construction Notification/Extensions</w:t>
            </w:r>
          </w:p>
        </w:tc>
        <w:tc>
          <w:tcPr>
            <w:tcW w:w="1322" w:type="dxa"/>
          </w:tcPr>
          <w:p w:rsidR="008123E9" w:rsidRPr="0060706A">
            <w:pPr>
              <w:autoSpaceDE w:val="0"/>
              <w:autoSpaceDN w:val="0"/>
              <w:adjustRightInd w:val="0"/>
              <w:ind w:hanging="54"/>
              <w:jc w:val="center"/>
            </w:pPr>
          </w:p>
        </w:tc>
        <w:tc>
          <w:tcPr>
            <w:tcW w:w="1322" w:type="dxa"/>
            <w:shd w:val="clear" w:color="auto" w:fill="auto"/>
          </w:tcPr>
          <w:p w:rsidR="008123E9" w:rsidRPr="0060706A">
            <w:pPr>
              <w:autoSpaceDE w:val="0"/>
              <w:autoSpaceDN w:val="0"/>
              <w:adjustRightInd w:val="0"/>
              <w:ind w:hanging="54"/>
              <w:jc w:val="center"/>
            </w:pPr>
          </w:p>
          <w:p w:rsidR="008123E9" w:rsidRPr="0060706A">
            <w:pPr>
              <w:autoSpaceDE w:val="0"/>
              <w:autoSpaceDN w:val="0"/>
              <w:adjustRightInd w:val="0"/>
              <w:jc w:val="center"/>
              <w:rPr>
                <w:spacing w:val="-2"/>
              </w:rPr>
            </w:pPr>
            <w:r w:rsidRPr="0060706A">
              <w:t>$290.00</w:t>
            </w:r>
          </w:p>
        </w:tc>
        <w:tc>
          <w:tcPr>
            <w:tcW w:w="1322" w:type="dxa"/>
          </w:tcPr>
          <w:p w:rsidR="008123E9" w:rsidRPr="0060706A" w:rsidP="008123E9">
            <w:pPr>
              <w:autoSpaceDE w:val="0"/>
              <w:autoSpaceDN w:val="0"/>
              <w:adjustRightInd w:val="0"/>
              <w:ind w:hanging="54"/>
              <w:jc w:val="center"/>
            </w:pPr>
          </w:p>
        </w:tc>
      </w:tr>
      <w:tr w:rsidTr="00B13758">
        <w:tblPrEx>
          <w:tblW w:w="7682" w:type="dxa"/>
          <w:tblCellMar>
            <w:left w:w="54" w:type="dxa"/>
            <w:right w:w="54" w:type="dxa"/>
          </w:tblCellMar>
          <w:tblLook w:val="0000"/>
        </w:tblPrEx>
        <w:trPr>
          <w:trHeight w:val="1061"/>
        </w:trPr>
        <w:tc>
          <w:tcPr>
            <w:tcW w:w="3716" w:type="dxa"/>
            <w:shd w:val="clear" w:color="auto" w:fill="auto"/>
          </w:tcPr>
          <w:p w:rsidR="008123E9" w:rsidRPr="0060706A" w:rsidP="008123E9">
            <w:pPr>
              <w:autoSpaceDE w:val="0"/>
              <w:autoSpaceDN w:val="0"/>
              <w:adjustRightInd w:val="0"/>
              <w:ind w:left="540" w:hanging="540"/>
            </w:pPr>
            <w:r w:rsidRPr="0060706A">
              <w:t xml:space="preserve">  f.  Special Temporary Authority</w:t>
            </w:r>
          </w:p>
        </w:tc>
        <w:tc>
          <w:tcPr>
            <w:tcW w:w="1322" w:type="dxa"/>
          </w:tcPr>
          <w:p w:rsidR="008123E9" w:rsidRPr="0060706A">
            <w:pPr>
              <w:autoSpaceDE w:val="0"/>
              <w:autoSpaceDN w:val="0"/>
              <w:adjustRightInd w:val="0"/>
              <w:ind w:hanging="54"/>
              <w:jc w:val="center"/>
            </w:pPr>
          </w:p>
          <w:p w:rsidR="008123E9" w:rsidRPr="0060706A">
            <w:pPr>
              <w:autoSpaceDE w:val="0"/>
              <w:autoSpaceDN w:val="0"/>
              <w:adjustRightInd w:val="0"/>
              <w:ind w:hanging="54"/>
              <w:jc w:val="center"/>
            </w:pPr>
            <w:r w:rsidRPr="0060706A">
              <w:t>601 &amp; 159</w:t>
            </w:r>
          </w:p>
        </w:tc>
        <w:tc>
          <w:tcPr>
            <w:tcW w:w="1322" w:type="dxa"/>
            <w:shd w:val="clear" w:color="auto" w:fill="auto"/>
          </w:tcPr>
          <w:p w:rsidR="00677E20" w:rsidP="00677E20">
            <w:pPr>
              <w:autoSpaceDE w:val="0"/>
              <w:autoSpaceDN w:val="0"/>
              <w:adjustRightInd w:val="0"/>
              <w:ind w:hanging="54"/>
              <w:jc w:val="center"/>
            </w:pPr>
          </w:p>
          <w:p w:rsidR="008123E9" w:rsidRPr="0060706A">
            <w:pPr>
              <w:autoSpaceDE w:val="0"/>
              <w:autoSpaceDN w:val="0"/>
              <w:adjustRightInd w:val="0"/>
              <w:ind w:hanging="54"/>
              <w:jc w:val="center"/>
            </w:pPr>
            <w:r w:rsidRPr="0060706A">
              <w:t>$335.00</w:t>
            </w:r>
          </w:p>
        </w:tc>
        <w:tc>
          <w:tcPr>
            <w:tcW w:w="1322" w:type="dxa"/>
          </w:tcPr>
          <w:p w:rsidR="008123E9" w:rsidRPr="0060706A" w:rsidP="008123E9">
            <w:pPr>
              <w:autoSpaceDE w:val="0"/>
              <w:autoSpaceDN w:val="0"/>
              <w:adjustRightInd w:val="0"/>
              <w:ind w:hanging="54"/>
              <w:jc w:val="center"/>
            </w:pPr>
          </w:p>
        </w:tc>
      </w:tr>
      <w:tr w:rsidTr="00B13758">
        <w:tblPrEx>
          <w:tblW w:w="7682" w:type="dxa"/>
          <w:tblCellMar>
            <w:left w:w="54" w:type="dxa"/>
            <w:right w:w="54" w:type="dxa"/>
          </w:tblCellMar>
          <w:tblLook w:val="0000"/>
        </w:tblPrEx>
        <w:trPr>
          <w:trHeight w:val="1610"/>
        </w:trPr>
        <w:tc>
          <w:tcPr>
            <w:tcW w:w="3716" w:type="dxa"/>
            <w:shd w:val="clear" w:color="auto" w:fill="auto"/>
          </w:tcPr>
          <w:p w:rsidR="008123E9" w:rsidRPr="0060706A" w:rsidP="008123E9">
            <w:pPr>
              <w:autoSpaceDE w:val="0"/>
              <w:autoSpaceDN w:val="0"/>
              <w:adjustRightInd w:val="0"/>
              <w:ind w:left="540" w:hanging="540"/>
            </w:pPr>
            <w:r w:rsidRPr="0060706A">
              <w:t xml:space="preserve">  g.  Assignment of Authorization;</w:t>
            </w:r>
          </w:p>
          <w:p w:rsidR="008123E9" w:rsidRPr="0060706A" w:rsidP="008123E9">
            <w:pPr>
              <w:autoSpaceDE w:val="0"/>
              <w:autoSpaceDN w:val="0"/>
              <w:adjustRightInd w:val="0"/>
              <w:ind w:left="540" w:hanging="540"/>
            </w:pPr>
            <w:r w:rsidRPr="0060706A">
              <w:t xml:space="preserve">         Transfer of Control;</w:t>
            </w:r>
          </w:p>
          <w:p w:rsidR="008123E9" w:rsidRPr="0060706A" w:rsidP="008123E9">
            <w:pPr>
              <w:autoSpaceDE w:val="0"/>
              <w:autoSpaceDN w:val="0"/>
              <w:adjustRightInd w:val="0"/>
              <w:ind w:left="540" w:hanging="540"/>
            </w:pPr>
          </w:p>
        </w:tc>
        <w:tc>
          <w:tcPr>
            <w:tcW w:w="1322"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603 &amp; 159</w:t>
            </w:r>
          </w:p>
          <w:p w:rsidR="008123E9" w:rsidRPr="0060706A" w:rsidP="008123E9">
            <w:pPr>
              <w:autoSpaceDE w:val="0"/>
              <w:autoSpaceDN w:val="0"/>
              <w:adjustRightInd w:val="0"/>
              <w:jc w:val="center"/>
            </w:pPr>
          </w:p>
        </w:tc>
        <w:tc>
          <w:tcPr>
            <w:tcW w:w="1322" w:type="dxa"/>
            <w:shd w:val="clear" w:color="auto" w:fill="auto"/>
          </w:tcPr>
          <w:p w:rsidR="008123E9" w:rsidRPr="0060706A">
            <w:pPr>
              <w:autoSpaceDE w:val="0"/>
              <w:autoSpaceDN w:val="0"/>
              <w:adjustRightInd w:val="0"/>
              <w:jc w:val="center"/>
            </w:pPr>
          </w:p>
          <w:p w:rsidR="008123E9" w:rsidRPr="0060706A">
            <w:pPr>
              <w:autoSpaceDE w:val="0"/>
              <w:autoSpaceDN w:val="0"/>
              <w:adjustRightInd w:val="0"/>
              <w:jc w:val="center"/>
            </w:pPr>
            <w:r w:rsidRPr="0060706A">
              <w:t>$195.00</w:t>
            </w:r>
          </w:p>
          <w:p w:rsidR="008123E9" w:rsidRPr="0060706A">
            <w:pPr>
              <w:autoSpaceDE w:val="0"/>
              <w:autoSpaceDN w:val="0"/>
              <w:adjustRightInd w:val="0"/>
              <w:jc w:val="center"/>
            </w:pP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52"/>
        </w:trPr>
        <w:tc>
          <w:tcPr>
            <w:tcW w:w="3716" w:type="dxa"/>
            <w:shd w:val="clear" w:color="auto" w:fill="auto"/>
          </w:tcPr>
          <w:p w:rsidR="008123E9" w:rsidRPr="0060706A" w:rsidP="008123E9">
            <w:pPr>
              <w:autoSpaceDE w:val="0"/>
              <w:autoSpaceDN w:val="0"/>
              <w:adjustRightInd w:val="0"/>
              <w:ind w:left="540" w:hanging="540"/>
            </w:pPr>
            <w:r w:rsidRPr="0060706A">
              <w:t xml:space="preserve">  h.  Spectrum Leasing</w:t>
            </w:r>
          </w:p>
          <w:p w:rsidR="008123E9" w:rsidRPr="0060706A" w:rsidP="008123E9">
            <w:pPr>
              <w:autoSpaceDE w:val="0"/>
              <w:autoSpaceDN w:val="0"/>
              <w:adjustRightInd w:val="0"/>
              <w:ind w:left="540" w:hanging="540"/>
            </w:pPr>
          </w:p>
        </w:tc>
        <w:tc>
          <w:tcPr>
            <w:tcW w:w="1322"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608 &amp; 159</w:t>
            </w:r>
          </w:p>
          <w:p w:rsidR="008123E9" w:rsidRPr="0060706A" w:rsidP="008123E9">
            <w:pPr>
              <w:autoSpaceDE w:val="0"/>
              <w:autoSpaceDN w:val="0"/>
              <w:adjustRightInd w:val="0"/>
              <w:jc w:val="center"/>
            </w:pPr>
          </w:p>
        </w:tc>
        <w:tc>
          <w:tcPr>
            <w:tcW w:w="1322" w:type="dxa"/>
            <w:shd w:val="clear" w:color="auto" w:fill="auto"/>
          </w:tcPr>
          <w:p w:rsidR="00677E20" w:rsidP="00677E20">
            <w:pPr>
              <w:autoSpaceDE w:val="0"/>
              <w:autoSpaceDN w:val="0"/>
              <w:adjustRightInd w:val="0"/>
              <w:jc w:val="center"/>
            </w:pPr>
          </w:p>
          <w:p w:rsidR="008123E9" w:rsidRPr="0060706A">
            <w:pPr>
              <w:autoSpaceDE w:val="0"/>
              <w:autoSpaceDN w:val="0"/>
              <w:adjustRightInd w:val="0"/>
              <w:jc w:val="center"/>
            </w:pPr>
            <w:r w:rsidRPr="0060706A">
              <w:t>$165.00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052"/>
        </w:trPr>
        <w:tc>
          <w:tcPr>
            <w:tcW w:w="3716" w:type="dxa"/>
            <w:shd w:val="clear" w:color="auto" w:fill="auto"/>
          </w:tcPr>
          <w:p w:rsidR="008123E9" w:rsidRPr="0060706A" w:rsidP="008123E9">
            <w:pPr>
              <w:autoSpaceDE w:val="0"/>
              <w:autoSpaceDN w:val="0"/>
              <w:adjustRightInd w:val="0"/>
              <w:ind w:left="540" w:hanging="540"/>
            </w:pPr>
            <w:r w:rsidRPr="0060706A">
              <w:t xml:space="preserve">  i.  Rule Waiver</w:t>
            </w:r>
          </w:p>
        </w:tc>
        <w:tc>
          <w:tcPr>
            <w:tcW w:w="1322" w:type="dxa"/>
          </w:tcPr>
          <w:p w:rsidR="008123E9" w:rsidRPr="0060706A" w:rsidP="008123E9">
            <w:pPr>
              <w:autoSpaceDE w:val="0"/>
              <w:autoSpaceDN w:val="0"/>
              <w:adjustRightInd w:val="0"/>
              <w:jc w:val="center"/>
            </w:pPr>
          </w:p>
        </w:tc>
        <w:tc>
          <w:tcPr>
            <w:tcW w:w="1322" w:type="dxa"/>
            <w:shd w:val="clear" w:color="auto" w:fill="auto"/>
          </w:tcPr>
          <w:p w:rsidR="00677E20" w:rsidP="00677E20">
            <w:pPr>
              <w:autoSpaceDE w:val="0"/>
              <w:autoSpaceDN w:val="0"/>
              <w:adjustRightInd w:val="0"/>
              <w:jc w:val="center"/>
            </w:pPr>
          </w:p>
          <w:p w:rsidR="008123E9" w:rsidRPr="0060706A">
            <w:pPr>
              <w:autoSpaceDE w:val="0"/>
              <w:autoSpaceDN w:val="0"/>
              <w:adjustRightInd w:val="0"/>
              <w:jc w:val="center"/>
            </w:pPr>
            <w:r w:rsidRPr="0060706A">
              <w:t>$380.00</w:t>
            </w:r>
          </w:p>
        </w:tc>
        <w:tc>
          <w:tcPr>
            <w:tcW w:w="1322" w:type="dxa"/>
          </w:tcPr>
          <w:p w:rsidR="008123E9" w:rsidRPr="0060706A" w:rsidP="008123E9">
            <w:pPr>
              <w:autoSpaceDE w:val="0"/>
              <w:autoSpaceDN w:val="0"/>
              <w:adjustRightInd w:val="0"/>
              <w:jc w:val="center"/>
            </w:pPr>
          </w:p>
        </w:tc>
      </w:tr>
      <w:tr w:rsidTr="00B13758">
        <w:tblPrEx>
          <w:tblW w:w="7682" w:type="dxa"/>
          <w:tblCellMar>
            <w:left w:w="54" w:type="dxa"/>
            <w:right w:w="54" w:type="dxa"/>
          </w:tblCellMar>
          <w:tblLook w:val="0000"/>
        </w:tblPrEx>
        <w:trPr>
          <w:trHeight w:val="1250"/>
        </w:trPr>
        <w:tc>
          <w:tcPr>
            <w:tcW w:w="3716" w:type="dxa"/>
            <w:shd w:val="clear" w:color="auto" w:fill="auto"/>
          </w:tcPr>
          <w:p w:rsidR="008123E9" w:rsidRPr="0060706A" w:rsidP="008123E9">
            <w:pPr>
              <w:autoSpaceDE w:val="0"/>
              <w:autoSpaceDN w:val="0"/>
              <w:adjustRightInd w:val="0"/>
            </w:pPr>
            <w:r w:rsidRPr="0060706A">
              <w:t xml:space="preserve">  j.       Designated Entity Licensee        Reportable Eligibility Event</w:t>
            </w:r>
          </w:p>
          <w:p w:rsidR="008123E9" w:rsidRPr="0060706A" w:rsidP="008123E9">
            <w:pPr>
              <w:autoSpaceDE w:val="0"/>
              <w:autoSpaceDN w:val="0"/>
              <w:adjustRightInd w:val="0"/>
            </w:pPr>
            <w:r w:rsidRPr="0060706A">
              <w:t xml:space="preserve">     </w:t>
            </w:r>
          </w:p>
        </w:tc>
        <w:tc>
          <w:tcPr>
            <w:tcW w:w="1322" w:type="dxa"/>
          </w:tcPr>
          <w:p w:rsidR="008123E9" w:rsidRPr="0060706A" w:rsidP="008123E9">
            <w:pPr>
              <w:autoSpaceDE w:val="0"/>
              <w:autoSpaceDN w:val="0"/>
              <w:adjustRightInd w:val="0"/>
              <w:jc w:val="center"/>
            </w:pPr>
          </w:p>
        </w:tc>
        <w:tc>
          <w:tcPr>
            <w:tcW w:w="1322" w:type="dxa"/>
            <w:shd w:val="clear" w:color="auto" w:fill="auto"/>
          </w:tcPr>
          <w:p w:rsidR="00677E20" w:rsidP="00677E20">
            <w:pPr>
              <w:autoSpaceDE w:val="0"/>
              <w:autoSpaceDN w:val="0"/>
              <w:adjustRightInd w:val="0"/>
              <w:jc w:val="center"/>
            </w:pPr>
          </w:p>
          <w:p w:rsidR="008123E9" w:rsidRPr="0060706A">
            <w:pPr>
              <w:autoSpaceDE w:val="0"/>
              <w:autoSpaceDN w:val="0"/>
              <w:adjustRightInd w:val="0"/>
              <w:jc w:val="center"/>
            </w:pPr>
            <w:r w:rsidRPr="0060706A">
              <w:t>$</w:t>
            </w:r>
            <w:r w:rsidR="003951F6">
              <w:t>5</w:t>
            </w:r>
            <w:r w:rsidRPr="002E374F">
              <w:t>0</w:t>
            </w:r>
            <w:r w:rsidRPr="0060706A">
              <w:t>.00</w:t>
            </w:r>
          </w:p>
        </w:tc>
        <w:tc>
          <w:tcPr>
            <w:tcW w:w="1322" w:type="dxa"/>
          </w:tcPr>
          <w:p w:rsidR="008123E9" w:rsidRPr="0060706A" w:rsidP="008123E9">
            <w:pPr>
              <w:autoSpaceDE w:val="0"/>
              <w:autoSpaceDN w:val="0"/>
              <w:adjustRightInd w:val="0"/>
              <w:jc w:val="center"/>
            </w:pPr>
          </w:p>
        </w:tc>
      </w:tr>
    </w:tbl>
    <w:p w:rsidR="00ED5194" w:rsidRPr="0059512C" w:rsidP="00ED5194">
      <w:pPr>
        <w:rPr>
          <w:b/>
          <w:szCs w:val="22"/>
        </w:rPr>
      </w:pPr>
    </w:p>
    <w:p w:rsidR="00ED5194" w:rsidRPr="0059512C" w:rsidP="00ED5194">
      <w:pPr>
        <w:rPr>
          <w:b/>
          <w:szCs w:val="22"/>
        </w:rPr>
      </w:pPr>
    </w:p>
    <w:p w:rsidR="00ED5194" w:rsidRPr="0059512C" w:rsidP="00ED5194">
      <w:pPr>
        <w:rPr>
          <w:szCs w:val="22"/>
        </w:rPr>
      </w:pPr>
      <w:r w:rsidRPr="0059512C">
        <w:rPr>
          <w:szCs w:val="22"/>
        </w:rPr>
        <w:t>4.  Section 1.1103 is revised to read as follows:</w:t>
      </w:r>
    </w:p>
    <w:p w:rsidR="00ED5194" w:rsidRPr="0059512C" w:rsidP="00ED5194">
      <w:pPr>
        <w:autoSpaceDE w:val="0"/>
        <w:autoSpaceDN w:val="0"/>
        <w:adjustRightInd w:val="0"/>
        <w:ind w:left="360"/>
        <w:rPr>
          <w:szCs w:val="22"/>
        </w:rPr>
      </w:pPr>
    </w:p>
    <w:p w:rsidR="00ED5194" w:rsidRPr="0059512C" w:rsidP="00ED5194">
      <w:pPr>
        <w:autoSpaceDE w:val="0"/>
        <w:autoSpaceDN w:val="0"/>
        <w:adjustRightInd w:val="0"/>
        <w:rPr>
          <w:szCs w:val="22"/>
        </w:rPr>
      </w:pPr>
      <w:r w:rsidRPr="0059512C">
        <w:rPr>
          <w:szCs w:val="22"/>
          <w:u w:val="single"/>
        </w:rPr>
        <w:t>§1.1103 Schedule of charges for</w:t>
      </w:r>
      <w:r w:rsidRPr="0059512C" w:rsidR="00157FB1">
        <w:rPr>
          <w:szCs w:val="22"/>
          <w:u w:val="single"/>
        </w:rPr>
        <w:t xml:space="preserve"> assignment of grantee codes</w:t>
      </w:r>
      <w:r w:rsidRPr="0059512C">
        <w:rPr>
          <w:szCs w:val="22"/>
          <w:u w:val="single"/>
        </w:rPr>
        <w:t>, experimental radio services (or service).</w:t>
      </w:r>
      <w:r w:rsidRPr="0059512C">
        <w:rPr>
          <w:szCs w:val="22"/>
        </w:rPr>
        <w:t xml:space="preserve"> </w:t>
      </w:r>
    </w:p>
    <w:p w:rsidR="00ED5194" w:rsidRPr="0059512C" w:rsidP="00ED5194">
      <w:pPr>
        <w:autoSpaceDE w:val="0"/>
        <w:autoSpaceDN w:val="0"/>
        <w:adjustRightInd w:val="0"/>
        <w:rPr>
          <w:szCs w:val="22"/>
        </w:rPr>
      </w:pPr>
    </w:p>
    <w:p w:rsidR="00ED5194" w:rsidRPr="0059512C" w:rsidP="00ED5194">
      <w:pPr>
        <w:autoSpaceDE w:val="0"/>
        <w:autoSpaceDN w:val="0"/>
        <w:adjustRightInd w:val="0"/>
        <w:rPr>
          <w:szCs w:val="22"/>
        </w:rPr>
      </w:pPr>
    </w:p>
    <w:p w:rsidR="00ED5194" w:rsidRPr="0059512C" w:rsidP="006974D3">
      <w:pPr>
        <w:rPr>
          <w:szCs w:val="22"/>
        </w:rPr>
      </w:pPr>
      <w:r w:rsidRPr="0059512C">
        <w:rPr>
          <w:bCs/>
          <w:szCs w:val="22"/>
        </w:rPr>
        <w:t>Payment can be made electronically using the Commission’s electronic filing and payment system Fee Filer (</w:t>
      </w:r>
      <w:hyperlink r:id="rId8" w:history="1">
        <w:r w:rsidRPr="0059512C">
          <w:rPr>
            <w:rStyle w:val="Hyperlink"/>
            <w:bCs/>
            <w:szCs w:val="22"/>
          </w:rPr>
          <w:t>www.fcc.gov/feefiler</w:t>
        </w:r>
      </w:hyperlink>
      <w:r w:rsidRPr="0059512C">
        <w:rPr>
          <w:bCs/>
          <w:szCs w:val="22"/>
        </w:rPr>
        <w:t>).  Remit manual filings and/or payments for these services to: Federal Communications</w:t>
      </w:r>
      <w:r w:rsidRPr="0059512C">
        <w:rPr>
          <w:bCs/>
          <w:szCs w:val="22"/>
        </w:rPr>
        <w:t xml:space="preserve"> Commission, OET Services, P.O. Box 979095, St. Louis, MO 63197-9000.</w:t>
      </w:r>
    </w:p>
    <w:p w:rsidR="00ED5194" w:rsidRPr="0059512C" w:rsidP="00ED5194">
      <w:pPr>
        <w:rPr>
          <w:b/>
          <w:szCs w:val="22"/>
        </w:rPr>
      </w:pPr>
    </w:p>
    <w:p w:rsidR="00ED5194" w:rsidRPr="0059512C" w:rsidP="00ED5194">
      <w:pPr>
        <w:autoSpaceDE w:val="0"/>
        <w:autoSpaceDN w:val="0"/>
        <w:adjustRightInd w:val="0"/>
        <w:rPr>
          <w:szCs w:val="22"/>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3600"/>
        <w:gridCol w:w="1800"/>
        <w:gridCol w:w="1800"/>
        <w:gridCol w:w="1800"/>
      </w:tblGrid>
      <w:tr w:rsidTr="001B3814">
        <w:tblPrEx>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Ex>
        <w:trPr>
          <w:trHeight w:val="656"/>
          <w:tblHeader/>
        </w:trPr>
        <w:tc>
          <w:tcPr>
            <w:tcW w:w="3600" w:type="dxa"/>
            <w:shd w:val="clear" w:color="auto" w:fill="auto"/>
            <w:vAlign w:val="center"/>
          </w:tcPr>
          <w:p w:rsidR="00ED5194" w:rsidRPr="0060706A" w:rsidP="001B3814">
            <w:pPr>
              <w:autoSpaceDE w:val="0"/>
              <w:autoSpaceDN w:val="0"/>
              <w:adjustRightInd w:val="0"/>
              <w:ind w:left="540" w:hanging="540"/>
              <w:jc w:val="center"/>
              <w:rPr>
                <w:b/>
              </w:rPr>
            </w:pPr>
            <w:r w:rsidRPr="0060706A">
              <w:rPr>
                <w:b/>
              </w:rPr>
              <w:t>Service</w:t>
            </w:r>
          </w:p>
        </w:tc>
        <w:tc>
          <w:tcPr>
            <w:tcW w:w="1800" w:type="dxa"/>
          </w:tcPr>
          <w:p w:rsidR="00ED5194" w:rsidRPr="0060706A" w:rsidP="001B3814">
            <w:pPr>
              <w:autoSpaceDE w:val="0"/>
              <w:autoSpaceDN w:val="0"/>
              <w:adjustRightInd w:val="0"/>
              <w:jc w:val="center"/>
              <w:rPr>
                <w:b/>
              </w:rPr>
            </w:pPr>
          </w:p>
          <w:p w:rsidR="00ED5194" w:rsidRPr="0060706A" w:rsidP="001B3814">
            <w:pPr>
              <w:autoSpaceDE w:val="0"/>
              <w:autoSpaceDN w:val="0"/>
              <w:adjustRightInd w:val="0"/>
              <w:jc w:val="center"/>
              <w:rPr>
                <w:b/>
              </w:rPr>
            </w:pPr>
            <w:r w:rsidRPr="0060706A">
              <w:rPr>
                <w:b/>
              </w:rPr>
              <w:t>FCC Form No.</w:t>
            </w:r>
          </w:p>
          <w:p w:rsidR="00ED5194" w:rsidRPr="0060706A" w:rsidP="001B3814">
            <w:pPr>
              <w:autoSpaceDE w:val="0"/>
              <w:autoSpaceDN w:val="0"/>
              <w:adjustRightInd w:val="0"/>
              <w:jc w:val="center"/>
              <w:rPr>
                <w:b/>
              </w:rPr>
            </w:pPr>
          </w:p>
        </w:tc>
        <w:tc>
          <w:tcPr>
            <w:tcW w:w="1800" w:type="dxa"/>
            <w:shd w:val="clear" w:color="auto" w:fill="auto"/>
            <w:vAlign w:val="center"/>
          </w:tcPr>
          <w:p w:rsidR="00ED5194" w:rsidRPr="0060706A" w:rsidP="001B3814">
            <w:pPr>
              <w:autoSpaceDE w:val="0"/>
              <w:autoSpaceDN w:val="0"/>
              <w:adjustRightInd w:val="0"/>
              <w:jc w:val="center"/>
              <w:rPr>
                <w:b/>
              </w:rPr>
            </w:pPr>
            <w:r w:rsidRPr="0060706A">
              <w:rPr>
                <w:b/>
              </w:rPr>
              <w:t>Fee</w:t>
            </w:r>
          </w:p>
          <w:p w:rsidR="00ED5194" w:rsidRPr="0060706A" w:rsidP="001B3814">
            <w:pPr>
              <w:autoSpaceDE w:val="0"/>
              <w:autoSpaceDN w:val="0"/>
              <w:adjustRightInd w:val="0"/>
              <w:jc w:val="center"/>
              <w:rPr>
                <w:b/>
              </w:rPr>
            </w:pPr>
            <w:r w:rsidRPr="0060706A">
              <w:rPr>
                <w:b/>
              </w:rPr>
              <w:t>Amount</w:t>
            </w:r>
          </w:p>
        </w:tc>
        <w:tc>
          <w:tcPr>
            <w:tcW w:w="1800" w:type="dxa"/>
          </w:tcPr>
          <w:p w:rsidR="00ED5194" w:rsidRPr="0060706A" w:rsidP="001B3814">
            <w:pPr>
              <w:autoSpaceDE w:val="0"/>
              <w:autoSpaceDN w:val="0"/>
              <w:adjustRightInd w:val="0"/>
              <w:jc w:val="center"/>
              <w:rPr>
                <w:b/>
              </w:rPr>
            </w:pPr>
            <w:r w:rsidRPr="0060706A">
              <w:rPr>
                <w:b/>
              </w:rPr>
              <w:t>Payment Type Code</w:t>
            </w:r>
          </w:p>
        </w:tc>
      </w:tr>
      <w:tr w:rsidTr="00B13758">
        <w:tblPrEx>
          <w:tblW w:w="9000" w:type="dxa"/>
          <w:tblCellMar>
            <w:left w:w="54" w:type="dxa"/>
            <w:right w:w="54" w:type="dxa"/>
          </w:tblCellMar>
          <w:tblLook w:val="0000"/>
        </w:tblPrEx>
        <w:trPr>
          <w:trHeight w:val="1070"/>
        </w:trPr>
        <w:tc>
          <w:tcPr>
            <w:tcW w:w="3600" w:type="dxa"/>
            <w:shd w:val="clear" w:color="auto" w:fill="auto"/>
          </w:tcPr>
          <w:p w:rsidR="00ED5194" w:rsidRPr="0060706A" w:rsidP="001B3814">
            <w:pPr>
              <w:autoSpaceDE w:val="0"/>
              <w:autoSpaceDN w:val="0"/>
              <w:adjustRightInd w:val="0"/>
              <w:ind w:left="540" w:hanging="540"/>
              <w:rPr>
                <w:b/>
              </w:rPr>
            </w:pPr>
            <w:r w:rsidRPr="0060706A">
              <w:rPr>
                <w:b/>
              </w:rPr>
              <w:t>1.  Assignment of Grantee Code</w:t>
            </w:r>
          </w:p>
          <w:p w:rsidR="00ED5194" w:rsidRPr="0060706A" w:rsidP="001B3814">
            <w:pPr>
              <w:autoSpaceDE w:val="0"/>
              <w:autoSpaceDN w:val="0"/>
              <w:adjustRightInd w:val="0"/>
              <w:ind w:left="540" w:hanging="540"/>
            </w:pPr>
            <w:r w:rsidRPr="0060706A">
              <w:t xml:space="preserve">     </w:t>
            </w:r>
          </w:p>
        </w:tc>
        <w:tc>
          <w:tcPr>
            <w:tcW w:w="180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159</w:t>
            </w:r>
            <w:r w:rsidRPr="0060706A" w:rsidR="00107D6D">
              <w:t>, 702, 703</w:t>
            </w:r>
          </w:p>
        </w:tc>
        <w:tc>
          <w:tcPr>
            <w:tcW w:w="1800" w:type="dxa"/>
            <w:shd w:val="clear" w:color="auto" w:fill="auto"/>
          </w:tcPr>
          <w:p w:rsidR="00677E20" w:rsidP="00677E20">
            <w:pPr>
              <w:autoSpaceDE w:val="0"/>
              <w:autoSpaceDN w:val="0"/>
              <w:adjustRightInd w:val="0"/>
              <w:jc w:val="center"/>
            </w:pPr>
          </w:p>
          <w:p w:rsidR="00ED5194" w:rsidRPr="0060706A">
            <w:pPr>
              <w:autoSpaceDE w:val="0"/>
              <w:autoSpaceDN w:val="0"/>
              <w:adjustRightInd w:val="0"/>
              <w:jc w:val="center"/>
              <w:rPr>
                <w:spacing w:val="-2"/>
              </w:rPr>
            </w:pPr>
            <w:r w:rsidRPr="0060706A">
              <w:t>$</w:t>
            </w:r>
            <w:r w:rsidR="003951F6">
              <w:t>5</w:t>
            </w:r>
            <w:r w:rsidRPr="002E374F">
              <w:t>0</w:t>
            </w:r>
            <w:r w:rsidRPr="0060706A">
              <w:t>.00</w:t>
            </w:r>
          </w:p>
        </w:tc>
        <w:tc>
          <w:tcPr>
            <w:tcW w:w="180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EAG</w:t>
            </w:r>
          </w:p>
        </w:tc>
      </w:tr>
    </w:tbl>
    <w:p w:rsidR="00ED5194" w:rsidP="00ED5194">
      <w:pPr>
        <w:ind w:left="360"/>
      </w:pPr>
    </w:p>
    <w:p w:rsidR="003A6F62" w:rsidP="00ED5194">
      <w:pPr>
        <w:ind w:left="360"/>
      </w:pPr>
    </w:p>
    <w:p w:rsidR="003A6F62" w:rsidP="00ED5194">
      <w:pPr>
        <w:ind w:left="360"/>
      </w:pPr>
    </w:p>
    <w:tbl>
      <w:tblPr>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3774"/>
        <w:gridCol w:w="1538"/>
        <w:gridCol w:w="1425"/>
        <w:gridCol w:w="1423"/>
      </w:tblGrid>
      <w:tr w:rsidTr="008A7B14">
        <w:tblPrEx>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Ex>
        <w:trPr>
          <w:trHeight w:val="405"/>
          <w:tblHeader/>
        </w:trPr>
        <w:tc>
          <w:tcPr>
            <w:tcW w:w="3774" w:type="dxa"/>
            <w:shd w:val="clear" w:color="auto" w:fill="auto"/>
            <w:vAlign w:val="center"/>
          </w:tcPr>
          <w:p w:rsidR="003A6F62" w:rsidRPr="00F47137" w:rsidP="003972E0">
            <w:pPr>
              <w:autoSpaceDE w:val="0"/>
              <w:autoSpaceDN w:val="0"/>
              <w:adjustRightInd w:val="0"/>
              <w:jc w:val="center"/>
              <w:rPr>
                <w:b/>
              </w:rPr>
            </w:pPr>
            <w:r w:rsidRPr="00F47137">
              <w:rPr>
                <w:b/>
              </w:rPr>
              <w:t>Service</w:t>
            </w:r>
          </w:p>
        </w:tc>
        <w:tc>
          <w:tcPr>
            <w:tcW w:w="1538" w:type="dxa"/>
          </w:tcPr>
          <w:p w:rsidR="003A6F62" w:rsidRPr="00F47137" w:rsidP="003972E0">
            <w:pPr>
              <w:autoSpaceDE w:val="0"/>
              <w:autoSpaceDN w:val="0"/>
              <w:adjustRightInd w:val="0"/>
              <w:jc w:val="center"/>
              <w:rPr>
                <w:b/>
              </w:rPr>
            </w:pPr>
            <w:r w:rsidRPr="00F47137">
              <w:rPr>
                <w:b/>
              </w:rPr>
              <w:t>FCC Form No.</w:t>
            </w:r>
          </w:p>
        </w:tc>
        <w:tc>
          <w:tcPr>
            <w:tcW w:w="1425" w:type="dxa"/>
            <w:shd w:val="clear" w:color="auto" w:fill="auto"/>
            <w:vAlign w:val="center"/>
          </w:tcPr>
          <w:p w:rsidR="003A6F62" w:rsidRPr="00F47137" w:rsidP="003972E0">
            <w:pPr>
              <w:autoSpaceDE w:val="0"/>
              <w:autoSpaceDN w:val="0"/>
              <w:adjustRightInd w:val="0"/>
              <w:jc w:val="center"/>
              <w:rPr>
                <w:b/>
              </w:rPr>
            </w:pPr>
            <w:r w:rsidRPr="00F47137">
              <w:rPr>
                <w:b/>
              </w:rPr>
              <w:t>Fee</w:t>
            </w:r>
          </w:p>
          <w:p w:rsidR="003A6F62" w:rsidRPr="00F47137" w:rsidP="003972E0">
            <w:pPr>
              <w:autoSpaceDE w:val="0"/>
              <w:autoSpaceDN w:val="0"/>
              <w:adjustRightInd w:val="0"/>
              <w:jc w:val="center"/>
              <w:rPr>
                <w:b/>
              </w:rPr>
            </w:pPr>
            <w:r w:rsidRPr="00F47137">
              <w:rPr>
                <w:b/>
              </w:rPr>
              <w:t>Amount</w:t>
            </w:r>
          </w:p>
        </w:tc>
        <w:tc>
          <w:tcPr>
            <w:tcW w:w="1423" w:type="dxa"/>
          </w:tcPr>
          <w:p w:rsidR="003A6F62" w:rsidRPr="00F47137" w:rsidP="003972E0">
            <w:pPr>
              <w:autoSpaceDE w:val="0"/>
              <w:autoSpaceDN w:val="0"/>
              <w:adjustRightInd w:val="0"/>
              <w:jc w:val="center"/>
              <w:rPr>
                <w:b/>
              </w:rPr>
            </w:pPr>
            <w:r w:rsidRPr="00F47137">
              <w:rPr>
                <w:b/>
              </w:rPr>
              <w:t>Payment Type Code</w:t>
            </w:r>
          </w:p>
        </w:tc>
      </w:tr>
      <w:tr w:rsidTr="00B13758">
        <w:tblPrEx>
          <w:tblW w:w="8160" w:type="dxa"/>
          <w:tblCellMar>
            <w:left w:w="54" w:type="dxa"/>
            <w:right w:w="54" w:type="dxa"/>
          </w:tblCellMar>
          <w:tblLook w:val="0000"/>
        </w:tblPrEx>
        <w:trPr>
          <w:trHeight w:val="1250"/>
        </w:trPr>
        <w:tc>
          <w:tcPr>
            <w:tcW w:w="3774" w:type="dxa"/>
            <w:shd w:val="clear" w:color="auto" w:fill="auto"/>
          </w:tcPr>
          <w:p w:rsidR="003A6F62" w:rsidRPr="00F47137" w:rsidP="003972E0">
            <w:pPr>
              <w:autoSpaceDE w:val="0"/>
              <w:autoSpaceDN w:val="0"/>
              <w:adjustRightInd w:val="0"/>
              <w:ind w:left="540" w:hanging="540"/>
              <w:rPr>
                <w:b/>
              </w:rPr>
            </w:pPr>
            <w:r>
              <w:rPr>
                <w:b/>
              </w:rPr>
              <w:t>2</w:t>
            </w:r>
            <w:r w:rsidRPr="00F47137">
              <w:rPr>
                <w:b/>
              </w:rPr>
              <w:t xml:space="preserve">.  </w:t>
            </w:r>
            <w:r>
              <w:rPr>
                <w:b/>
              </w:rPr>
              <w:t>Experimental Radio Service</w:t>
            </w:r>
          </w:p>
          <w:p w:rsidR="003A6F62" w:rsidRPr="00F47137">
            <w:pPr>
              <w:autoSpaceDE w:val="0"/>
              <w:autoSpaceDN w:val="0"/>
              <w:adjustRightInd w:val="0"/>
              <w:ind w:left="540" w:hanging="540"/>
              <w:rPr>
                <w:b/>
              </w:rPr>
            </w:pPr>
            <w:r w:rsidRPr="00F47137">
              <w:t xml:space="preserve">   a. New </w:t>
            </w:r>
            <w:r>
              <w:t>Station Authorization</w:t>
            </w:r>
          </w:p>
        </w:tc>
        <w:tc>
          <w:tcPr>
            <w:tcW w:w="1538" w:type="dxa"/>
          </w:tcPr>
          <w:p w:rsidR="003A6F62">
            <w:pPr>
              <w:autoSpaceDE w:val="0"/>
              <w:autoSpaceDN w:val="0"/>
              <w:adjustRightInd w:val="0"/>
              <w:jc w:val="center"/>
            </w:pPr>
          </w:p>
          <w:p w:rsidR="003A6F62" w:rsidRPr="00F47137">
            <w:pPr>
              <w:autoSpaceDE w:val="0"/>
              <w:autoSpaceDN w:val="0"/>
              <w:adjustRightInd w:val="0"/>
              <w:jc w:val="center"/>
            </w:pPr>
          </w:p>
          <w:p w:rsidR="003A6F62">
            <w:pPr>
              <w:autoSpaceDE w:val="0"/>
              <w:autoSpaceDN w:val="0"/>
              <w:adjustRightInd w:val="0"/>
              <w:jc w:val="center"/>
            </w:pPr>
            <w:r>
              <w:t>442</w:t>
            </w:r>
            <w:r w:rsidRPr="00F47137">
              <w:t xml:space="preserve"> &amp; 159</w:t>
            </w:r>
          </w:p>
          <w:p w:rsidR="003A6F62" w:rsidRPr="00F47137">
            <w:pPr>
              <w:autoSpaceDE w:val="0"/>
              <w:autoSpaceDN w:val="0"/>
              <w:adjustRightInd w:val="0"/>
              <w:jc w:val="center"/>
            </w:pPr>
          </w:p>
          <w:p w:rsidR="003A6F62" w:rsidRPr="00F47137">
            <w:pPr>
              <w:autoSpaceDE w:val="0"/>
              <w:autoSpaceDN w:val="0"/>
              <w:adjustRightInd w:val="0"/>
              <w:jc w:val="center"/>
            </w:pPr>
          </w:p>
        </w:tc>
        <w:tc>
          <w:tcPr>
            <w:tcW w:w="1425" w:type="dxa"/>
            <w:shd w:val="clear" w:color="auto" w:fill="auto"/>
          </w:tcPr>
          <w:p w:rsidR="00677E20" w:rsidP="00677E20">
            <w:pPr>
              <w:autoSpaceDE w:val="0"/>
              <w:autoSpaceDN w:val="0"/>
              <w:adjustRightInd w:val="0"/>
              <w:jc w:val="center"/>
            </w:pPr>
          </w:p>
          <w:p w:rsidR="00677E20" w:rsidP="00677E20">
            <w:pPr>
              <w:autoSpaceDE w:val="0"/>
              <w:autoSpaceDN w:val="0"/>
              <w:adjustRightInd w:val="0"/>
              <w:jc w:val="center"/>
            </w:pPr>
          </w:p>
          <w:p w:rsidR="003A6F62" w:rsidRPr="00F47137">
            <w:pPr>
              <w:autoSpaceDE w:val="0"/>
              <w:autoSpaceDN w:val="0"/>
              <w:adjustRightInd w:val="0"/>
              <w:jc w:val="center"/>
              <w:rPr>
                <w:spacing w:val="-2"/>
              </w:rPr>
            </w:pPr>
            <w:r w:rsidRPr="00F47137">
              <w:t>$</w:t>
            </w:r>
            <w:r>
              <w:t>125</w:t>
            </w:r>
            <w:r w:rsidRPr="00F47137">
              <w:t>.00</w:t>
            </w:r>
          </w:p>
        </w:tc>
        <w:tc>
          <w:tcPr>
            <w:tcW w:w="1423" w:type="dxa"/>
          </w:tcPr>
          <w:p w:rsidR="003A6F62" w:rsidRPr="00F47137" w:rsidP="003972E0">
            <w:pPr>
              <w:autoSpaceDE w:val="0"/>
              <w:autoSpaceDN w:val="0"/>
              <w:adjustRightInd w:val="0"/>
              <w:jc w:val="center"/>
            </w:pPr>
          </w:p>
          <w:p w:rsidR="003A6F62" w:rsidP="003972E0">
            <w:pPr>
              <w:autoSpaceDE w:val="0"/>
              <w:autoSpaceDN w:val="0"/>
              <w:adjustRightInd w:val="0"/>
              <w:jc w:val="center"/>
            </w:pPr>
          </w:p>
          <w:p w:rsidR="003972E0" w:rsidRPr="00F47137" w:rsidP="003972E0">
            <w:pPr>
              <w:autoSpaceDE w:val="0"/>
              <w:autoSpaceDN w:val="0"/>
              <w:adjustRightInd w:val="0"/>
              <w:jc w:val="center"/>
            </w:pPr>
            <w:r>
              <w:t>EAE</w:t>
            </w:r>
          </w:p>
        </w:tc>
      </w:tr>
      <w:tr w:rsidTr="00B13758">
        <w:tblPrEx>
          <w:tblW w:w="8160" w:type="dxa"/>
          <w:tblCellMar>
            <w:left w:w="54" w:type="dxa"/>
            <w:right w:w="54" w:type="dxa"/>
          </w:tblCellMar>
          <w:tblLook w:val="0000"/>
        </w:tblPrEx>
        <w:trPr>
          <w:trHeight w:val="944"/>
        </w:trPr>
        <w:tc>
          <w:tcPr>
            <w:tcW w:w="3774" w:type="dxa"/>
            <w:shd w:val="clear" w:color="auto" w:fill="auto"/>
          </w:tcPr>
          <w:p w:rsidR="003A6F62" w:rsidRPr="00F47137" w:rsidP="003972E0">
            <w:pPr>
              <w:autoSpaceDE w:val="0"/>
              <w:autoSpaceDN w:val="0"/>
              <w:adjustRightInd w:val="0"/>
              <w:ind w:left="540" w:hanging="540"/>
            </w:pPr>
            <w:r w:rsidRPr="00F47137">
              <w:t xml:space="preserve">  b. Modification</w:t>
            </w:r>
            <w:r>
              <w:t xml:space="preserve"> of Authorization</w:t>
            </w:r>
          </w:p>
          <w:p w:rsidR="003A6F62" w:rsidRPr="00F47137" w:rsidP="003972E0">
            <w:pPr>
              <w:autoSpaceDE w:val="0"/>
              <w:autoSpaceDN w:val="0"/>
              <w:adjustRightInd w:val="0"/>
              <w:ind w:left="540" w:hanging="540"/>
            </w:pPr>
            <w:r w:rsidRPr="00F47137">
              <w:t xml:space="preserve">       </w:t>
            </w:r>
          </w:p>
          <w:p w:rsidR="003A6F62" w:rsidRPr="00F47137" w:rsidP="003972E0">
            <w:pPr>
              <w:autoSpaceDE w:val="0"/>
              <w:autoSpaceDN w:val="0"/>
              <w:adjustRightInd w:val="0"/>
              <w:ind w:left="540" w:hanging="540"/>
            </w:pPr>
          </w:p>
        </w:tc>
        <w:tc>
          <w:tcPr>
            <w:tcW w:w="1538" w:type="dxa"/>
          </w:tcPr>
          <w:p w:rsidR="003972E0">
            <w:pPr>
              <w:autoSpaceDE w:val="0"/>
              <w:autoSpaceDN w:val="0"/>
              <w:adjustRightInd w:val="0"/>
              <w:jc w:val="center"/>
            </w:pPr>
          </w:p>
          <w:p w:rsidR="003A6F62">
            <w:pPr>
              <w:autoSpaceDE w:val="0"/>
              <w:autoSpaceDN w:val="0"/>
              <w:adjustRightInd w:val="0"/>
              <w:jc w:val="center"/>
            </w:pPr>
            <w:r>
              <w:t>442</w:t>
            </w:r>
            <w:r w:rsidRPr="00F47137">
              <w:t xml:space="preserve"> &amp; 159</w:t>
            </w:r>
          </w:p>
          <w:p w:rsidR="003A6F62" w:rsidRPr="00F47137">
            <w:pPr>
              <w:autoSpaceDE w:val="0"/>
              <w:autoSpaceDN w:val="0"/>
              <w:adjustRightInd w:val="0"/>
              <w:jc w:val="center"/>
            </w:pPr>
          </w:p>
        </w:tc>
        <w:tc>
          <w:tcPr>
            <w:tcW w:w="1425" w:type="dxa"/>
            <w:shd w:val="clear" w:color="auto" w:fill="auto"/>
          </w:tcPr>
          <w:p w:rsidR="00677E20" w:rsidP="00677E20">
            <w:pPr>
              <w:autoSpaceDE w:val="0"/>
              <w:autoSpaceDN w:val="0"/>
              <w:adjustRightInd w:val="0"/>
              <w:jc w:val="center"/>
            </w:pPr>
          </w:p>
          <w:p w:rsidR="003A6F62" w:rsidRPr="00F47137">
            <w:pPr>
              <w:autoSpaceDE w:val="0"/>
              <w:autoSpaceDN w:val="0"/>
              <w:adjustRightInd w:val="0"/>
              <w:jc w:val="center"/>
              <w:rPr>
                <w:spacing w:val="-2"/>
              </w:rPr>
            </w:pPr>
            <w:r w:rsidRPr="00F47137">
              <w:t>$</w:t>
            </w:r>
            <w:r w:rsidR="003972E0">
              <w:t>125</w:t>
            </w:r>
            <w:r w:rsidRPr="00F47137" w:rsidR="003972E0">
              <w:t>.00</w:t>
            </w:r>
          </w:p>
        </w:tc>
        <w:tc>
          <w:tcPr>
            <w:tcW w:w="1423" w:type="dxa"/>
          </w:tcPr>
          <w:p w:rsidR="003A6F62" w:rsidRPr="00F47137" w:rsidP="003972E0">
            <w:pPr>
              <w:autoSpaceDE w:val="0"/>
              <w:autoSpaceDN w:val="0"/>
              <w:adjustRightInd w:val="0"/>
              <w:jc w:val="center"/>
            </w:pPr>
          </w:p>
          <w:p w:rsidR="003A6F62" w:rsidRPr="00F47137" w:rsidP="003972E0">
            <w:pPr>
              <w:autoSpaceDE w:val="0"/>
              <w:autoSpaceDN w:val="0"/>
              <w:adjustRightInd w:val="0"/>
              <w:jc w:val="center"/>
            </w:pPr>
            <w:r>
              <w:t>EAE</w:t>
            </w:r>
          </w:p>
        </w:tc>
      </w:tr>
      <w:tr w:rsidTr="00B13758">
        <w:tblPrEx>
          <w:tblW w:w="8160" w:type="dxa"/>
          <w:tblCellMar>
            <w:left w:w="54" w:type="dxa"/>
            <w:right w:w="54" w:type="dxa"/>
          </w:tblCellMar>
          <w:tblLook w:val="0000"/>
        </w:tblPrEx>
        <w:trPr>
          <w:trHeight w:val="1115"/>
        </w:trPr>
        <w:tc>
          <w:tcPr>
            <w:tcW w:w="3774" w:type="dxa"/>
            <w:shd w:val="clear" w:color="auto" w:fill="auto"/>
          </w:tcPr>
          <w:p w:rsidR="003972E0" w:rsidRPr="00F47137" w:rsidP="003972E0">
            <w:pPr>
              <w:autoSpaceDE w:val="0"/>
              <w:autoSpaceDN w:val="0"/>
              <w:adjustRightInd w:val="0"/>
              <w:ind w:left="540" w:hanging="540"/>
            </w:pPr>
            <w:r w:rsidRPr="00F47137">
              <w:t xml:space="preserve">  c. </w:t>
            </w:r>
            <w:r>
              <w:t>Renewal of Station Authorization</w:t>
            </w:r>
          </w:p>
          <w:p w:rsidR="003972E0" w:rsidRPr="00F47137" w:rsidP="003972E0">
            <w:pPr>
              <w:autoSpaceDE w:val="0"/>
              <w:autoSpaceDN w:val="0"/>
              <w:adjustRightInd w:val="0"/>
              <w:ind w:left="540" w:hanging="540"/>
            </w:pPr>
            <w:r w:rsidRPr="00F47137">
              <w:t xml:space="preserve">       </w:t>
            </w:r>
          </w:p>
        </w:tc>
        <w:tc>
          <w:tcPr>
            <w:tcW w:w="1538" w:type="dxa"/>
          </w:tcPr>
          <w:p w:rsidR="003972E0" w:rsidRPr="00F47137">
            <w:pPr>
              <w:autoSpaceDE w:val="0"/>
              <w:autoSpaceDN w:val="0"/>
              <w:adjustRightInd w:val="0"/>
              <w:jc w:val="center"/>
            </w:pPr>
          </w:p>
          <w:p w:rsidR="003972E0" w:rsidRPr="00F47137">
            <w:pPr>
              <w:autoSpaceDE w:val="0"/>
              <w:autoSpaceDN w:val="0"/>
              <w:adjustRightInd w:val="0"/>
              <w:jc w:val="center"/>
            </w:pPr>
            <w:r>
              <w:t>405 &amp; 159</w:t>
            </w:r>
          </w:p>
          <w:p w:rsidR="003972E0" w:rsidRPr="00F47137">
            <w:pPr>
              <w:autoSpaceDE w:val="0"/>
              <w:autoSpaceDN w:val="0"/>
              <w:adjustRightInd w:val="0"/>
              <w:jc w:val="center"/>
            </w:pPr>
          </w:p>
        </w:tc>
        <w:tc>
          <w:tcPr>
            <w:tcW w:w="1425" w:type="dxa"/>
            <w:shd w:val="clear" w:color="auto" w:fill="auto"/>
          </w:tcPr>
          <w:p w:rsidR="00677E20" w:rsidP="00677E20">
            <w:pPr>
              <w:autoSpaceDE w:val="0"/>
              <w:autoSpaceDN w:val="0"/>
              <w:adjustRightInd w:val="0"/>
              <w:jc w:val="center"/>
            </w:pPr>
          </w:p>
          <w:p w:rsidR="003972E0" w:rsidRPr="00F47137">
            <w:pPr>
              <w:autoSpaceDE w:val="0"/>
              <w:autoSpaceDN w:val="0"/>
              <w:adjustRightInd w:val="0"/>
              <w:jc w:val="center"/>
            </w:pPr>
            <w:r w:rsidRPr="00F47137">
              <w:t>$</w:t>
            </w:r>
            <w:r>
              <w:t>125</w:t>
            </w:r>
            <w:r w:rsidRPr="00F47137">
              <w:t>.00</w:t>
            </w:r>
          </w:p>
        </w:tc>
        <w:tc>
          <w:tcPr>
            <w:tcW w:w="1423" w:type="dxa"/>
          </w:tcPr>
          <w:p w:rsidR="003972E0" w:rsidP="00B13758">
            <w:pPr>
              <w:autoSpaceDE w:val="0"/>
              <w:autoSpaceDN w:val="0"/>
              <w:adjustRightInd w:val="0"/>
            </w:pPr>
          </w:p>
          <w:p w:rsidR="003972E0" w:rsidRPr="00F47137">
            <w:pPr>
              <w:autoSpaceDE w:val="0"/>
              <w:autoSpaceDN w:val="0"/>
              <w:adjustRightInd w:val="0"/>
              <w:jc w:val="center"/>
            </w:pPr>
            <w:r>
              <w:t>EAE</w:t>
            </w:r>
          </w:p>
        </w:tc>
      </w:tr>
      <w:tr w:rsidTr="00B13758">
        <w:tblPrEx>
          <w:tblW w:w="8160" w:type="dxa"/>
          <w:tblCellMar>
            <w:left w:w="54" w:type="dxa"/>
            <w:right w:w="54" w:type="dxa"/>
          </w:tblCellMar>
          <w:tblLook w:val="0000"/>
        </w:tblPrEx>
        <w:trPr>
          <w:trHeight w:val="1016"/>
        </w:trPr>
        <w:tc>
          <w:tcPr>
            <w:tcW w:w="3774" w:type="dxa"/>
            <w:shd w:val="clear" w:color="auto" w:fill="auto"/>
          </w:tcPr>
          <w:p w:rsidR="003972E0" w:rsidRPr="00F47137" w:rsidP="003972E0">
            <w:pPr>
              <w:autoSpaceDE w:val="0"/>
              <w:autoSpaceDN w:val="0"/>
              <w:adjustRightInd w:val="0"/>
              <w:ind w:left="540" w:hanging="540"/>
            </w:pPr>
            <w:r w:rsidRPr="00F47137">
              <w:t xml:space="preserve">  d. </w:t>
            </w:r>
            <w:r>
              <w:t>Assignment of License or Transfer of Control</w:t>
            </w:r>
          </w:p>
          <w:p w:rsidR="003972E0" w:rsidRPr="00F47137" w:rsidP="003972E0">
            <w:pPr>
              <w:autoSpaceDE w:val="0"/>
              <w:autoSpaceDN w:val="0"/>
              <w:adjustRightInd w:val="0"/>
              <w:ind w:left="540" w:hanging="540"/>
            </w:pPr>
          </w:p>
        </w:tc>
        <w:tc>
          <w:tcPr>
            <w:tcW w:w="1538" w:type="dxa"/>
          </w:tcPr>
          <w:p w:rsidR="003972E0" w:rsidRPr="00F47137">
            <w:pPr>
              <w:autoSpaceDE w:val="0"/>
              <w:autoSpaceDN w:val="0"/>
              <w:adjustRightInd w:val="0"/>
              <w:jc w:val="center"/>
            </w:pPr>
          </w:p>
          <w:p w:rsidR="003972E0" w:rsidRPr="00F47137">
            <w:pPr>
              <w:autoSpaceDE w:val="0"/>
              <w:autoSpaceDN w:val="0"/>
              <w:adjustRightInd w:val="0"/>
              <w:jc w:val="center"/>
            </w:pPr>
            <w:r>
              <w:t>702 or 703</w:t>
            </w:r>
            <w:r w:rsidRPr="00F47137">
              <w:t xml:space="preserve"> &amp; 159</w:t>
            </w:r>
          </w:p>
        </w:tc>
        <w:tc>
          <w:tcPr>
            <w:tcW w:w="1425" w:type="dxa"/>
            <w:shd w:val="clear" w:color="auto" w:fill="auto"/>
          </w:tcPr>
          <w:p w:rsidR="00677E20" w:rsidP="00677E20">
            <w:pPr>
              <w:autoSpaceDE w:val="0"/>
              <w:autoSpaceDN w:val="0"/>
              <w:adjustRightInd w:val="0"/>
              <w:jc w:val="center"/>
            </w:pPr>
          </w:p>
          <w:p w:rsidR="003972E0" w:rsidRPr="00F47137">
            <w:pPr>
              <w:autoSpaceDE w:val="0"/>
              <w:autoSpaceDN w:val="0"/>
              <w:adjustRightInd w:val="0"/>
              <w:jc w:val="center"/>
              <w:rPr>
                <w:spacing w:val="-2"/>
              </w:rPr>
            </w:pPr>
            <w:r w:rsidRPr="00F47137">
              <w:t>$</w:t>
            </w:r>
            <w:r>
              <w:t>125</w:t>
            </w:r>
            <w:r w:rsidRPr="00F47137">
              <w:t>.00</w:t>
            </w:r>
          </w:p>
        </w:tc>
        <w:tc>
          <w:tcPr>
            <w:tcW w:w="1423" w:type="dxa"/>
          </w:tcPr>
          <w:p w:rsidR="003972E0" w:rsidP="00B13758">
            <w:pPr>
              <w:autoSpaceDE w:val="0"/>
              <w:autoSpaceDN w:val="0"/>
              <w:adjustRightInd w:val="0"/>
            </w:pPr>
          </w:p>
          <w:p w:rsidR="003972E0" w:rsidRPr="00F47137" w:rsidP="003972E0">
            <w:pPr>
              <w:autoSpaceDE w:val="0"/>
              <w:autoSpaceDN w:val="0"/>
              <w:adjustRightInd w:val="0"/>
              <w:jc w:val="center"/>
            </w:pPr>
            <w:r>
              <w:t>EAE</w:t>
            </w:r>
          </w:p>
        </w:tc>
      </w:tr>
      <w:tr w:rsidTr="00B13758">
        <w:tblPrEx>
          <w:tblW w:w="8160" w:type="dxa"/>
          <w:tblCellMar>
            <w:left w:w="54" w:type="dxa"/>
            <w:right w:w="54" w:type="dxa"/>
          </w:tblCellMar>
          <w:tblLook w:val="0000"/>
        </w:tblPrEx>
        <w:trPr>
          <w:trHeight w:val="962"/>
        </w:trPr>
        <w:tc>
          <w:tcPr>
            <w:tcW w:w="3774" w:type="dxa"/>
            <w:shd w:val="clear" w:color="auto" w:fill="auto"/>
          </w:tcPr>
          <w:p w:rsidR="008A7B14" w:rsidRPr="00F47137">
            <w:pPr>
              <w:autoSpaceDE w:val="0"/>
              <w:autoSpaceDN w:val="0"/>
              <w:adjustRightInd w:val="0"/>
              <w:ind w:left="540" w:hanging="540"/>
            </w:pPr>
            <w:r w:rsidRPr="00F47137">
              <w:t xml:space="preserve">  e. </w:t>
            </w:r>
            <w:r>
              <w:t>Special Temporary Authority</w:t>
            </w:r>
            <w:r w:rsidRPr="00F47137">
              <w:t xml:space="preserve">              </w:t>
            </w:r>
          </w:p>
        </w:tc>
        <w:tc>
          <w:tcPr>
            <w:tcW w:w="1538" w:type="dxa"/>
          </w:tcPr>
          <w:p w:rsidR="008A7B14" w:rsidRPr="00F47137">
            <w:pPr>
              <w:autoSpaceDE w:val="0"/>
              <w:autoSpaceDN w:val="0"/>
              <w:adjustRightInd w:val="0"/>
              <w:jc w:val="center"/>
            </w:pPr>
          </w:p>
          <w:p w:rsidR="008A7B14" w:rsidRPr="00F47137">
            <w:pPr>
              <w:autoSpaceDE w:val="0"/>
              <w:autoSpaceDN w:val="0"/>
              <w:adjustRightInd w:val="0"/>
              <w:jc w:val="center"/>
            </w:pPr>
            <w:r>
              <w:t>STA &amp; Correspondence</w:t>
            </w:r>
          </w:p>
        </w:tc>
        <w:tc>
          <w:tcPr>
            <w:tcW w:w="1425" w:type="dxa"/>
            <w:shd w:val="clear" w:color="auto" w:fill="auto"/>
          </w:tcPr>
          <w:p w:rsidR="00677E20" w:rsidP="00677E20">
            <w:pPr>
              <w:autoSpaceDE w:val="0"/>
              <w:autoSpaceDN w:val="0"/>
              <w:adjustRightInd w:val="0"/>
              <w:jc w:val="center"/>
            </w:pPr>
          </w:p>
          <w:p w:rsidR="008A7B14" w:rsidRPr="00F47137">
            <w:pPr>
              <w:autoSpaceDE w:val="0"/>
              <w:autoSpaceDN w:val="0"/>
              <w:adjustRightInd w:val="0"/>
              <w:jc w:val="center"/>
              <w:rPr>
                <w:spacing w:val="-2"/>
              </w:rPr>
            </w:pPr>
            <w:r w:rsidRPr="00F47137">
              <w:t>$</w:t>
            </w:r>
            <w:r>
              <w:t>125</w:t>
            </w:r>
            <w:r w:rsidRPr="00F47137">
              <w:t>.00</w:t>
            </w:r>
          </w:p>
        </w:tc>
        <w:tc>
          <w:tcPr>
            <w:tcW w:w="1423" w:type="dxa"/>
          </w:tcPr>
          <w:p w:rsidR="008A7B14" w:rsidP="00B13758">
            <w:pPr>
              <w:autoSpaceDE w:val="0"/>
              <w:autoSpaceDN w:val="0"/>
              <w:adjustRightInd w:val="0"/>
            </w:pPr>
          </w:p>
          <w:p w:rsidR="008A7B14" w:rsidRPr="00F47137" w:rsidP="008A7B14">
            <w:pPr>
              <w:autoSpaceDE w:val="0"/>
              <w:autoSpaceDN w:val="0"/>
              <w:adjustRightInd w:val="0"/>
              <w:jc w:val="center"/>
            </w:pPr>
            <w:r>
              <w:t>EAE</w:t>
            </w:r>
          </w:p>
        </w:tc>
      </w:tr>
      <w:tr w:rsidTr="00B13758">
        <w:tblPrEx>
          <w:tblW w:w="8160" w:type="dxa"/>
          <w:tblCellMar>
            <w:left w:w="54" w:type="dxa"/>
            <w:right w:w="54" w:type="dxa"/>
          </w:tblCellMar>
          <w:tblLook w:val="0000"/>
        </w:tblPrEx>
        <w:trPr>
          <w:trHeight w:val="962"/>
        </w:trPr>
        <w:tc>
          <w:tcPr>
            <w:tcW w:w="3774" w:type="dxa"/>
            <w:shd w:val="clear" w:color="auto" w:fill="auto"/>
          </w:tcPr>
          <w:p w:rsidR="00FA4614" w:rsidRPr="00F47137" w:rsidP="00FA4614">
            <w:pPr>
              <w:autoSpaceDE w:val="0"/>
              <w:autoSpaceDN w:val="0"/>
              <w:adjustRightInd w:val="0"/>
              <w:ind w:left="540" w:hanging="540"/>
            </w:pPr>
            <w:r w:rsidRPr="00F47137">
              <w:t xml:space="preserve">  </w:t>
            </w:r>
            <w:r>
              <w:t>f</w:t>
            </w:r>
            <w:r w:rsidRPr="00F47137">
              <w:t xml:space="preserve">. </w:t>
            </w:r>
            <w:r>
              <w:t>Confidentiality Request</w:t>
            </w:r>
            <w:r w:rsidRPr="00F47137">
              <w:t xml:space="preserve">              </w:t>
            </w:r>
          </w:p>
        </w:tc>
        <w:tc>
          <w:tcPr>
            <w:tcW w:w="1538" w:type="dxa"/>
          </w:tcPr>
          <w:p w:rsidR="00FA4614" w:rsidRPr="00F47137">
            <w:pPr>
              <w:autoSpaceDE w:val="0"/>
              <w:autoSpaceDN w:val="0"/>
              <w:adjustRightInd w:val="0"/>
              <w:jc w:val="center"/>
            </w:pPr>
          </w:p>
          <w:p w:rsidR="00FA4614" w:rsidRPr="00F47137">
            <w:pPr>
              <w:autoSpaceDE w:val="0"/>
              <w:autoSpaceDN w:val="0"/>
              <w:adjustRightInd w:val="0"/>
              <w:jc w:val="center"/>
            </w:pPr>
            <w:r>
              <w:t>Correspondence</w:t>
            </w:r>
          </w:p>
        </w:tc>
        <w:tc>
          <w:tcPr>
            <w:tcW w:w="1425" w:type="dxa"/>
            <w:shd w:val="clear" w:color="auto" w:fill="auto"/>
          </w:tcPr>
          <w:p w:rsidR="00677E20" w:rsidP="00677E20">
            <w:pPr>
              <w:autoSpaceDE w:val="0"/>
              <w:autoSpaceDN w:val="0"/>
              <w:adjustRightInd w:val="0"/>
              <w:jc w:val="center"/>
            </w:pPr>
          </w:p>
          <w:p w:rsidR="00FA4614" w:rsidRPr="00F47137">
            <w:pPr>
              <w:autoSpaceDE w:val="0"/>
              <w:autoSpaceDN w:val="0"/>
              <w:adjustRightInd w:val="0"/>
              <w:jc w:val="center"/>
            </w:pPr>
            <w:r w:rsidRPr="00F47137">
              <w:t>$</w:t>
            </w:r>
            <w:r>
              <w:t>50</w:t>
            </w:r>
            <w:r w:rsidRPr="00F47137">
              <w:t>.00</w:t>
            </w:r>
          </w:p>
        </w:tc>
        <w:tc>
          <w:tcPr>
            <w:tcW w:w="1423" w:type="dxa"/>
          </w:tcPr>
          <w:p w:rsidR="00FA4614" w:rsidP="00B13758">
            <w:pPr>
              <w:autoSpaceDE w:val="0"/>
              <w:autoSpaceDN w:val="0"/>
              <w:adjustRightInd w:val="0"/>
            </w:pPr>
          </w:p>
          <w:p w:rsidR="00FA4614" w:rsidRPr="00F47137" w:rsidP="00FA4614">
            <w:pPr>
              <w:autoSpaceDE w:val="0"/>
              <w:autoSpaceDN w:val="0"/>
              <w:adjustRightInd w:val="0"/>
              <w:jc w:val="center"/>
            </w:pPr>
            <w:r>
              <w:t>EAE</w:t>
            </w:r>
          </w:p>
        </w:tc>
      </w:tr>
    </w:tbl>
    <w:p w:rsidR="003A6F62" w:rsidP="008A2209"/>
    <w:p w:rsidR="003A6F62" w:rsidRPr="0060706A" w:rsidP="00ED5194">
      <w:pPr>
        <w:ind w:left="360"/>
      </w:pPr>
    </w:p>
    <w:p w:rsidR="00ED5194" w:rsidRPr="0059512C" w:rsidP="00ED5194">
      <w:pPr>
        <w:rPr>
          <w:szCs w:val="22"/>
        </w:rPr>
      </w:pPr>
    </w:p>
    <w:p w:rsidR="00ED5194" w:rsidRPr="0059512C" w:rsidP="00ED5194">
      <w:pPr>
        <w:rPr>
          <w:szCs w:val="22"/>
        </w:rPr>
      </w:pPr>
      <w:r w:rsidRPr="0059512C">
        <w:rPr>
          <w:szCs w:val="22"/>
        </w:rPr>
        <w:t>5.</w:t>
      </w:r>
      <w:r w:rsidRPr="0059512C">
        <w:rPr>
          <w:szCs w:val="22"/>
        </w:rPr>
        <w:t xml:space="preserve">.  Section 1.1104 is revised to read as follows: </w:t>
      </w:r>
    </w:p>
    <w:p w:rsidR="00ED5194" w:rsidRPr="0059512C" w:rsidP="00ED5194">
      <w:pPr>
        <w:rPr>
          <w:szCs w:val="22"/>
          <w:u w:val="single"/>
        </w:rPr>
      </w:pPr>
    </w:p>
    <w:p w:rsidR="00ED5194" w:rsidRPr="0059512C" w:rsidP="00ED5194">
      <w:pPr>
        <w:rPr>
          <w:szCs w:val="22"/>
        </w:rPr>
      </w:pPr>
      <w:r w:rsidRPr="0059512C">
        <w:rPr>
          <w:szCs w:val="22"/>
          <w:u w:val="single"/>
        </w:rPr>
        <w:t>§1.1104  Schedule of charges for applications and other filings for media services</w:t>
      </w:r>
      <w:r w:rsidRPr="0059512C">
        <w:rPr>
          <w:szCs w:val="22"/>
        </w:rPr>
        <w:t>.</w:t>
      </w:r>
    </w:p>
    <w:p w:rsidR="00ED5194" w:rsidRPr="0059512C" w:rsidP="00ED5194">
      <w:pPr>
        <w:rPr>
          <w:szCs w:val="22"/>
        </w:rPr>
      </w:pPr>
    </w:p>
    <w:p w:rsidR="00ED5194" w:rsidRPr="0059512C" w:rsidP="00ED5194">
      <w:pPr>
        <w:ind w:left="360" w:right="-180"/>
        <w:rPr>
          <w:szCs w:val="22"/>
        </w:rPr>
      </w:pPr>
      <w:r w:rsidRPr="0059512C">
        <w:rPr>
          <w:szCs w:val="22"/>
        </w:rPr>
        <w:t>*****</w:t>
      </w:r>
    </w:p>
    <w:p w:rsidR="00ED5194" w:rsidRPr="0059512C" w:rsidP="00ED5194">
      <w:pPr>
        <w:ind w:left="360"/>
        <w:rPr>
          <w:bCs/>
          <w:szCs w:val="22"/>
        </w:rPr>
      </w:pPr>
    </w:p>
    <w:p w:rsidR="00157FB1" w:rsidRPr="0059512C" w:rsidP="00157FB1">
      <w:pPr>
        <w:rPr>
          <w:szCs w:val="22"/>
        </w:rPr>
      </w:pPr>
      <w:r w:rsidRPr="0059512C">
        <w:rPr>
          <w:bCs/>
          <w:szCs w:val="22"/>
        </w:rPr>
        <w:t>Payment can be made electronically using the Commission’s electronic filing and payment system Fee Filer (</w:t>
      </w:r>
      <w:hyperlink r:id="rId8" w:history="1">
        <w:r w:rsidRPr="0059512C">
          <w:rPr>
            <w:rStyle w:val="Hyperlink"/>
            <w:bCs/>
            <w:szCs w:val="22"/>
          </w:rPr>
          <w:t>www.fcc.gov/feefiler</w:t>
        </w:r>
      </w:hyperlink>
      <w:r w:rsidRPr="0059512C">
        <w:rPr>
          <w:bCs/>
          <w:szCs w:val="22"/>
        </w:rPr>
        <w:t xml:space="preserve">).  Remit manual filings and/or payments for these services to: Federal Communications Commission, Media Bureau Services, P.O. Box 979089, St. Louis, MO 63197-9000.  </w:t>
      </w:r>
      <w:r w:rsidRPr="0059512C">
        <w:rPr>
          <w:szCs w:val="22"/>
        </w:rPr>
        <w:t>The asterisk (*) indicates t</w:t>
      </w:r>
      <w:r w:rsidRPr="0059512C">
        <w:rPr>
          <w:szCs w:val="22"/>
        </w:rPr>
        <w:t>hat multiple stations and multiple fee submissions are acceptable within the same post office box.</w:t>
      </w:r>
    </w:p>
    <w:p w:rsidR="00ED5194" w:rsidRPr="0059512C" w:rsidP="00ED5194">
      <w:pPr>
        <w:ind w:left="360"/>
        <w:rPr>
          <w:bCs/>
          <w:szCs w:val="22"/>
        </w:rPr>
      </w:pPr>
    </w:p>
    <w:p w:rsidR="00ED5194" w:rsidRPr="0059512C" w:rsidP="00ED5194">
      <w:pPr>
        <w:rPr>
          <w:bCs/>
          <w:szCs w:val="22"/>
        </w:rPr>
      </w:pPr>
    </w:p>
    <w:p w:rsidR="00ED5194" w:rsidRPr="0059512C" w:rsidP="00ED5194">
      <w:pPr>
        <w:rPr>
          <w:szCs w:val="22"/>
        </w:rPr>
      </w:pPr>
    </w:p>
    <w:tbl>
      <w:tblPr>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3840"/>
        <w:gridCol w:w="1440"/>
        <w:gridCol w:w="1440"/>
        <w:gridCol w:w="1440"/>
      </w:tblGrid>
      <w:tr w:rsidTr="001B3814">
        <w:tblPrEx>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Ex>
        <w:trPr>
          <w:trHeight w:val="405"/>
          <w:tblHeader/>
        </w:trPr>
        <w:tc>
          <w:tcPr>
            <w:tcW w:w="3840" w:type="dxa"/>
            <w:shd w:val="clear" w:color="auto" w:fill="auto"/>
            <w:vAlign w:val="center"/>
          </w:tcPr>
          <w:p w:rsidR="00ED5194" w:rsidRPr="0060706A" w:rsidP="001B3814">
            <w:pPr>
              <w:autoSpaceDE w:val="0"/>
              <w:autoSpaceDN w:val="0"/>
              <w:adjustRightInd w:val="0"/>
              <w:jc w:val="center"/>
              <w:rPr>
                <w:b/>
              </w:rPr>
            </w:pPr>
            <w:r w:rsidRPr="0060706A">
              <w:rPr>
                <w:b/>
              </w:rPr>
              <w:t>Service</w:t>
            </w:r>
          </w:p>
        </w:tc>
        <w:tc>
          <w:tcPr>
            <w:tcW w:w="1440" w:type="dxa"/>
          </w:tcPr>
          <w:p w:rsidR="00ED5194" w:rsidRPr="0060706A" w:rsidP="001B3814">
            <w:pPr>
              <w:autoSpaceDE w:val="0"/>
              <w:autoSpaceDN w:val="0"/>
              <w:adjustRightInd w:val="0"/>
              <w:jc w:val="center"/>
              <w:rPr>
                <w:b/>
              </w:rPr>
            </w:pPr>
            <w:r w:rsidRPr="0060706A">
              <w:rPr>
                <w:b/>
              </w:rPr>
              <w:t>FCC Form No.</w:t>
            </w:r>
          </w:p>
        </w:tc>
        <w:tc>
          <w:tcPr>
            <w:tcW w:w="1440" w:type="dxa"/>
            <w:shd w:val="clear" w:color="auto" w:fill="auto"/>
            <w:vAlign w:val="center"/>
          </w:tcPr>
          <w:p w:rsidR="00ED5194" w:rsidRPr="0060706A" w:rsidP="001B3814">
            <w:pPr>
              <w:autoSpaceDE w:val="0"/>
              <w:autoSpaceDN w:val="0"/>
              <w:adjustRightInd w:val="0"/>
              <w:jc w:val="center"/>
              <w:rPr>
                <w:b/>
              </w:rPr>
            </w:pPr>
            <w:r w:rsidRPr="0060706A">
              <w:rPr>
                <w:b/>
              </w:rPr>
              <w:t>Fee</w:t>
            </w:r>
          </w:p>
          <w:p w:rsidR="00ED5194" w:rsidRPr="0060706A" w:rsidP="001B3814">
            <w:pPr>
              <w:autoSpaceDE w:val="0"/>
              <w:autoSpaceDN w:val="0"/>
              <w:adjustRightInd w:val="0"/>
              <w:jc w:val="center"/>
              <w:rPr>
                <w:b/>
              </w:rPr>
            </w:pPr>
            <w:r w:rsidRPr="0060706A">
              <w:rPr>
                <w:b/>
              </w:rPr>
              <w:t>Amount</w:t>
            </w:r>
          </w:p>
        </w:tc>
        <w:tc>
          <w:tcPr>
            <w:tcW w:w="1440" w:type="dxa"/>
          </w:tcPr>
          <w:p w:rsidR="00ED5194" w:rsidRPr="0060706A" w:rsidP="001B3814">
            <w:pPr>
              <w:autoSpaceDE w:val="0"/>
              <w:autoSpaceDN w:val="0"/>
              <w:adjustRightInd w:val="0"/>
              <w:jc w:val="center"/>
              <w:rPr>
                <w:b/>
              </w:rPr>
            </w:pPr>
            <w:r w:rsidRPr="0060706A">
              <w:rPr>
                <w:b/>
              </w:rPr>
              <w:t>Payment Type Code</w:t>
            </w:r>
          </w:p>
        </w:tc>
      </w:tr>
      <w:tr w:rsidTr="00B13758">
        <w:tblPrEx>
          <w:tblW w:w="8160" w:type="dxa"/>
          <w:tblCellMar>
            <w:left w:w="54" w:type="dxa"/>
            <w:right w:w="54" w:type="dxa"/>
          </w:tblCellMar>
          <w:tblLook w:val="0000"/>
        </w:tblPrEx>
        <w:trPr>
          <w:trHeight w:val="1250"/>
        </w:trPr>
        <w:tc>
          <w:tcPr>
            <w:tcW w:w="3840" w:type="dxa"/>
            <w:shd w:val="clear" w:color="auto" w:fill="auto"/>
          </w:tcPr>
          <w:p w:rsidR="008123E9" w:rsidRPr="0060706A" w:rsidP="008123E9">
            <w:pPr>
              <w:autoSpaceDE w:val="0"/>
              <w:autoSpaceDN w:val="0"/>
              <w:adjustRightInd w:val="0"/>
              <w:ind w:left="540" w:hanging="540"/>
              <w:rPr>
                <w:b/>
              </w:rPr>
            </w:pPr>
            <w:r w:rsidRPr="0060706A">
              <w:rPr>
                <w:b/>
              </w:rPr>
              <w:t>1.  Commercial Full Service TV Services and Class A Stations</w:t>
            </w:r>
          </w:p>
          <w:p w:rsidR="008123E9" w:rsidRPr="0060706A" w:rsidP="008123E9">
            <w:pPr>
              <w:autoSpaceDE w:val="0"/>
              <w:autoSpaceDN w:val="0"/>
              <w:adjustRightInd w:val="0"/>
              <w:ind w:left="540" w:hanging="540"/>
            </w:pPr>
            <w:r w:rsidRPr="0060706A">
              <w:t xml:space="preserve">   a. New and Major Modification</w:t>
            </w:r>
          </w:p>
          <w:p w:rsidR="008123E9" w:rsidRPr="0060706A" w:rsidP="008123E9">
            <w:pPr>
              <w:autoSpaceDE w:val="0"/>
              <w:autoSpaceDN w:val="0"/>
              <w:adjustRightInd w:val="0"/>
              <w:ind w:left="540" w:hanging="540"/>
              <w:rPr>
                <w:b/>
              </w:rPr>
            </w:pPr>
            <w:r w:rsidRPr="0060706A">
              <w:t xml:space="preserve">       Construction Permits</w:t>
            </w:r>
          </w:p>
        </w:tc>
        <w:tc>
          <w:tcPr>
            <w:tcW w:w="1440"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301 &amp; 159</w:t>
            </w:r>
          </w:p>
          <w:p w:rsidR="008123E9" w:rsidRPr="0060706A" w:rsidP="008123E9">
            <w:pPr>
              <w:autoSpaceDE w:val="0"/>
              <w:autoSpaceDN w:val="0"/>
              <w:adjustRightInd w:val="0"/>
              <w:jc w:val="center"/>
            </w:pPr>
            <w:r w:rsidRPr="0060706A">
              <w:t>301-CA &amp; 159</w:t>
            </w:r>
          </w:p>
          <w:p w:rsidR="008123E9" w:rsidRPr="0060706A" w:rsidP="008123E9">
            <w:pPr>
              <w:autoSpaceDE w:val="0"/>
              <w:autoSpaceDN w:val="0"/>
              <w:adjustRightInd w:val="0"/>
              <w:jc w:val="center"/>
            </w:pPr>
          </w:p>
        </w:tc>
        <w:tc>
          <w:tcPr>
            <w:tcW w:w="1440" w:type="dxa"/>
            <w:shd w:val="clear" w:color="auto" w:fill="auto"/>
          </w:tcPr>
          <w:p w:rsidR="006E0F54" w:rsidP="006E0F54">
            <w:pPr>
              <w:autoSpaceDE w:val="0"/>
              <w:autoSpaceDN w:val="0"/>
              <w:adjustRightInd w:val="0"/>
              <w:jc w:val="center"/>
            </w:pPr>
          </w:p>
          <w:p w:rsidR="008123E9" w:rsidRPr="0060706A">
            <w:pPr>
              <w:autoSpaceDE w:val="0"/>
              <w:autoSpaceDN w:val="0"/>
              <w:adjustRightInd w:val="0"/>
              <w:jc w:val="center"/>
              <w:rPr>
                <w:spacing w:val="-2"/>
              </w:rPr>
            </w:pPr>
            <w:r w:rsidRPr="0060706A">
              <w:t>$4,260.00</w:t>
            </w:r>
          </w:p>
        </w:tc>
        <w:tc>
          <w:tcPr>
            <w:tcW w:w="1440"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MVT</w:t>
            </w:r>
          </w:p>
        </w:tc>
      </w:tr>
      <w:tr w:rsidTr="00B13758">
        <w:tblPrEx>
          <w:tblW w:w="8160" w:type="dxa"/>
          <w:tblCellMar>
            <w:left w:w="54" w:type="dxa"/>
            <w:right w:w="54" w:type="dxa"/>
          </w:tblCellMar>
          <w:tblLook w:val="0000"/>
        </w:tblPrEx>
        <w:trPr>
          <w:trHeight w:val="944"/>
        </w:trPr>
        <w:tc>
          <w:tcPr>
            <w:tcW w:w="3840" w:type="dxa"/>
            <w:shd w:val="clear" w:color="auto" w:fill="auto"/>
          </w:tcPr>
          <w:p w:rsidR="008123E9" w:rsidRPr="0060706A" w:rsidP="008123E9">
            <w:pPr>
              <w:autoSpaceDE w:val="0"/>
              <w:autoSpaceDN w:val="0"/>
              <w:adjustRightInd w:val="0"/>
              <w:ind w:left="540" w:hanging="540"/>
            </w:pPr>
            <w:r w:rsidRPr="0060706A">
              <w:t xml:space="preserve">  b. Minor Modification</w:t>
            </w:r>
          </w:p>
          <w:p w:rsidR="008123E9" w:rsidRPr="0060706A" w:rsidP="008123E9">
            <w:pPr>
              <w:autoSpaceDE w:val="0"/>
              <w:autoSpaceDN w:val="0"/>
              <w:adjustRightInd w:val="0"/>
              <w:ind w:left="540" w:hanging="540"/>
            </w:pPr>
            <w:r w:rsidRPr="0060706A">
              <w:t xml:space="preserve">       </w:t>
            </w:r>
          </w:p>
          <w:p w:rsidR="008123E9" w:rsidRPr="0060706A" w:rsidP="008123E9">
            <w:pPr>
              <w:autoSpaceDE w:val="0"/>
              <w:autoSpaceDN w:val="0"/>
              <w:adjustRightInd w:val="0"/>
              <w:ind w:left="540" w:hanging="540"/>
            </w:pPr>
          </w:p>
        </w:tc>
        <w:tc>
          <w:tcPr>
            <w:tcW w:w="1440"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301 &amp; 159</w:t>
            </w:r>
          </w:p>
        </w:tc>
        <w:tc>
          <w:tcPr>
            <w:tcW w:w="1440" w:type="dxa"/>
            <w:shd w:val="clear" w:color="auto" w:fill="auto"/>
          </w:tcPr>
          <w:p w:rsidR="006E0F54" w:rsidP="006E0F54">
            <w:pPr>
              <w:autoSpaceDE w:val="0"/>
              <w:autoSpaceDN w:val="0"/>
              <w:adjustRightInd w:val="0"/>
              <w:jc w:val="center"/>
            </w:pPr>
          </w:p>
          <w:p w:rsidR="008123E9" w:rsidRPr="0060706A">
            <w:pPr>
              <w:autoSpaceDE w:val="0"/>
              <w:autoSpaceDN w:val="0"/>
              <w:adjustRightInd w:val="0"/>
              <w:jc w:val="center"/>
              <w:rPr>
                <w:spacing w:val="-2"/>
              </w:rPr>
            </w:pPr>
            <w:r w:rsidRPr="0060706A">
              <w:t>$1,335.00</w:t>
            </w:r>
          </w:p>
        </w:tc>
        <w:tc>
          <w:tcPr>
            <w:tcW w:w="1440"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MPT</w:t>
            </w:r>
          </w:p>
        </w:tc>
      </w:tr>
      <w:tr w:rsidTr="00B13758">
        <w:tblPrEx>
          <w:tblW w:w="8160" w:type="dxa"/>
          <w:tblCellMar>
            <w:left w:w="54" w:type="dxa"/>
            <w:right w:w="54" w:type="dxa"/>
          </w:tblCellMar>
          <w:tblLook w:val="0000"/>
        </w:tblPrEx>
        <w:trPr>
          <w:trHeight w:val="1115"/>
        </w:trPr>
        <w:tc>
          <w:tcPr>
            <w:tcW w:w="3840" w:type="dxa"/>
            <w:shd w:val="clear" w:color="auto" w:fill="auto"/>
          </w:tcPr>
          <w:p w:rsidR="008123E9" w:rsidRPr="0060706A" w:rsidP="008123E9">
            <w:pPr>
              <w:autoSpaceDE w:val="0"/>
              <w:autoSpaceDN w:val="0"/>
              <w:adjustRightInd w:val="0"/>
              <w:ind w:left="540" w:hanging="540"/>
            </w:pPr>
            <w:r w:rsidRPr="0060706A">
              <w:t xml:space="preserve">  c. New License</w:t>
            </w:r>
          </w:p>
          <w:p w:rsidR="008123E9" w:rsidRPr="0060706A" w:rsidP="008123E9">
            <w:pPr>
              <w:autoSpaceDE w:val="0"/>
              <w:autoSpaceDN w:val="0"/>
              <w:adjustRightInd w:val="0"/>
              <w:ind w:left="540" w:hanging="540"/>
            </w:pPr>
            <w:r w:rsidRPr="0060706A">
              <w:t xml:space="preserve">       </w:t>
            </w:r>
          </w:p>
        </w:tc>
        <w:tc>
          <w:tcPr>
            <w:tcW w:w="1440"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302-TV &amp; 159</w:t>
            </w:r>
          </w:p>
          <w:p w:rsidR="008123E9" w:rsidRPr="0060706A" w:rsidP="008123E9">
            <w:pPr>
              <w:autoSpaceDE w:val="0"/>
              <w:autoSpaceDN w:val="0"/>
              <w:adjustRightInd w:val="0"/>
              <w:jc w:val="center"/>
            </w:pPr>
            <w:r w:rsidRPr="0060706A">
              <w:t>302-CA &amp; 159</w:t>
            </w:r>
          </w:p>
          <w:p w:rsidR="008123E9" w:rsidRPr="0060706A" w:rsidP="008123E9">
            <w:pPr>
              <w:autoSpaceDE w:val="0"/>
              <w:autoSpaceDN w:val="0"/>
              <w:adjustRightInd w:val="0"/>
              <w:jc w:val="center"/>
            </w:pPr>
          </w:p>
        </w:tc>
        <w:tc>
          <w:tcPr>
            <w:tcW w:w="1440" w:type="dxa"/>
            <w:shd w:val="clear" w:color="auto" w:fill="auto"/>
          </w:tcPr>
          <w:p w:rsidR="006E0F54" w:rsidP="006E0F54">
            <w:pPr>
              <w:autoSpaceDE w:val="0"/>
              <w:autoSpaceDN w:val="0"/>
              <w:adjustRightInd w:val="0"/>
              <w:jc w:val="center"/>
            </w:pPr>
          </w:p>
          <w:p w:rsidR="008123E9" w:rsidRPr="0060706A">
            <w:pPr>
              <w:autoSpaceDE w:val="0"/>
              <w:autoSpaceDN w:val="0"/>
              <w:adjustRightInd w:val="0"/>
              <w:jc w:val="center"/>
            </w:pPr>
            <w:r w:rsidRPr="0060706A">
              <w:t>$380.00</w:t>
            </w:r>
          </w:p>
          <w:p w:rsidR="008123E9" w:rsidRPr="0060706A">
            <w:pPr>
              <w:autoSpaceDE w:val="0"/>
              <w:autoSpaceDN w:val="0"/>
              <w:adjustRightInd w:val="0"/>
              <w:jc w:val="center"/>
            </w:pPr>
          </w:p>
        </w:tc>
        <w:tc>
          <w:tcPr>
            <w:tcW w:w="1440"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MJT</w:t>
            </w:r>
          </w:p>
        </w:tc>
      </w:tr>
      <w:tr w:rsidTr="00B13758">
        <w:tblPrEx>
          <w:tblW w:w="8160" w:type="dxa"/>
          <w:tblCellMar>
            <w:left w:w="54" w:type="dxa"/>
            <w:right w:w="54" w:type="dxa"/>
          </w:tblCellMar>
          <w:tblLook w:val="0000"/>
        </w:tblPrEx>
        <w:trPr>
          <w:trHeight w:val="1016"/>
        </w:trPr>
        <w:tc>
          <w:tcPr>
            <w:tcW w:w="3840" w:type="dxa"/>
            <w:shd w:val="clear" w:color="auto" w:fill="auto"/>
          </w:tcPr>
          <w:p w:rsidR="008123E9" w:rsidRPr="0060706A" w:rsidP="008123E9">
            <w:pPr>
              <w:autoSpaceDE w:val="0"/>
              <w:autoSpaceDN w:val="0"/>
              <w:adjustRightInd w:val="0"/>
              <w:ind w:left="540" w:hanging="540"/>
            </w:pPr>
            <w:r w:rsidRPr="0060706A">
              <w:t xml:space="preserve">  d. License Renewal</w:t>
            </w:r>
          </w:p>
          <w:p w:rsidR="008123E9" w:rsidRPr="0060706A" w:rsidP="008123E9">
            <w:pPr>
              <w:autoSpaceDE w:val="0"/>
              <w:autoSpaceDN w:val="0"/>
              <w:adjustRightInd w:val="0"/>
              <w:ind w:left="540" w:hanging="540"/>
            </w:pPr>
          </w:p>
        </w:tc>
        <w:tc>
          <w:tcPr>
            <w:tcW w:w="1440"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303-S &amp; 159</w:t>
            </w:r>
          </w:p>
        </w:tc>
        <w:tc>
          <w:tcPr>
            <w:tcW w:w="1440" w:type="dxa"/>
            <w:shd w:val="clear" w:color="auto" w:fill="auto"/>
          </w:tcPr>
          <w:p w:rsidR="006E0F54" w:rsidP="006E0F54">
            <w:pPr>
              <w:autoSpaceDE w:val="0"/>
              <w:autoSpaceDN w:val="0"/>
              <w:adjustRightInd w:val="0"/>
              <w:jc w:val="center"/>
            </w:pPr>
          </w:p>
          <w:p w:rsidR="008123E9" w:rsidRPr="0060706A">
            <w:pPr>
              <w:autoSpaceDE w:val="0"/>
              <w:autoSpaceDN w:val="0"/>
              <w:adjustRightInd w:val="0"/>
              <w:jc w:val="center"/>
              <w:rPr>
                <w:spacing w:val="-2"/>
              </w:rPr>
            </w:pPr>
            <w:r w:rsidRPr="0060706A">
              <w:t>$</w:t>
            </w:r>
            <w:r w:rsidR="004976C1">
              <w:t>330</w:t>
            </w:r>
            <w:r w:rsidRPr="0060706A">
              <w:t>.00</w:t>
            </w:r>
          </w:p>
        </w:tc>
        <w:tc>
          <w:tcPr>
            <w:tcW w:w="1440"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MGT</w:t>
            </w:r>
          </w:p>
        </w:tc>
      </w:tr>
      <w:tr w:rsidTr="00B13758">
        <w:tblPrEx>
          <w:tblW w:w="8160" w:type="dxa"/>
          <w:tblCellMar>
            <w:left w:w="54" w:type="dxa"/>
            <w:right w:w="54" w:type="dxa"/>
          </w:tblCellMar>
          <w:tblLook w:val="0000"/>
        </w:tblPrEx>
        <w:trPr>
          <w:trHeight w:val="962"/>
        </w:trPr>
        <w:tc>
          <w:tcPr>
            <w:tcW w:w="3840" w:type="dxa"/>
            <w:shd w:val="clear" w:color="auto" w:fill="auto"/>
          </w:tcPr>
          <w:p w:rsidR="008123E9" w:rsidRPr="0060706A" w:rsidP="008123E9">
            <w:pPr>
              <w:autoSpaceDE w:val="0"/>
              <w:autoSpaceDN w:val="0"/>
              <w:adjustRightInd w:val="0"/>
              <w:ind w:left="540" w:hanging="540"/>
            </w:pPr>
            <w:r w:rsidRPr="0060706A">
              <w:t xml:space="preserve">  e. License Assignment</w:t>
            </w:r>
          </w:p>
          <w:p w:rsidR="008123E9" w:rsidRPr="0060706A" w:rsidP="008123E9">
            <w:pPr>
              <w:autoSpaceDE w:val="0"/>
              <w:autoSpaceDN w:val="0"/>
              <w:adjustRightInd w:val="0"/>
              <w:ind w:left="540" w:hanging="540"/>
            </w:pPr>
            <w:r w:rsidRPr="0060706A">
              <w:t xml:space="preserve">       (i) Long Form</w:t>
            </w:r>
          </w:p>
          <w:p w:rsidR="008123E9" w:rsidRPr="0060706A" w:rsidP="008123E9">
            <w:pPr>
              <w:autoSpaceDE w:val="0"/>
              <w:autoSpaceDN w:val="0"/>
              <w:adjustRightInd w:val="0"/>
              <w:ind w:left="540" w:hanging="540"/>
            </w:pPr>
            <w:r w:rsidRPr="0060706A">
              <w:t xml:space="preserve">       </w:t>
            </w:r>
          </w:p>
        </w:tc>
        <w:tc>
          <w:tcPr>
            <w:tcW w:w="1440"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314 &amp; 159</w:t>
            </w:r>
          </w:p>
        </w:tc>
        <w:tc>
          <w:tcPr>
            <w:tcW w:w="1440" w:type="dxa"/>
            <w:shd w:val="clear" w:color="auto" w:fill="auto"/>
          </w:tcPr>
          <w:p w:rsidR="006E0F54" w:rsidP="006E0F54">
            <w:pPr>
              <w:autoSpaceDE w:val="0"/>
              <w:autoSpaceDN w:val="0"/>
              <w:adjustRightInd w:val="0"/>
              <w:jc w:val="center"/>
            </w:pPr>
            <w:r w:rsidRPr="0060706A">
              <w:t>$</w:t>
            </w:r>
          </w:p>
          <w:p w:rsidR="008123E9" w:rsidRPr="0060706A">
            <w:pPr>
              <w:autoSpaceDE w:val="0"/>
              <w:autoSpaceDN w:val="0"/>
              <w:adjustRightInd w:val="0"/>
              <w:jc w:val="center"/>
              <w:rPr>
                <w:spacing w:val="-2"/>
              </w:rPr>
            </w:pPr>
            <w:r w:rsidRPr="0060706A">
              <w:t>1,245.00</w:t>
            </w:r>
          </w:p>
        </w:tc>
        <w:tc>
          <w:tcPr>
            <w:tcW w:w="1440"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MPT</w:t>
            </w:r>
          </w:p>
        </w:tc>
      </w:tr>
      <w:tr w:rsidTr="00B13758">
        <w:tblPrEx>
          <w:tblW w:w="8160" w:type="dxa"/>
          <w:tblCellMar>
            <w:left w:w="54" w:type="dxa"/>
            <w:right w:w="54" w:type="dxa"/>
          </w:tblCellMar>
          <w:tblLook w:val="0000"/>
        </w:tblPrEx>
        <w:trPr>
          <w:trHeight w:val="980"/>
        </w:trPr>
        <w:tc>
          <w:tcPr>
            <w:tcW w:w="3840" w:type="dxa"/>
            <w:shd w:val="clear" w:color="auto" w:fill="auto"/>
          </w:tcPr>
          <w:p w:rsidR="008123E9" w:rsidRPr="0060706A" w:rsidP="008123E9">
            <w:pPr>
              <w:autoSpaceDE w:val="0"/>
              <w:autoSpaceDN w:val="0"/>
              <w:adjustRightInd w:val="0"/>
              <w:ind w:left="540" w:hanging="540"/>
            </w:pPr>
            <w:r w:rsidRPr="0060706A">
              <w:t xml:space="preserve">      (ii) Short Form</w:t>
            </w:r>
          </w:p>
          <w:p w:rsidR="008123E9" w:rsidRPr="0060706A" w:rsidP="008123E9">
            <w:pPr>
              <w:autoSpaceDE w:val="0"/>
              <w:autoSpaceDN w:val="0"/>
              <w:adjustRightInd w:val="0"/>
              <w:ind w:left="540" w:hanging="540"/>
            </w:pPr>
            <w:r w:rsidRPr="0060706A">
              <w:t xml:space="preserve">       </w:t>
            </w:r>
          </w:p>
        </w:tc>
        <w:tc>
          <w:tcPr>
            <w:tcW w:w="1440"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316 &amp; 159</w:t>
            </w:r>
          </w:p>
        </w:tc>
        <w:tc>
          <w:tcPr>
            <w:tcW w:w="1440" w:type="dxa"/>
            <w:shd w:val="clear" w:color="auto" w:fill="auto"/>
          </w:tcPr>
          <w:p w:rsidR="006E0F54" w:rsidP="006E0F54">
            <w:pPr>
              <w:autoSpaceDE w:val="0"/>
              <w:autoSpaceDN w:val="0"/>
              <w:adjustRightInd w:val="0"/>
              <w:jc w:val="center"/>
            </w:pPr>
          </w:p>
          <w:p w:rsidR="008123E9" w:rsidRPr="0060706A">
            <w:pPr>
              <w:autoSpaceDE w:val="0"/>
              <w:autoSpaceDN w:val="0"/>
              <w:adjustRightInd w:val="0"/>
              <w:jc w:val="center"/>
            </w:pPr>
            <w:r w:rsidRPr="0060706A">
              <w:t>$405.00</w:t>
            </w:r>
          </w:p>
        </w:tc>
        <w:tc>
          <w:tcPr>
            <w:tcW w:w="1440"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MDT</w:t>
            </w:r>
          </w:p>
        </w:tc>
      </w:tr>
      <w:tr w:rsidTr="00B13758">
        <w:tblPrEx>
          <w:tblW w:w="8160" w:type="dxa"/>
          <w:tblCellMar>
            <w:left w:w="54" w:type="dxa"/>
            <w:right w:w="54" w:type="dxa"/>
          </w:tblCellMar>
          <w:tblLook w:val="0000"/>
        </w:tblPrEx>
        <w:trPr>
          <w:trHeight w:val="971"/>
        </w:trPr>
        <w:tc>
          <w:tcPr>
            <w:tcW w:w="3840" w:type="dxa"/>
            <w:shd w:val="clear" w:color="auto" w:fill="auto"/>
          </w:tcPr>
          <w:p w:rsidR="008123E9" w:rsidRPr="0060706A" w:rsidP="008123E9">
            <w:pPr>
              <w:autoSpaceDE w:val="0"/>
              <w:autoSpaceDN w:val="0"/>
              <w:adjustRightInd w:val="0"/>
              <w:ind w:left="540" w:hanging="540"/>
            </w:pPr>
            <w:r w:rsidRPr="0060706A">
              <w:t xml:space="preserve">  f. Transfer of Control</w:t>
            </w:r>
          </w:p>
          <w:p w:rsidR="008123E9" w:rsidRPr="0060706A" w:rsidP="008123E9">
            <w:pPr>
              <w:autoSpaceDE w:val="0"/>
              <w:autoSpaceDN w:val="0"/>
              <w:adjustRightInd w:val="0"/>
              <w:ind w:left="540" w:hanging="540"/>
            </w:pPr>
            <w:r w:rsidRPr="0060706A">
              <w:t xml:space="preserve">     (i) Long Form</w:t>
            </w:r>
          </w:p>
          <w:p w:rsidR="008123E9" w:rsidRPr="0060706A" w:rsidP="008123E9">
            <w:pPr>
              <w:autoSpaceDE w:val="0"/>
              <w:autoSpaceDN w:val="0"/>
              <w:adjustRightInd w:val="0"/>
              <w:ind w:left="540" w:hanging="540"/>
            </w:pPr>
            <w:r w:rsidRPr="0060706A">
              <w:t xml:space="preserve">       </w:t>
            </w:r>
          </w:p>
        </w:tc>
        <w:tc>
          <w:tcPr>
            <w:tcW w:w="1440"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315 &amp; 159</w:t>
            </w:r>
          </w:p>
        </w:tc>
        <w:tc>
          <w:tcPr>
            <w:tcW w:w="1440" w:type="dxa"/>
            <w:shd w:val="clear" w:color="auto" w:fill="auto"/>
          </w:tcPr>
          <w:p w:rsidR="006E0F54" w:rsidP="006E0F54">
            <w:pPr>
              <w:autoSpaceDE w:val="0"/>
              <w:autoSpaceDN w:val="0"/>
              <w:adjustRightInd w:val="0"/>
              <w:jc w:val="center"/>
            </w:pPr>
          </w:p>
          <w:p w:rsidR="008123E9" w:rsidRPr="0060706A">
            <w:pPr>
              <w:autoSpaceDE w:val="0"/>
              <w:autoSpaceDN w:val="0"/>
              <w:adjustRightInd w:val="0"/>
              <w:jc w:val="center"/>
              <w:rPr>
                <w:spacing w:val="-2"/>
              </w:rPr>
            </w:pPr>
            <w:r w:rsidRPr="0060706A">
              <w:t>$1,245.00</w:t>
            </w:r>
          </w:p>
        </w:tc>
        <w:tc>
          <w:tcPr>
            <w:tcW w:w="1440"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MPT</w:t>
            </w:r>
          </w:p>
        </w:tc>
      </w:tr>
      <w:tr w:rsidTr="00B13758">
        <w:tblPrEx>
          <w:tblW w:w="8160" w:type="dxa"/>
          <w:tblCellMar>
            <w:left w:w="54" w:type="dxa"/>
            <w:right w:w="54" w:type="dxa"/>
          </w:tblCellMar>
          <w:tblLook w:val="0000"/>
        </w:tblPrEx>
        <w:trPr>
          <w:trHeight w:val="980"/>
        </w:trPr>
        <w:tc>
          <w:tcPr>
            <w:tcW w:w="3840" w:type="dxa"/>
            <w:shd w:val="clear" w:color="auto" w:fill="auto"/>
          </w:tcPr>
          <w:p w:rsidR="008123E9" w:rsidRPr="0060706A" w:rsidP="008123E9">
            <w:pPr>
              <w:autoSpaceDE w:val="0"/>
              <w:autoSpaceDN w:val="0"/>
              <w:adjustRightInd w:val="0"/>
              <w:ind w:left="540" w:hanging="540"/>
            </w:pPr>
            <w:r w:rsidRPr="0060706A">
              <w:t xml:space="preserve">  (ii) Short Form</w:t>
            </w:r>
          </w:p>
          <w:p w:rsidR="008123E9" w:rsidRPr="0060706A" w:rsidP="008123E9">
            <w:pPr>
              <w:autoSpaceDE w:val="0"/>
              <w:autoSpaceDN w:val="0"/>
              <w:adjustRightInd w:val="0"/>
              <w:ind w:left="540" w:hanging="540"/>
            </w:pPr>
            <w:r w:rsidRPr="0060706A">
              <w:t xml:space="preserve">       </w:t>
            </w:r>
          </w:p>
        </w:tc>
        <w:tc>
          <w:tcPr>
            <w:tcW w:w="1440"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316 &amp; 159</w:t>
            </w:r>
          </w:p>
        </w:tc>
        <w:tc>
          <w:tcPr>
            <w:tcW w:w="1440" w:type="dxa"/>
            <w:shd w:val="clear" w:color="auto" w:fill="auto"/>
          </w:tcPr>
          <w:p w:rsidR="006E0F54" w:rsidP="006E0F54">
            <w:pPr>
              <w:autoSpaceDE w:val="0"/>
              <w:autoSpaceDN w:val="0"/>
              <w:adjustRightInd w:val="0"/>
              <w:jc w:val="center"/>
            </w:pPr>
          </w:p>
          <w:p w:rsidR="008123E9" w:rsidRPr="0060706A">
            <w:pPr>
              <w:autoSpaceDE w:val="0"/>
              <w:autoSpaceDN w:val="0"/>
              <w:adjustRightInd w:val="0"/>
              <w:jc w:val="center"/>
            </w:pPr>
            <w:r w:rsidRPr="0060706A">
              <w:t>$405.00</w:t>
            </w:r>
          </w:p>
        </w:tc>
        <w:tc>
          <w:tcPr>
            <w:tcW w:w="1440"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MDT</w:t>
            </w:r>
          </w:p>
        </w:tc>
      </w:tr>
      <w:tr w:rsidTr="00B13758">
        <w:tblPrEx>
          <w:tblW w:w="8160" w:type="dxa"/>
          <w:tblCellMar>
            <w:left w:w="54" w:type="dxa"/>
            <w:right w:w="54" w:type="dxa"/>
          </w:tblCellMar>
          <w:tblLook w:val="0000"/>
        </w:tblPrEx>
        <w:trPr>
          <w:trHeight w:val="989"/>
        </w:trPr>
        <w:tc>
          <w:tcPr>
            <w:tcW w:w="3840" w:type="dxa"/>
            <w:shd w:val="clear" w:color="auto" w:fill="auto"/>
          </w:tcPr>
          <w:p w:rsidR="008123E9" w:rsidRPr="0060706A" w:rsidP="008123E9">
            <w:pPr>
              <w:autoSpaceDE w:val="0"/>
              <w:autoSpaceDN w:val="0"/>
              <w:adjustRightInd w:val="0"/>
              <w:ind w:left="540" w:hanging="540"/>
            </w:pPr>
            <w:r w:rsidRPr="0060706A">
              <w:t xml:space="preserve">  g. Call Sign</w:t>
            </w:r>
          </w:p>
          <w:p w:rsidR="008123E9" w:rsidRPr="0060706A" w:rsidP="008123E9">
            <w:pPr>
              <w:autoSpaceDE w:val="0"/>
              <w:autoSpaceDN w:val="0"/>
              <w:adjustRightInd w:val="0"/>
              <w:ind w:left="540" w:hanging="540"/>
            </w:pPr>
            <w:r w:rsidRPr="0060706A">
              <w:t xml:space="preserve">       </w:t>
            </w:r>
          </w:p>
        </w:tc>
        <w:tc>
          <w:tcPr>
            <w:tcW w:w="1440"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380 &amp; 159</w:t>
            </w:r>
          </w:p>
        </w:tc>
        <w:tc>
          <w:tcPr>
            <w:tcW w:w="1440" w:type="dxa"/>
            <w:shd w:val="clear" w:color="auto" w:fill="auto"/>
          </w:tcPr>
          <w:p w:rsidR="006E0F54" w:rsidP="006E0F54">
            <w:pPr>
              <w:autoSpaceDE w:val="0"/>
              <w:autoSpaceDN w:val="0"/>
              <w:adjustRightInd w:val="0"/>
              <w:jc w:val="center"/>
            </w:pPr>
          </w:p>
          <w:p w:rsidR="008123E9" w:rsidRPr="0060706A">
            <w:pPr>
              <w:autoSpaceDE w:val="0"/>
              <w:autoSpaceDN w:val="0"/>
              <w:adjustRightInd w:val="0"/>
              <w:jc w:val="center"/>
            </w:pPr>
            <w:r w:rsidRPr="0060706A">
              <w:t>$170.00</w:t>
            </w:r>
          </w:p>
        </w:tc>
        <w:tc>
          <w:tcPr>
            <w:tcW w:w="1440"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MBT</w:t>
            </w:r>
          </w:p>
        </w:tc>
      </w:tr>
      <w:tr w:rsidTr="00B13758">
        <w:tblPrEx>
          <w:tblW w:w="8160" w:type="dxa"/>
          <w:tblCellMar>
            <w:left w:w="54" w:type="dxa"/>
            <w:right w:w="54" w:type="dxa"/>
          </w:tblCellMar>
          <w:tblLook w:val="0000"/>
        </w:tblPrEx>
        <w:trPr>
          <w:trHeight w:val="971"/>
        </w:trPr>
        <w:tc>
          <w:tcPr>
            <w:tcW w:w="3840" w:type="dxa"/>
            <w:shd w:val="clear" w:color="auto" w:fill="auto"/>
          </w:tcPr>
          <w:p w:rsidR="008123E9" w:rsidRPr="0060706A" w:rsidP="008123E9">
            <w:pPr>
              <w:autoSpaceDE w:val="0"/>
              <w:autoSpaceDN w:val="0"/>
              <w:adjustRightInd w:val="0"/>
              <w:ind w:left="540" w:hanging="540"/>
            </w:pPr>
            <w:r w:rsidRPr="0060706A">
              <w:t xml:space="preserve">   h.  Special Temporary Authority</w:t>
            </w:r>
          </w:p>
        </w:tc>
        <w:tc>
          <w:tcPr>
            <w:tcW w:w="1440"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Corres &amp; 159</w:t>
            </w:r>
          </w:p>
        </w:tc>
        <w:tc>
          <w:tcPr>
            <w:tcW w:w="1440" w:type="dxa"/>
            <w:shd w:val="clear" w:color="auto" w:fill="auto"/>
          </w:tcPr>
          <w:p w:rsidR="006E0F54" w:rsidP="006E0F54">
            <w:pPr>
              <w:autoSpaceDE w:val="0"/>
              <w:autoSpaceDN w:val="0"/>
              <w:adjustRightInd w:val="0"/>
              <w:jc w:val="center"/>
            </w:pPr>
          </w:p>
          <w:p w:rsidR="008123E9" w:rsidRPr="0060706A">
            <w:pPr>
              <w:autoSpaceDE w:val="0"/>
              <w:autoSpaceDN w:val="0"/>
              <w:adjustRightInd w:val="0"/>
              <w:jc w:val="center"/>
              <w:rPr>
                <w:spacing w:val="-2"/>
              </w:rPr>
            </w:pPr>
            <w:r w:rsidRPr="0060706A">
              <w:t>$270.00</w:t>
            </w:r>
          </w:p>
        </w:tc>
        <w:tc>
          <w:tcPr>
            <w:tcW w:w="1440"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MGT</w:t>
            </w:r>
          </w:p>
        </w:tc>
      </w:tr>
      <w:tr w:rsidTr="00B13758">
        <w:tblPrEx>
          <w:tblW w:w="8160" w:type="dxa"/>
          <w:tblCellMar>
            <w:left w:w="54" w:type="dxa"/>
            <w:right w:w="54" w:type="dxa"/>
          </w:tblCellMar>
          <w:tblLook w:val="0000"/>
        </w:tblPrEx>
        <w:trPr>
          <w:trHeight w:val="980"/>
        </w:trPr>
        <w:tc>
          <w:tcPr>
            <w:tcW w:w="3840" w:type="dxa"/>
            <w:shd w:val="clear" w:color="auto" w:fill="auto"/>
          </w:tcPr>
          <w:p w:rsidR="008123E9" w:rsidRPr="0060706A" w:rsidP="008123E9">
            <w:pPr>
              <w:autoSpaceDE w:val="0"/>
              <w:autoSpaceDN w:val="0"/>
              <w:adjustRightInd w:val="0"/>
              <w:ind w:left="540" w:hanging="540"/>
            </w:pPr>
            <w:r w:rsidRPr="0060706A">
              <w:t xml:space="preserve">  i. Petition for Rulemaking for</w:t>
            </w:r>
          </w:p>
          <w:p w:rsidR="008123E9" w:rsidRPr="0060706A" w:rsidP="008123E9">
            <w:pPr>
              <w:autoSpaceDE w:val="0"/>
              <w:autoSpaceDN w:val="0"/>
              <w:adjustRightInd w:val="0"/>
              <w:ind w:left="540" w:hanging="540"/>
            </w:pPr>
            <w:r w:rsidRPr="0060706A">
              <w:t xml:space="preserve">        New Community of License</w:t>
            </w:r>
          </w:p>
          <w:p w:rsidR="008123E9" w:rsidRPr="0060706A" w:rsidP="008123E9">
            <w:pPr>
              <w:autoSpaceDE w:val="0"/>
              <w:autoSpaceDN w:val="0"/>
              <w:adjustRightInd w:val="0"/>
              <w:ind w:left="540" w:hanging="540"/>
            </w:pPr>
            <w:r w:rsidRPr="0060706A">
              <w:t xml:space="preserve">        </w:t>
            </w:r>
          </w:p>
        </w:tc>
        <w:tc>
          <w:tcPr>
            <w:tcW w:w="1440" w:type="dxa"/>
          </w:tcPr>
          <w:p w:rsidR="008123E9" w:rsidRPr="0060706A" w:rsidP="008123E9">
            <w:pPr>
              <w:autoSpaceDE w:val="0"/>
              <w:autoSpaceDN w:val="0"/>
              <w:adjustRightInd w:val="0"/>
              <w:jc w:val="center"/>
            </w:pPr>
          </w:p>
          <w:p w:rsidR="008123E9" w:rsidRPr="0060706A" w:rsidP="008123E9">
            <w:pPr>
              <w:autoSpaceDE w:val="0"/>
              <w:autoSpaceDN w:val="0"/>
              <w:adjustRightInd w:val="0"/>
              <w:jc w:val="center"/>
            </w:pPr>
            <w:r w:rsidRPr="0060706A">
              <w:t xml:space="preserve">301 &amp; 159 </w:t>
            </w:r>
          </w:p>
          <w:p w:rsidR="008123E9" w:rsidRPr="0060706A" w:rsidP="008123E9">
            <w:pPr>
              <w:autoSpaceDE w:val="0"/>
              <w:autoSpaceDN w:val="0"/>
              <w:adjustRightInd w:val="0"/>
              <w:jc w:val="center"/>
            </w:pPr>
            <w:r w:rsidRPr="0060706A">
              <w:t>302-TV &amp; 159</w:t>
            </w:r>
          </w:p>
          <w:p w:rsidR="008123E9" w:rsidRPr="0060706A" w:rsidP="008123E9">
            <w:pPr>
              <w:autoSpaceDE w:val="0"/>
              <w:autoSpaceDN w:val="0"/>
              <w:adjustRightInd w:val="0"/>
              <w:jc w:val="center"/>
            </w:pPr>
          </w:p>
        </w:tc>
        <w:tc>
          <w:tcPr>
            <w:tcW w:w="1440" w:type="dxa"/>
            <w:shd w:val="clear" w:color="auto" w:fill="auto"/>
          </w:tcPr>
          <w:p w:rsidR="004414D8" w:rsidP="004414D8">
            <w:pPr>
              <w:autoSpaceDE w:val="0"/>
              <w:autoSpaceDN w:val="0"/>
              <w:adjustRightInd w:val="0"/>
              <w:jc w:val="center"/>
            </w:pPr>
          </w:p>
          <w:p w:rsidR="008123E9" w:rsidRPr="0060706A">
            <w:pPr>
              <w:autoSpaceDE w:val="0"/>
              <w:autoSpaceDN w:val="0"/>
              <w:adjustRightInd w:val="0"/>
              <w:jc w:val="center"/>
            </w:pPr>
            <w:r w:rsidRPr="0060706A">
              <w:t>$3,395.00</w:t>
            </w:r>
          </w:p>
          <w:p w:rsidR="008123E9" w:rsidRPr="0060706A">
            <w:pPr>
              <w:autoSpaceDE w:val="0"/>
              <w:autoSpaceDN w:val="0"/>
              <w:adjustRightInd w:val="0"/>
              <w:jc w:val="center"/>
            </w:pPr>
          </w:p>
          <w:p w:rsidR="008123E9" w:rsidRPr="0060706A">
            <w:pPr>
              <w:autoSpaceDE w:val="0"/>
              <w:autoSpaceDN w:val="0"/>
              <w:adjustRightInd w:val="0"/>
              <w:jc w:val="center"/>
              <w:rPr>
                <w:spacing w:val="-2"/>
              </w:rPr>
            </w:pPr>
          </w:p>
        </w:tc>
        <w:tc>
          <w:tcPr>
            <w:tcW w:w="1440" w:type="dxa"/>
          </w:tcPr>
          <w:p w:rsidR="008123E9" w:rsidRPr="0060706A">
            <w:pPr>
              <w:autoSpaceDE w:val="0"/>
              <w:autoSpaceDN w:val="0"/>
              <w:adjustRightInd w:val="0"/>
              <w:jc w:val="center"/>
            </w:pPr>
          </w:p>
          <w:p w:rsidR="008123E9" w:rsidRPr="0060706A">
            <w:pPr>
              <w:autoSpaceDE w:val="0"/>
              <w:autoSpaceDN w:val="0"/>
              <w:adjustRightInd w:val="0"/>
              <w:jc w:val="center"/>
            </w:pPr>
            <w:r w:rsidRPr="0060706A">
              <w:t>MRT</w:t>
            </w:r>
          </w:p>
        </w:tc>
      </w:tr>
      <w:tr w:rsidTr="00B13758">
        <w:tblPrEx>
          <w:tblW w:w="8160" w:type="dxa"/>
          <w:tblCellMar>
            <w:left w:w="54" w:type="dxa"/>
            <w:right w:w="54" w:type="dxa"/>
          </w:tblCellMar>
          <w:tblLook w:val="0000"/>
        </w:tblPrEx>
        <w:trPr>
          <w:trHeight w:val="980"/>
        </w:trPr>
        <w:tc>
          <w:tcPr>
            <w:tcW w:w="3840" w:type="dxa"/>
            <w:shd w:val="clear" w:color="auto" w:fill="auto"/>
          </w:tcPr>
          <w:p w:rsidR="00F67E1C" w:rsidRPr="0060706A" w:rsidP="00F67E1C">
            <w:pPr>
              <w:autoSpaceDE w:val="0"/>
              <w:autoSpaceDN w:val="0"/>
              <w:adjustRightInd w:val="0"/>
              <w:ind w:left="540" w:hanging="540"/>
            </w:pPr>
            <w:r w:rsidRPr="0060706A">
              <w:t xml:space="preserve">   j. Ownership Report</w:t>
            </w:r>
          </w:p>
          <w:p w:rsidR="00F67E1C" w:rsidRPr="0060706A" w:rsidP="00F67E1C">
            <w:pPr>
              <w:autoSpaceDE w:val="0"/>
              <w:autoSpaceDN w:val="0"/>
              <w:adjustRightInd w:val="0"/>
              <w:ind w:left="540" w:hanging="540"/>
            </w:pPr>
            <w:r w:rsidRPr="0060706A">
              <w:t xml:space="preserve">            </w:t>
            </w:r>
          </w:p>
        </w:tc>
        <w:tc>
          <w:tcPr>
            <w:tcW w:w="1440" w:type="dxa"/>
          </w:tcPr>
          <w:p w:rsidR="00F67E1C" w:rsidRPr="0060706A" w:rsidP="00F67E1C">
            <w:pPr>
              <w:autoSpaceDE w:val="0"/>
              <w:autoSpaceDN w:val="0"/>
              <w:adjustRightInd w:val="0"/>
              <w:jc w:val="center"/>
            </w:pPr>
          </w:p>
          <w:p w:rsidR="00F67E1C" w:rsidRPr="0060706A" w:rsidP="00F67E1C"/>
          <w:p w:rsidR="00F67E1C" w:rsidRPr="0060706A" w:rsidP="00F67E1C">
            <w:pPr>
              <w:autoSpaceDE w:val="0"/>
              <w:autoSpaceDN w:val="0"/>
              <w:adjustRightInd w:val="0"/>
              <w:jc w:val="center"/>
            </w:pPr>
            <w:r w:rsidRPr="0060706A">
              <w:t>323 &amp; 159</w:t>
            </w:r>
          </w:p>
          <w:p w:rsidR="00F67E1C" w:rsidRPr="0060706A" w:rsidP="00F67E1C">
            <w:pPr>
              <w:jc w:val="center"/>
            </w:pPr>
          </w:p>
        </w:tc>
        <w:tc>
          <w:tcPr>
            <w:tcW w:w="1440" w:type="dxa"/>
            <w:shd w:val="clear" w:color="auto" w:fill="auto"/>
          </w:tcPr>
          <w:p w:rsidR="004414D8" w:rsidP="004414D8">
            <w:pPr>
              <w:autoSpaceDE w:val="0"/>
              <w:autoSpaceDN w:val="0"/>
              <w:adjustRightInd w:val="0"/>
              <w:jc w:val="center"/>
            </w:pPr>
          </w:p>
          <w:p w:rsidR="00F67E1C" w:rsidRPr="0060706A">
            <w:pPr>
              <w:autoSpaceDE w:val="0"/>
              <w:autoSpaceDN w:val="0"/>
              <w:adjustRightInd w:val="0"/>
              <w:jc w:val="center"/>
            </w:pPr>
            <w:r w:rsidRPr="0060706A">
              <w:t>$85.00</w:t>
            </w:r>
          </w:p>
          <w:p w:rsidR="00F67E1C" w:rsidRPr="0060706A">
            <w:pPr>
              <w:autoSpaceDE w:val="0"/>
              <w:autoSpaceDN w:val="0"/>
              <w:adjustRightInd w:val="0"/>
              <w:jc w:val="center"/>
            </w:pPr>
          </w:p>
          <w:p w:rsidR="00F67E1C" w:rsidRPr="0060706A">
            <w:pPr>
              <w:autoSpaceDE w:val="0"/>
              <w:autoSpaceDN w:val="0"/>
              <w:adjustRightInd w:val="0"/>
              <w:jc w:val="center"/>
            </w:pPr>
          </w:p>
        </w:tc>
        <w:tc>
          <w:tcPr>
            <w:tcW w:w="1440" w:type="dxa"/>
          </w:tcPr>
          <w:p w:rsidR="00F67E1C" w:rsidRPr="0060706A">
            <w:pPr>
              <w:autoSpaceDE w:val="0"/>
              <w:autoSpaceDN w:val="0"/>
              <w:adjustRightInd w:val="0"/>
              <w:jc w:val="center"/>
            </w:pPr>
          </w:p>
          <w:p w:rsidR="00F67E1C" w:rsidRPr="0060706A">
            <w:pPr>
              <w:autoSpaceDE w:val="0"/>
              <w:autoSpaceDN w:val="0"/>
              <w:adjustRightInd w:val="0"/>
              <w:jc w:val="center"/>
            </w:pPr>
            <w:r w:rsidRPr="0060706A">
              <w:t>MAT</w:t>
            </w:r>
          </w:p>
        </w:tc>
      </w:tr>
      <w:tr w:rsidTr="00B13758">
        <w:tblPrEx>
          <w:tblW w:w="8160" w:type="dxa"/>
          <w:tblCellMar>
            <w:left w:w="54" w:type="dxa"/>
            <w:right w:w="54" w:type="dxa"/>
          </w:tblCellMar>
          <w:tblLook w:val="0000"/>
        </w:tblPrEx>
        <w:trPr>
          <w:trHeight w:val="980"/>
        </w:trPr>
        <w:tc>
          <w:tcPr>
            <w:tcW w:w="3840" w:type="dxa"/>
            <w:shd w:val="clear" w:color="auto" w:fill="auto"/>
          </w:tcPr>
          <w:p w:rsidR="00F67E1C" w:rsidRPr="0060706A" w:rsidP="00F67E1C">
            <w:pPr>
              <w:autoSpaceDE w:val="0"/>
              <w:autoSpaceDN w:val="0"/>
              <w:adjustRightInd w:val="0"/>
              <w:ind w:left="540" w:hanging="540"/>
              <w:rPr>
                <w:b/>
              </w:rPr>
            </w:pPr>
            <w:r w:rsidRPr="0060706A">
              <w:rPr>
                <w:b/>
              </w:rPr>
              <w:t>2.  TV Translators and LPTV Stations</w:t>
            </w:r>
          </w:p>
          <w:p w:rsidR="00F67E1C" w:rsidRPr="0060706A" w:rsidP="00F67E1C">
            <w:pPr>
              <w:autoSpaceDE w:val="0"/>
              <w:autoSpaceDN w:val="0"/>
              <w:adjustRightInd w:val="0"/>
              <w:ind w:left="540" w:hanging="540"/>
            </w:pPr>
            <w:r w:rsidRPr="0060706A">
              <w:t xml:space="preserve">  a. New or Major Change</w:t>
            </w:r>
          </w:p>
          <w:p w:rsidR="00F67E1C" w:rsidRPr="0060706A" w:rsidP="00F67E1C">
            <w:pPr>
              <w:autoSpaceDE w:val="0"/>
              <w:autoSpaceDN w:val="0"/>
              <w:adjustRightInd w:val="0"/>
              <w:ind w:left="540" w:hanging="540"/>
            </w:pPr>
            <w:r w:rsidRPr="0060706A">
              <w:t xml:space="preserve">       Construction Permit</w:t>
            </w:r>
          </w:p>
          <w:p w:rsidR="00F67E1C" w:rsidRPr="0060706A" w:rsidP="00F67E1C">
            <w:pPr>
              <w:autoSpaceDE w:val="0"/>
              <w:autoSpaceDN w:val="0"/>
              <w:adjustRightInd w:val="0"/>
              <w:ind w:left="540" w:hanging="540"/>
            </w:pPr>
            <w:r w:rsidRPr="0060706A">
              <w:t xml:space="preserve">       </w:t>
            </w:r>
          </w:p>
          <w:p w:rsidR="00F67E1C" w:rsidRPr="0060706A" w:rsidP="00F67E1C">
            <w:pPr>
              <w:autoSpaceDE w:val="0"/>
              <w:autoSpaceDN w:val="0"/>
              <w:adjustRightInd w:val="0"/>
              <w:ind w:left="540" w:hanging="540"/>
            </w:pPr>
          </w:p>
        </w:tc>
        <w:tc>
          <w:tcPr>
            <w:tcW w:w="1440" w:type="dxa"/>
          </w:tcPr>
          <w:p w:rsidR="00F67E1C" w:rsidRPr="0060706A" w:rsidP="00F67E1C">
            <w:pPr>
              <w:autoSpaceDE w:val="0"/>
              <w:autoSpaceDN w:val="0"/>
              <w:adjustRightInd w:val="0"/>
              <w:jc w:val="center"/>
            </w:pPr>
          </w:p>
          <w:p w:rsidR="00F67E1C" w:rsidRPr="0060706A" w:rsidP="00F67E1C">
            <w:pPr>
              <w:autoSpaceDE w:val="0"/>
              <w:autoSpaceDN w:val="0"/>
              <w:adjustRightInd w:val="0"/>
              <w:jc w:val="center"/>
            </w:pPr>
            <w:r w:rsidRPr="0060706A">
              <w:t>346 &amp; 159</w:t>
            </w:r>
          </w:p>
        </w:tc>
        <w:tc>
          <w:tcPr>
            <w:tcW w:w="1440" w:type="dxa"/>
            <w:shd w:val="clear" w:color="auto" w:fill="auto"/>
          </w:tcPr>
          <w:p w:rsidR="004414D8" w:rsidP="004414D8">
            <w:pPr>
              <w:autoSpaceDE w:val="0"/>
              <w:autoSpaceDN w:val="0"/>
              <w:adjustRightInd w:val="0"/>
              <w:jc w:val="center"/>
            </w:pPr>
          </w:p>
          <w:p w:rsidR="00F67E1C" w:rsidRPr="0060706A">
            <w:pPr>
              <w:autoSpaceDE w:val="0"/>
              <w:autoSpaceDN w:val="0"/>
              <w:adjustRightInd w:val="0"/>
              <w:jc w:val="center"/>
            </w:pPr>
            <w:r w:rsidRPr="0060706A">
              <w:t>$775.00</w:t>
            </w:r>
          </w:p>
        </w:tc>
        <w:tc>
          <w:tcPr>
            <w:tcW w:w="1440" w:type="dxa"/>
          </w:tcPr>
          <w:p w:rsidR="00F67E1C" w:rsidRPr="0060706A">
            <w:pPr>
              <w:autoSpaceDE w:val="0"/>
              <w:autoSpaceDN w:val="0"/>
              <w:adjustRightInd w:val="0"/>
              <w:jc w:val="center"/>
            </w:pPr>
          </w:p>
          <w:p w:rsidR="00F67E1C" w:rsidRPr="0060706A">
            <w:pPr>
              <w:autoSpaceDE w:val="0"/>
              <w:autoSpaceDN w:val="0"/>
              <w:adjustRightInd w:val="0"/>
              <w:jc w:val="center"/>
            </w:pPr>
            <w:r w:rsidRPr="0060706A">
              <w:t>MOL</w:t>
            </w:r>
          </w:p>
        </w:tc>
      </w:tr>
      <w:tr w:rsidTr="00B13758">
        <w:tblPrEx>
          <w:tblW w:w="8160" w:type="dxa"/>
          <w:tblCellMar>
            <w:left w:w="54" w:type="dxa"/>
            <w:right w:w="54" w:type="dxa"/>
          </w:tblCellMar>
          <w:tblLook w:val="0000"/>
        </w:tblPrEx>
        <w:trPr>
          <w:trHeight w:val="1079"/>
        </w:trPr>
        <w:tc>
          <w:tcPr>
            <w:tcW w:w="3840" w:type="dxa"/>
            <w:shd w:val="clear" w:color="auto" w:fill="auto"/>
          </w:tcPr>
          <w:p w:rsidR="00F67E1C" w:rsidRPr="0060706A" w:rsidP="00F67E1C">
            <w:pPr>
              <w:autoSpaceDE w:val="0"/>
              <w:autoSpaceDN w:val="0"/>
              <w:adjustRightInd w:val="0"/>
              <w:ind w:left="540" w:hanging="540"/>
            </w:pPr>
            <w:r w:rsidRPr="0060706A">
              <w:t xml:space="preserve">  b. New License</w:t>
            </w:r>
          </w:p>
          <w:p w:rsidR="00F67E1C" w:rsidRPr="0060706A" w:rsidP="00F67E1C">
            <w:pPr>
              <w:autoSpaceDE w:val="0"/>
              <w:autoSpaceDN w:val="0"/>
              <w:adjustRightInd w:val="0"/>
              <w:ind w:left="540" w:hanging="540"/>
            </w:pPr>
            <w:r w:rsidRPr="0060706A">
              <w:t xml:space="preserve">        </w:t>
            </w:r>
          </w:p>
          <w:p w:rsidR="00F67E1C" w:rsidRPr="0060706A" w:rsidP="00F67E1C">
            <w:pPr>
              <w:autoSpaceDE w:val="0"/>
              <w:autoSpaceDN w:val="0"/>
              <w:adjustRightInd w:val="0"/>
              <w:ind w:left="540" w:hanging="540"/>
            </w:pPr>
          </w:p>
        </w:tc>
        <w:tc>
          <w:tcPr>
            <w:tcW w:w="1440" w:type="dxa"/>
          </w:tcPr>
          <w:p w:rsidR="00F67E1C" w:rsidRPr="0060706A" w:rsidP="00F67E1C">
            <w:pPr>
              <w:autoSpaceDE w:val="0"/>
              <w:autoSpaceDN w:val="0"/>
              <w:adjustRightInd w:val="0"/>
              <w:jc w:val="center"/>
            </w:pPr>
          </w:p>
          <w:p w:rsidR="00F67E1C" w:rsidRPr="0060706A" w:rsidP="00F67E1C">
            <w:pPr>
              <w:autoSpaceDE w:val="0"/>
              <w:autoSpaceDN w:val="0"/>
              <w:adjustRightInd w:val="0"/>
              <w:jc w:val="center"/>
            </w:pPr>
            <w:r w:rsidRPr="0060706A">
              <w:t>347 &amp; 159</w:t>
            </w:r>
          </w:p>
        </w:tc>
        <w:tc>
          <w:tcPr>
            <w:tcW w:w="1440" w:type="dxa"/>
            <w:shd w:val="clear" w:color="auto" w:fill="auto"/>
          </w:tcPr>
          <w:p w:rsidR="004414D8" w:rsidP="004414D8">
            <w:pPr>
              <w:autoSpaceDE w:val="0"/>
              <w:autoSpaceDN w:val="0"/>
              <w:adjustRightInd w:val="0"/>
              <w:jc w:val="center"/>
            </w:pPr>
          </w:p>
          <w:p w:rsidR="00F67E1C" w:rsidRPr="0060706A">
            <w:pPr>
              <w:autoSpaceDE w:val="0"/>
              <w:autoSpaceDN w:val="0"/>
              <w:adjustRightInd w:val="0"/>
              <w:jc w:val="center"/>
              <w:rPr>
                <w:spacing w:val="-2"/>
              </w:rPr>
            </w:pPr>
            <w:r w:rsidRPr="0060706A">
              <w:t>$215.00</w:t>
            </w:r>
          </w:p>
        </w:tc>
        <w:tc>
          <w:tcPr>
            <w:tcW w:w="1440" w:type="dxa"/>
          </w:tcPr>
          <w:p w:rsidR="00F67E1C" w:rsidRPr="0060706A">
            <w:pPr>
              <w:autoSpaceDE w:val="0"/>
              <w:autoSpaceDN w:val="0"/>
              <w:adjustRightInd w:val="0"/>
              <w:jc w:val="center"/>
            </w:pPr>
          </w:p>
          <w:p w:rsidR="00F67E1C" w:rsidRPr="0060706A">
            <w:pPr>
              <w:autoSpaceDE w:val="0"/>
              <w:autoSpaceDN w:val="0"/>
              <w:adjustRightInd w:val="0"/>
              <w:jc w:val="center"/>
            </w:pPr>
            <w:r w:rsidRPr="0060706A">
              <w:t>MEL</w:t>
            </w:r>
          </w:p>
        </w:tc>
      </w:tr>
      <w:tr w:rsidTr="00B13758">
        <w:tblPrEx>
          <w:tblW w:w="8160" w:type="dxa"/>
          <w:tblCellMar>
            <w:left w:w="54" w:type="dxa"/>
            <w:right w:w="54" w:type="dxa"/>
          </w:tblCellMar>
          <w:tblLook w:val="0000"/>
        </w:tblPrEx>
        <w:trPr>
          <w:trHeight w:val="980"/>
        </w:trPr>
        <w:tc>
          <w:tcPr>
            <w:tcW w:w="3840" w:type="dxa"/>
            <w:shd w:val="clear" w:color="auto" w:fill="auto"/>
          </w:tcPr>
          <w:p w:rsidR="00F67E1C" w:rsidRPr="0060706A" w:rsidP="00F67E1C">
            <w:pPr>
              <w:autoSpaceDE w:val="0"/>
              <w:autoSpaceDN w:val="0"/>
              <w:adjustRightInd w:val="0"/>
              <w:ind w:left="540" w:hanging="540"/>
            </w:pPr>
            <w:r w:rsidRPr="0060706A">
              <w:t xml:space="preserve">  c. License Renewal</w:t>
            </w:r>
          </w:p>
          <w:p w:rsidR="00F67E1C" w:rsidRPr="0060706A" w:rsidP="00F67E1C">
            <w:pPr>
              <w:autoSpaceDE w:val="0"/>
              <w:autoSpaceDN w:val="0"/>
              <w:adjustRightInd w:val="0"/>
              <w:ind w:left="540" w:hanging="540"/>
            </w:pPr>
            <w:r w:rsidRPr="0060706A">
              <w:t xml:space="preserve">        </w:t>
            </w:r>
          </w:p>
        </w:tc>
        <w:tc>
          <w:tcPr>
            <w:tcW w:w="1440" w:type="dxa"/>
          </w:tcPr>
          <w:p w:rsidR="00F67E1C" w:rsidRPr="0060706A" w:rsidP="00F67E1C">
            <w:pPr>
              <w:autoSpaceDE w:val="0"/>
              <w:autoSpaceDN w:val="0"/>
              <w:adjustRightInd w:val="0"/>
              <w:jc w:val="center"/>
            </w:pPr>
          </w:p>
          <w:p w:rsidR="00F67E1C" w:rsidRPr="0060706A" w:rsidP="00F67E1C">
            <w:pPr>
              <w:autoSpaceDE w:val="0"/>
              <w:autoSpaceDN w:val="0"/>
              <w:adjustRightInd w:val="0"/>
              <w:jc w:val="center"/>
              <w:rPr>
                <w:spacing w:val="-2"/>
              </w:rPr>
            </w:pPr>
            <w:r w:rsidRPr="0060706A">
              <w:t>303-S &amp; 159</w:t>
            </w:r>
          </w:p>
        </w:tc>
        <w:tc>
          <w:tcPr>
            <w:tcW w:w="1440" w:type="dxa"/>
            <w:shd w:val="clear" w:color="auto" w:fill="auto"/>
          </w:tcPr>
          <w:p w:rsidR="004414D8" w:rsidP="004414D8">
            <w:pPr>
              <w:autoSpaceDE w:val="0"/>
              <w:autoSpaceDN w:val="0"/>
              <w:adjustRightInd w:val="0"/>
              <w:jc w:val="center"/>
              <w:rPr>
                <w:spacing w:val="-2"/>
              </w:rPr>
            </w:pPr>
          </w:p>
          <w:p w:rsidR="00F67E1C" w:rsidRPr="0060706A">
            <w:pPr>
              <w:autoSpaceDE w:val="0"/>
              <w:autoSpaceDN w:val="0"/>
              <w:adjustRightInd w:val="0"/>
              <w:jc w:val="center"/>
              <w:rPr>
                <w:spacing w:val="-2"/>
              </w:rPr>
            </w:pPr>
            <w:r w:rsidRPr="0060706A">
              <w:rPr>
                <w:spacing w:val="-2"/>
              </w:rPr>
              <w:t>$145.00</w:t>
            </w:r>
          </w:p>
        </w:tc>
        <w:tc>
          <w:tcPr>
            <w:tcW w:w="1440" w:type="dxa"/>
          </w:tcPr>
          <w:p w:rsidR="00F67E1C" w:rsidRPr="0060706A">
            <w:pPr>
              <w:autoSpaceDE w:val="0"/>
              <w:autoSpaceDN w:val="0"/>
              <w:adjustRightInd w:val="0"/>
              <w:jc w:val="center"/>
              <w:rPr>
                <w:spacing w:val="-2"/>
              </w:rPr>
            </w:pPr>
          </w:p>
          <w:p w:rsidR="00F67E1C" w:rsidRPr="0060706A">
            <w:pPr>
              <w:autoSpaceDE w:val="0"/>
              <w:autoSpaceDN w:val="0"/>
              <w:adjustRightInd w:val="0"/>
              <w:jc w:val="center"/>
              <w:rPr>
                <w:spacing w:val="-2"/>
              </w:rPr>
            </w:pPr>
            <w:r w:rsidRPr="0060706A">
              <w:rPr>
                <w:spacing w:val="-2"/>
              </w:rPr>
              <w:t>MAL</w:t>
            </w:r>
          </w:p>
        </w:tc>
      </w:tr>
      <w:tr w:rsidTr="00B13758">
        <w:tblPrEx>
          <w:tblW w:w="8160" w:type="dxa"/>
          <w:tblCellMar>
            <w:left w:w="54" w:type="dxa"/>
            <w:right w:w="54" w:type="dxa"/>
          </w:tblCellMar>
          <w:tblLook w:val="0000"/>
        </w:tblPrEx>
        <w:trPr>
          <w:trHeight w:val="1052"/>
        </w:trPr>
        <w:tc>
          <w:tcPr>
            <w:tcW w:w="3840" w:type="dxa"/>
            <w:shd w:val="clear" w:color="auto" w:fill="auto"/>
          </w:tcPr>
          <w:p w:rsidR="00CE4BFB" w:rsidRPr="0060706A" w:rsidP="00CE4BFB">
            <w:pPr>
              <w:autoSpaceDE w:val="0"/>
              <w:autoSpaceDN w:val="0"/>
              <w:adjustRightInd w:val="0"/>
              <w:ind w:left="540" w:hanging="540"/>
            </w:pPr>
            <w:r w:rsidRPr="0060706A">
              <w:t xml:space="preserve">  d. Special Temporary Authority</w:t>
            </w:r>
          </w:p>
          <w:p w:rsidR="00CE4BFB" w:rsidRPr="0060706A" w:rsidP="00CE4BFB">
            <w:pPr>
              <w:autoSpaceDE w:val="0"/>
              <w:autoSpaceDN w:val="0"/>
              <w:adjustRightInd w:val="0"/>
              <w:ind w:left="540" w:hanging="540"/>
            </w:pPr>
            <w:r w:rsidRPr="0060706A">
              <w:t xml:space="preserve">  </w:t>
            </w:r>
          </w:p>
        </w:tc>
        <w:tc>
          <w:tcPr>
            <w:tcW w:w="1440" w:type="dxa"/>
          </w:tcPr>
          <w:p w:rsidR="00CE4BFB" w:rsidRPr="0060706A" w:rsidP="00CE4BFB">
            <w:pPr>
              <w:autoSpaceDE w:val="0"/>
              <w:autoSpaceDN w:val="0"/>
              <w:adjustRightInd w:val="0"/>
              <w:jc w:val="center"/>
            </w:pPr>
          </w:p>
          <w:p w:rsidR="00CE4BFB" w:rsidRPr="0060706A" w:rsidP="00CE4BFB">
            <w:pPr>
              <w:autoSpaceDE w:val="0"/>
              <w:autoSpaceDN w:val="0"/>
              <w:adjustRightInd w:val="0"/>
              <w:jc w:val="center"/>
            </w:pPr>
            <w:r w:rsidRPr="0060706A">
              <w:t>Corres &amp; 159</w:t>
            </w:r>
          </w:p>
        </w:tc>
        <w:tc>
          <w:tcPr>
            <w:tcW w:w="1440" w:type="dxa"/>
            <w:shd w:val="clear" w:color="auto" w:fill="auto"/>
          </w:tcPr>
          <w:p w:rsidR="004414D8" w:rsidP="004414D8">
            <w:pPr>
              <w:autoSpaceDE w:val="0"/>
              <w:autoSpaceDN w:val="0"/>
              <w:adjustRightInd w:val="0"/>
              <w:jc w:val="center"/>
            </w:pPr>
          </w:p>
          <w:p w:rsidR="00CE4BFB" w:rsidRPr="0060706A">
            <w:pPr>
              <w:autoSpaceDE w:val="0"/>
              <w:autoSpaceDN w:val="0"/>
              <w:adjustRightInd w:val="0"/>
              <w:jc w:val="center"/>
              <w:rPr>
                <w:spacing w:val="-2"/>
              </w:rPr>
            </w:pPr>
            <w:r w:rsidRPr="0060706A">
              <w:t>$270.00</w:t>
            </w:r>
          </w:p>
        </w:tc>
        <w:tc>
          <w:tcPr>
            <w:tcW w:w="1440" w:type="dxa"/>
          </w:tcPr>
          <w:p w:rsidR="00CE4BFB" w:rsidRPr="0060706A">
            <w:pPr>
              <w:autoSpaceDE w:val="0"/>
              <w:autoSpaceDN w:val="0"/>
              <w:adjustRightInd w:val="0"/>
              <w:jc w:val="center"/>
            </w:pPr>
          </w:p>
          <w:p w:rsidR="00CE4BFB" w:rsidRPr="0060706A">
            <w:pPr>
              <w:autoSpaceDE w:val="0"/>
              <w:autoSpaceDN w:val="0"/>
              <w:adjustRightInd w:val="0"/>
              <w:jc w:val="center"/>
            </w:pPr>
            <w:r w:rsidRPr="0060706A">
              <w:t>MGL</w:t>
            </w:r>
          </w:p>
        </w:tc>
      </w:tr>
      <w:tr w:rsidTr="00B13758">
        <w:tblPrEx>
          <w:tblW w:w="8160" w:type="dxa"/>
          <w:tblCellMar>
            <w:left w:w="54" w:type="dxa"/>
            <w:right w:w="54" w:type="dxa"/>
          </w:tblCellMar>
          <w:tblLook w:val="0000"/>
        </w:tblPrEx>
        <w:trPr>
          <w:trHeight w:val="962"/>
        </w:trPr>
        <w:tc>
          <w:tcPr>
            <w:tcW w:w="3840" w:type="dxa"/>
            <w:shd w:val="clear" w:color="auto" w:fill="auto"/>
          </w:tcPr>
          <w:p w:rsidR="00CE4BFB" w:rsidRPr="0060706A" w:rsidP="00CE4BFB">
            <w:pPr>
              <w:autoSpaceDE w:val="0"/>
              <w:autoSpaceDN w:val="0"/>
              <w:adjustRightInd w:val="0"/>
              <w:ind w:left="540" w:hanging="540"/>
            </w:pPr>
            <w:r w:rsidRPr="0060706A">
              <w:t xml:space="preserve">  e. License Assignment</w:t>
            </w:r>
          </w:p>
          <w:p w:rsidR="00CE4BFB" w:rsidRPr="0060706A" w:rsidP="00CE4BFB">
            <w:pPr>
              <w:autoSpaceDE w:val="0"/>
              <w:autoSpaceDN w:val="0"/>
              <w:adjustRightInd w:val="0"/>
              <w:ind w:left="540" w:hanging="540"/>
            </w:pPr>
            <w:r w:rsidRPr="0060706A">
              <w:t xml:space="preserve">        </w:t>
            </w:r>
          </w:p>
        </w:tc>
        <w:tc>
          <w:tcPr>
            <w:tcW w:w="1440" w:type="dxa"/>
          </w:tcPr>
          <w:p w:rsidR="00CE4BFB" w:rsidRPr="0060706A" w:rsidP="00CE4BFB">
            <w:pPr>
              <w:autoSpaceDE w:val="0"/>
              <w:autoSpaceDN w:val="0"/>
              <w:adjustRightInd w:val="0"/>
              <w:jc w:val="center"/>
            </w:pPr>
          </w:p>
          <w:p w:rsidR="00CE4BFB" w:rsidRPr="0060706A" w:rsidP="00CE4BFB">
            <w:pPr>
              <w:autoSpaceDE w:val="0"/>
              <w:autoSpaceDN w:val="0"/>
              <w:adjustRightInd w:val="0"/>
              <w:jc w:val="center"/>
            </w:pPr>
            <w:r w:rsidRPr="0060706A">
              <w:t>345 &amp; 159</w:t>
            </w:r>
          </w:p>
          <w:p w:rsidR="00CE4BFB" w:rsidRPr="0060706A" w:rsidP="00CE4BFB">
            <w:pPr>
              <w:autoSpaceDE w:val="0"/>
              <w:autoSpaceDN w:val="0"/>
              <w:adjustRightInd w:val="0"/>
              <w:jc w:val="center"/>
            </w:pPr>
            <w:r w:rsidRPr="0060706A">
              <w:t>314 &amp; 159</w:t>
            </w:r>
          </w:p>
          <w:p w:rsidR="00CE4BFB" w:rsidRPr="0060706A" w:rsidP="00CE4BFB">
            <w:pPr>
              <w:jc w:val="center"/>
            </w:pPr>
            <w:r w:rsidRPr="0060706A">
              <w:t>316 &amp; 159</w:t>
            </w:r>
          </w:p>
        </w:tc>
        <w:tc>
          <w:tcPr>
            <w:tcW w:w="1440" w:type="dxa"/>
            <w:shd w:val="clear" w:color="auto" w:fill="auto"/>
          </w:tcPr>
          <w:p w:rsidR="004414D8" w:rsidP="004414D8">
            <w:pPr>
              <w:autoSpaceDE w:val="0"/>
              <w:autoSpaceDN w:val="0"/>
              <w:adjustRightInd w:val="0"/>
              <w:jc w:val="center"/>
            </w:pPr>
          </w:p>
          <w:p w:rsidR="00CE4BFB" w:rsidRPr="0060706A">
            <w:pPr>
              <w:autoSpaceDE w:val="0"/>
              <w:autoSpaceDN w:val="0"/>
              <w:adjustRightInd w:val="0"/>
              <w:jc w:val="center"/>
              <w:rPr>
                <w:spacing w:val="-2"/>
              </w:rPr>
            </w:pPr>
            <w:r w:rsidRPr="0060706A">
              <w:t>$335.00</w:t>
            </w:r>
          </w:p>
        </w:tc>
        <w:tc>
          <w:tcPr>
            <w:tcW w:w="1440" w:type="dxa"/>
          </w:tcPr>
          <w:p w:rsidR="00CE4BFB" w:rsidRPr="0060706A">
            <w:pPr>
              <w:autoSpaceDE w:val="0"/>
              <w:autoSpaceDN w:val="0"/>
              <w:adjustRightInd w:val="0"/>
              <w:jc w:val="center"/>
            </w:pPr>
          </w:p>
          <w:p w:rsidR="00CE4BFB" w:rsidRPr="0060706A">
            <w:pPr>
              <w:autoSpaceDE w:val="0"/>
              <w:autoSpaceDN w:val="0"/>
              <w:adjustRightInd w:val="0"/>
              <w:jc w:val="center"/>
            </w:pPr>
            <w:r w:rsidRPr="0060706A">
              <w:t>MDL</w:t>
            </w:r>
          </w:p>
        </w:tc>
      </w:tr>
      <w:tr w:rsidTr="00B13758">
        <w:tblPrEx>
          <w:tblW w:w="8160" w:type="dxa"/>
          <w:tblCellMar>
            <w:left w:w="54" w:type="dxa"/>
            <w:right w:w="54" w:type="dxa"/>
          </w:tblCellMar>
          <w:tblLook w:val="0000"/>
        </w:tblPrEx>
        <w:trPr>
          <w:trHeight w:val="980"/>
        </w:trPr>
        <w:tc>
          <w:tcPr>
            <w:tcW w:w="3840" w:type="dxa"/>
            <w:shd w:val="clear" w:color="auto" w:fill="auto"/>
          </w:tcPr>
          <w:p w:rsidR="00CE4BFB" w:rsidRPr="0060706A" w:rsidP="00CE4BFB">
            <w:pPr>
              <w:autoSpaceDE w:val="0"/>
              <w:autoSpaceDN w:val="0"/>
              <w:adjustRightInd w:val="0"/>
              <w:ind w:left="540" w:hanging="540"/>
            </w:pPr>
            <w:r w:rsidRPr="0060706A">
              <w:t xml:space="preserve">  f. Transfer of Control</w:t>
            </w:r>
          </w:p>
          <w:p w:rsidR="00CE4BFB" w:rsidRPr="0060706A" w:rsidP="00CE4BFB">
            <w:pPr>
              <w:autoSpaceDE w:val="0"/>
              <w:autoSpaceDN w:val="0"/>
              <w:adjustRightInd w:val="0"/>
              <w:ind w:left="540" w:hanging="540"/>
            </w:pPr>
          </w:p>
        </w:tc>
        <w:tc>
          <w:tcPr>
            <w:tcW w:w="1440" w:type="dxa"/>
          </w:tcPr>
          <w:p w:rsidR="004414D8" w:rsidP="00CE4BFB">
            <w:pPr>
              <w:autoSpaceDE w:val="0"/>
              <w:autoSpaceDN w:val="0"/>
              <w:adjustRightInd w:val="0"/>
              <w:jc w:val="center"/>
            </w:pPr>
          </w:p>
          <w:p w:rsidR="00CE4BFB" w:rsidRPr="0060706A" w:rsidP="00CE4BFB">
            <w:pPr>
              <w:autoSpaceDE w:val="0"/>
              <w:autoSpaceDN w:val="0"/>
              <w:adjustRightInd w:val="0"/>
              <w:jc w:val="center"/>
            </w:pPr>
            <w:r w:rsidRPr="0060706A">
              <w:t>345 &amp; 159</w:t>
            </w:r>
          </w:p>
          <w:p w:rsidR="00CE4BFB" w:rsidRPr="0060706A" w:rsidP="00CE4BFB">
            <w:pPr>
              <w:autoSpaceDE w:val="0"/>
              <w:autoSpaceDN w:val="0"/>
              <w:adjustRightInd w:val="0"/>
              <w:jc w:val="center"/>
            </w:pPr>
            <w:r w:rsidRPr="0060706A">
              <w:t>315 &amp; 159</w:t>
            </w:r>
          </w:p>
          <w:p w:rsidR="00CE4BFB" w:rsidRPr="0060706A" w:rsidP="00CE4BFB">
            <w:pPr>
              <w:autoSpaceDE w:val="0"/>
              <w:autoSpaceDN w:val="0"/>
              <w:adjustRightInd w:val="0"/>
              <w:jc w:val="center"/>
            </w:pPr>
            <w:r w:rsidRPr="0060706A">
              <w:t>316 &amp; 159</w:t>
            </w:r>
          </w:p>
        </w:tc>
        <w:tc>
          <w:tcPr>
            <w:tcW w:w="1440" w:type="dxa"/>
            <w:shd w:val="clear" w:color="auto" w:fill="auto"/>
          </w:tcPr>
          <w:p w:rsidR="004414D8" w:rsidP="004414D8">
            <w:pPr>
              <w:autoSpaceDE w:val="0"/>
              <w:autoSpaceDN w:val="0"/>
              <w:adjustRightInd w:val="0"/>
              <w:jc w:val="center"/>
            </w:pPr>
          </w:p>
          <w:p w:rsidR="00CE4BFB" w:rsidRPr="0060706A">
            <w:pPr>
              <w:autoSpaceDE w:val="0"/>
              <w:autoSpaceDN w:val="0"/>
              <w:adjustRightInd w:val="0"/>
              <w:jc w:val="center"/>
              <w:rPr>
                <w:spacing w:val="-2"/>
              </w:rPr>
            </w:pPr>
            <w:r w:rsidRPr="0060706A">
              <w:t>$335.00</w:t>
            </w:r>
          </w:p>
        </w:tc>
        <w:tc>
          <w:tcPr>
            <w:tcW w:w="1440" w:type="dxa"/>
          </w:tcPr>
          <w:p w:rsidR="00CE4BFB" w:rsidRPr="0060706A">
            <w:pPr>
              <w:autoSpaceDE w:val="0"/>
              <w:autoSpaceDN w:val="0"/>
              <w:adjustRightInd w:val="0"/>
              <w:jc w:val="center"/>
            </w:pPr>
          </w:p>
          <w:p w:rsidR="00CE4BFB" w:rsidRPr="0060706A">
            <w:pPr>
              <w:autoSpaceDE w:val="0"/>
              <w:autoSpaceDN w:val="0"/>
              <w:adjustRightInd w:val="0"/>
              <w:jc w:val="center"/>
            </w:pPr>
            <w:r w:rsidRPr="0060706A">
              <w:t>MDL</w:t>
            </w:r>
          </w:p>
        </w:tc>
      </w:tr>
      <w:tr w:rsidTr="00B13758">
        <w:tblPrEx>
          <w:tblW w:w="8160" w:type="dxa"/>
          <w:tblCellMar>
            <w:left w:w="54" w:type="dxa"/>
            <w:right w:w="54" w:type="dxa"/>
          </w:tblCellMar>
          <w:tblLook w:val="0000"/>
        </w:tblPrEx>
        <w:trPr>
          <w:trHeight w:val="1061"/>
        </w:trPr>
        <w:tc>
          <w:tcPr>
            <w:tcW w:w="3840" w:type="dxa"/>
            <w:shd w:val="clear" w:color="auto" w:fill="auto"/>
          </w:tcPr>
          <w:p w:rsidR="00CE4BFB" w:rsidRPr="0060706A" w:rsidP="00CE4BFB">
            <w:pPr>
              <w:autoSpaceDE w:val="0"/>
              <w:autoSpaceDN w:val="0"/>
              <w:adjustRightInd w:val="0"/>
              <w:ind w:left="540" w:hanging="540"/>
            </w:pPr>
            <w:r w:rsidRPr="0060706A">
              <w:t xml:space="preserve">  g. Call Sign</w:t>
            </w:r>
          </w:p>
          <w:p w:rsidR="00CE4BFB" w:rsidRPr="0060706A" w:rsidP="00CE4BFB">
            <w:pPr>
              <w:autoSpaceDE w:val="0"/>
              <w:autoSpaceDN w:val="0"/>
              <w:adjustRightInd w:val="0"/>
              <w:ind w:left="540" w:hanging="540"/>
            </w:pPr>
          </w:p>
        </w:tc>
        <w:tc>
          <w:tcPr>
            <w:tcW w:w="1440" w:type="dxa"/>
          </w:tcPr>
          <w:p w:rsidR="00CE4BFB" w:rsidRPr="0060706A" w:rsidP="00CE4BFB">
            <w:pPr>
              <w:autoSpaceDE w:val="0"/>
              <w:autoSpaceDN w:val="0"/>
              <w:adjustRightInd w:val="0"/>
              <w:jc w:val="center"/>
            </w:pPr>
          </w:p>
          <w:p w:rsidR="00CE4BFB" w:rsidRPr="0060706A" w:rsidP="00CE4BFB">
            <w:pPr>
              <w:autoSpaceDE w:val="0"/>
              <w:autoSpaceDN w:val="0"/>
              <w:adjustRightInd w:val="0"/>
              <w:jc w:val="center"/>
            </w:pPr>
            <w:r w:rsidRPr="0060706A">
              <w:t>380 &amp; 159</w:t>
            </w:r>
          </w:p>
        </w:tc>
        <w:tc>
          <w:tcPr>
            <w:tcW w:w="1440" w:type="dxa"/>
            <w:shd w:val="clear" w:color="auto" w:fill="auto"/>
          </w:tcPr>
          <w:p w:rsidR="004414D8" w:rsidP="004414D8">
            <w:pPr>
              <w:autoSpaceDE w:val="0"/>
              <w:autoSpaceDN w:val="0"/>
              <w:adjustRightInd w:val="0"/>
              <w:jc w:val="center"/>
            </w:pPr>
          </w:p>
          <w:p w:rsidR="00CE4BFB" w:rsidRPr="0060706A">
            <w:pPr>
              <w:autoSpaceDE w:val="0"/>
              <w:autoSpaceDN w:val="0"/>
              <w:adjustRightInd w:val="0"/>
              <w:jc w:val="center"/>
            </w:pPr>
            <w:r w:rsidRPr="0060706A">
              <w:t>$170.00</w:t>
            </w:r>
          </w:p>
        </w:tc>
        <w:tc>
          <w:tcPr>
            <w:tcW w:w="1440" w:type="dxa"/>
          </w:tcPr>
          <w:p w:rsidR="00CE4BFB" w:rsidRPr="0060706A">
            <w:pPr>
              <w:autoSpaceDE w:val="0"/>
              <w:autoSpaceDN w:val="0"/>
              <w:adjustRightInd w:val="0"/>
              <w:jc w:val="center"/>
            </w:pPr>
          </w:p>
          <w:p w:rsidR="00CE4BFB" w:rsidRPr="0060706A">
            <w:pPr>
              <w:autoSpaceDE w:val="0"/>
              <w:autoSpaceDN w:val="0"/>
              <w:adjustRightInd w:val="0"/>
              <w:jc w:val="center"/>
            </w:pPr>
            <w:r w:rsidRPr="0060706A">
              <w:t>MBT</w:t>
            </w:r>
          </w:p>
        </w:tc>
      </w:tr>
      <w:tr w:rsidTr="00B13758">
        <w:tblPrEx>
          <w:tblW w:w="8160" w:type="dxa"/>
          <w:tblCellMar>
            <w:left w:w="54" w:type="dxa"/>
            <w:right w:w="54" w:type="dxa"/>
          </w:tblCellMar>
          <w:tblLook w:val="0000"/>
        </w:tblPrEx>
        <w:trPr>
          <w:trHeight w:val="1061"/>
        </w:trPr>
        <w:tc>
          <w:tcPr>
            <w:tcW w:w="3840" w:type="dxa"/>
            <w:shd w:val="clear" w:color="auto" w:fill="auto"/>
          </w:tcPr>
          <w:p w:rsidR="00CE4BFB" w:rsidRPr="0060706A" w:rsidP="00CE4BFB">
            <w:pPr>
              <w:autoSpaceDE w:val="0"/>
              <w:autoSpaceDN w:val="0"/>
              <w:adjustRightInd w:val="0"/>
              <w:ind w:left="540" w:hanging="540"/>
              <w:rPr>
                <w:b/>
              </w:rPr>
            </w:pPr>
            <w:r w:rsidRPr="0060706A">
              <w:rPr>
                <w:b/>
              </w:rPr>
              <w:t>4.  Cable Television Services</w:t>
            </w:r>
          </w:p>
          <w:p w:rsidR="00CE4BFB" w:rsidRPr="0060706A" w:rsidP="00CE4BFB">
            <w:pPr>
              <w:autoSpaceDE w:val="0"/>
              <w:autoSpaceDN w:val="0"/>
              <w:adjustRightInd w:val="0"/>
              <w:ind w:left="540" w:hanging="540"/>
            </w:pPr>
          </w:p>
          <w:p w:rsidR="00CE4BFB" w:rsidRPr="0060706A" w:rsidP="00CE4BFB">
            <w:pPr>
              <w:autoSpaceDE w:val="0"/>
              <w:autoSpaceDN w:val="0"/>
              <w:adjustRightInd w:val="0"/>
              <w:ind w:left="540" w:hanging="540"/>
            </w:pPr>
            <w:r w:rsidRPr="0060706A">
              <w:t>a. CARS license</w:t>
            </w:r>
          </w:p>
        </w:tc>
        <w:tc>
          <w:tcPr>
            <w:tcW w:w="1440" w:type="dxa"/>
          </w:tcPr>
          <w:p w:rsidR="004414D8" w:rsidP="00CE4BFB">
            <w:pPr>
              <w:autoSpaceDE w:val="0"/>
              <w:autoSpaceDN w:val="0"/>
              <w:adjustRightInd w:val="0"/>
              <w:jc w:val="center"/>
            </w:pPr>
          </w:p>
          <w:p w:rsidR="00CE4BFB" w:rsidRPr="0060706A" w:rsidP="00CE4BFB">
            <w:pPr>
              <w:autoSpaceDE w:val="0"/>
              <w:autoSpaceDN w:val="0"/>
              <w:adjustRightInd w:val="0"/>
              <w:jc w:val="center"/>
            </w:pPr>
            <w:r w:rsidRPr="0060706A">
              <w:t>327 &amp; 159</w:t>
            </w:r>
          </w:p>
        </w:tc>
        <w:tc>
          <w:tcPr>
            <w:tcW w:w="1440" w:type="dxa"/>
            <w:shd w:val="clear" w:color="auto" w:fill="auto"/>
          </w:tcPr>
          <w:p w:rsidR="004414D8" w:rsidP="004414D8">
            <w:pPr>
              <w:autoSpaceDE w:val="0"/>
              <w:autoSpaceDN w:val="0"/>
              <w:adjustRightInd w:val="0"/>
              <w:jc w:val="center"/>
            </w:pPr>
          </w:p>
          <w:p w:rsidR="00CE4BFB" w:rsidRPr="0060706A">
            <w:pPr>
              <w:autoSpaceDE w:val="0"/>
              <w:autoSpaceDN w:val="0"/>
              <w:adjustRightInd w:val="0"/>
              <w:jc w:val="center"/>
            </w:pPr>
            <w:r w:rsidRPr="0060706A">
              <w:t>$450.00</w:t>
            </w:r>
          </w:p>
        </w:tc>
        <w:tc>
          <w:tcPr>
            <w:tcW w:w="1440" w:type="dxa"/>
          </w:tcPr>
          <w:p w:rsidR="004414D8" w:rsidP="004414D8">
            <w:pPr>
              <w:autoSpaceDE w:val="0"/>
              <w:autoSpaceDN w:val="0"/>
              <w:adjustRightInd w:val="0"/>
              <w:jc w:val="center"/>
            </w:pPr>
          </w:p>
          <w:p w:rsidR="00CE4BFB" w:rsidRPr="0060706A">
            <w:pPr>
              <w:autoSpaceDE w:val="0"/>
              <w:autoSpaceDN w:val="0"/>
              <w:adjustRightInd w:val="0"/>
              <w:jc w:val="center"/>
            </w:pPr>
            <w:r w:rsidRPr="0060706A">
              <w:t>TIC</w:t>
            </w:r>
          </w:p>
        </w:tc>
      </w:tr>
      <w:tr w:rsidTr="00B13758">
        <w:tblPrEx>
          <w:tblW w:w="8160" w:type="dxa"/>
          <w:tblCellMar>
            <w:left w:w="54" w:type="dxa"/>
            <w:right w:w="54" w:type="dxa"/>
          </w:tblCellMar>
          <w:tblLook w:val="0000"/>
        </w:tblPrEx>
        <w:trPr>
          <w:trHeight w:val="1061"/>
        </w:trPr>
        <w:tc>
          <w:tcPr>
            <w:tcW w:w="3840" w:type="dxa"/>
            <w:shd w:val="clear" w:color="auto" w:fill="auto"/>
          </w:tcPr>
          <w:p w:rsidR="00CE4BFB" w:rsidRPr="0060706A" w:rsidP="00CE4BFB">
            <w:pPr>
              <w:autoSpaceDE w:val="0"/>
              <w:autoSpaceDN w:val="0"/>
              <w:adjustRightInd w:val="0"/>
              <w:ind w:left="540" w:hanging="540"/>
            </w:pPr>
          </w:p>
          <w:p w:rsidR="00CE4BFB" w:rsidRPr="0060706A" w:rsidP="00CE4BFB">
            <w:pPr>
              <w:autoSpaceDE w:val="0"/>
              <w:autoSpaceDN w:val="0"/>
              <w:adjustRightInd w:val="0"/>
              <w:ind w:left="540" w:hanging="540"/>
            </w:pPr>
            <w:r w:rsidRPr="0060706A">
              <w:t>b. CARS Major Modification</w:t>
            </w:r>
          </w:p>
        </w:tc>
        <w:tc>
          <w:tcPr>
            <w:tcW w:w="1440" w:type="dxa"/>
          </w:tcPr>
          <w:p w:rsidR="00CE4BFB" w:rsidRPr="0060706A" w:rsidP="00CE4BFB">
            <w:pPr>
              <w:autoSpaceDE w:val="0"/>
              <w:autoSpaceDN w:val="0"/>
              <w:adjustRightInd w:val="0"/>
              <w:jc w:val="center"/>
            </w:pPr>
          </w:p>
          <w:p w:rsidR="00CE4BFB" w:rsidRPr="0060706A" w:rsidP="00CE4BFB">
            <w:pPr>
              <w:autoSpaceDE w:val="0"/>
              <w:autoSpaceDN w:val="0"/>
              <w:adjustRightInd w:val="0"/>
              <w:jc w:val="center"/>
            </w:pPr>
            <w:r w:rsidRPr="0060706A">
              <w:t>327 &amp; 159</w:t>
            </w:r>
          </w:p>
        </w:tc>
        <w:tc>
          <w:tcPr>
            <w:tcW w:w="1440" w:type="dxa"/>
            <w:shd w:val="clear" w:color="auto" w:fill="auto"/>
          </w:tcPr>
          <w:p w:rsidR="004414D8" w:rsidP="004414D8">
            <w:pPr>
              <w:autoSpaceDE w:val="0"/>
              <w:autoSpaceDN w:val="0"/>
              <w:adjustRightInd w:val="0"/>
              <w:jc w:val="center"/>
            </w:pPr>
          </w:p>
          <w:p w:rsidR="00CE4BFB" w:rsidRPr="0060706A">
            <w:pPr>
              <w:autoSpaceDE w:val="0"/>
              <w:autoSpaceDN w:val="0"/>
              <w:adjustRightInd w:val="0"/>
              <w:jc w:val="center"/>
            </w:pPr>
            <w:r w:rsidRPr="0060706A">
              <w:t>$345.00</w:t>
            </w:r>
          </w:p>
        </w:tc>
        <w:tc>
          <w:tcPr>
            <w:tcW w:w="1440" w:type="dxa"/>
          </w:tcPr>
          <w:p w:rsidR="00CE4BFB" w:rsidRPr="0060706A">
            <w:pPr>
              <w:autoSpaceDE w:val="0"/>
              <w:autoSpaceDN w:val="0"/>
              <w:adjustRightInd w:val="0"/>
              <w:jc w:val="center"/>
            </w:pPr>
          </w:p>
          <w:p w:rsidR="00CE4BFB" w:rsidRPr="0060706A">
            <w:pPr>
              <w:autoSpaceDE w:val="0"/>
              <w:autoSpaceDN w:val="0"/>
              <w:adjustRightInd w:val="0"/>
              <w:jc w:val="center"/>
            </w:pPr>
            <w:r w:rsidRPr="0060706A">
              <w:t>TIC</w:t>
            </w:r>
          </w:p>
        </w:tc>
      </w:tr>
      <w:tr w:rsidTr="00B13758">
        <w:tblPrEx>
          <w:tblW w:w="8160" w:type="dxa"/>
          <w:tblCellMar>
            <w:left w:w="54" w:type="dxa"/>
            <w:right w:w="54" w:type="dxa"/>
          </w:tblCellMar>
          <w:tblLook w:val="0000"/>
        </w:tblPrEx>
        <w:trPr>
          <w:trHeight w:val="1061"/>
        </w:trPr>
        <w:tc>
          <w:tcPr>
            <w:tcW w:w="3840" w:type="dxa"/>
            <w:shd w:val="clear" w:color="auto" w:fill="auto"/>
          </w:tcPr>
          <w:p w:rsidR="00CE4BFB" w:rsidRPr="0060706A" w:rsidP="00CE4BFB">
            <w:pPr>
              <w:autoSpaceDE w:val="0"/>
              <w:autoSpaceDN w:val="0"/>
              <w:adjustRightInd w:val="0"/>
              <w:ind w:left="540" w:hanging="540"/>
            </w:pPr>
          </w:p>
          <w:p w:rsidR="00CE4BFB" w:rsidRPr="0060706A" w:rsidP="00CE4BFB">
            <w:pPr>
              <w:autoSpaceDE w:val="0"/>
              <w:autoSpaceDN w:val="0"/>
              <w:adjustRightInd w:val="0"/>
              <w:ind w:left="540" w:hanging="540"/>
            </w:pPr>
            <w:r w:rsidRPr="0060706A">
              <w:t>c.  CARS Minor Modification</w:t>
            </w:r>
          </w:p>
        </w:tc>
        <w:tc>
          <w:tcPr>
            <w:tcW w:w="1440" w:type="dxa"/>
          </w:tcPr>
          <w:p w:rsidR="00CE4BFB" w:rsidRPr="0060706A" w:rsidP="00CE4BFB">
            <w:pPr>
              <w:autoSpaceDE w:val="0"/>
              <w:autoSpaceDN w:val="0"/>
              <w:adjustRightInd w:val="0"/>
              <w:jc w:val="center"/>
            </w:pPr>
          </w:p>
          <w:p w:rsidR="00CE4BFB" w:rsidRPr="0060706A" w:rsidP="00CE4BFB">
            <w:pPr>
              <w:autoSpaceDE w:val="0"/>
              <w:autoSpaceDN w:val="0"/>
              <w:adjustRightInd w:val="0"/>
              <w:jc w:val="center"/>
            </w:pPr>
            <w:r w:rsidRPr="0060706A">
              <w:t>327 &amp; 159</w:t>
            </w:r>
          </w:p>
        </w:tc>
        <w:tc>
          <w:tcPr>
            <w:tcW w:w="1440" w:type="dxa"/>
            <w:shd w:val="clear" w:color="auto" w:fill="auto"/>
          </w:tcPr>
          <w:p w:rsidR="004414D8" w:rsidP="004414D8">
            <w:pPr>
              <w:autoSpaceDE w:val="0"/>
              <w:autoSpaceDN w:val="0"/>
              <w:adjustRightInd w:val="0"/>
              <w:jc w:val="center"/>
            </w:pPr>
          </w:p>
          <w:p w:rsidR="00CE4BFB" w:rsidRPr="0060706A">
            <w:pPr>
              <w:autoSpaceDE w:val="0"/>
              <w:autoSpaceDN w:val="0"/>
              <w:adjustRightInd w:val="0"/>
              <w:jc w:val="center"/>
            </w:pPr>
            <w:r w:rsidRPr="0060706A">
              <w:t>$50.00</w:t>
            </w:r>
          </w:p>
        </w:tc>
        <w:tc>
          <w:tcPr>
            <w:tcW w:w="1440" w:type="dxa"/>
          </w:tcPr>
          <w:p w:rsidR="00CE4BFB" w:rsidRPr="0060706A">
            <w:pPr>
              <w:autoSpaceDE w:val="0"/>
              <w:autoSpaceDN w:val="0"/>
              <w:adjustRightInd w:val="0"/>
              <w:jc w:val="center"/>
            </w:pPr>
          </w:p>
          <w:p w:rsidR="00CE4BFB" w:rsidRPr="0060706A">
            <w:pPr>
              <w:autoSpaceDE w:val="0"/>
              <w:autoSpaceDN w:val="0"/>
              <w:adjustRightInd w:val="0"/>
              <w:jc w:val="center"/>
            </w:pPr>
            <w:r w:rsidRPr="0060706A">
              <w:t>TIC</w:t>
            </w:r>
          </w:p>
        </w:tc>
      </w:tr>
      <w:tr w:rsidTr="00B13758">
        <w:tblPrEx>
          <w:tblW w:w="8160" w:type="dxa"/>
          <w:tblCellMar>
            <w:left w:w="54" w:type="dxa"/>
            <w:right w:w="54" w:type="dxa"/>
          </w:tblCellMar>
          <w:tblLook w:val="0000"/>
        </w:tblPrEx>
        <w:trPr>
          <w:trHeight w:val="1061"/>
        </w:trPr>
        <w:tc>
          <w:tcPr>
            <w:tcW w:w="3840" w:type="dxa"/>
            <w:shd w:val="clear" w:color="auto" w:fill="auto"/>
          </w:tcPr>
          <w:p w:rsidR="00CE4BFB" w:rsidRPr="0060706A" w:rsidP="00CE4BFB">
            <w:pPr>
              <w:autoSpaceDE w:val="0"/>
              <w:autoSpaceDN w:val="0"/>
              <w:adjustRightInd w:val="0"/>
              <w:ind w:left="540" w:hanging="540"/>
            </w:pPr>
          </w:p>
          <w:p w:rsidR="00CE4BFB" w:rsidRPr="0060706A" w:rsidP="00CE4BFB">
            <w:pPr>
              <w:autoSpaceDE w:val="0"/>
              <w:autoSpaceDN w:val="0"/>
              <w:adjustRightInd w:val="0"/>
              <w:ind w:left="540" w:hanging="540"/>
            </w:pPr>
            <w:r w:rsidRPr="0060706A">
              <w:t>d. CARS renewal</w:t>
            </w:r>
          </w:p>
        </w:tc>
        <w:tc>
          <w:tcPr>
            <w:tcW w:w="1440" w:type="dxa"/>
          </w:tcPr>
          <w:p w:rsidR="00CE4BFB" w:rsidRPr="0060706A" w:rsidP="00CE4BFB">
            <w:pPr>
              <w:autoSpaceDE w:val="0"/>
              <w:autoSpaceDN w:val="0"/>
              <w:adjustRightInd w:val="0"/>
              <w:jc w:val="center"/>
            </w:pPr>
          </w:p>
          <w:p w:rsidR="00CE4BFB" w:rsidRPr="0060706A" w:rsidP="00CE4BFB">
            <w:pPr>
              <w:autoSpaceDE w:val="0"/>
              <w:autoSpaceDN w:val="0"/>
              <w:adjustRightInd w:val="0"/>
              <w:jc w:val="center"/>
            </w:pPr>
            <w:r w:rsidRPr="0060706A">
              <w:t>327 &amp; 159</w:t>
            </w:r>
          </w:p>
        </w:tc>
        <w:tc>
          <w:tcPr>
            <w:tcW w:w="1440" w:type="dxa"/>
            <w:shd w:val="clear" w:color="auto" w:fill="auto"/>
          </w:tcPr>
          <w:p w:rsidR="004414D8" w:rsidP="004414D8">
            <w:pPr>
              <w:autoSpaceDE w:val="0"/>
              <w:autoSpaceDN w:val="0"/>
              <w:adjustRightInd w:val="0"/>
              <w:jc w:val="center"/>
            </w:pPr>
          </w:p>
          <w:p w:rsidR="00CE4BFB" w:rsidRPr="0060706A">
            <w:pPr>
              <w:autoSpaceDE w:val="0"/>
              <w:autoSpaceDN w:val="0"/>
              <w:adjustRightInd w:val="0"/>
              <w:jc w:val="center"/>
            </w:pPr>
            <w:r w:rsidRPr="0060706A">
              <w:t>$260.00</w:t>
            </w:r>
          </w:p>
        </w:tc>
        <w:tc>
          <w:tcPr>
            <w:tcW w:w="1440" w:type="dxa"/>
          </w:tcPr>
          <w:p w:rsidR="00CE4BFB" w:rsidRPr="0060706A">
            <w:pPr>
              <w:autoSpaceDE w:val="0"/>
              <w:autoSpaceDN w:val="0"/>
              <w:adjustRightInd w:val="0"/>
              <w:jc w:val="center"/>
            </w:pPr>
          </w:p>
          <w:p w:rsidR="00CE4BFB" w:rsidRPr="0060706A">
            <w:pPr>
              <w:autoSpaceDE w:val="0"/>
              <w:autoSpaceDN w:val="0"/>
              <w:adjustRightInd w:val="0"/>
              <w:jc w:val="center"/>
            </w:pPr>
            <w:r w:rsidRPr="0060706A">
              <w:t>TIC</w:t>
            </w:r>
          </w:p>
        </w:tc>
      </w:tr>
      <w:tr w:rsidTr="00B13758">
        <w:tblPrEx>
          <w:tblW w:w="8160" w:type="dxa"/>
          <w:tblCellMar>
            <w:left w:w="54" w:type="dxa"/>
            <w:right w:w="54" w:type="dxa"/>
          </w:tblCellMar>
          <w:tblLook w:val="0000"/>
        </w:tblPrEx>
        <w:trPr>
          <w:trHeight w:val="1061"/>
        </w:trPr>
        <w:tc>
          <w:tcPr>
            <w:tcW w:w="3840" w:type="dxa"/>
            <w:shd w:val="clear" w:color="auto" w:fill="auto"/>
          </w:tcPr>
          <w:p w:rsidR="00CE4BFB" w:rsidRPr="0060706A" w:rsidP="00CE4BFB">
            <w:pPr>
              <w:autoSpaceDE w:val="0"/>
              <w:autoSpaceDN w:val="0"/>
              <w:adjustRightInd w:val="0"/>
              <w:ind w:left="540" w:hanging="540"/>
            </w:pPr>
          </w:p>
          <w:p w:rsidR="00CE4BFB" w:rsidRPr="0060706A" w:rsidP="00CE4BFB">
            <w:pPr>
              <w:autoSpaceDE w:val="0"/>
              <w:autoSpaceDN w:val="0"/>
              <w:adjustRightInd w:val="0"/>
              <w:ind w:left="540" w:hanging="540"/>
            </w:pPr>
            <w:r w:rsidRPr="0060706A">
              <w:t>e.  CARS assignment</w:t>
            </w:r>
          </w:p>
        </w:tc>
        <w:tc>
          <w:tcPr>
            <w:tcW w:w="1440" w:type="dxa"/>
          </w:tcPr>
          <w:p w:rsidR="00CE4BFB" w:rsidRPr="0060706A" w:rsidP="00CE4BFB">
            <w:pPr>
              <w:autoSpaceDE w:val="0"/>
              <w:autoSpaceDN w:val="0"/>
              <w:adjustRightInd w:val="0"/>
              <w:jc w:val="center"/>
            </w:pPr>
          </w:p>
          <w:p w:rsidR="00CE4BFB" w:rsidRPr="0060706A" w:rsidP="00CE4BFB">
            <w:pPr>
              <w:autoSpaceDE w:val="0"/>
              <w:autoSpaceDN w:val="0"/>
              <w:adjustRightInd w:val="0"/>
              <w:jc w:val="center"/>
            </w:pPr>
            <w:r w:rsidRPr="0060706A">
              <w:t>327 &amp; 159</w:t>
            </w:r>
          </w:p>
        </w:tc>
        <w:tc>
          <w:tcPr>
            <w:tcW w:w="1440" w:type="dxa"/>
            <w:shd w:val="clear" w:color="auto" w:fill="auto"/>
          </w:tcPr>
          <w:p w:rsidR="004414D8" w:rsidP="004414D8">
            <w:pPr>
              <w:autoSpaceDE w:val="0"/>
              <w:autoSpaceDN w:val="0"/>
              <w:adjustRightInd w:val="0"/>
              <w:jc w:val="center"/>
            </w:pPr>
          </w:p>
          <w:p w:rsidR="00CE4BFB" w:rsidRPr="0060706A">
            <w:pPr>
              <w:autoSpaceDE w:val="0"/>
              <w:autoSpaceDN w:val="0"/>
              <w:adjustRightInd w:val="0"/>
              <w:jc w:val="center"/>
            </w:pPr>
            <w:r w:rsidRPr="0060706A">
              <w:t>$365.00</w:t>
            </w:r>
          </w:p>
        </w:tc>
        <w:tc>
          <w:tcPr>
            <w:tcW w:w="1440" w:type="dxa"/>
          </w:tcPr>
          <w:p w:rsidR="00CE4BFB" w:rsidRPr="0060706A">
            <w:pPr>
              <w:autoSpaceDE w:val="0"/>
              <w:autoSpaceDN w:val="0"/>
              <w:adjustRightInd w:val="0"/>
              <w:jc w:val="center"/>
            </w:pPr>
          </w:p>
          <w:p w:rsidR="00CE4BFB" w:rsidRPr="0060706A">
            <w:pPr>
              <w:autoSpaceDE w:val="0"/>
              <w:autoSpaceDN w:val="0"/>
              <w:adjustRightInd w:val="0"/>
              <w:jc w:val="center"/>
            </w:pPr>
            <w:r w:rsidRPr="0060706A">
              <w:t>TIC</w:t>
            </w:r>
          </w:p>
        </w:tc>
      </w:tr>
      <w:tr w:rsidTr="00B13758">
        <w:tblPrEx>
          <w:tblW w:w="8160" w:type="dxa"/>
          <w:tblCellMar>
            <w:left w:w="54" w:type="dxa"/>
            <w:right w:w="54" w:type="dxa"/>
          </w:tblCellMar>
          <w:tblLook w:val="0000"/>
        </w:tblPrEx>
        <w:trPr>
          <w:trHeight w:val="1061"/>
        </w:trPr>
        <w:tc>
          <w:tcPr>
            <w:tcW w:w="3840" w:type="dxa"/>
            <w:shd w:val="clear" w:color="auto" w:fill="auto"/>
          </w:tcPr>
          <w:p w:rsidR="00CE4BFB" w:rsidRPr="0060706A" w:rsidP="00CE4BFB">
            <w:pPr>
              <w:autoSpaceDE w:val="0"/>
              <w:autoSpaceDN w:val="0"/>
              <w:adjustRightInd w:val="0"/>
              <w:ind w:left="540" w:hanging="540"/>
            </w:pPr>
          </w:p>
          <w:p w:rsidR="00CE4BFB" w:rsidRPr="0060706A" w:rsidP="00CE4BFB">
            <w:pPr>
              <w:autoSpaceDE w:val="0"/>
              <w:autoSpaceDN w:val="0"/>
              <w:adjustRightInd w:val="0"/>
              <w:ind w:left="540" w:hanging="540"/>
            </w:pPr>
            <w:r w:rsidRPr="0060706A">
              <w:t>f. CARS transfer of control</w:t>
            </w:r>
          </w:p>
        </w:tc>
        <w:tc>
          <w:tcPr>
            <w:tcW w:w="1440" w:type="dxa"/>
          </w:tcPr>
          <w:p w:rsidR="00CE4BFB" w:rsidRPr="0060706A" w:rsidP="00CE4BFB">
            <w:pPr>
              <w:autoSpaceDE w:val="0"/>
              <w:autoSpaceDN w:val="0"/>
              <w:adjustRightInd w:val="0"/>
              <w:jc w:val="center"/>
            </w:pPr>
          </w:p>
          <w:p w:rsidR="00CE4BFB" w:rsidRPr="0060706A" w:rsidP="00CE4BFB">
            <w:pPr>
              <w:autoSpaceDE w:val="0"/>
              <w:autoSpaceDN w:val="0"/>
              <w:adjustRightInd w:val="0"/>
              <w:jc w:val="center"/>
            </w:pPr>
            <w:r w:rsidRPr="0060706A">
              <w:t>327 &amp; 159</w:t>
            </w:r>
          </w:p>
        </w:tc>
        <w:tc>
          <w:tcPr>
            <w:tcW w:w="1440" w:type="dxa"/>
            <w:shd w:val="clear" w:color="auto" w:fill="auto"/>
          </w:tcPr>
          <w:p w:rsidR="004414D8" w:rsidP="004414D8">
            <w:pPr>
              <w:autoSpaceDE w:val="0"/>
              <w:autoSpaceDN w:val="0"/>
              <w:adjustRightInd w:val="0"/>
              <w:jc w:val="center"/>
            </w:pPr>
          </w:p>
          <w:p w:rsidR="00CE4BFB" w:rsidRPr="0060706A">
            <w:pPr>
              <w:autoSpaceDE w:val="0"/>
              <w:autoSpaceDN w:val="0"/>
              <w:adjustRightInd w:val="0"/>
              <w:jc w:val="center"/>
            </w:pPr>
            <w:r w:rsidRPr="0060706A">
              <w:t>$465.00</w:t>
            </w:r>
          </w:p>
        </w:tc>
        <w:tc>
          <w:tcPr>
            <w:tcW w:w="1440" w:type="dxa"/>
          </w:tcPr>
          <w:p w:rsidR="00CE4BFB" w:rsidRPr="0060706A">
            <w:pPr>
              <w:autoSpaceDE w:val="0"/>
              <w:autoSpaceDN w:val="0"/>
              <w:adjustRightInd w:val="0"/>
              <w:jc w:val="center"/>
            </w:pPr>
          </w:p>
          <w:p w:rsidR="00CE4BFB" w:rsidRPr="0060706A">
            <w:pPr>
              <w:autoSpaceDE w:val="0"/>
              <w:autoSpaceDN w:val="0"/>
              <w:adjustRightInd w:val="0"/>
              <w:jc w:val="center"/>
            </w:pPr>
            <w:r w:rsidRPr="0060706A">
              <w:t>TIC</w:t>
            </w:r>
          </w:p>
        </w:tc>
      </w:tr>
      <w:tr w:rsidTr="00B13758">
        <w:tblPrEx>
          <w:tblW w:w="8160" w:type="dxa"/>
          <w:tblCellMar>
            <w:left w:w="54" w:type="dxa"/>
            <w:right w:w="54" w:type="dxa"/>
          </w:tblCellMar>
          <w:tblLook w:val="0000"/>
        </w:tblPrEx>
        <w:trPr>
          <w:trHeight w:val="1061"/>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g. CARS special temporary authority</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4414D8" w:rsidP="004414D8">
            <w:pPr>
              <w:autoSpaceDE w:val="0"/>
              <w:autoSpaceDN w:val="0"/>
              <w:adjustRightInd w:val="0"/>
              <w:jc w:val="center"/>
            </w:pPr>
          </w:p>
          <w:p w:rsidR="00ED5194" w:rsidRPr="0060706A">
            <w:pPr>
              <w:autoSpaceDE w:val="0"/>
              <w:autoSpaceDN w:val="0"/>
              <w:adjustRightInd w:val="0"/>
              <w:jc w:val="center"/>
            </w:pPr>
            <w:r w:rsidRPr="0060706A">
              <w:t>$22</w:t>
            </w:r>
            <w:r w:rsidRPr="0060706A" w:rsidR="00FE2DD7">
              <w:t>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TGC</w:t>
            </w:r>
          </w:p>
        </w:tc>
      </w:tr>
      <w:tr w:rsidTr="00B13758">
        <w:tblPrEx>
          <w:tblW w:w="8160" w:type="dxa"/>
          <w:tblCellMar>
            <w:left w:w="54" w:type="dxa"/>
            <w:right w:w="54" w:type="dxa"/>
          </w:tblCellMar>
          <w:tblLook w:val="0000"/>
        </w:tblPrEx>
        <w:trPr>
          <w:trHeight w:val="1061"/>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h. Special relief petition</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4414D8" w:rsidP="004414D8">
            <w:pPr>
              <w:autoSpaceDE w:val="0"/>
              <w:autoSpaceDN w:val="0"/>
              <w:adjustRightInd w:val="0"/>
              <w:jc w:val="center"/>
            </w:pPr>
          </w:p>
          <w:p w:rsidR="00ED5194" w:rsidRPr="0060706A">
            <w:pPr>
              <w:autoSpaceDE w:val="0"/>
              <w:autoSpaceDN w:val="0"/>
              <w:adjustRightInd w:val="0"/>
              <w:jc w:val="center"/>
            </w:pPr>
            <w:r w:rsidRPr="0060706A">
              <w:t>$1,</w:t>
            </w:r>
            <w:r w:rsidRPr="0060706A" w:rsidR="00FE2DD7">
              <w:t>615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TQC</w:t>
            </w:r>
          </w:p>
        </w:tc>
      </w:tr>
      <w:tr w:rsidTr="00B13758">
        <w:tblPrEx>
          <w:tblW w:w="8160" w:type="dxa"/>
          <w:tblCellMar>
            <w:left w:w="54" w:type="dxa"/>
            <w:right w:w="54" w:type="dxa"/>
          </w:tblCellMar>
          <w:tblLook w:val="0000"/>
        </w:tblPrEx>
        <w:trPr>
          <w:trHeight w:val="1061"/>
        </w:trPr>
        <w:tc>
          <w:tcPr>
            <w:tcW w:w="3840" w:type="dxa"/>
            <w:shd w:val="clear" w:color="auto" w:fill="auto"/>
          </w:tcPr>
          <w:p w:rsidR="00ED5194" w:rsidRPr="0060706A" w:rsidP="001B3814">
            <w:pPr>
              <w:autoSpaceDE w:val="0"/>
              <w:autoSpaceDN w:val="0"/>
              <w:adjustRightInd w:val="0"/>
              <w:ind w:left="540" w:hanging="540"/>
            </w:pPr>
          </w:p>
          <w:p w:rsidR="00ED5194" w:rsidRPr="0060706A" w:rsidP="00CE4C9A">
            <w:pPr>
              <w:pStyle w:val="ListParagraph"/>
              <w:numPr>
                <w:ilvl w:val="0"/>
                <w:numId w:val="21"/>
              </w:numPr>
              <w:autoSpaceDE w:val="0"/>
              <w:autoSpaceDN w:val="0"/>
              <w:adjustRightInd w:val="0"/>
            </w:pPr>
            <w:r w:rsidRPr="0060706A">
              <w:t>CARS registration statement</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322 &amp; 159</w:t>
            </w:r>
          </w:p>
        </w:tc>
        <w:tc>
          <w:tcPr>
            <w:tcW w:w="1440" w:type="dxa"/>
            <w:shd w:val="clear" w:color="auto" w:fill="auto"/>
          </w:tcPr>
          <w:p w:rsidR="004414D8" w:rsidP="004414D8">
            <w:pPr>
              <w:autoSpaceDE w:val="0"/>
              <w:autoSpaceDN w:val="0"/>
              <w:adjustRightInd w:val="0"/>
              <w:jc w:val="center"/>
            </w:pPr>
          </w:p>
          <w:p w:rsidR="00ED5194" w:rsidRPr="0060706A">
            <w:pPr>
              <w:autoSpaceDE w:val="0"/>
              <w:autoSpaceDN w:val="0"/>
              <w:adjustRightInd w:val="0"/>
              <w:jc w:val="center"/>
            </w:pPr>
            <w:r w:rsidRPr="0060706A">
              <w:t>$10</w:t>
            </w:r>
            <w:r w:rsidRPr="0060706A" w:rsidR="00FE2DD7">
              <w:t>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TAC</w:t>
            </w:r>
          </w:p>
        </w:tc>
      </w:tr>
      <w:tr w:rsidTr="00B13758">
        <w:tblPrEx>
          <w:tblW w:w="8160" w:type="dxa"/>
          <w:tblCellMar>
            <w:left w:w="54" w:type="dxa"/>
            <w:right w:w="54" w:type="dxa"/>
          </w:tblCellMar>
          <w:tblLook w:val="0000"/>
        </w:tblPrEx>
        <w:trPr>
          <w:trHeight w:val="1061"/>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j. MVPD aeronautical frequency usage notification</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 xml:space="preserve">321 &amp; </w:t>
            </w:r>
            <w:r w:rsidRPr="0060706A">
              <w:t>159</w:t>
            </w:r>
          </w:p>
        </w:tc>
        <w:tc>
          <w:tcPr>
            <w:tcW w:w="1440" w:type="dxa"/>
            <w:shd w:val="clear" w:color="auto" w:fill="auto"/>
          </w:tcPr>
          <w:p w:rsidR="004414D8" w:rsidP="004414D8">
            <w:pPr>
              <w:autoSpaceDE w:val="0"/>
              <w:autoSpaceDN w:val="0"/>
              <w:adjustRightInd w:val="0"/>
              <w:jc w:val="center"/>
            </w:pPr>
          </w:p>
          <w:p w:rsidR="00ED5194" w:rsidRPr="0060706A">
            <w:pPr>
              <w:autoSpaceDE w:val="0"/>
              <w:autoSpaceDN w:val="0"/>
              <w:adjustRightInd w:val="0"/>
              <w:jc w:val="center"/>
            </w:pPr>
            <w:r w:rsidRPr="0060706A">
              <w:t>$</w:t>
            </w:r>
            <w:r w:rsidRPr="0060706A" w:rsidR="00FE2DD7">
              <w:t>90</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TAC</w:t>
            </w:r>
          </w:p>
        </w:tc>
      </w:tr>
      <w:tr w:rsidTr="00B13758">
        <w:tblPrEx>
          <w:tblW w:w="8160" w:type="dxa"/>
          <w:tblCellMar>
            <w:left w:w="54" w:type="dxa"/>
            <w:right w:w="54" w:type="dxa"/>
          </w:tblCellMar>
          <w:tblLook w:val="0000"/>
        </w:tblPrEx>
        <w:trPr>
          <w:trHeight w:val="989"/>
        </w:trPr>
        <w:tc>
          <w:tcPr>
            <w:tcW w:w="3840" w:type="dxa"/>
            <w:shd w:val="clear" w:color="auto" w:fill="auto"/>
          </w:tcPr>
          <w:p w:rsidR="00ED5194" w:rsidRPr="0060706A" w:rsidP="001B3814">
            <w:pPr>
              <w:autoSpaceDE w:val="0"/>
              <w:autoSpaceDN w:val="0"/>
              <w:adjustRightInd w:val="0"/>
              <w:ind w:left="540" w:hanging="540"/>
              <w:rPr>
                <w:b/>
              </w:rPr>
            </w:pPr>
            <w:r w:rsidRPr="0060706A">
              <w:rPr>
                <w:b/>
              </w:rPr>
              <w:t>5.  Commercial AM Application Fees</w:t>
            </w:r>
          </w:p>
          <w:p w:rsidR="00ED5194" w:rsidRPr="0060706A" w:rsidP="001B3814">
            <w:pPr>
              <w:autoSpaceDE w:val="0"/>
              <w:autoSpaceDN w:val="0"/>
              <w:adjustRightInd w:val="0"/>
              <w:ind w:left="540" w:hanging="540"/>
            </w:pPr>
            <w:r w:rsidRPr="0060706A">
              <w:t xml:space="preserve">  a. New Construction Permit</w:t>
            </w:r>
          </w:p>
          <w:p w:rsidR="00ED5194" w:rsidRPr="0060706A" w:rsidP="001B3814">
            <w:pPr>
              <w:autoSpaceDE w:val="0"/>
              <w:autoSpaceDN w:val="0"/>
              <w:adjustRightInd w:val="0"/>
              <w:ind w:left="540" w:hanging="540"/>
            </w:pPr>
            <w:r w:rsidRPr="0060706A">
              <w:t xml:space="preserve">       </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301 &amp; 159</w:t>
            </w:r>
          </w:p>
        </w:tc>
        <w:tc>
          <w:tcPr>
            <w:tcW w:w="1440" w:type="dxa"/>
            <w:shd w:val="clear" w:color="auto" w:fill="auto"/>
          </w:tcPr>
          <w:p w:rsidR="004414D8" w:rsidP="004414D8">
            <w:pPr>
              <w:autoSpaceDE w:val="0"/>
              <w:autoSpaceDN w:val="0"/>
              <w:adjustRightInd w:val="0"/>
              <w:jc w:val="center"/>
            </w:pPr>
          </w:p>
          <w:p w:rsidR="00ED5194" w:rsidRPr="0060706A">
            <w:pPr>
              <w:autoSpaceDE w:val="0"/>
              <w:autoSpaceDN w:val="0"/>
              <w:adjustRightInd w:val="0"/>
              <w:jc w:val="center"/>
              <w:rPr>
                <w:spacing w:val="-2"/>
              </w:rPr>
            </w:pPr>
            <w:r w:rsidRPr="0060706A">
              <w:t>$3,</w:t>
            </w:r>
            <w:r w:rsidRPr="0060706A" w:rsidR="00FE2DD7">
              <w:t>980</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MUR</w:t>
            </w:r>
          </w:p>
        </w:tc>
      </w:tr>
      <w:tr w:rsidTr="00B13758">
        <w:tblPrEx>
          <w:tblW w:w="8160" w:type="dxa"/>
          <w:tblCellMar>
            <w:left w:w="54" w:type="dxa"/>
            <w:right w:w="54" w:type="dxa"/>
          </w:tblCellMar>
          <w:tblLook w:val="0000"/>
        </w:tblPrEx>
        <w:trPr>
          <w:trHeight w:val="989"/>
        </w:trPr>
        <w:tc>
          <w:tcPr>
            <w:tcW w:w="3840" w:type="dxa"/>
            <w:shd w:val="clear" w:color="auto" w:fill="auto"/>
          </w:tcPr>
          <w:p w:rsidR="00ED5194" w:rsidRPr="0060706A" w:rsidP="001B3814">
            <w:pPr>
              <w:autoSpaceDE w:val="0"/>
              <w:autoSpaceDN w:val="0"/>
              <w:adjustRightInd w:val="0"/>
              <w:ind w:left="540" w:hanging="540"/>
            </w:pPr>
            <w:r w:rsidRPr="0060706A">
              <w:t xml:space="preserve">  b. Minor modification</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301 &amp; 159</w:t>
            </w:r>
          </w:p>
        </w:tc>
        <w:tc>
          <w:tcPr>
            <w:tcW w:w="1440" w:type="dxa"/>
            <w:shd w:val="clear" w:color="auto" w:fill="auto"/>
          </w:tcPr>
          <w:p w:rsidR="004414D8" w:rsidP="004414D8">
            <w:pPr>
              <w:autoSpaceDE w:val="0"/>
              <w:autoSpaceDN w:val="0"/>
              <w:adjustRightInd w:val="0"/>
              <w:jc w:val="center"/>
            </w:pPr>
          </w:p>
          <w:p w:rsidR="00ED5194" w:rsidRPr="0060706A">
            <w:pPr>
              <w:autoSpaceDE w:val="0"/>
              <w:autoSpaceDN w:val="0"/>
              <w:adjustRightInd w:val="0"/>
              <w:jc w:val="center"/>
            </w:pPr>
            <w:r w:rsidRPr="0060706A">
              <w:t>$1</w:t>
            </w:r>
            <w:r w:rsidRPr="0060706A" w:rsidR="00FE2DD7">
              <w:t>,625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MPR</w:t>
            </w:r>
          </w:p>
        </w:tc>
      </w:tr>
      <w:tr w:rsidTr="001B3814">
        <w:tblPrEx>
          <w:tblW w:w="8160" w:type="dxa"/>
          <w:tblCellMar>
            <w:left w:w="54" w:type="dxa"/>
            <w:right w:w="54" w:type="dxa"/>
          </w:tblCellMar>
          <w:tblLook w:val="0000"/>
        </w:tblPrEx>
        <w:trPr>
          <w:trHeight w:val="1052"/>
        </w:trPr>
        <w:tc>
          <w:tcPr>
            <w:tcW w:w="3840" w:type="dxa"/>
            <w:shd w:val="clear" w:color="auto" w:fill="auto"/>
          </w:tcPr>
          <w:p w:rsidR="00ED5194" w:rsidRPr="0060706A" w:rsidP="001B3814">
            <w:pPr>
              <w:autoSpaceDE w:val="0"/>
              <w:autoSpaceDN w:val="0"/>
              <w:adjustRightInd w:val="0"/>
              <w:ind w:left="540" w:hanging="540"/>
            </w:pPr>
            <w:r w:rsidRPr="0060706A">
              <w:t xml:space="preserve">   </w:t>
            </w:r>
          </w:p>
          <w:p w:rsidR="00ED5194" w:rsidRPr="0060706A" w:rsidP="001B3814">
            <w:pPr>
              <w:autoSpaceDE w:val="0"/>
              <w:autoSpaceDN w:val="0"/>
              <w:adjustRightInd w:val="0"/>
              <w:ind w:left="540" w:hanging="540"/>
            </w:pPr>
            <w:r w:rsidRPr="0060706A">
              <w:t xml:space="preserve">  c. New License</w:t>
            </w:r>
          </w:p>
          <w:p w:rsidR="00ED5194" w:rsidRPr="0060706A" w:rsidP="001B3814">
            <w:pPr>
              <w:autoSpaceDE w:val="0"/>
              <w:autoSpaceDN w:val="0"/>
              <w:adjustRightInd w:val="0"/>
              <w:ind w:left="540" w:hanging="540"/>
            </w:pP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 xml:space="preserve">302-AM &amp; 159  </w:t>
            </w:r>
          </w:p>
        </w:tc>
        <w:tc>
          <w:tcPr>
            <w:tcW w:w="1440" w:type="dxa"/>
            <w:shd w:val="clear" w:color="auto" w:fill="auto"/>
            <w:vAlign w:val="center"/>
          </w:tcPr>
          <w:p w:rsidR="004414D8" w:rsidP="001B3814">
            <w:pPr>
              <w:autoSpaceDE w:val="0"/>
              <w:autoSpaceDN w:val="0"/>
              <w:adjustRightInd w:val="0"/>
              <w:jc w:val="center"/>
            </w:pPr>
          </w:p>
          <w:p w:rsidR="00ED5194" w:rsidRPr="0060706A" w:rsidP="001B3814">
            <w:pPr>
              <w:autoSpaceDE w:val="0"/>
              <w:autoSpaceDN w:val="0"/>
              <w:adjustRightInd w:val="0"/>
              <w:jc w:val="center"/>
            </w:pPr>
            <w:r w:rsidRPr="0060706A">
              <w:t>$6</w:t>
            </w:r>
            <w:r w:rsidRPr="0060706A" w:rsidR="00FE2DD7">
              <w:t>45</w:t>
            </w:r>
            <w:r w:rsidRPr="0060706A">
              <w:t>.00</w:t>
            </w:r>
          </w:p>
          <w:p w:rsidR="00ED5194" w:rsidRPr="0060706A" w:rsidP="001B3814">
            <w:pPr>
              <w:autoSpaceDE w:val="0"/>
              <w:autoSpaceDN w:val="0"/>
              <w:adjustRightInd w:val="0"/>
              <w:jc w:val="center"/>
            </w:pPr>
          </w:p>
          <w:p w:rsidR="00ED5194" w:rsidRPr="0060706A" w:rsidP="001B3814">
            <w:pPr>
              <w:autoSpaceDE w:val="0"/>
              <w:autoSpaceDN w:val="0"/>
              <w:adjustRightInd w:val="0"/>
            </w:pP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MMR</w:t>
            </w:r>
          </w:p>
        </w:tc>
      </w:tr>
      <w:tr w:rsidTr="00B13758">
        <w:tblPrEx>
          <w:tblW w:w="8160" w:type="dxa"/>
          <w:tblCellMar>
            <w:left w:w="54" w:type="dxa"/>
            <w:right w:w="54" w:type="dxa"/>
          </w:tblCellMar>
          <w:tblLook w:val="0000"/>
        </w:tblPrEx>
        <w:trPr>
          <w:trHeight w:val="1052"/>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d. Directional antenna</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302-AM &amp; 159</w:t>
            </w:r>
          </w:p>
        </w:tc>
        <w:tc>
          <w:tcPr>
            <w:tcW w:w="1440" w:type="dxa"/>
            <w:shd w:val="clear" w:color="auto" w:fill="auto"/>
          </w:tcPr>
          <w:p w:rsidR="00B30ACC" w:rsidP="00B30ACC">
            <w:pPr>
              <w:autoSpaceDE w:val="0"/>
              <w:autoSpaceDN w:val="0"/>
              <w:adjustRightInd w:val="0"/>
              <w:jc w:val="center"/>
            </w:pPr>
          </w:p>
          <w:p w:rsidR="00ED5194" w:rsidRPr="0060706A">
            <w:pPr>
              <w:autoSpaceDE w:val="0"/>
              <w:autoSpaceDN w:val="0"/>
              <w:adjustRightInd w:val="0"/>
              <w:jc w:val="center"/>
            </w:pPr>
            <w:r w:rsidRPr="0060706A">
              <w:t>$1,2</w:t>
            </w:r>
            <w:r w:rsidRPr="0060706A" w:rsidR="00FE2DD7">
              <w:t>60</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MOR</w:t>
            </w:r>
          </w:p>
        </w:tc>
      </w:tr>
      <w:tr w:rsidTr="00B13758">
        <w:tblPrEx>
          <w:tblW w:w="8160" w:type="dxa"/>
          <w:tblCellMar>
            <w:left w:w="54" w:type="dxa"/>
            <w:right w:w="54" w:type="dxa"/>
          </w:tblCellMar>
          <w:tblLook w:val="0000"/>
        </w:tblPrEx>
        <w:trPr>
          <w:trHeight w:val="1250"/>
        </w:trPr>
        <w:tc>
          <w:tcPr>
            <w:tcW w:w="3840" w:type="dxa"/>
            <w:shd w:val="clear" w:color="auto" w:fill="auto"/>
          </w:tcPr>
          <w:p w:rsidR="00ED5194" w:rsidRPr="0060706A" w:rsidP="001B3814">
            <w:pPr>
              <w:autoSpaceDE w:val="0"/>
              <w:autoSpaceDN w:val="0"/>
              <w:adjustRightInd w:val="0"/>
              <w:ind w:left="540" w:hanging="540"/>
            </w:pPr>
            <w:r w:rsidRPr="0060706A">
              <w:t xml:space="preserve"> </w:t>
            </w:r>
          </w:p>
          <w:p w:rsidR="00ED5194" w:rsidRPr="0060706A" w:rsidP="001B3814">
            <w:pPr>
              <w:autoSpaceDE w:val="0"/>
              <w:autoSpaceDN w:val="0"/>
              <w:adjustRightInd w:val="0"/>
              <w:ind w:left="540" w:hanging="540"/>
            </w:pPr>
            <w:r w:rsidRPr="0060706A">
              <w:t xml:space="preserve">  e. License Renewal</w:t>
            </w:r>
          </w:p>
          <w:p w:rsidR="00ED5194" w:rsidRPr="0060706A" w:rsidP="001B3814">
            <w:pPr>
              <w:autoSpaceDE w:val="0"/>
              <w:autoSpaceDN w:val="0"/>
              <w:adjustRightInd w:val="0"/>
              <w:ind w:left="540" w:hanging="540"/>
            </w:pPr>
            <w:r w:rsidRPr="0060706A">
              <w:t xml:space="preserve">      </w:t>
            </w:r>
          </w:p>
          <w:p w:rsidR="00ED5194" w:rsidRPr="0060706A" w:rsidP="001B3814">
            <w:pPr>
              <w:autoSpaceDE w:val="0"/>
              <w:autoSpaceDN w:val="0"/>
              <w:adjustRightInd w:val="0"/>
              <w:ind w:left="540" w:hanging="540"/>
            </w:pP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303-S &amp;</w:t>
            </w:r>
          </w:p>
          <w:p w:rsidR="00ED5194" w:rsidRPr="0060706A" w:rsidP="001B3814">
            <w:pPr>
              <w:autoSpaceDE w:val="0"/>
              <w:autoSpaceDN w:val="0"/>
              <w:adjustRightInd w:val="0"/>
              <w:jc w:val="center"/>
            </w:pPr>
            <w:r w:rsidRPr="0060706A">
              <w:t>159</w:t>
            </w:r>
          </w:p>
        </w:tc>
        <w:tc>
          <w:tcPr>
            <w:tcW w:w="1440" w:type="dxa"/>
            <w:shd w:val="clear" w:color="auto" w:fill="auto"/>
          </w:tcPr>
          <w:p w:rsidR="00B30ACC" w:rsidP="00B30ACC">
            <w:pPr>
              <w:autoSpaceDE w:val="0"/>
              <w:autoSpaceDN w:val="0"/>
              <w:adjustRightInd w:val="0"/>
              <w:jc w:val="center"/>
            </w:pPr>
          </w:p>
          <w:p w:rsidR="00ED5194" w:rsidRPr="0060706A">
            <w:pPr>
              <w:autoSpaceDE w:val="0"/>
              <w:autoSpaceDN w:val="0"/>
              <w:adjustRightInd w:val="0"/>
              <w:jc w:val="center"/>
              <w:rPr>
                <w:spacing w:val="-2"/>
              </w:rPr>
            </w:pPr>
            <w:r w:rsidRPr="0060706A">
              <w:t>$</w:t>
            </w:r>
            <w:r w:rsidR="004976C1">
              <w:t>325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MGR</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96" w:firstLine="6"/>
            </w:pPr>
            <w:r w:rsidRPr="0060706A">
              <w:t xml:space="preserve">  f. License Assignment</w:t>
            </w:r>
          </w:p>
          <w:p w:rsidR="00ED5194" w:rsidRPr="0060706A" w:rsidP="001B3814">
            <w:pPr>
              <w:autoSpaceDE w:val="0"/>
              <w:autoSpaceDN w:val="0"/>
              <w:adjustRightInd w:val="0"/>
              <w:ind w:left="540" w:hanging="540"/>
            </w:pPr>
            <w:r w:rsidRPr="0060706A">
              <w:t xml:space="preserve">       (i) Long Form       </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314 &amp; 159</w:t>
            </w:r>
          </w:p>
        </w:tc>
        <w:tc>
          <w:tcPr>
            <w:tcW w:w="1440" w:type="dxa"/>
            <w:shd w:val="clear" w:color="auto" w:fill="auto"/>
          </w:tcPr>
          <w:p w:rsidR="00B30ACC" w:rsidP="00B30ACC">
            <w:pPr>
              <w:autoSpaceDE w:val="0"/>
              <w:autoSpaceDN w:val="0"/>
              <w:adjustRightInd w:val="0"/>
              <w:jc w:val="center"/>
            </w:pPr>
          </w:p>
          <w:p w:rsidR="00ED5194" w:rsidRPr="0060706A">
            <w:pPr>
              <w:autoSpaceDE w:val="0"/>
              <w:autoSpaceDN w:val="0"/>
              <w:adjustRightInd w:val="0"/>
              <w:jc w:val="center"/>
              <w:rPr>
                <w:spacing w:val="-2"/>
              </w:rPr>
            </w:pPr>
            <w:r w:rsidRPr="0060706A">
              <w:t>$</w:t>
            </w:r>
            <w:r w:rsidRPr="0060706A" w:rsidR="00FE2DD7">
              <w:t>1,005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MPR</w:t>
            </w:r>
          </w:p>
        </w:tc>
      </w:tr>
      <w:tr w:rsidTr="00B13758">
        <w:tblPrEx>
          <w:tblW w:w="8160" w:type="dxa"/>
          <w:tblCellMar>
            <w:left w:w="54" w:type="dxa"/>
            <w:right w:w="54" w:type="dxa"/>
          </w:tblCellMar>
          <w:tblLook w:val="0000"/>
        </w:tblPrEx>
        <w:trPr>
          <w:trHeight w:val="1079"/>
        </w:trPr>
        <w:tc>
          <w:tcPr>
            <w:tcW w:w="3840" w:type="dxa"/>
            <w:shd w:val="clear" w:color="auto" w:fill="auto"/>
          </w:tcPr>
          <w:p w:rsidR="00ED5194" w:rsidRPr="0060706A" w:rsidP="001B3814">
            <w:pPr>
              <w:autoSpaceDE w:val="0"/>
              <w:autoSpaceDN w:val="0"/>
              <w:adjustRightInd w:val="0"/>
              <w:ind w:left="366"/>
            </w:pPr>
            <w:r w:rsidRPr="0060706A">
              <w:t>(ii) Short Form</w:t>
            </w:r>
          </w:p>
          <w:p w:rsidR="00ED5194" w:rsidRPr="0060706A" w:rsidP="001B3814">
            <w:pPr>
              <w:autoSpaceDE w:val="0"/>
              <w:autoSpaceDN w:val="0"/>
              <w:adjustRightInd w:val="0"/>
              <w:ind w:left="540" w:hanging="540"/>
            </w:pPr>
            <w:r w:rsidRPr="0060706A">
              <w:t xml:space="preserve">       </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316 &amp; 159</w:t>
            </w:r>
          </w:p>
        </w:tc>
        <w:tc>
          <w:tcPr>
            <w:tcW w:w="1440" w:type="dxa"/>
            <w:shd w:val="clear" w:color="auto" w:fill="auto"/>
          </w:tcPr>
          <w:p w:rsidR="00B30ACC" w:rsidP="00B30ACC">
            <w:pPr>
              <w:autoSpaceDE w:val="0"/>
              <w:autoSpaceDN w:val="0"/>
              <w:adjustRightInd w:val="0"/>
              <w:jc w:val="center"/>
            </w:pPr>
          </w:p>
          <w:p w:rsidR="00ED5194" w:rsidRPr="0060706A">
            <w:pPr>
              <w:autoSpaceDE w:val="0"/>
              <w:autoSpaceDN w:val="0"/>
              <w:adjustRightInd w:val="0"/>
              <w:jc w:val="center"/>
            </w:pPr>
            <w:r w:rsidRPr="0060706A">
              <w:t>$4</w:t>
            </w:r>
            <w:r w:rsidRPr="0060706A" w:rsidR="00FE2DD7">
              <w:t>25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MDR</w:t>
            </w:r>
          </w:p>
        </w:tc>
      </w:tr>
      <w:tr w:rsidTr="00B13758">
        <w:tblPrEx>
          <w:tblW w:w="8160" w:type="dxa"/>
          <w:tblCellMar>
            <w:left w:w="54" w:type="dxa"/>
            <w:right w:w="54" w:type="dxa"/>
          </w:tblCellMar>
          <w:tblLook w:val="0000"/>
        </w:tblPrEx>
        <w:trPr>
          <w:trHeight w:val="1151"/>
        </w:trPr>
        <w:tc>
          <w:tcPr>
            <w:tcW w:w="3840" w:type="dxa"/>
            <w:shd w:val="clear" w:color="auto" w:fill="auto"/>
          </w:tcPr>
          <w:p w:rsidR="00ED5194" w:rsidRPr="0060706A" w:rsidP="001B3814">
            <w:pPr>
              <w:autoSpaceDE w:val="0"/>
              <w:autoSpaceDN w:val="0"/>
              <w:adjustRightInd w:val="0"/>
              <w:ind w:left="540" w:hanging="540"/>
            </w:pPr>
            <w:r w:rsidRPr="0060706A">
              <w:t xml:space="preserve">  g. Transfer of Control</w:t>
            </w:r>
          </w:p>
          <w:p w:rsidR="00ED5194" w:rsidRPr="0060706A" w:rsidP="001B3814">
            <w:pPr>
              <w:autoSpaceDE w:val="0"/>
              <w:autoSpaceDN w:val="0"/>
              <w:adjustRightInd w:val="0"/>
              <w:ind w:left="366" w:firstLine="6"/>
            </w:pPr>
            <w:r w:rsidRPr="0060706A">
              <w:t>(i) Long Form</w:t>
            </w:r>
          </w:p>
          <w:p w:rsidR="00ED5194" w:rsidRPr="0060706A" w:rsidP="001B3814">
            <w:pPr>
              <w:autoSpaceDE w:val="0"/>
              <w:autoSpaceDN w:val="0"/>
              <w:adjustRightInd w:val="0"/>
              <w:ind w:left="540" w:hanging="540"/>
            </w:pPr>
            <w:r w:rsidRPr="0060706A">
              <w:t xml:space="preserve">       </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315 &amp; 159</w:t>
            </w:r>
          </w:p>
        </w:tc>
        <w:tc>
          <w:tcPr>
            <w:tcW w:w="1440" w:type="dxa"/>
            <w:shd w:val="clear" w:color="auto" w:fill="auto"/>
          </w:tcPr>
          <w:p w:rsidR="00B30ACC" w:rsidP="00B30ACC">
            <w:pPr>
              <w:autoSpaceDE w:val="0"/>
              <w:autoSpaceDN w:val="0"/>
              <w:adjustRightInd w:val="0"/>
              <w:jc w:val="center"/>
            </w:pPr>
          </w:p>
          <w:p w:rsidR="00ED5194" w:rsidRPr="0060706A">
            <w:pPr>
              <w:autoSpaceDE w:val="0"/>
              <w:autoSpaceDN w:val="0"/>
              <w:adjustRightInd w:val="0"/>
              <w:jc w:val="center"/>
              <w:rPr>
                <w:spacing w:val="-2"/>
              </w:rPr>
            </w:pPr>
            <w:r w:rsidRPr="0060706A">
              <w:t>$</w:t>
            </w:r>
            <w:r w:rsidRPr="0060706A" w:rsidR="00FE2DD7">
              <w:t>1,005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MPR</w:t>
            </w:r>
          </w:p>
        </w:tc>
      </w:tr>
      <w:tr w:rsidTr="00B13758">
        <w:tblPrEx>
          <w:tblW w:w="8160" w:type="dxa"/>
          <w:tblCellMar>
            <w:left w:w="54" w:type="dxa"/>
            <w:right w:w="54" w:type="dxa"/>
          </w:tblCellMar>
          <w:tblLook w:val="0000"/>
        </w:tblPrEx>
        <w:trPr>
          <w:trHeight w:val="1079"/>
        </w:trPr>
        <w:tc>
          <w:tcPr>
            <w:tcW w:w="3840" w:type="dxa"/>
            <w:shd w:val="clear" w:color="auto" w:fill="auto"/>
          </w:tcPr>
          <w:p w:rsidR="00ED5194" w:rsidRPr="0060706A" w:rsidP="001B3814">
            <w:pPr>
              <w:autoSpaceDE w:val="0"/>
              <w:autoSpaceDN w:val="0"/>
              <w:adjustRightInd w:val="0"/>
              <w:ind w:left="366" w:firstLine="6"/>
            </w:pPr>
            <w:r w:rsidRPr="0060706A">
              <w:t>(ii) Short Form</w:t>
            </w:r>
          </w:p>
          <w:p w:rsidR="00ED5194" w:rsidRPr="0060706A" w:rsidP="001B3814">
            <w:pPr>
              <w:autoSpaceDE w:val="0"/>
              <w:autoSpaceDN w:val="0"/>
              <w:adjustRightInd w:val="0"/>
              <w:ind w:left="540" w:hanging="540"/>
            </w:pPr>
            <w:r w:rsidRPr="0060706A">
              <w:t xml:space="preserve">       </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316 &amp; 159</w:t>
            </w:r>
          </w:p>
        </w:tc>
        <w:tc>
          <w:tcPr>
            <w:tcW w:w="1440" w:type="dxa"/>
            <w:shd w:val="clear" w:color="auto" w:fill="auto"/>
          </w:tcPr>
          <w:p w:rsidR="00B30ACC" w:rsidP="00B30ACC">
            <w:pPr>
              <w:autoSpaceDE w:val="0"/>
              <w:autoSpaceDN w:val="0"/>
              <w:adjustRightInd w:val="0"/>
              <w:jc w:val="center"/>
            </w:pPr>
          </w:p>
          <w:p w:rsidR="00ED5194" w:rsidRPr="0060706A">
            <w:pPr>
              <w:autoSpaceDE w:val="0"/>
              <w:autoSpaceDN w:val="0"/>
              <w:adjustRightInd w:val="0"/>
              <w:jc w:val="center"/>
              <w:rPr>
                <w:spacing w:val="-2"/>
              </w:rPr>
            </w:pPr>
            <w:r w:rsidRPr="0060706A">
              <w:t>$4</w:t>
            </w:r>
            <w:r w:rsidRPr="0060706A" w:rsidR="00FE2DD7">
              <w:t>25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MDR</w:t>
            </w:r>
          </w:p>
        </w:tc>
      </w:tr>
      <w:tr w:rsidTr="00B13758">
        <w:tblPrEx>
          <w:tblW w:w="8160" w:type="dxa"/>
          <w:tblCellMar>
            <w:left w:w="54" w:type="dxa"/>
            <w:right w:w="54" w:type="dxa"/>
          </w:tblCellMar>
          <w:tblLook w:val="0000"/>
        </w:tblPrEx>
        <w:trPr>
          <w:trHeight w:val="1061"/>
        </w:trPr>
        <w:tc>
          <w:tcPr>
            <w:tcW w:w="3840" w:type="dxa"/>
            <w:shd w:val="clear" w:color="auto" w:fill="auto"/>
          </w:tcPr>
          <w:p w:rsidR="00ED5194" w:rsidRPr="0060706A" w:rsidP="001B3814">
            <w:pPr>
              <w:autoSpaceDE w:val="0"/>
              <w:autoSpaceDN w:val="0"/>
              <w:adjustRightInd w:val="0"/>
              <w:ind w:left="540" w:hanging="540"/>
            </w:pPr>
            <w:r w:rsidRPr="0060706A">
              <w:t xml:space="preserve">  h. Call Sign</w:t>
            </w:r>
          </w:p>
          <w:p w:rsidR="00ED5194" w:rsidRPr="0060706A" w:rsidP="001B3814">
            <w:pPr>
              <w:autoSpaceDE w:val="0"/>
              <w:autoSpaceDN w:val="0"/>
              <w:adjustRightInd w:val="0"/>
              <w:ind w:left="540" w:hanging="540"/>
            </w:pPr>
            <w:r w:rsidRPr="0060706A">
              <w:t xml:space="preserve">       </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380 &amp; 159</w:t>
            </w:r>
          </w:p>
        </w:tc>
        <w:tc>
          <w:tcPr>
            <w:tcW w:w="1440" w:type="dxa"/>
            <w:shd w:val="clear" w:color="auto" w:fill="auto"/>
          </w:tcPr>
          <w:p w:rsidR="00B30ACC" w:rsidP="00B30ACC">
            <w:pPr>
              <w:autoSpaceDE w:val="0"/>
              <w:autoSpaceDN w:val="0"/>
              <w:adjustRightInd w:val="0"/>
              <w:jc w:val="center"/>
            </w:pPr>
          </w:p>
          <w:p w:rsidR="00ED5194" w:rsidRPr="0060706A">
            <w:pPr>
              <w:autoSpaceDE w:val="0"/>
              <w:autoSpaceDN w:val="0"/>
              <w:adjustRightInd w:val="0"/>
              <w:jc w:val="center"/>
            </w:pPr>
            <w:r w:rsidRPr="0060706A">
              <w:t>$1</w:t>
            </w:r>
            <w:r w:rsidRPr="0060706A" w:rsidR="00FE2DD7">
              <w:t>70</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MBR</w:t>
            </w:r>
          </w:p>
        </w:tc>
      </w:tr>
      <w:tr w:rsidTr="00B13758">
        <w:tblPrEx>
          <w:tblW w:w="8160" w:type="dxa"/>
          <w:tblCellMar>
            <w:left w:w="54" w:type="dxa"/>
            <w:right w:w="54" w:type="dxa"/>
          </w:tblCellMar>
          <w:tblLook w:val="0000"/>
        </w:tblPrEx>
        <w:trPr>
          <w:trHeight w:val="1061"/>
        </w:trPr>
        <w:tc>
          <w:tcPr>
            <w:tcW w:w="3840" w:type="dxa"/>
            <w:shd w:val="clear" w:color="auto" w:fill="auto"/>
          </w:tcPr>
          <w:p w:rsidR="00ED5194" w:rsidRPr="0060706A" w:rsidP="00CE4C9A">
            <w:pPr>
              <w:pStyle w:val="ListParagraph"/>
              <w:numPr>
                <w:ilvl w:val="0"/>
                <w:numId w:val="22"/>
              </w:numPr>
              <w:autoSpaceDE w:val="0"/>
              <w:autoSpaceDN w:val="0"/>
              <w:adjustRightInd w:val="0"/>
            </w:pPr>
            <w:r w:rsidRPr="0060706A">
              <w:t>Special temporary authority</w:t>
            </w:r>
          </w:p>
          <w:p w:rsidR="00ED5194" w:rsidRPr="0060706A" w:rsidP="001B3814">
            <w:pPr>
              <w:pStyle w:val="ListParagraph"/>
              <w:autoSpaceDE w:val="0"/>
              <w:autoSpaceDN w:val="0"/>
              <w:adjustRightInd w:val="0"/>
              <w:ind w:left="912"/>
            </w:pP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B30ACC" w:rsidP="00B30ACC">
            <w:pPr>
              <w:autoSpaceDE w:val="0"/>
              <w:autoSpaceDN w:val="0"/>
              <w:adjustRightInd w:val="0"/>
              <w:jc w:val="center"/>
            </w:pPr>
          </w:p>
          <w:p w:rsidR="00ED5194" w:rsidRPr="0060706A">
            <w:pPr>
              <w:autoSpaceDE w:val="0"/>
              <w:autoSpaceDN w:val="0"/>
              <w:adjustRightInd w:val="0"/>
              <w:jc w:val="center"/>
            </w:pPr>
            <w:r w:rsidRPr="0060706A">
              <w:t>$2</w:t>
            </w:r>
            <w:r w:rsidRPr="0060706A" w:rsidR="00FE2DD7">
              <w:t>9</w:t>
            </w:r>
            <w:r w:rsidRPr="0060706A">
              <w:t>0.00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MGR</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540" w:hanging="540"/>
            </w:pPr>
            <w:r w:rsidRPr="0060706A">
              <w:t xml:space="preserve">  j. Ownership Report</w:t>
            </w:r>
          </w:p>
          <w:p w:rsidR="00ED5194" w:rsidRPr="0060706A" w:rsidP="001B3814">
            <w:pPr>
              <w:autoSpaceDE w:val="0"/>
              <w:autoSpaceDN w:val="0"/>
              <w:adjustRightInd w:val="0"/>
              <w:ind w:left="540" w:hanging="540"/>
            </w:pPr>
            <w:r w:rsidRPr="0060706A">
              <w:t xml:space="preserve">     </w:t>
            </w:r>
          </w:p>
        </w:tc>
        <w:tc>
          <w:tcPr>
            <w:tcW w:w="1440" w:type="dxa"/>
          </w:tcPr>
          <w:p w:rsidR="007677FD" w:rsidP="001B3814">
            <w:pPr>
              <w:autoSpaceDE w:val="0"/>
              <w:autoSpaceDN w:val="0"/>
              <w:adjustRightInd w:val="0"/>
              <w:jc w:val="center"/>
            </w:pPr>
          </w:p>
          <w:p w:rsidR="00ED5194" w:rsidRPr="0060706A" w:rsidP="001B3814">
            <w:pPr>
              <w:autoSpaceDE w:val="0"/>
              <w:autoSpaceDN w:val="0"/>
              <w:adjustRightInd w:val="0"/>
              <w:jc w:val="center"/>
            </w:pPr>
            <w:r w:rsidRPr="0060706A">
              <w:t>323 &amp; 159</w:t>
            </w:r>
          </w:p>
          <w:p w:rsidR="00ED5194" w:rsidRPr="0060706A" w:rsidP="001B3814">
            <w:pPr>
              <w:autoSpaceDE w:val="0"/>
              <w:autoSpaceDN w:val="0"/>
              <w:adjustRightInd w:val="0"/>
              <w:jc w:val="center"/>
            </w:pPr>
            <w:r w:rsidRPr="0060706A">
              <w:t>or</w:t>
            </w:r>
          </w:p>
          <w:p w:rsidR="00ED5194" w:rsidRPr="0060706A" w:rsidP="001B3814">
            <w:pPr>
              <w:autoSpaceDE w:val="0"/>
              <w:autoSpaceDN w:val="0"/>
              <w:adjustRightInd w:val="0"/>
              <w:jc w:val="center"/>
            </w:pPr>
            <w:r w:rsidRPr="0060706A">
              <w:t>Corres &amp; 159</w:t>
            </w:r>
          </w:p>
        </w:tc>
        <w:tc>
          <w:tcPr>
            <w:tcW w:w="1440" w:type="dxa"/>
            <w:shd w:val="clear" w:color="auto" w:fill="auto"/>
          </w:tcPr>
          <w:p w:rsidR="00B30ACC" w:rsidP="00B30ACC">
            <w:pPr>
              <w:autoSpaceDE w:val="0"/>
              <w:autoSpaceDN w:val="0"/>
              <w:adjustRightInd w:val="0"/>
              <w:jc w:val="center"/>
            </w:pPr>
          </w:p>
          <w:p w:rsidR="00ED5194" w:rsidRPr="0060706A">
            <w:pPr>
              <w:autoSpaceDE w:val="0"/>
              <w:autoSpaceDN w:val="0"/>
              <w:adjustRightInd w:val="0"/>
              <w:jc w:val="center"/>
            </w:pPr>
            <w:r w:rsidRPr="0060706A">
              <w:t>$8</w:t>
            </w:r>
            <w:r w:rsidRPr="0060706A" w:rsidR="00FE2DD7">
              <w:t>5</w:t>
            </w:r>
            <w:r w:rsidRPr="0060706A">
              <w:t>.00</w:t>
            </w:r>
          </w:p>
          <w:p w:rsidR="00ED5194" w:rsidRPr="0060706A">
            <w:pPr>
              <w:autoSpaceDE w:val="0"/>
              <w:autoSpaceDN w:val="0"/>
              <w:adjustRightInd w:val="0"/>
              <w:jc w:val="center"/>
            </w:pPr>
          </w:p>
          <w:p w:rsidR="00ED5194" w:rsidRPr="0060706A">
            <w:pPr>
              <w:autoSpaceDE w:val="0"/>
              <w:autoSpaceDN w:val="0"/>
              <w:adjustRightInd w:val="0"/>
              <w:jc w:val="center"/>
            </w:pP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MAR</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540" w:hanging="540"/>
              <w:rPr>
                <w:b/>
              </w:rPr>
            </w:pPr>
            <w:r w:rsidRPr="0060706A">
              <w:rPr>
                <w:b/>
              </w:rPr>
              <w:t>6.  Commercial FM Application Fees</w:t>
            </w:r>
          </w:p>
          <w:p w:rsidR="00ED5194" w:rsidRPr="0060706A" w:rsidP="001B3814">
            <w:pPr>
              <w:autoSpaceDE w:val="0"/>
              <w:autoSpaceDN w:val="0"/>
              <w:adjustRightInd w:val="0"/>
              <w:ind w:left="540" w:hanging="540"/>
            </w:pPr>
            <w:r w:rsidRPr="0060706A">
              <w:t xml:space="preserve">  a. New or Major Change</w:t>
            </w:r>
          </w:p>
          <w:p w:rsidR="00ED5194" w:rsidRPr="0060706A" w:rsidP="001B3814">
            <w:pPr>
              <w:autoSpaceDE w:val="0"/>
              <w:autoSpaceDN w:val="0"/>
              <w:adjustRightInd w:val="0"/>
              <w:ind w:left="540" w:hanging="540"/>
            </w:pPr>
            <w:r w:rsidRPr="0060706A">
              <w:t xml:space="preserve">       Construction Permit</w:t>
            </w:r>
          </w:p>
          <w:p w:rsidR="00ED5194" w:rsidRPr="0060706A" w:rsidP="001B3814">
            <w:pPr>
              <w:autoSpaceDE w:val="0"/>
              <w:autoSpaceDN w:val="0"/>
              <w:adjustRightInd w:val="0"/>
              <w:ind w:left="540" w:hanging="540"/>
              <w:rPr>
                <w:b/>
              </w:rPr>
            </w:pPr>
            <w:r w:rsidRPr="0060706A">
              <w:t xml:space="preserve">       </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301 &amp; 159</w:t>
            </w:r>
          </w:p>
        </w:tc>
        <w:tc>
          <w:tcPr>
            <w:tcW w:w="1440" w:type="dxa"/>
            <w:shd w:val="clear" w:color="auto" w:fill="auto"/>
          </w:tcPr>
          <w:p w:rsidR="007677FD" w:rsidP="007677FD">
            <w:pPr>
              <w:autoSpaceDE w:val="0"/>
              <w:autoSpaceDN w:val="0"/>
              <w:adjustRightInd w:val="0"/>
              <w:jc w:val="center"/>
            </w:pPr>
          </w:p>
          <w:p w:rsidR="00ED5194" w:rsidRPr="0060706A">
            <w:pPr>
              <w:autoSpaceDE w:val="0"/>
              <w:autoSpaceDN w:val="0"/>
              <w:adjustRightInd w:val="0"/>
              <w:jc w:val="center"/>
              <w:rPr>
                <w:spacing w:val="-2"/>
              </w:rPr>
            </w:pPr>
            <w:r w:rsidRPr="0060706A">
              <w:t>$3,</w:t>
            </w:r>
            <w:r w:rsidRPr="0060706A" w:rsidR="00FE2DD7">
              <w:t>295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MTR</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540" w:hanging="540"/>
              <w:rPr>
                <w:b/>
              </w:rPr>
            </w:pPr>
          </w:p>
          <w:p w:rsidR="00ED5194" w:rsidRPr="0060706A" w:rsidP="001B3814">
            <w:pPr>
              <w:autoSpaceDE w:val="0"/>
              <w:autoSpaceDN w:val="0"/>
              <w:adjustRightInd w:val="0"/>
              <w:ind w:left="540" w:hanging="540"/>
            </w:pPr>
            <w:r w:rsidRPr="0060706A">
              <w:t xml:space="preserve">  b. Minor modification</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301 &amp; 159</w:t>
            </w:r>
          </w:p>
        </w:tc>
        <w:tc>
          <w:tcPr>
            <w:tcW w:w="1440" w:type="dxa"/>
            <w:shd w:val="clear" w:color="auto" w:fill="auto"/>
          </w:tcPr>
          <w:p w:rsidR="007677FD" w:rsidP="007677FD">
            <w:pPr>
              <w:autoSpaceDE w:val="0"/>
              <w:autoSpaceDN w:val="0"/>
              <w:adjustRightInd w:val="0"/>
              <w:jc w:val="center"/>
            </w:pPr>
          </w:p>
          <w:p w:rsidR="00ED5194" w:rsidRPr="0060706A">
            <w:pPr>
              <w:autoSpaceDE w:val="0"/>
              <w:autoSpaceDN w:val="0"/>
              <w:adjustRightInd w:val="0"/>
              <w:jc w:val="center"/>
            </w:pPr>
            <w:r w:rsidRPr="0060706A">
              <w:t>$1,2</w:t>
            </w:r>
            <w:r w:rsidRPr="0060706A" w:rsidR="00FE2DD7">
              <w:t>6</w:t>
            </w:r>
            <w:r w:rsidRPr="0060706A">
              <w:t>5.00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MPR</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540" w:hanging="540"/>
            </w:pPr>
            <w:r w:rsidRPr="0060706A">
              <w:t xml:space="preserve">  c. New License       </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302-FM &amp; 159</w:t>
            </w:r>
          </w:p>
        </w:tc>
        <w:tc>
          <w:tcPr>
            <w:tcW w:w="1440" w:type="dxa"/>
            <w:shd w:val="clear" w:color="auto" w:fill="auto"/>
          </w:tcPr>
          <w:p w:rsidR="007677FD" w:rsidP="007677FD">
            <w:pPr>
              <w:autoSpaceDE w:val="0"/>
              <w:autoSpaceDN w:val="0"/>
              <w:adjustRightInd w:val="0"/>
              <w:jc w:val="center"/>
            </w:pPr>
          </w:p>
          <w:p w:rsidR="00ED5194" w:rsidRPr="0060706A">
            <w:pPr>
              <w:autoSpaceDE w:val="0"/>
              <w:autoSpaceDN w:val="0"/>
              <w:adjustRightInd w:val="0"/>
              <w:jc w:val="center"/>
            </w:pPr>
            <w:r w:rsidRPr="0060706A">
              <w:t>$23</w:t>
            </w:r>
            <w:r w:rsidRPr="0060706A" w:rsidR="00FE2DD7">
              <w:t>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MHR</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d. Directional antenna</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302-FM &amp; 159</w:t>
            </w:r>
          </w:p>
        </w:tc>
        <w:tc>
          <w:tcPr>
            <w:tcW w:w="1440" w:type="dxa"/>
            <w:shd w:val="clear" w:color="auto" w:fill="auto"/>
          </w:tcPr>
          <w:p w:rsidR="007677FD" w:rsidP="007677FD">
            <w:pPr>
              <w:autoSpaceDE w:val="0"/>
              <w:autoSpaceDN w:val="0"/>
              <w:adjustRightInd w:val="0"/>
              <w:jc w:val="center"/>
            </w:pPr>
          </w:p>
          <w:p w:rsidR="00ED5194" w:rsidRPr="0060706A">
            <w:pPr>
              <w:autoSpaceDE w:val="0"/>
              <w:autoSpaceDN w:val="0"/>
              <w:adjustRightInd w:val="0"/>
              <w:jc w:val="center"/>
            </w:pPr>
            <w:r w:rsidRPr="0060706A">
              <w:t>$6</w:t>
            </w:r>
            <w:r w:rsidRPr="0060706A" w:rsidR="00FE2DD7">
              <w:t>3</w:t>
            </w:r>
            <w:r w:rsidRPr="0060706A">
              <w:t>0.00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MLR</w:t>
            </w:r>
          </w:p>
        </w:tc>
      </w:tr>
      <w:tr w:rsidTr="00B13758">
        <w:tblPrEx>
          <w:tblW w:w="8160" w:type="dxa"/>
          <w:tblCellMar>
            <w:left w:w="54" w:type="dxa"/>
            <w:right w:w="54" w:type="dxa"/>
          </w:tblCellMar>
          <w:tblLook w:val="0000"/>
        </w:tblPrEx>
        <w:trPr>
          <w:trHeight w:val="980"/>
        </w:trPr>
        <w:tc>
          <w:tcPr>
            <w:tcW w:w="3840" w:type="dxa"/>
            <w:shd w:val="clear" w:color="auto" w:fill="auto"/>
          </w:tcPr>
          <w:p w:rsidR="00ED5194" w:rsidRPr="0060706A" w:rsidP="001B3814">
            <w:pPr>
              <w:autoSpaceDE w:val="0"/>
              <w:autoSpaceDN w:val="0"/>
              <w:adjustRightInd w:val="0"/>
              <w:ind w:left="540" w:hanging="540"/>
            </w:pPr>
            <w:r w:rsidRPr="0060706A">
              <w:t xml:space="preserve">  e.  License Renewal         </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303-S &amp; 159</w:t>
            </w:r>
          </w:p>
        </w:tc>
        <w:tc>
          <w:tcPr>
            <w:tcW w:w="1440" w:type="dxa"/>
            <w:shd w:val="clear" w:color="auto" w:fill="auto"/>
          </w:tcPr>
          <w:p w:rsidR="007677FD" w:rsidP="007677FD">
            <w:pPr>
              <w:autoSpaceDE w:val="0"/>
              <w:autoSpaceDN w:val="0"/>
              <w:adjustRightInd w:val="0"/>
              <w:jc w:val="center"/>
            </w:pPr>
          </w:p>
          <w:p w:rsidR="00ED5194" w:rsidRPr="0060706A">
            <w:pPr>
              <w:autoSpaceDE w:val="0"/>
              <w:autoSpaceDN w:val="0"/>
              <w:adjustRightInd w:val="0"/>
              <w:jc w:val="center"/>
            </w:pPr>
            <w:r w:rsidRPr="0060706A">
              <w:t>$</w:t>
            </w:r>
            <w:r w:rsidR="004976C1">
              <w:t>325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MGR</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540" w:hanging="540"/>
            </w:pPr>
            <w:r w:rsidRPr="0060706A">
              <w:t xml:space="preserve">  f. License Assignment</w:t>
            </w:r>
          </w:p>
          <w:p w:rsidR="00ED5194" w:rsidRPr="0060706A" w:rsidP="001B3814">
            <w:pPr>
              <w:autoSpaceDE w:val="0"/>
              <w:autoSpaceDN w:val="0"/>
              <w:adjustRightInd w:val="0"/>
              <w:ind w:left="540" w:hanging="540"/>
            </w:pPr>
            <w:r w:rsidRPr="0060706A">
              <w:t xml:space="preserve">        (i) long form</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314 &amp; 159</w:t>
            </w:r>
          </w:p>
        </w:tc>
        <w:tc>
          <w:tcPr>
            <w:tcW w:w="1440" w:type="dxa"/>
            <w:shd w:val="clear" w:color="auto" w:fill="auto"/>
          </w:tcPr>
          <w:p w:rsidR="007677FD" w:rsidP="007677FD">
            <w:pPr>
              <w:autoSpaceDE w:val="0"/>
              <w:autoSpaceDN w:val="0"/>
              <w:adjustRightInd w:val="0"/>
              <w:jc w:val="center"/>
            </w:pPr>
          </w:p>
          <w:p w:rsidR="00ED5194" w:rsidRPr="0060706A">
            <w:pPr>
              <w:autoSpaceDE w:val="0"/>
              <w:autoSpaceDN w:val="0"/>
              <w:adjustRightInd w:val="0"/>
              <w:jc w:val="center"/>
            </w:pPr>
            <w:r w:rsidRPr="0060706A">
              <w:t>$</w:t>
            </w:r>
            <w:r w:rsidRPr="0060706A" w:rsidR="00FE2DD7">
              <w:t>1,005</w:t>
            </w:r>
            <w:r w:rsidRPr="0060706A">
              <w:t>.00</w:t>
            </w:r>
          </w:p>
          <w:p w:rsidR="00ED5194" w:rsidRPr="0060706A">
            <w:pPr>
              <w:autoSpaceDE w:val="0"/>
              <w:autoSpaceDN w:val="0"/>
              <w:adjustRightInd w:val="0"/>
              <w:jc w:val="center"/>
            </w:pP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MPR</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(ii) </w:t>
            </w:r>
            <w:r w:rsidRPr="0060706A">
              <w:t>short form</w:t>
            </w:r>
          </w:p>
        </w:tc>
        <w:tc>
          <w:tcPr>
            <w:tcW w:w="1440" w:type="dxa"/>
          </w:tcPr>
          <w:p w:rsidR="00ED5194" w:rsidRPr="0060706A" w:rsidP="00B13758">
            <w:pPr>
              <w:autoSpaceDE w:val="0"/>
              <w:autoSpaceDN w:val="0"/>
              <w:adjustRightInd w:val="0"/>
            </w:pPr>
          </w:p>
          <w:p w:rsidR="00ED5194" w:rsidRPr="0060706A" w:rsidP="001B3814">
            <w:pPr>
              <w:autoSpaceDE w:val="0"/>
              <w:autoSpaceDN w:val="0"/>
              <w:adjustRightInd w:val="0"/>
              <w:jc w:val="center"/>
            </w:pPr>
            <w:r w:rsidRPr="0060706A">
              <w:t>316 &amp; 159</w:t>
            </w:r>
          </w:p>
        </w:tc>
        <w:tc>
          <w:tcPr>
            <w:tcW w:w="1440" w:type="dxa"/>
            <w:shd w:val="clear" w:color="auto" w:fill="auto"/>
          </w:tcPr>
          <w:p w:rsidR="007677FD" w:rsidP="007677FD">
            <w:pPr>
              <w:autoSpaceDE w:val="0"/>
              <w:autoSpaceDN w:val="0"/>
              <w:adjustRightInd w:val="0"/>
              <w:jc w:val="center"/>
            </w:pPr>
          </w:p>
          <w:p w:rsidR="00ED5194" w:rsidRPr="0060706A">
            <w:pPr>
              <w:autoSpaceDE w:val="0"/>
              <w:autoSpaceDN w:val="0"/>
              <w:adjustRightInd w:val="0"/>
              <w:jc w:val="center"/>
            </w:pPr>
            <w:r w:rsidRPr="0060706A">
              <w:t>$4</w:t>
            </w:r>
            <w:r w:rsidRPr="0060706A" w:rsidR="00FE2DD7">
              <w:t>25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MDR</w:t>
            </w:r>
          </w:p>
        </w:tc>
      </w:tr>
      <w:tr w:rsidTr="00B13758">
        <w:tblPrEx>
          <w:tblW w:w="8160" w:type="dxa"/>
          <w:tblCellMar>
            <w:left w:w="54" w:type="dxa"/>
            <w:right w:w="54" w:type="dxa"/>
          </w:tblCellMar>
          <w:tblLook w:val="0000"/>
        </w:tblPrEx>
        <w:trPr>
          <w:trHeight w:val="980"/>
        </w:trPr>
        <w:tc>
          <w:tcPr>
            <w:tcW w:w="3840" w:type="dxa"/>
            <w:shd w:val="clear" w:color="auto" w:fill="auto"/>
          </w:tcPr>
          <w:p w:rsidR="00ED5194" w:rsidRPr="0060706A" w:rsidP="001B3814">
            <w:pPr>
              <w:autoSpaceDE w:val="0"/>
              <w:autoSpaceDN w:val="0"/>
              <w:adjustRightInd w:val="0"/>
              <w:ind w:left="540" w:hanging="540"/>
            </w:pPr>
            <w:r w:rsidRPr="0060706A">
              <w:t xml:space="preserve">  g. Transfer of Control</w:t>
            </w:r>
          </w:p>
          <w:p w:rsidR="00ED5194" w:rsidRPr="0060706A" w:rsidP="001B3814">
            <w:pPr>
              <w:autoSpaceDE w:val="0"/>
              <w:autoSpaceDN w:val="0"/>
              <w:adjustRightInd w:val="0"/>
              <w:ind w:left="540" w:hanging="540"/>
            </w:pPr>
            <w:r w:rsidRPr="0060706A">
              <w:t xml:space="preserve">  (i) long form</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315 &amp; 159</w:t>
            </w:r>
          </w:p>
        </w:tc>
        <w:tc>
          <w:tcPr>
            <w:tcW w:w="1440" w:type="dxa"/>
            <w:shd w:val="clear" w:color="auto" w:fill="auto"/>
          </w:tcPr>
          <w:p w:rsidR="007677FD" w:rsidP="007677FD">
            <w:pPr>
              <w:autoSpaceDE w:val="0"/>
              <w:autoSpaceDN w:val="0"/>
              <w:adjustRightInd w:val="0"/>
              <w:jc w:val="center"/>
            </w:pPr>
          </w:p>
          <w:p w:rsidR="00ED5194" w:rsidRPr="0060706A">
            <w:pPr>
              <w:autoSpaceDE w:val="0"/>
              <w:autoSpaceDN w:val="0"/>
              <w:adjustRightInd w:val="0"/>
              <w:jc w:val="center"/>
            </w:pPr>
            <w:r w:rsidRPr="0060706A">
              <w:t>$</w:t>
            </w:r>
            <w:r w:rsidRPr="0060706A" w:rsidR="00FE2DD7">
              <w:t>1,005</w:t>
            </w:r>
            <w:r w:rsidRPr="0060706A">
              <w:t>.00</w:t>
            </w:r>
          </w:p>
          <w:p w:rsidR="00ED5194" w:rsidRPr="0060706A">
            <w:pPr>
              <w:autoSpaceDE w:val="0"/>
              <w:autoSpaceDN w:val="0"/>
              <w:adjustRightInd w:val="0"/>
              <w:jc w:val="center"/>
            </w:pP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MPR</w:t>
            </w:r>
          </w:p>
        </w:tc>
      </w:tr>
      <w:tr w:rsidTr="00B13758">
        <w:tblPrEx>
          <w:tblW w:w="8160" w:type="dxa"/>
          <w:tblCellMar>
            <w:left w:w="54" w:type="dxa"/>
            <w:right w:w="54" w:type="dxa"/>
          </w:tblCellMar>
          <w:tblLook w:val="0000"/>
        </w:tblPrEx>
        <w:trPr>
          <w:trHeight w:val="1412"/>
        </w:trPr>
        <w:tc>
          <w:tcPr>
            <w:tcW w:w="3840" w:type="dxa"/>
            <w:shd w:val="clear" w:color="auto" w:fill="auto"/>
          </w:tcPr>
          <w:p w:rsidR="00ED5194" w:rsidRPr="0060706A" w:rsidP="001B3814">
            <w:pPr>
              <w:autoSpaceDE w:val="0"/>
              <w:autoSpaceDN w:val="0"/>
              <w:adjustRightInd w:val="0"/>
              <w:ind w:left="540" w:hanging="540"/>
              <w:rPr>
                <w:b/>
              </w:rPr>
            </w:pPr>
          </w:p>
          <w:p w:rsidR="00ED5194" w:rsidRPr="0060706A" w:rsidP="001B3814">
            <w:pPr>
              <w:autoSpaceDE w:val="0"/>
              <w:autoSpaceDN w:val="0"/>
              <w:adjustRightInd w:val="0"/>
              <w:ind w:left="540" w:hanging="540"/>
            </w:pPr>
            <w:r w:rsidRPr="0060706A">
              <w:t xml:space="preserve">  (ii) short form</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316 &amp; 159</w:t>
            </w:r>
          </w:p>
        </w:tc>
        <w:tc>
          <w:tcPr>
            <w:tcW w:w="1440" w:type="dxa"/>
            <w:shd w:val="clear" w:color="auto" w:fill="auto"/>
          </w:tcPr>
          <w:p w:rsidR="007677FD" w:rsidP="007677FD">
            <w:pPr>
              <w:autoSpaceDE w:val="0"/>
              <w:autoSpaceDN w:val="0"/>
              <w:adjustRightInd w:val="0"/>
              <w:jc w:val="center"/>
            </w:pPr>
          </w:p>
          <w:p w:rsidR="00ED5194" w:rsidRPr="0060706A">
            <w:pPr>
              <w:autoSpaceDE w:val="0"/>
              <w:autoSpaceDN w:val="0"/>
              <w:adjustRightInd w:val="0"/>
              <w:jc w:val="center"/>
              <w:rPr>
                <w:spacing w:val="-2"/>
              </w:rPr>
            </w:pPr>
            <w:r w:rsidRPr="0060706A">
              <w:t>$4</w:t>
            </w:r>
            <w:r w:rsidRPr="0060706A" w:rsidR="00FE2DD7">
              <w:t>25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MDR</w:t>
            </w:r>
          </w:p>
        </w:tc>
      </w:tr>
      <w:tr w:rsidTr="00B13758">
        <w:tblPrEx>
          <w:tblW w:w="8160" w:type="dxa"/>
          <w:tblCellMar>
            <w:left w:w="54" w:type="dxa"/>
            <w:right w:w="54" w:type="dxa"/>
          </w:tblCellMar>
          <w:tblLook w:val="0000"/>
        </w:tblPrEx>
        <w:trPr>
          <w:trHeight w:val="980"/>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h. Call sign</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380 &amp; 159</w:t>
            </w:r>
          </w:p>
        </w:tc>
        <w:tc>
          <w:tcPr>
            <w:tcW w:w="1440" w:type="dxa"/>
            <w:shd w:val="clear" w:color="auto" w:fill="auto"/>
          </w:tcPr>
          <w:p w:rsidR="007677FD" w:rsidP="007677FD">
            <w:pPr>
              <w:autoSpaceDE w:val="0"/>
              <w:autoSpaceDN w:val="0"/>
              <w:adjustRightInd w:val="0"/>
              <w:jc w:val="center"/>
            </w:pPr>
          </w:p>
          <w:p w:rsidR="00ED5194" w:rsidRPr="0060706A">
            <w:pPr>
              <w:autoSpaceDE w:val="0"/>
              <w:autoSpaceDN w:val="0"/>
              <w:adjustRightInd w:val="0"/>
              <w:jc w:val="center"/>
            </w:pPr>
            <w:r w:rsidRPr="0060706A">
              <w:t>$1</w:t>
            </w:r>
            <w:r w:rsidRPr="0060706A" w:rsidR="00FE2DD7">
              <w:t>70</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MBR</w:t>
            </w:r>
          </w:p>
        </w:tc>
      </w:tr>
      <w:tr w:rsidTr="00B13758">
        <w:tblPrEx>
          <w:tblW w:w="8160" w:type="dxa"/>
          <w:tblCellMar>
            <w:left w:w="54" w:type="dxa"/>
            <w:right w:w="54" w:type="dxa"/>
          </w:tblCellMar>
          <w:tblLook w:val="0000"/>
        </w:tblPrEx>
        <w:trPr>
          <w:trHeight w:val="980"/>
        </w:trPr>
        <w:tc>
          <w:tcPr>
            <w:tcW w:w="3840" w:type="dxa"/>
            <w:shd w:val="clear" w:color="auto" w:fill="auto"/>
          </w:tcPr>
          <w:p w:rsidR="00ED5194" w:rsidRPr="0060706A" w:rsidP="001B3814">
            <w:pPr>
              <w:autoSpaceDE w:val="0"/>
              <w:autoSpaceDN w:val="0"/>
              <w:adjustRightInd w:val="0"/>
              <w:ind w:left="540" w:hanging="540"/>
            </w:pPr>
          </w:p>
          <w:p w:rsidR="00ED5194" w:rsidRPr="0060706A" w:rsidP="00CE4C9A">
            <w:pPr>
              <w:pStyle w:val="ListParagraph"/>
              <w:numPr>
                <w:ilvl w:val="0"/>
                <w:numId w:val="19"/>
              </w:numPr>
              <w:autoSpaceDE w:val="0"/>
              <w:autoSpaceDN w:val="0"/>
              <w:adjustRightInd w:val="0"/>
            </w:pPr>
            <w:r w:rsidRPr="0060706A">
              <w:t>Special temporary authority</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7677FD" w:rsidP="007677FD">
            <w:pPr>
              <w:autoSpaceDE w:val="0"/>
              <w:autoSpaceDN w:val="0"/>
              <w:adjustRightInd w:val="0"/>
              <w:jc w:val="center"/>
            </w:pPr>
          </w:p>
          <w:p w:rsidR="00ED5194" w:rsidRPr="0060706A">
            <w:pPr>
              <w:autoSpaceDE w:val="0"/>
              <w:autoSpaceDN w:val="0"/>
              <w:adjustRightInd w:val="0"/>
              <w:jc w:val="center"/>
            </w:pPr>
            <w:r w:rsidRPr="0060706A">
              <w:t>$2</w:t>
            </w:r>
            <w:r w:rsidRPr="0060706A" w:rsidR="00FE2DD7">
              <w:t>10</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MGR</w:t>
            </w:r>
          </w:p>
        </w:tc>
      </w:tr>
      <w:tr w:rsidTr="00B13758">
        <w:tblPrEx>
          <w:tblW w:w="8160" w:type="dxa"/>
          <w:tblCellMar>
            <w:left w:w="54" w:type="dxa"/>
            <w:right w:w="54" w:type="dxa"/>
          </w:tblCellMar>
          <w:tblLook w:val="0000"/>
        </w:tblPrEx>
        <w:trPr>
          <w:trHeight w:val="971"/>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j. Petition for rulemaking</w:t>
            </w:r>
          </w:p>
        </w:tc>
        <w:tc>
          <w:tcPr>
            <w:tcW w:w="1440" w:type="dxa"/>
          </w:tcPr>
          <w:p w:rsidR="00ED5194" w:rsidRPr="0060706A">
            <w:pPr>
              <w:autoSpaceDE w:val="0"/>
              <w:autoSpaceDN w:val="0"/>
              <w:adjustRightInd w:val="0"/>
              <w:jc w:val="center"/>
            </w:pPr>
            <w:r w:rsidRPr="0060706A">
              <w:t>301 &amp; 159</w:t>
            </w:r>
          </w:p>
          <w:p w:rsidR="00ED5194" w:rsidRPr="0060706A">
            <w:pPr>
              <w:autoSpaceDE w:val="0"/>
              <w:autoSpaceDN w:val="0"/>
              <w:adjustRightInd w:val="0"/>
              <w:jc w:val="center"/>
            </w:pPr>
            <w:r w:rsidRPr="0060706A">
              <w:t>or</w:t>
            </w:r>
          </w:p>
          <w:p w:rsidR="00ED5194" w:rsidRPr="0060706A">
            <w:pPr>
              <w:autoSpaceDE w:val="0"/>
              <w:autoSpaceDN w:val="0"/>
              <w:adjustRightInd w:val="0"/>
              <w:jc w:val="center"/>
            </w:pPr>
            <w:r w:rsidRPr="0060706A">
              <w:t>302-FM &amp; 159</w:t>
            </w:r>
          </w:p>
          <w:p w:rsidR="00ED5194" w:rsidRPr="0060706A">
            <w:pPr>
              <w:jc w:val="center"/>
            </w:pPr>
          </w:p>
        </w:tc>
        <w:tc>
          <w:tcPr>
            <w:tcW w:w="1440" w:type="dxa"/>
            <w:shd w:val="clear" w:color="auto" w:fill="auto"/>
          </w:tcPr>
          <w:p w:rsidR="00F05DE3" w:rsidP="00F05DE3">
            <w:pPr>
              <w:autoSpaceDE w:val="0"/>
              <w:autoSpaceDN w:val="0"/>
              <w:adjustRightInd w:val="0"/>
              <w:jc w:val="center"/>
            </w:pPr>
          </w:p>
          <w:p w:rsidR="00ED5194" w:rsidRPr="0060706A">
            <w:pPr>
              <w:autoSpaceDE w:val="0"/>
              <w:autoSpaceDN w:val="0"/>
              <w:adjustRightInd w:val="0"/>
              <w:jc w:val="center"/>
              <w:rPr>
                <w:spacing w:val="-2"/>
              </w:rPr>
            </w:pPr>
            <w:r w:rsidRPr="0060706A">
              <w:t>$3,</w:t>
            </w:r>
            <w:r w:rsidRPr="0060706A" w:rsidR="00FE2DD7">
              <w:t>180</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MRR</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k. Ownership report</w:t>
            </w:r>
          </w:p>
        </w:tc>
        <w:tc>
          <w:tcPr>
            <w:tcW w:w="1440" w:type="dxa"/>
          </w:tcPr>
          <w:p w:rsidR="00F05DE3" w:rsidP="00F05DE3">
            <w:pPr>
              <w:autoSpaceDE w:val="0"/>
              <w:autoSpaceDN w:val="0"/>
              <w:adjustRightInd w:val="0"/>
              <w:jc w:val="center"/>
            </w:pPr>
          </w:p>
          <w:p w:rsidR="00ED5194" w:rsidRPr="0060706A">
            <w:pPr>
              <w:autoSpaceDE w:val="0"/>
              <w:autoSpaceDN w:val="0"/>
              <w:adjustRightInd w:val="0"/>
              <w:jc w:val="center"/>
            </w:pPr>
            <w:r w:rsidRPr="0060706A">
              <w:t>323 &amp; 159</w:t>
            </w:r>
          </w:p>
          <w:p w:rsidR="00ED5194" w:rsidRPr="0060706A">
            <w:pPr>
              <w:autoSpaceDE w:val="0"/>
              <w:autoSpaceDN w:val="0"/>
              <w:adjustRightInd w:val="0"/>
              <w:jc w:val="center"/>
            </w:pPr>
            <w:r w:rsidRPr="0060706A">
              <w:t>or</w:t>
            </w:r>
          </w:p>
          <w:p w:rsidR="00ED5194" w:rsidRPr="0060706A">
            <w:pPr>
              <w:autoSpaceDE w:val="0"/>
              <w:autoSpaceDN w:val="0"/>
              <w:adjustRightInd w:val="0"/>
              <w:jc w:val="center"/>
            </w:pPr>
            <w:r w:rsidRPr="0060706A">
              <w:t>Corres &amp; 159</w:t>
            </w:r>
          </w:p>
        </w:tc>
        <w:tc>
          <w:tcPr>
            <w:tcW w:w="1440" w:type="dxa"/>
            <w:shd w:val="clear" w:color="auto" w:fill="auto"/>
          </w:tcPr>
          <w:p w:rsidR="00F05DE3" w:rsidP="00F05DE3">
            <w:pPr>
              <w:autoSpaceDE w:val="0"/>
              <w:autoSpaceDN w:val="0"/>
              <w:adjustRightInd w:val="0"/>
              <w:jc w:val="center"/>
            </w:pPr>
          </w:p>
          <w:p w:rsidR="00ED5194" w:rsidRPr="0060706A">
            <w:pPr>
              <w:autoSpaceDE w:val="0"/>
              <w:autoSpaceDN w:val="0"/>
              <w:adjustRightInd w:val="0"/>
              <w:jc w:val="center"/>
            </w:pPr>
            <w:r w:rsidRPr="0060706A">
              <w:t>$8</w:t>
            </w:r>
            <w:r w:rsidRPr="0060706A" w:rsidR="00FE2DD7">
              <w:t>5</w:t>
            </w:r>
            <w:r w:rsidRPr="0060706A">
              <w:t>.00</w:t>
            </w:r>
          </w:p>
          <w:p w:rsidR="00ED5194" w:rsidRPr="0060706A">
            <w:pPr>
              <w:autoSpaceDE w:val="0"/>
              <w:autoSpaceDN w:val="0"/>
              <w:adjustRightInd w:val="0"/>
              <w:jc w:val="center"/>
            </w:pP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MAR</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540" w:hanging="540"/>
              <w:rPr>
                <w:b/>
              </w:rPr>
            </w:pPr>
            <w:r w:rsidRPr="0060706A">
              <w:rPr>
                <w:b/>
              </w:rPr>
              <w:t>7.  FM Translators and Boosters</w:t>
            </w:r>
          </w:p>
          <w:p w:rsidR="00ED5194" w:rsidRPr="0060706A" w:rsidP="001B3814">
            <w:pPr>
              <w:autoSpaceDE w:val="0"/>
              <w:autoSpaceDN w:val="0"/>
              <w:adjustRightInd w:val="0"/>
              <w:ind w:left="540" w:hanging="540"/>
            </w:pPr>
            <w:r w:rsidRPr="0060706A">
              <w:t xml:space="preserve">  a. Translator, new construction permit</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349 &amp; 159</w:t>
            </w:r>
          </w:p>
          <w:p w:rsidR="00ED5194" w:rsidRPr="0060706A" w:rsidP="00B13758">
            <w:pPr>
              <w:jc w:val="center"/>
            </w:pPr>
          </w:p>
          <w:p w:rsidR="00ED5194" w:rsidRPr="0060706A">
            <w:pPr>
              <w:jc w:val="center"/>
            </w:pPr>
          </w:p>
        </w:tc>
        <w:tc>
          <w:tcPr>
            <w:tcW w:w="1440" w:type="dxa"/>
            <w:shd w:val="clear" w:color="auto" w:fill="auto"/>
          </w:tcPr>
          <w:p w:rsidR="00F05DE3" w:rsidP="00F05DE3">
            <w:pPr>
              <w:autoSpaceDE w:val="0"/>
              <w:autoSpaceDN w:val="0"/>
              <w:adjustRightInd w:val="0"/>
              <w:jc w:val="center"/>
            </w:pPr>
          </w:p>
          <w:p w:rsidR="00ED5194" w:rsidRPr="0060706A">
            <w:pPr>
              <w:autoSpaceDE w:val="0"/>
              <w:autoSpaceDN w:val="0"/>
              <w:adjustRightInd w:val="0"/>
              <w:jc w:val="center"/>
            </w:pPr>
            <w:r w:rsidRPr="0060706A">
              <w:t>$</w:t>
            </w:r>
            <w:r w:rsidRPr="0060706A" w:rsidR="00FE2DD7">
              <w:t>705</w:t>
            </w:r>
            <w:r w:rsidRPr="0060706A">
              <w:t>.00</w:t>
            </w:r>
          </w:p>
          <w:p w:rsidR="00ED5194" w:rsidRPr="0060706A">
            <w:pPr>
              <w:autoSpaceDE w:val="0"/>
              <w:autoSpaceDN w:val="0"/>
              <w:adjustRightInd w:val="0"/>
              <w:jc w:val="center"/>
            </w:pP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MOF</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b. Translator, minor modification</w:t>
            </w:r>
          </w:p>
        </w:tc>
        <w:tc>
          <w:tcPr>
            <w:tcW w:w="1440" w:type="dxa"/>
          </w:tcPr>
          <w:p w:rsidR="00ED5194" w:rsidRPr="0060706A">
            <w:pPr>
              <w:autoSpaceDE w:val="0"/>
              <w:autoSpaceDN w:val="0"/>
              <w:adjustRightInd w:val="0"/>
              <w:jc w:val="center"/>
            </w:pPr>
          </w:p>
        </w:tc>
        <w:tc>
          <w:tcPr>
            <w:tcW w:w="1440" w:type="dxa"/>
            <w:shd w:val="clear" w:color="auto" w:fill="auto"/>
          </w:tcPr>
          <w:p w:rsidR="00F05DE3" w:rsidP="00F05DE3">
            <w:pPr>
              <w:autoSpaceDE w:val="0"/>
              <w:autoSpaceDN w:val="0"/>
              <w:adjustRightInd w:val="0"/>
              <w:jc w:val="center"/>
            </w:pPr>
          </w:p>
          <w:p w:rsidR="00ED5194" w:rsidRPr="0060706A">
            <w:pPr>
              <w:autoSpaceDE w:val="0"/>
              <w:autoSpaceDN w:val="0"/>
              <w:adjustRightInd w:val="0"/>
              <w:jc w:val="center"/>
            </w:pPr>
            <w:r w:rsidRPr="0060706A">
              <w:t>$2</w:t>
            </w:r>
            <w:r w:rsidRPr="0060706A" w:rsidR="00AB5EAB">
              <w:t>10</w:t>
            </w:r>
            <w:r w:rsidRPr="0060706A">
              <w:t>.00</w:t>
            </w:r>
          </w:p>
        </w:tc>
        <w:tc>
          <w:tcPr>
            <w:tcW w:w="1440" w:type="dxa"/>
          </w:tcPr>
          <w:p w:rsidR="00ED5194" w:rsidRPr="0060706A">
            <w:pPr>
              <w:autoSpaceDE w:val="0"/>
              <w:autoSpaceDN w:val="0"/>
              <w:adjustRightInd w:val="0"/>
              <w:jc w:val="center"/>
            </w:pPr>
          </w:p>
        </w:tc>
      </w:tr>
      <w:tr w:rsidTr="00B13758">
        <w:tblPrEx>
          <w:tblW w:w="8160" w:type="dxa"/>
          <w:tblCellMar>
            <w:left w:w="54" w:type="dxa"/>
            <w:right w:w="54" w:type="dxa"/>
          </w:tblCellMar>
          <w:tblLook w:val="0000"/>
        </w:tblPrEx>
        <w:trPr>
          <w:trHeight w:val="1079"/>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c. Translator, new license</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350 &amp; 159</w:t>
            </w:r>
          </w:p>
        </w:tc>
        <w:tc>
          <w:tcPr>
            <w:tcW w:w="1440" w:type="dxa"/>
            <w:shd w:val="clear" w:color="auto" w:fill="auto"/>
          </w:tcPr>
          <w:p w:rsidR="00F05DE3" w:rsidP="00F05DE3">
            <w:pPr>
              <w:autoSpaceDE w:val="0"/>
              <w:autoSpaceDN w:val="0"/>
              <w:adjustRightInd w:val="0"/>
              <w:jc w:val="center"/>
            </w:pPr>
          </w:p>
          <w:p w:rsidR="00ED5194" w:rsidRPr="0060706A">
            <w:pPr>
              <w:autoSpaceDE w:val="0"/>
              <w:autoSpaceDN w:val="0"/>
              <w:adjustRightInd w:val="0"/>
              <w:jc w:val="center"/>
              <w:rPr>
                <w:spacing w:val="-2"/>
              </w:rPr>
            </w:pPr>
            <w:r w:rsidRPr="0060706A">
              <w:t>$1</w:t>
            </w:r>
            <w:r w:rsidRPr="0060706A" w:rsidR="00AB5EAB">
              <w:t>80</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MEF</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d. Translator, renewal</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303-S &amp; 159</w:t>
            </w:r>
          </w:p>
        </w:tc>
        <w:tc>
          <w:tcPr>
            <w:tcW w:w="1440" w:type="dxa"/>
            <w:shd w:val="clear" w:color="auto" w:fill="auto"/>
          </w:tcPr>
          <w:p w:rsidR="00F05DE3" w:rsidP="00F05DE3">
            <w:pPr>
              <w:autoSpaceDE w:val="0"/>
              <w:autoSpaceDN w:val="0"/>
              <w:adjustRightInd w:val="0"/>
              <w:jc w:val="center"/>
            </w:pPr>
          </w:p>
          <w:p w:rsidR="00ED5194" w:rsidRPr="0060706A">
            <w:pPr>
              <w:autoSpaceDE w:val="0"/>
              <w:autoSpaceDN w:val="0"/>
              <w:adjustRightInd w:val="0"/>
              <w:jc w:val="center"/>
            </w:pPr>
            <w:r w:rsidRPr="0060706A">
              <w:t>$17</w:t>
            </w:r>
            <w:r w:rsidRPr="0060706A" w:rsidR="00AB5EAB">
              <w:t>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MAF</w:t>
            </w:r>
          </w:p>
        </w:tc>
      </w:tr>
      <w:tr w:rsidTr="00B13758">
        <w:tblPrEx>
          <w:tblW w:w="8160" w:type="dxa"/>
          <w:tblCellMar>
            <w:left w:w="54" w:type="dxa"/>
            <w:right w:w="54" w:type="dxa"/>
          </w:tblCellMar>
          <w:tblLook w:val="0000"/>
        </w:tblPrEx>
        <w:trPr>
          <w:trHeight w:val="980"/>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e. Translator, special temporary authority</w:t>
            </w:r>
          </w:p>
        </w:tc>
        <w:tc>
          <w:tcPr>
            <w:tcW w:w="1440" w:type="dxa"/>
          </w:tcPr>
          <w:p w:rsidR="00F05DE3" w:rsidP="00F05DE3">
            <w:pPr>
              <w:autoSpaceDE w:val="0"/>
              <w:autoSpaceDN w:val="0"/>
              <w:adjustRightInd w:val="0"/>
              <w:jc w:val="center"/>
            </w:pPr>
          </w:p>
          <w:p w:rsidR="00ED5194" w:rsidRPr="0060706A">
            <w:pPr>
              <w:autoSpaceDE w:val="0"/>
              <w:autoSpaceDN w:val="0"/>
              <w:adjustRightInd w:val="0"/>
              <w:jc w:val="center"/>
            </w:pPr>
            <w:r w:rsidRPr="0060706A">
              <w:t>Corres &amp; 159</w:t>
            </w:r>
          </w:p>
        </w:tc>
        <w:tc>
          <w:tcPr>
            <w:tcW w:w="1440" w:type="dxa"/>
            <w:shd w:val="clear" w:color="auto" w:fill="auto"/>
          </w:tcPr>
          <w:p w:rsidR="00F05DE3" w:rsidP="00F05DE3">
            <w:pPr>
              <w:autoSpaceDE w:val="0"/>
              <w:autoSpaceDN w:val="0"/>
              <w:adjustRightInd w:val="0"/>
              <w:jc w:val="center"/>
            </w:pPr>
          </w:p>
          <w:p w:rsidR="00ED5194" w:rsidRPr="0060706A">
            <w:pPr>
              <w:autoSpaceDE w:val="0"/>
              <w:autoSpaceDN w:val="0"/>
              <w:adjustRightInd w:val="0"/>
              <w:jc w:val="center"/>
              <w:rPr>
                <w:spacing w:val="-2"/>
              </w:rPr>
            </w:pPr>
            <w:r w:rsidRPr="0060706A">
              <w:t>$1</w:t>
            </w:r>
            <w:r w:rsidRPr="0060706A" w:rsidR="00AB5EAB">
              <w:t>70</w:t>
            </w:r>
            <w:r w:rsidRPr="0060706A">
              <w:t>.00</w:t>
            </w:r>
          </w:p>
        </w:tc>
        <w:tc>
          <w:tcPr>
            <w:tcW w:w="1440" w:type="dxa"/>
          </w:tcPr>
          <w:p w:rsidR="00F05DE3" w:rsidP="00F05DE3">
            <w:pPr>
              <w:autoSpaceDE w:val="0"/>
              <w:autoSpaceDN w:val="0"/>
              <w:adjustRightInd w:val="0"/>
              <w:jc w:val="center"/>
            </w:pPr>
          </w:p>
          <w:p w:rsidR="00ED5194" w:rsidRPr="0060706A">
            <w:pPr>
              <w:autoSpaceDE w:val="0"/>
              <w:autoSpaceDN w:val="0"/>
              <w:adjustRightInd w:val="0"/>
              <w:jc w:val="center"/>
            </w:pPr>
            <w:r w:rsidRPr="0060706A">
              <w:t>MGF</w:t>
            </w:r>
          </w:p>
        </w:tc>
      </w:tr>
      <w:tr w:rsidTr="00B13758">
        <w:tblPrEx>
          <w:tblW w:w="8160" w:type="dxa"/>
          <w:tblCellMar>
            <w:left w:w="54" w:type="dxa"/>
            <w:right w:w="54" w:type="dxa"/>
          </w:tblCellMar>
          <w:tblLook w:val="0000"/>
        </w:tblPrEx>
        <w:trPr>
          <w:trHeight w:val="980"/>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f. Translator, assignment</w:t>
            </w:r>
          </w:p>
        </w:tc>
        <w:tc>
          <w:tcPr>
            <w:tcW w:w="1440" w:type="dxa"/>
          </w:tcPr>
          <w:p w:rsidR="00F05DE3" w:rsidP="00F05DE3">
            <w:pPr>
              <w:autoSpaceDE w:val="0"/>
              <w:autoSpaceDN w:val="0"/>
              <w:adjustRightInd w:val="0"/>
              <w:jc w:val="center"/>
            </w:pPr>
          </w:p>
          <w:p w:rsidR="00ED5194" w:rsidRPr="0060706A">
            <w:pPr>
              <w:autoSpaceDE w:val="0"/>
              <w:autoSpaceDN w:val="0"/>
              <w:adjustRightInd w:val="0"/>
              <w:jc w:val="center"/>
            </w:pPr>
            <w:r w:rsidRPr="0060706A">
              <w:t>345 &amp; 159</w:t>
            </w:r>
          </w:p>
          <w:p w:rsidR="00ED5194" w:rsidRPr="0060706A">
            <w:pPr>
              <w:autoSpaceDE w:val="0"/>
              <w:autoSpaceDN w:val="0"/>
              <w:adjustRightInd w:val="0"/>
              <w:jc w:val="center"/>
            </w:pPr>
            <w:r w:rsidRPr="0060706A">
              <w:t>314 &amp; 159</w:t>
            </w:r>
          </w:p>
          <w:p w:rsidR="00ED5194" w:rsidRPr="0060706A">
            <w:pPr>
              <w:autoSpaceDE w:val="0"/>
              <w:autoSpaceDN w:val="0"/>
              <w:adjustRightInd w:val="0"/>
              <w:jc w:val="center"/>
            </w:pPr>
            <w:r w:rsidRPr="0060706A">
              <w:t>316 &amp; 159</w:t>
            </w:r>
          </w:p>
        </w:tc>
        <w:tc>
          <w:tcPr>
            <w:tcW w:w="1440" w:type="dxa"/>
            <w:shd w:val="clear" w:color="auto" w:fill="auto"/>
          </w:tcPr>
          <w:p w:rsidR="00F05DE3" w:rsidP="00F05DE3">
            <w:pPr>
              <w:autoSpaceDE w:val="0"/>
              <w:autoSpaceDN w:val="0"/>
              <w:adjustRightInd w:val="0"/>
              <w:jc w:val="center"/>
            </w:pPr>
          </w:p>
          <w:p w:rsidR="00ED5194" w:rsidRPr="0060706A">
            <w:pPr>
              <w:autoSpaceDE w:val="0"/>
              <w:autoSpaceDN w:val="0"/>
              <w:adjustRightInd w:val="0"/>
              <w:jc w:val="center"/>
              <w:rPr>
                <w:spacing w:val="-2"/>
              </w:rPr>
            </w:pPr>
            <w:r w:rsidRPr="0060706A">
              <w:t>$2</w:t>
            </w:r>
            <w:r w:rsidRPr="0060706A" w:rsidR="00AB5EAB">
              <w:t>9</w:t>
            </w:r>
            <w:r w:rsidRPr="0060706A">
              <w:t>0.00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MDF</w:t>
            </w:r>
          </w:p>
        </w:tc>
      </w:tr>
      <w:tr w:rsidTr="00B13758">
        <w:tblPrEx>
          <w:tblW w:w="8160" w:type="dxa"/>
          <w:tblCellMar>
            <w:left w:w="54" w:type="dxa"/>
            <w:right w:w="54" w:type="dxa"/>
          </w:tblCellMar>
          <w:tblLook w:val="0000"/>
        </w:tblPrEx>
        <w:trPr>
          <w:trHeight w:val="1070"/>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g. Translator, transfer of control</w:t>
            </w:r>
          </w:p>
        </w:tc>
        <w:tc>
          <w:tcPr>
            <w:tcW w:w="1440" w:type="dxa"/>
          </w:tcPr>
          <w:p w:rsidR="00F05DE3" w:rsidP="00F05DE3">
            <w:pPr>
              <w:autoSpaceDE w:val="0"/>
              <w:autoSpaceDN w:val="0"/>
              <w:adjustRightInd w:val="0"/>
              <w:jc w:val="center"/>
            </w:pPr>
          </w:p>
          <w:p w:rsidR="00ED5194" w:rsidRPr="0060706A">
            <w:pPr>
              <w:autoSpaceDE w:val="0"/>
              <w:autoSpaceDN w:val="0"/>
              <w:adjustRightInd w:val="0"/>
              <w:jc w:val="center"/>
            </w:pPr>
            <w:r w:rsidRPr="0060706A">
              <w:t>345 &amp; 159</w:t>
            </w:r>
          </w:p>
          <w:p w:rsidR="00ED5194" w:rsidRPr="0060706A">
            <w:pPr>
              <w:autoSpaceDE w:val="0"/>
              <w:autoSpaceDN w:val="0"/>
              <w:adjustRightInd w:val="0"/>
              <w:jc w:val="center"/>
            </w:pPr>
            <w:r w:rsidRPr="0060706A">
              <w:t>315 &amp; 159</w:t>
            </w:r>
          </w:p>
          <w:p w:rsidR="00ED5194" w:rsidRPr="0060706A">
            <w:pPr>
              <w:autoSpaceDE w:val="0"/>
              <w:autoSpaceDN w:val="0"/>
              <w:adjustRightInd w:val="0"/>
              <w:jc w:val="center"/>
            </w:pPr>
            <w:r w:rsidRPr="0060706A">
              <w:t>316 &amp; 159</w:t>
            </w:r>
          </w:p>
        </w:tc>
        <w:tc>
          <w:tcPr>
            <w:tcW w:w="1440" w:type="dxa"/>
            <w:shd w:val="clear" w:color="auto" w:fill="auto"/>
          </w:tcPr>
          <w:p w:rsidR="00F05DE3" w:rsidP="00F05DE3">
            <w:pPr>
              <w:autoSpaceDE w:val="0"/>
              <w:autoSpaceDN w:val="0"/>
              <w:adjustRightInd w:val="0"/>
              <w:jc w:val="center"/>
            </w:pPr>
          </w:p>
          <w:p w:rsidR="00ED5194" w:rsidRPr="0060706A">
            <w:pPr>
              <w:autoSpaceDE w:val="0"/>
              <w:autoSpaceDN w:val="0"/>
              <w:adjustRightInd w:val="0"/>
              <w:jc w:val="center"/>
            </w:pPr>
            <w:r w:rsidRPr="0060706A">
              <w:t>$2</w:t>
            </w:r>
            <w:r w:rsidRPr="0060706A" w:rsidR="00AB5EAB">
              <w:t>9</w:t>
            </w:r>
            <w:r w:rsidRPr="0060706A">
              <w:t>0.00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MDF</w:t>
            </w:r>
          </w:p>
        </w:tc>
      </w:tr>
      <w:tr w:rsidTr="00B13758">
        <w:tblPrEx>
          <w:tblW w:w="8160" w:type="dxa"/>
          <w:tblCellMar>
            <w:left w:w="54" w:type="dxa"/>
            <w:right w:w="54" w:type="dxa"/>
          </w:tblCellMar>
          <w:tblLook w:val="0000"/>
        </w:tblPrEx>
        <w:trPr>
          <w:trHeight w:val="962"/>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h. Booster, new or major change construction permit</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346 &amp; 159</w:t>
            </w:r>
          </w:p>
        </w:tc>
        <w:tc>
          <w:tcPr>
            <w:tcW w:w="1440" w:type="dxa"/>
            <w:shd w:val="clear" w:color="auto" w:fill="auto"/>
          </w:tcPr>
          <w:p w:rsidR="00F05DE3" w:rsidP="00F05DE3">
            <w:pPr>
              <w:autoSpaceDE w:val="0"/>
              <w:autoSpaceDN w:val="0"/>
              <w:adjustRightInd w:val="0"/>
              <w:jc w:val="center"/>
            </w:pPr>
          </w:p>
          <w:p w:rsidR="00ED5194" w:rsidRPr="0060706A">
            <w:pPr>
              <w:autoSpaceDE w:val="0"/>
              <w:autoSpaceDN w:val="0"/>
              <w:adjustRightInd w:val="0"/>
              <w:jc w:val="center"/>
              <w:rPr>
                <w:spacing w:val="-2"/>
              </w:rPr>
            </w:pPr>
            <w:r w:rsidRPr="0060706A">
              <w:t>$</w:t>
            </w:r>
            <w:r w:rsidRPr="0060706A" w:rsidR="00AB5EAB">
              <w:t>705</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MOF</w:t>
            </w:r>
          </w:p>
        </w:tc>
      </w:tr>
      <w:tr w:rsidTr="00B13758">
        <w:tblPrEx>
          <w:tblW w:w="8160" w:type="dxa"/>
          <w:tblCellMar>
            <w:left w:w="54" w:type="dxa"/>
            <w:right w:w="54" w:type="dxa"/>
          </w:tblCellMar>
          <w:tblLook w:val="0000"/>
        </w:tblPrEx>
        <w:trPr>
          <w:trHeight w:val="953"/>
        </w:trPr>
        <w:tc>
          <w:tcPr>
            <w:tcW w:w="3840" w:type="dxa"/>
            <w:shd w:val="clear" w:color="auto" w:fill="auto"/>
          </w:tcPr>
          <w:p w:rsidR="00ED5194" w:rsidRPr="0060706A" w:rsidP="001B3814">
            <w:pPr>
              <w:autoSpaceDE w:val="0"/>
              <w:autoSpaceDN w:val="0"/>
              <w:adjustRightInd w:val="0"/>
              <w:ind w:left="540" w:hanging="540"/>
              <w:rPr>
                <w:b/>
              </w:rPr>
            </w:pPr>
          </w:p>
          <w:p w:rsidR="00ED5194" w:rsidRPr="0060706A" w:rsidP="00CE4C9A">
            <w:pPr>
              <w:pStyle w:val="ListParagraph"/>
              <w:numPr>
                <w:ilvl w:val="0"/>
                <w:numId w:val="20"/>
              </w:numPr>
              <w:autoSpaceDE w:val="0"/>
              <w:autoSpaceDN w:val="0"/>
              <w:adjustRightInd w:val="0"/>
            </w:pPr>
            <w:r w:rsidRPr="0060706A">
              <w:t>Booster, new license</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347 &amp; 159</w:t>
            </w:r>
          </w:p>
        </w:tc>
        <w:tc>
          <w:tcPr>
            <w:tcW w:w="1440" w:type="dxa"/>
            <w:shd w:val="clear" w:color="auto" w:fill="auto"/>
          </w:tcPr>
          <w:p w:rsidR="009D41FF" w:rsidP="009D41FF">
            <w:pPr>
              <w:autoSpaceDE w:val="0"/>
              <w:autoSpaceDN w:val="0"/>
              <w:adjustRightInd w:val="0"/>
              <w:jc w:val="center"/>
            </w:pPr>
          </w:p>
          <w:p w:rsidR="00ED5194" w:rsidRPr="0060706A">
            <w:pPr>
              <w:autoSpaceDE w:val="0"/>
              <w:autoSpaceDN w:val="0"/>
              <w:adjustRightInd w:val="0"/>
              <w:jc w:val="center"/>
              <w:rPr>
                <w:spacing w:val="-2"/>
              </w:rPr>
            </w:pPr>
            <w:r w:rsidRPr="0060706A">
              <w:t>$1</w:t>
            </w:r>
            <w:r w:rsidRPr="0060706A" w:rsidR="00AB5EAB">
              <w:t>80</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MEF</w:t>
            </w:r>
          </w:p>
        </w:tc>
      </w:tr>
      <w:tr w:rsidTr="00B13758">
        <w:tblPrEx>
          <w:tblW w:w="8160" w:type="dxa"/>
          <w:tblCellMar>
            <w:left w:w="54" w:type="dxa"/>
            <w:right w:w="54" w:type="dxa"/>
          </w:tblCellMar>
          <w:tblLook w:val="0000"/>
        </w:tblPrEx>
        <w:trPr>
          <w:trHeight w:val="953"/>
        </w:trPr>
        <w:tc>
          <w:tcPr>
            <w:tcW w:w="3840" w:type="dxa"/>
            <w:shd w:val="clear" w:color="auto" w:fill="auto"/>
          </w:tcPr>
          <w:p w:rsidR="00ED5194" w:rsidRPr="0060706A" w:rsidP="001B3814">
            <w:pPr>
              <w:autoSpaceDE w:val="0"/>
              <w:autoSpaceDN w:val="0"/>
              <w:adjustRightInd w:val="0"/>
              <w:ind w:left="540" w:hanging="540"/>
            </w:pPr>
          </w:p>
          <w:p w:rsidR="00ED5194" w:rsidRPr="0060706A" w:rsidP="001B3814">
            <w:pPr>
              <w:autoSpaceDE w:val="0"/>
              <w:autoSpaceDN w:val="0"/>
              <w:adjustRightInd w:val="0"/>
              <w:ind w:left="540" w:hanging="540"/>
            </w:pPr>
            <w:r w:rsidRPr="0060706A">
              <w:t xml:space="preserve">  j. Booster, special temporary authority</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9D41FF" w:rsidP="009D41FF">
            <w:pPr>
              <w:autoSpaceDE w:val="0"/>
              <w:autoSpaceDN w:val="0"/>
              <w:adjustRightInd w:val="0"/>
              <w:jc w:val="center"/>
            </w:pPr>
          </w:p>
          <w:p w:rsidR="00ED5194" w:rsidRPr="0060706A">
            <w:pPr>
              <w:autoSpaceDE w:val="0"/>
              <w:autoSpaceDN w:val="0"/>
              <w:adjustRightInd w:val="0"/>
              <w:jc w:val="center"/>
            </w:pPr>
            <w:r w:rsidRPr="0060706A">
              <w:t>$1</w:t>
            </w:r>
            <w:r w:rsidRPr="0060706A" w:rsidR="00AB5EAB">
              <w:t>70</w:t>
            </w:r>
            <w:r w:rsidRPr="0060706A">
              <w:t>.00</w:t>
            </w:r>
          </w:p>
        </w:tc>
        <w:tc>
          <w:tcPr>
            <w:tcW w:w="1440" w:type="dxa"/>
          </w:tcPr>
          <w:p w:rsidR="00ED5194" w:rsidRPr="0060706A">
            <w:pPr>
              <w:autoSpaceDE w:val="0"/>
              <w:autoSpaceDN w:val="0"/>
              <w:adjustRightInd w:val="0"/>
              <w:jc w:val="center"/>
            </w:pPr>
          </w:p>
          <w:p w:rsidR="00ED5194" w:rsidRPr="0060706A">
            <w:pPr>
              <w:autoSpaceDE w:val="0"/>
              <w:autoSpaceDN w:val="0"/>
              <w:adjustRightInd w:val="0"/>
              <w:jc w:val="center"/>
            </w:pPr>
            <w:r w:rsidRPr="0060706A">
              <w:t>MGF</w:t>
            </w:r>
          </w:p>
        </w:tc>
      </w:tr>
      <w:tr w:rsidTr="00B13758">
        <w:tblPrEx>
          <w:tblW w:w="8160" w:type="dxa"/>
          <w:tblCellMar>
            <w:left w:w="54" w:type="dxa"/>
            <w:right w:w="54" w:type="dxa"/>
          </w:tblCellMar>
          <w:tblLook w:val="0000"/>
        </w:tblPrEx>
        <w:trPr>
          <w:trHeight w:val="953"/>
        </w:trPr>
        <w:tc>
          <w:tcPr>
            <w:tcW w:w="3840" w:type="dxa"/>
            <w:shd w:val="clear" w:color="auto" w:fill="auto"/>
          </w:tcPr>
          <w:p w:rsidR="00682103" w:rsidP="001B3814">
            <w:pPr>
              <w:autoSpaceDE w:val="0"/>
              <w:autoSpaceDN w:val="0"/>
              <w:adjustRightInd w:val="0"/>
              <w:ind w:left="540" w:hanging="540"/>
              <w:rPr>
                <w:szCs w:val="22"/>
              </w:rPr>
            </w:pPr>
            <w:r>
              <w:rPr>
                <w:szCs w:val="22"/>
              </w:rPr>
              <w:t xml:space="preserve">8.  Special </w:t>
            </w:r>
            <w:r w:rsidR="00A01C27">
              <w:rPr>
                <w:szCs w:val="22"/>
              </w:rPr>
              <w:t>Media</w:t>
            </w:r>
            <w:r>
              <w:rPr>
                <w:szCs w:val="22"/>
              </w:rPr>
              <w:t xml:space="preserve"> Service Filing</w:t>
            </w:r>
          </w:p>
          <w:p w:rsidR="00A01C27" w:rsidRPr="0060706A" w:rsidP="001B3814">
            <w:pPr>
              <w:autoSpaceDE w:val="0"/>
              <w:autoSpaceDN w:val="0"/>
              <w:adjustRightInd w:val="0"/>
              <w:ind w:left="540" w:hanging="540"/>
            </w:pPr>
            <w:r>
              <w:rPr>
                <w:szCs w:val="22"/>
              </w:rPr>
              <w:t xml:space="preserve">a.  </w:t>
            </w:r>
            <w:r w:rsidR="00F320CD">
              <w:rPr>
                <w:szCs w:val="22"/>
              </w:rPr>
              <w:t>Broadcast Services</w:t>
            </w:r>
            <w:r>
              <w:rPr>
                <w:szCs w:val="22"/>
              </w:rPr>
              <w:t xml:space="preserve"> </w:t>
            </w:r>
            <w:r w:rsidRPr="0059512C">
              <w:rPr>
                <w:szCs w:val="22"/>
              </w:rPr>
              <w:t>Short-Form Application</w:t>
            </w:r>
          </w:p>
        </w:tc>
        <w:tc>
          <w:tcPr>
            <w:tcW w:w="1440" w:type="dxa"/>
          </w:tcPr>
          <w:p w:rsidR="00A01C27" w:rsidRPr="0060706A" w:rsidP="001B3814">
            <w:pPr>
              <w:autoSpaceDE w:val="0"/>
              <w:autoSpaceDN w:val="0"/>
              <w:adjustRightInd w:val="0"/>
              <w:jc w:val="center"/>
            </w:pPr>
            <w:r>
              <w:t>175 &amp; 159</w:t>
            </w:r>
          </w:p>
        </w:tc>
        <w:tc>
          <w:tcPr>
            <w:tcW w:w="1440" w:type="dxa"/>
            <w:shd w:val="clear" w:color="auto" w:fill="auto"/>
          </w:tcPr>
          <w:p w:rsidR="009D41FF" w:rsidP="009D41FF">
            <w:pPr>
              <w:autoSpaceDE w:val="0"/>
              <w:autoSpaceDN w:val="0"/>
              <w:adjustRightInd w:val="0"/>
              <w:jc w:val="center"/>
            </w:pPr>
          </w:p>
          <w:p w:rsidR="00A01C27" w:rsidRPr="0060706A">
            <w:pPr>
              <w:autoSpaceDE w:val="0"/>
              <w:autoSpaceDN w:val="0"/>
              <w:adjustRightInd w:val="0"/>
              <w:jc w:val="center"/>
            </w:pPr>
            <w:r>
              <w:t>$575.00</w:t>
            </w:r>
          </w:p>
        </w:tc>
        <w:tc>
          <w:tcPr>
            <w:tcW w:w="1440" w:type="dxa"/>
          </w:tcPr>
          <w:p w:rsidR="00A01C27" w:rsidRPr="0060706A">
            <w:pPr>
              <w:autoSpaceDE w:val="0"/>
              <w:autoSpaceDN w:val="0"/>
              <w:adjustRightInd w:val="0"/>
              <w:jc w:val="center"/>
            </w:pPr>
          </w:p>
        </w:tc>
      </w:tr>
      <w:tr w:rsidTr="00B13758">
        <w:tblPrEx>
          <w:tblW w:w="8160" w:type="dxa"/>
          <w:tblCellMar>
            <w:left w:w="54" w:type="dxa"/>
            <w:right w:w="54" w:type="dxa"/>
          </w:tblCellMar>
          <w:tblLook w:val="0000"/>
        </w:tblPrEx>
        <w:trPr>
          <w:trHeight w:val="953"/>
        </w:trPr>
        <w:tc>
          <w:tcPr>
            <w:tcW w:w="3840" w:type="dxa"/>
            <w:shd w:val="clear" w:color="auto" w:fill="auto"/>
          </w:tcPr>
          <w:p w:rsidR="00A01C27" w:rsidP="001B3814">
            <w:pPr>
              <w:autoSpaceDE w:val="0"/>
              <w:autoSpaceDN w:val="0"/>
              <w:adjustRightInd w:val="0"/>
              <w:ind w:left="540" w:hanging="540"/>
              <w:rPr>
                <w:szCs w:val="22"/>
              </w:rPr>
            </w:pPr>
            <w:r>
              <w:rPr>
                <w:szCs w:val="22"/>
              </w:rPr>
              <w:t>b. S</w:t>
            </w:r>
            <w:r w:rsidRPr="0059512C">
              <w:rPr>
                <w:szCs w:val="22"/>
              </w:rPr>
              <w:t>ection 310(b) petitions for declaratory ruling</w:t>
            </w:r>
          </w:p>
        </w:tc>
        <w:tc>
          <w:tcPr>
            <w:tcW w:w="1440" w:type="dxa"/>
          </w:tcPr>
          <w:p w:rsidR="00A01C27" w:rsidRPr="0060706A" w:rsidP="001B3814">
            <w:pPr>
              <w:autoSpaceDE w:val="0"/>
              <w:autoSpaceDN w:val="0"/>
              <w:adjustRightInd w:val="0"/>
              <w:jc w:val="center"/>
            </w:pPr>
            <w:r>
              <w:t>Corres &amp; 159</w:t>
            </w:r>
          </w:p>
        </w:tc>
        <w:tc>
          <w:tcPr>
            <w:tcW w:w="1440" w:type="dxa"/>
            <w:shd w:val="clear" w:color="auto" w:fill="auto"/>
          </w:tcPr>
          <w:p w:rsidR="009D41FF" w:rsidP="009D41FF">
            <w:pPr>
              <w:autoSpaceDE w:val="0"/>
              <w:autoSpaceDN w:val="0"/>
              <w:adjustRightInd w:val="0"/>
              <w:jc w:val="center"/>
              <w:rPr>
                <w:szCs w:val="22"/>
              </w:rPr>
            </w:pPr>
          </w:p>
          <w:p w:rsidR="00A01C27">
            <w:pPr>
              <w:autoSpaceDE w:val="0"/>
              <w:autoSpaceDN w:val="0"/>
              <w:adjustRightInd w:val="0"/>
              <w:jc w:val="center"/>
            </w:pPr>
            <w:r w:rsidRPr="0059512C">
              <w:rPr>
                <w:szCs w:val="22"/>
              </w:rPr>
              <w:t>$2,485</w:t>
            </w:r>
          </w:p>
        </w:tc>
        <w:tc>
          <w:tcPr>
            <w:tcW w:w="1440" w:type="dxa"/>
          </w:tcPr>
          <w:p w:rsidR="00A01C27" w:rsidRPr="0060706A">
            <w:pPr>
              <w:autoSpaceDE w:val="0"/>
              <w:autoSpaceDN w:val="0"/>
              <w:adjustRightInd w:val="0"/>
              <w:jc w:val="center"/>
            </w:pPr>
          </w:p>
        </w:tc>
      </w:tr>
    </w:tbl>
    <w:p w:rsidR="00ED5194" w:rsidRPr="0060706A" w:rsidP="00ED5194">
      <w:pPr>
        <w:ind w:left="360"/>
        <w:rPr>
          <w:b/>
        </w:rPr>
      </w:pPr>
    </w:p>
    <w:p w:rsidR="00ED5194" w:rsidRPr="0059512C" w:rsidP="00ED5194">
      <w:pPr>
        <w:ind w:left="360"/>
        <w:rPr>
          <w:bCs/>
          <w:szCs w:val="22"/>
        </w:rPr>
      </w:pPr>
    </w:p>
    <w:p w:rsidR="00ED5194" w:rsidRPr="0059512C" w:rsidP="00ED5194">
      <w:pPr>
        <w:ind w:left="360" w:right="-180"/>
        <w:rPr>
          <w:szCs w:val="22"/>
        </w:rPr>
      </w:pPr>
      <w:r w:rsidRPr="0059512C">
        <w:rPr>
          <w:szCs w:val="22"/>
        </w:rPr>
        <w:t>*****</w:t>
      </w:r>
    </w:p>
    <w:p w:rsidR="00ED5194" w:rsidRPr="0059512C" w:rsidP="00ED5194">
      <w:pPr>
        <w:rPr>
          <w:szCs w:val="22"/>
        </w:rPr>
      </w:pPr>
    </w:p>
    <w:p w:rsidR="00ED5194" w:rsidRPr="0059512C" w:rsidP="00ED5194">
      <w:pPr>
        <w:rPr>
          <w:szCs w:val="22"/>
        </w:rPr>
      </w:pPr>
      <w:r w:rsidRPr="0059512C">
        <w:rPr>
          <w:szCs w:val="22"/>
        </w:rPr>
        <w:t>6.  Section 1.1105 is revised to read as follows:</w:t>
      </w:r>
    </w:p>
    <w:p w:rsidR="00ED5194" w:rsidRPr="0059512C" w:rsidP="00ED5194">
      <w:pPr>
        <w:rPr>
          <w:szCs w:val="22"/>
        </w:rPr>
      </w:pPr>
    </w:p>
    <w:p w:rsidR="00ED5194" w:rsidRPr="0059512C" w:rsidP="00ED5194">
      <w:pPr>
        <w:rPr>
          <w:b/>
          <w:szCs w:val="22"/>
        </w:rPr>
      </w:pPr>
      <w:r w:rsidRPr="0059512C">
        <w:rPr>
          <w:szCs w:val="22"/>
          <w:u w:val="single"/>
        </w:rPr>
        <w:t xml:space="preserve">§1.1105 Schedule of charges for applications and other filings for </w:t>
      </w:r>
      <w:r w:rsidRPr="0059512C">
        <w:rPr>
          <w:szCs w:val="22"/>
          <w:u w:val="single"/>
        </w:rPr>
        <w:t>the wireline competition services</w:t>
      </w:r>
      <w:r w:rsidRPr="0059512C">
        <w:rPr>
          <w:szCs w:val="22"/>
        </w:rPr>
        <w:t>.</w:t>
      </w:r>
    </w:p>
    <w:p w:rsidR="00ED5194" w:rsidRPr="0059512C" w:rsidP="00ED5194">
      <w:pPr>
        <w:rPr>
          <w:szCs w:val="22"/>
        </w:rPr>
      </w:pPr>
    </w:p>
    <w:p w:rsidR="00ED5194" w:rsidRPr="0059512C" w:rsidP="00ED5194">
      <w:pPr>
        <w:ind w:left="360" w:right="-180"/>
        <w:rPr>
          <w:szCs w:val="22"/>
        </w:rPr>
      </w:pPr>
      <w:r w:rsidRPr="0059512C">
        <w:rPr>
          <w:szCs w:val="22"/>
        </w:rPr>
        <w:t>*****</w:t>
      </w:r>
    </w:p>
    <w:p w:rsidR="00ED5194" w:rsidRPr="0059512C" w:rsidP="00ED5194">
      <w:pPr>
        <w:ind w:left="360"/>
        <w:rPr>
          <w:bCs/>
          <w:szCs w:val="22"/>
        </w:rPr>
      </w:pPr>
    </w:p>
    <w:p w:rsidR="00ED5194" w:rsidRPr="0059512C" w:rsidP="00ED5194">
      <w:pPr>
        <w:ind w:left="360"/>
        <w:rPr>
          <w:bCs/>
          <w:szCs w:val="22"/>
        </w:rPr>
      </w:pPr>
      <w:r w:rsidRPr="0059512C">
        <w:rPr>
          <w:bCs/>
          <w:szCs w:val="22"/>
        </w:rPr>
        <w:t>Payments should be made electronically using the Commission’s electronic filing and payment system Fee Filer (</w:t>
      </w:r>
      <w:hyperlink r:id="rId8" w:history="1">
        <w:r w:rsidRPr="0059512C">
          <w:rPr>
            <w:rStyle w:val="Hyperlink"/>
            <w:bCs/>
            <w:szCs w:val="22"/>
          </w:rPr>
          <w:t>www.fcc.gov/feefiler</w:t>
        </w:r>
      </w:hyperlink>
      <w:r w:rsidRPr="0059512C">
        <w:rPr>
          <w:bCs/>
          <w:szCs w:val="22"/>
        </w:rPr>
        <w:t xml:space="preserve">).  Manual filings and/or </w:t>
      </w:r>
      <w:r w:rsidRPr="0059512C">
        <w:rPr>
          <w:bCs/>
          <w:szCs w:val="22"/>
        </w:rPr>
        <w:t>payments for these services are no longer accepted.</w:t>
      </w:r>
    </w:p>
    <w:p w:rsidR="00ED5194" w:rsidRPr="0059512C" w:rsidP="00ED5194">
      <w:pPr>
        <w:ind w:left="360"/>
        <w:rPr>
          <w:bCs/>
          <w:szCs w:val="22"/>
        </w:rPr>
      </w:pPr>
    </w:p>
    <w:p w:rsidR="00ED5194" w:rsidRPr="0059512C" w:rsidP="00ED5194">
      <w:pPr>
        <w:ind w:left="360"/>
        <w:rPr>
          <w:bCs/>
          <w:szCs w:val="22"/>
        </w:rPr>
      </w:pP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3810"/>
        <w:gridCol w:w="1429"/>
        <w:gridCol w:w="1483"/>
        <w:gridCol w:w="1432"/>
      </w:tblGrid>
      <w:tr w:rsidTr="00461F90">
        <w:tblPrEx>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Ex>
        <w:trPr>
          <w:trHeight w:val="647"/>
          <w:tblHeader/>
        </w:trPr>
        <w:tc>
          <w:tcPr>
            <w:tcW w:w="3810" w:type="dxa"/>
            <w:shd w:val="clear" w:color="auto" w:fill="auto"/>
            <w:vAlign w:val="center"/>
          </w:tcPr>
          <w:p w:rsidR="00ED5194" w:rsidRPr="0060706A" w:rsidP="001B3814">
            <w:pPr>
              <w:autoSpaceDE w:val="0"/>
              <w:autoSpaceDN w:val="0"/>
              <w:adjustRightInd w:val="0"/>
              <w:jc w:val="center"/>
              <w:rPr>
                <w:b/>
              </w:rPr>
            </w:pPr>
            <w:r w:rsidRPr="0060706A">
              <w:rPr>
                <w:b/>
              </w:rPr>
              <w:t>Service</w:t>
            </w:r>
          </w:p>
        </w:tc>
        <w:tc>
          <w:tcPr>
            <w:tcW w:w="1429" w:type="dxa"/>
          </w:tcPr>
          <w:p w:rsidR="00ED5194" w:rsidRPr="0060706A" w:rsidP="001B3814">
            <w:pPr>
              <w:autoSpaceDE w:val="0"/>
              <w:autoSpaceDN w:val="0"/>
              <w:adjustRightInd w:val="0"/>
              <w:jc w:val="center"/>
              <w:rPr>
                <w:b/>
              </w:rPr>
            </w:pPr>
            <w:r w:rsidRPr="0060706A">
              <w:rPr>
                <w:b/>
              </w:rPr>
              <w:t>FCC Form No.</w:t>
            </w:r>
          </w:p>
        </w:tc>
        <w:tc>
          <w:tcPr>
            <w:tcW w:w="1483" w:type="dxa"/>
            <w:shd w:val="clear" w:color="auto" w:fill="auto"/>
            <w:vAlign w:val="center"/>
          </w:tcPr>
          <w:p w:rsidR="00ED5194" w:rsidRPr="0060706A" w:rsidP="001B3814">
            <w:pPr>
              <w:autoSpaceDE w:val="0"/>
              <w:autoSpaceDN w:val="0"/>
              <w:adjustRightInd w:val="0"/>
              <w:jc w:val="center"/>
              <w:rPr>
                <w:b/>
              </w:rPr>
            </w:pPr>
            <w:r w:rsidRPr="0060706A">
              <w:rPr>
                <w:b/>
              </w:rPr>
              <w:t>Fee</w:t>
            </w:r>
          </w:p>
          <w:p w:rsidR="00ED5194" w:rsidRPr="0060706A" w:rsidP="001B3814">
            <w:pPr>
              <w:autoSpaceDE w:val="0"/>
              <w:autoSpaceDN w:val="0"/>
              <w:adjustRightInd w:val="0"/>
              <w:jc w:val="center"/>
              <w:rPr>
                <w:b/>
              </w:rPr>
            </w:pPr>
            <w:r w:rsidRPr="0060706A">
              <w:rPr>
                <w:b/>
              </w:rPr>
              <w:t>Amount</w:t>
            </w:r>
          </w:p>
        </w:tc>
        <w:tc>
          <w:tcPr>
            <w:tcW w:w="1432" w:type="dxa"/>
          </w:tcPr>
          <w:p w:rsidR="00ED5194" w:rsidRPr="0060706A" w:rsidP="001B3814">
            <w:pPr>
              <w:autoSpaceDE w:val="0"/>
              <w:autoSpaceDN w:val="0"/>
              <w:adjustRightInd w:val="0"/>
              <w:jc w:val="center"/>
              <w:rPr>
                <w:b/>
              </w:rPr>
            </w:pPr>
            <w:r w:rsidRPr="0060706A">
              <w:rPr>
                <w:b/>
              </w:rPr>
              <w:t>Payment Type Code</w:t>
            </w:r>
          </w:p>
        </w:tc>
      </w:tr>
      <w:tr w:rsidTr="00B13758">
        <w:tblPrEx>
          <w:tblW w:w="8154" w:type="dxa"/>
          <w:tblCellMar>
            <w:left w:w="54" w:type="dxa"/>
            <w:right w:w="54" w:type="dxa"/>
          </w:tblCellMar>
          <w:tblLook w:val="0000"/>
        </w:tblPrEx>
        <w:trPr>
          <w:trHeight w:val="1223"/>
        </w:trPr>
        <w:tc>
          <w:tcPr>
            <w:tcW w:w="3810" w:type="dxa"/>
            <w:shd w:val="clear" w:color="auto" w:fill="auto"/>
          </w:tcPr>
          <w:p w:rsidR="00ED5194" w:rsidRPr="0060706A" w:rsidP="00CE4C9A">
            <w:pPr>
              <w:pStyle w:val="ListParagraph"/>
              <w:numPr>
                <w:ilvl w:val="0"/>
                <w:numId w:val="24"/>
              </w:numPr>
              <w:autoSpaceDE w:val="0"/>
              <w:autoSpaceDN w:val="0"/>
              <w:adjustRightInd w:val="0"/>
              <w:rPr>
                <w:b/>
              </w:rPr>
            </w:pPr>
            <w:r w:rsidRPr="0060706A">
              <w:rPr>
                <w:b/>
              </w:rPr>
              <w:t>Domestic 214 Applications</w:t>
            </w:r>
          </w:p>
          <w:p w:rsidR="00ED5194" w:rsidRPr="0060706A" w:rsidP="00CE4C9A">
            <w:pPr>
              <w:pStyle w:val="ListParagraph"/>
              <w:numPr>
                <w:ilvl w:val="0"/>
                <w:numId w:val="25"/>
              </w:numPr>
              <w:autoSpaceDE w:val="0"/>
              <w:autoSpaceDN w:val="0"/>
              <w:adjustRightInd w:val="0"/>
            </w:pPr>
            <w:r w:rsidRPr="0060706A">
              <w:rPr>
                <w:b/>
              </w:rPr>
              <w:t>Part 63 Transfers of Control</w:t>
            </w:r>
          </w:p>
        </w:tc>
        <w:tc>
          <w:tcPr>
            <w:tcW w:w="1429"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83" w:type="dxa"/>
            <w:shd w:val="clear" w:color="auto" w:fill="auto"/>
          </w:tcPr>
          <w:p w:rsidR="001F04E4" w:rsidP="001F04E4">
            <w:pPr>
              <w:autoSpaceDE w:val="0"/>
              <w:autoSpaceDN w:val="0"/>
              <w:adjustRightInd w:val="0"/>
              <w:jc w:val="center"/>
            </w:pPr>
          </w:p>
          <w:p w:rsidR="00ED5194" w:rsidRPr="0060706A">
            <w:pPr>
              <w:autoSpaceDE w:val="0"/>
              <w:autoSpaceDN w:val="0"/>
              <w:adjustRightInd w:val="0"/>
              <w:jc w:val="center"/>
              <w:rPr>
                <w:spacing w:val="-2"/>
              </w:rPr>
            </w:pPr>
            <w:r w:rsidRPr="0060706A">
              <w:t>$</w:t>
            </w:r>
            <w:r w:rsidR="00B006AD">
              <w:t>1</w:t>
            </w:r>
            <w:r w:rsidRPr="0060706A" w:rsidR="00AB5EAB">
              <w:t>,</w:t>
            </w:r>
            <w:r w:rsidR="00B006AD">
              <w:t>2</w:t>
            </w:r>
            <w:r w:rsidRPr="0060706A" w:rsidR="00AB5EAB">
              <w:t>30</w:t>
            </w:r>
            <w:r w:rsidRPr="0060706A" w:rsidR="00E86687">
              <w:t>.00</w:t>
            </w:r>
          </w:p>
        </w:tc>
        <w:tc>
          <w:tcPr>
            <w:tcW w:w="1432"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CDT</w:t>
            </w:r>
          </w:p>
        </w:tc>
      </w:tr>
      <w:tr w:rsidTr="00B13758">
        <w:tblPrEx>
          <w:tblW w:w="8154" w:type="dxa"/>
          <w:tblCellMar>
            <w:left w:w="54" w:type="dxa"/>
            <w:right w:w="54" w:type="dxa"/>
          </w:tblCellMar>
          <w:tblLook w:val="0000"/>
        </w:tblPrEx>
        <w:trPr>
          <w:trHeight w:val="1223"/>
        </w:trPr>
        <w:tc>
          <w:tcPr>
            <w:tcW w:w="3810" w:type="dxa"/>
            <w:shd w:val="clear" w:color="auto" w:fill="auto"/>
          </w:tcPr>
          <w:p w:rsidR="00ED5194" w:rsidRPr="0060706A" w:rsidP="00CE4C9A">
            <w:pPr>
              <w:pStyle w:val="ListParagraph"/>
              <w:numPr>
                <w:ilvl w:val="0"/>
                <w:numId w:val="25"/>
              </w:numPr>
              <w:autoSpaceDE w:val="0"/>
              <w:autoSpaceDN w:val="0"/>
              <w:adjustRightInd w:val="0"/>
              <w:rPr>
                <w:b/>
              </w:rPr>
            </w:pPr>
            <w:r w:rsidRPr="0060706A">
              <w:rPr>
                <w:b/>
              </w:rPr>
              <w:t>Special Temporary Authority</w:t>
            </w:r>
          </w:p>
        </w:tc>
        <w:tc>
          <w:tcPr>
            <w:tcW w:w="1429"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83" w:type="dxa"/>
            <w:shd w:val="clear" w:color="auto" w:fill="auto"/>
          </w:tcPr>
          <w:p w:rsidR="001F04E4" w:rsidP="001F04E4">
            <w:pPr>
              <w:autoSpaceDE w:val="0"/>
              <w:autoSpaceDN w:val="0"/>
              <w:adjustRightInd w:val="0"/>
              <w:jc w:val="center"/>
            </w:pPr>
          </w:p>
          <w:p w:rsidR="00ED5194" w:rsidRPr="0060706A">
            <w:pPr>
              <w:autoSpaceDE w:val="0"/>
              <w:autoSpaceDN w:val="0"/>
              <w:adjustRightInd w:val="0"/>
              <w:jc w:val="center"/>
            </w:pPr>
            <w:r w:rsidRPr="0060706A">
              <w:t>$</w:t>
            </w:r>
            <w:r w:rsidR="00B006AD">
              <w:t>675</w:t>
            </w:r>
            <w:r w:rsidRPr="0060706A">
              <w:t>.00</w:t>
            </w:r>
          </w:p>
        </w:tc>
        <w:tc>
          <w:tcPr>
            <w:tcW w:w="1432" w:type="dxa"/>
          </w:tcPr>
          <w:p w:rsidR="00ED5194" w:rsidRPr="0060706A" w:rsidP="001B3814">
            <w:pPr>
              <w:autoSpaceDE w:val="0"/>
              <w:autoSpaceDN w:val="0"/>
              <w:adjustRightInd w:val="0"/>
              <w:jc w:val="center"/>
            </w:pPr>
          </w:p>
        </w:tc>
      </w:tr>
      <w:tr w:rsidTr="00B13758">
        <w:tblPrEx>
          <w:tblW w:w="8154" w:type="dxa"/>
          <w:tblCellMar>
            <w:left w:w="54" w:type="dxa"/>
            <w:right w:w="54" w:type="dxa"/>
          </w:tblCellMar>
          <w:tblLook w:val="0000"/>
        </w:tblPrEx>
        <w:trPr>
          <w:trHeight w:val="1223"/>
        </w:trPr>
        <w:tc>
          <w:tcPr>
            <w:tcW w:w="3810" w:type="dxa"/>
            <w:shd w:val="clear" w:color="auto" w:fill="auto"/>
          </w:tcPr>
          <w:p w:rsidR="00ED5194" w:rsidRPr="00B13758" w:rsidP="00CE4C9A">
            <w:pPr>
              <w:pStyle w:val="ListParagraph"/>
              <w:numPr>
                <w:ilvl w:val="0"/>
                <w:numId w:val="24"/>
              </w:numPr>
              <w:autoSpaceDE w:val="0"/>
              <w:autoSpaceDN w:val="0"/>
              <w:adjustRightInd w:val="0"/>
              <w:rPr>
                <w:b/>
              </w:rPr>
            </w:pPr>
            <w:r w:rsidRPr="00B13758">
              <w:rPr>
                <w:b/>
              </w:rPr>
              <w:t>Domestic 214 Applications—Part 63 Discontinuances</w:t>
            </w:r>
          </w:p>
          <w:p w:rsidR="002A03FA" w:rsidRPr="00B13758" w:rsidP="00B13758">
            <w:pPr>
              <w:pStyle w:val="ListParagraph"/>
              <w:autoSpaceDE w:val="0"/>
              <w:autoSpaceDN w:val="0"/>
              <w:adjustRightInd w:val="0"/>
              <w:rPr>
                <w:b/>
              </w:rPr>
            </w:pPr>
            <w:r>
              <w:rPr>
                <w:b/>
              </w:rPr>
              <w:t>a. Non-Standard Review</w:t>
            </w:r>
          </w:p>
        </w:tc>
        <w:tc>
          <w:tcPr>
            <w:tcW w:w="1429"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83" w:type="dxa"/>
            <w:shd w:val="clear" w:color="auto" w:fill="auto"/>
          </w:tcPr>
          <w:p w:rsidR="001F04E4" w:rsidP="001F04E4">
            <w:pPr>
              <w:autoSpaceDE w:val="0"/>
              <w:autoSpaceDN w:val="0"/>
              <w:adjustRightInd w:val="0"/>
              <w:jc w:val="center"/>
            </w:pPr>
          </w:p>
          <w:p w:rsidR="00ED5194" w:rsidRPr="0060706A">
            <w:pPr>
              <w:autoSpaceDE w:val="0"/>
              <w:autoSpaceDN w:val="0"/>
              <w:adjustRightInd w:val="0"/>
              <w:jc w:val="center"/>
            </w:pPr>
            <w:r w:rsidRPr="0060706A">
              <w:t>$</w:t>
            </w:r>
            <w:r w:rsidR="00B006AD">
              <w:t>1,230</w:t>
            </w:r>
            <w:r w:rsidRPr="0060706A">
              <w:t>.00</w:t>
            </w:r>
          </w:p>
        </w:tc>
        <w:tc>
          <w:tcPr>
            <w:tcW w:w="1432" w:type="dxa"/>
          </w:tcPr>
          <w:p w:rsidR="00ED5194" w:rsidRPr="0060706A" w:rsidP="001B3814">
            <w:pPr>
              <w:autoSpaceDE w:val="0"/>
              <w:autoSpaceDN w:val="0"/>
              <w:adjustRightInd w:val="0"/>
              <w:jc w:val="center"/>
            </w:pPr>
          </w:p>
        </w:tc>
      </w:tr>
      <w:tr w:rsidTr="00B13758">
        <w:tblPrEx>
          <w:tblW w:w="8154" w:type="dxa"/>
          <w:tblCellMar>
            <w:left w:w="54" w:type="dxa"/>
            <w:right w:w="54" w:type="dxa"/>
          </w:tblCellMar>
          <w:tblLook w:val="0000"/>
        </w:tblPrEx>
        <w:trPr>
          <w:trHeight w:val="1223"/>
        </w:trPr>
        <w:tc>
          <w:tcPr>
            <w:tcW w:w="3810" w:type="dxa"/>
            <w:shd w:val="clear" w:color="auto" w:fill="auto"/>
          </w:tcPr>
          <w:p w:rsidR="002E4B28" w:rsidRPr="002E4B28" w:rsidP="00B13758">
            <w:pPr>
              <w:pStyle w:val="ListParagraph"/>
              <w:autoSpaceDE w:val="0"/>
              <w:autoSpaceDN w:val="0"/>
              <w:adjustRightInd w:val="0"/>
              <w:rPr>
                <w:b/>
              </w:rPr>
            </w:pPr>
            <w:r>
              <w:rPr>
                <w:bCs/>
              </w:rPr>
              <w:t>b. Standard Streamlined Review</w:t>
            </w:r>
          </w:p>
        </w:tc>
        <w:tc>
          <w:tcPr>
            <w:tcW w:w="1429" w:type="dxa"/>
          </w:tcPr>
          <w:p w:rsidR="002E4B28" w:rsidRPr="0060706A" w:rsidP="002E4B28">
            <w:pPr>
              <w:autoSpaceDE w:val="0"/>
              <w:autoSpaceDN w:val="0"/>
              <w:adjustRightInd w:val="0"/>
              <w:jc w:val="center"/>
            </w:pPr>
            <w:r w:rsidRPr="0060706A">
              <w:t>Corres &amp; 159</w:t>
            </w:r>
          </w:p>
        </w:tc>
        <w:tc>
          <w:tcPr>
            <w:tcW w:w="1483" w:type="dxa"/>
            <w:shd w:val="clear" w:color="auto" w:fill="auto"/>
            <w:vAlign w:val="center"/>
          </w:tcPr>
          <w:p w:rsidR="002E4B28" w:rsidP="002E4B28">
            <w:pPr>
              <w:autoSpaceDE w:val="0"/>
              <w:autoSpaceDN w:val="0"/>
              <w:adjustRightInd w:val="0"/>
              <w:jc w:val="center"/>
            </w:pPr>
            <w:r>
              <w:t>$335</w:t>
            </w:r>
          </w:p>
        </w:tc>
        <w:tc>
          <w:tcPr>
            <w:tcW w:w="1432" w:type="dxa"/>
          </w:tcPr>
          <w:p w:rsidR="002E4B28" w:rsidRPr="0060706A" w:rsidP="002E4B28">
            <w:pPr>
              <w:autoSpaceDE w:val="0"/>
              <w:autoSpaceDN w:val="0"/>
              <w:adjustRightInd w:val="0"/>
              <w:jc w:val="center"/>
            </w:pPr>
          </w:p>
        </w:tc>
      </w:tr>
      <w:tr w:rsidTr="00B13758">
        <w:tblPrEx>
          <w:tblW w:w="8154" w:type="dxa"/>
          <w:tblCellMar>
            <w:left w:w="54" w:type="dxa"/>
            <w:right w:w="54" w:type="dxa"/>
          </w:tblCellMar>
          <w:tblLook w:val="0000"/>
        </w:tblPrEx>
        <w:trPr>
          <w:trHeight w:val="1223"/>
        </w:trPr>
        <w:tc>
          <w:tcPr>
            <w:tcW w:w="3810" w:type="dxa"/>
            <w:shd w:val="clear" w:color="auto" w:fill="auto"/>
          </w:tcPr>
          <w:p w:rsidR="002E4B28" w:rsidRPr="0060706A" w:rsidP="002E4B28">
            <w:pPr>
              <w:autoSpaceDE w:val="0"/>
              <w:autoSpaceDN w:val="0"/>
              <w:adjustRightInd w:val="0"/>
              <w:ind w:left="540" w:hanging="540"/>
              <w:rPr>
                <w:b/>
              </w:rPr>
            </w:pPr>
            <w:r>
              <w:rPr>
                <w:b/>
              </w:rPr>
              <w:t>3</w:t>
            </w:r>
            <w:r w:rsidRPr="0060706A">
              <w:rPr>
                <w:b/>
              </w:rPr>
              <w:t>.  Interconnection VoIP Numbering Authorization—Part 51</w:t>
            </w:r>
          </w:p>
        </w:tc>
        <w:tc>
          <w:tcPr>
            <w:tcW w:w="1429" w:type="dxa"/>
          </w:tcPr>
          <w:p w:rsidR="002E4B28" w:rsidRPr="0060706A" w:rsidP="002E4B28">
            <w:pPr>
              <w:autoSpaceDE w:val="0"/>
              <w:autoSpaceDN w:val="0"/>
              <w:adjustRightInd w:val="0"/>
              <w:jc w:val="center"/>
            </w:pPr>
          </w:p>
          <w:p w:rsidR="002E4B28" w:rsidRPr="0060706A" w:rsidP="002E4B28">
            <w:pPr>
              <w:autoSpaceDE w:val="0"/>
              <w:autoSpaceDN w:val="0"/>
              <w:adjustRightInd w:val="0"/>
              <w:jc w:val="center"/>
            </w:pPr>
            <w:r w:rsidRPr="0060706A">
              <w:t>Corres &amp; 159</w:t>
            </w:r>
          </w:p>
        </w:tc>
        <w:tc>
          <w:tcPr>
            <w:tcW w:w="1483" w:type="dxa"/>
            <w:shd w:val="clear" w:color="auto" w:fill="auto"/>
          </w:tcPr>
          <w:p w:rsidR="002E4B28" w:rsidP="002E4B28">
            <w:pPr>
              <w:autoSpaceDE w:val="0"/>
              <w:autoSpaceDN w:val="0"/>
              <w:adjustRightInd w:val="0"/>
              <w:jc w:val="center"/>
            </w:pPr>
          </w:p>
          <w:p w:rsidR="002E4B28" w:rsidRPr="0060706A" w:rsidP="002E4B28">
            <w:pPr>
              <w:autoSpaceDE w:val="0"/>
              <w:autoSpaceDN w:val="0"/>
              <w:adjustRightInd w:val="0"/>
              <w:jc w:val="center"/>
            </w:pPr>
            <w:r w:rsidRPr="0060706A">
              <w:t>$1,330.00</w:t>
            </w:r>
          </w:p>
        </w:tc>
        <w:tc>
          <w:tcPr>
            <w:tcW w:w="1432" w:type="dxa"/>
          </w:tcPr>
          <w:p w:rsidR="002E4B28" w:rsidRPr="0060706A" w:rsidP="002E4B28">
            <w:pPr>
              <w:autoSpaceDE w:val="0"/>
              <w:autoSpaceDN w:val="0"/>
              <w:adjustRightInd w:val="0"/>
              <w:jc w:val="center"/>
            </w:pPr>
          </w:p>
        </w:tc>
      </w:tr>
      <w:tr w:rsidTr="00B13758">
        <w:tblPrEx>
          <w:tblW w:w="8154" w:type="dxa"/>
          <w:tblCellMar>
            <w:left w:w="54" w:type="dxa"/>
            <w:right w:w="54" w:type="dxa"/>
          </w:tblCellMar>
          <w:tblLook w:val="0000"/>
        </w:tblPrEx>
        <w:trPr>
          <w:trHeight w:val="1142"/>
        </w:trPr>
        <w:tc>
          <w:tcPr>
            <w:tcW w:w="3810" w:type="dxa"/>
            <w:shd w:val="clear" w:color="auto" w:fill="auto"/>
          </w:tcPr>
          <w:p w:rsidR="002E4B28" w:rsidRPr="0060706A" w:rsidP="002E4B28">
            <w:pPr>
              <w:autoSpaceDE w:val="0"/>
              <w:autoSpaceDN w:val="0"/>
              <w:adjustRightInd w:val="0"/>
              <w:ind w:left="540" w:hanging="540"/>
              <w:rPr>
                <w:b/>
              </w:rPr>
            </w:pPr>
            <w:r>
              <w:rPr>
                <w:b/>
              </w:rPr>
              <w:t>4</w:t>
            </w:r>
            <w:r w:rsidRPr="0060706A">
              <w:rPr>
                <w:b/>
              </w:rPr>
              <w:t xml:space="preserve">.  Tariff </w:t>
            </w:r>
            <w:r w:rsidRPr="0060706A">
              <w:rPr>
                <w:b/>
              </w:rPr>
              <w:t>Filings</w:t>
            </w:r>
          </w:p>
        </w:tc>
        <w:tc>
          <w:tcPr>
            <w:tcW w:w="1429" w:type="dxa"/>
          </w:tcPr>
          <w:p w:rsidR="002E4B28" w:rsidRPr="0060706A" w:rsidP="002E4B28">
            <w:pPr>
              <w:autoSpaceDE w:val="0"/>
              <w:autoSpaceDN w:val="0"/>
              <w:adjustRightInd w:val="0"/>
              <w:jc w:val="center"/>
            </w:pPr>
          </w:p>
          <w:p w:rsidR="002E4B28" w:rsidRPr="0060706A" w:rsidP="002E4B28">
            <w:pPr>
              <w:autoSpaceDE w:val="0"/>
              <w:autoSpaceDN w:val="0"/>
              <w:adjustRightInd w:val="0"/>
              <w:jc w:val="center"/>
            </w:pPr>
            <w:r w:rsidRPr="0060706A">
              <w:t>Corres &amp; 159</w:t>
            </w:r>
          </w:p>
        </w:tc>
        <w:tc>
          <w:tcPr>
            <w:tcW w:w="1483" w:type="dxa"/>
            <w:shd w:val="clear" w:color="auto" w:fill="auto"/>
          </w:tcPr>
          <w:p w:rsidR="002E4B28" w:rsidP="002E4B28">
            <w:pPr>
              <w:autoSpaceDE w:val="0"/>
              <w:autoSpaceDN w:val="0"/>
              <w:adjustRightInd w:val="0"/>
              <w:jc w:val="center"/>
            </w:pPr>
          </w:p>
          <w:p w:rsidR="002E4B28" w:rsidRPr="0060706A" w:rsidP="002E4B28">
            <w:pPr>
              <w:autoSpaceDE w:val="0"/>
              <w:autoSpaceDN w:val="0"/>
              <w:adjustRightInd w:val="0"/>
              <w:jc w:val="center"/>
              <w:rPr>
                <w:spacing w:val="-2"/>
              </w:rPr>
            </w:pPr>
            <w:r w:rsidRPr="0060706A">
              <w:t>$930.00</w:t>
            </w:r>
          </w:p>
        </w:tc>
        <w:tc>
          <w:tcPr>
            <w:tcW w:w="1432" w:type="dxa"/>
          </w:tcPr>
          <w:p w:rsidR="002E4B28" w:rsidRPr="0060706A" w:rsidP="002E4B28">
            <w:pPr>
              <w:autoSpaceDE w:val="0"/>
              <w:autoSpaceDN w:val="0"/>
              <w:adjustRightInd w:val="0"/>
              <w:jc w:val="center"/>
            </w:pPr>
          </w:p>
          <w:p w:rsidR="002E4B28" w:rsidRPr="0060706A" w:rsidP="002E4B28">
            <w:pPr>
              <w:autoSpaceDE w:val="0"/>
              <w:autoSpaceDN w:val="0"/>
              <w:adjustRightInd w:val="0"/>
              <w:jc w:val="center"/>
            </w:pPr>
            <w:r w:rsidRPr="0060706A">
              <w:t>CQK</w:t>
            </w:r>
          </w:p>
        </w:tc>
      </w:tr>
      <w:tr w:rsidTr="00B13758">
        <w:tblPrEx>
          <w:tblW w:w="8154" w:type="dxa"/>
          <w:tblCellMar>
            <w:left w:w="54" w:type="dxa"/>
            <w:right w:w="54" w:type="dxa"/>
          </w:tblCellMar>
          <w:tblLook w:val="0000"/>
        </w:tblPrEx>
        <w:trPr>
          <w:trHeight w:val="1142"/>
        </w:trPr>
        <w:tc>
          <w:tcPr>
            <w:tcW w:w="3810" w:type="dxa"/>
            <w:shd w:val="clear" w:color="auto" w:fill="auto"/>
          </w:tcPr>
          <w:p w:rsidR="002E4B28" w:rsidRPr="0060706A" w:rsidP="002E4B28">
            <w:pPr>
              <w:autoSpaceDE w:val="0"/>
              <w:autoSpaceDN w:val="0"/>
              <w:adjustRightInd w:val="0"/>
              <w:ind w:left="540" w:hanging="540"/>
              <w:rPr>
                <w:b/>
              </w:rPr>
            </w:pPr>
            <w:r>
              <w:rPr>
                <w:b/>
              </w:rPr>
              <w:t>5</w:t>
            </w:r>
            <w:r w:rsidRPr="0060706A">
              <w:rPr>
                <w:b/>
              </w:rPr>
              <w:t>. Complex Tariff Filings (Large)</w:t>
            </w:r>
          </w:p>
        </w:tc>
        <w:tc>
          <w:tcPr>
            <w:tcW w:w="1429" w:type="dxa"/>
          </w:tcPr>
          <w:p w:rsidR="002E4B28" w:rsidRPr="0060706A" w:rsidP="002E4B28">
            <w:pPr>
              <w:autoSpaceDE w:val="0"/>
              <w:autoSpaceDN w:val="0"/>
              <w:adjustRightInd w:val="0"/>
              <w:jc w:val="center"/>
            </w:pPr>
          </w:p>
        </w:tc>
        <w:tc>
          <w:tcPr>
            <w:tcW w:w="1483" w:type="dxa"/>
            <w:shd w:val="clear" w:color="auto" w:fill="auto"/>
          </w:tcPr>
          <w:p w:rsidR="002E4B28" w:rsidP="002E4B28">
            <w:pPr>
              <w:autoSpaceDE w:val="0"/>
              <w:autoSpaceDN w:val="0"/>
              <w:adjustRightInd w:val="0"/>
              <w:jc w:val="center"/>
            </w:pPr>
          </w:p>
          <w:p w:rsidR="002E4B28" w:rsidRPr="0060706A" w:rsidP="002E4B28">
            <w:pPr>
              <w:autoSpaceDE w:val="0"/>
              <w:autoSpaceDN w:val="0"/>
              <w:adjustRightInd w:val="0"/>
              <w:jc w:val="center"/>
            </w:pPr>
            <w:r w:rsidRPr="0060706A">
              <w:t>$6,540.00</w:t>
            </w:r>
          </w:p>
        </w:tc>
        <w:tc>
          <w:tcPr>
            <w:tcW w:w="1432" w:type="dxa"/>
          </w:tcPr>
          <w:p w:rsidR="002E4B28" w:rsidRPr="0060706A" w:rsidP="002E4B28">
            <w:pPr>
              <w:autoSpaceDE w:val="0"/>
              <w:autoSpaceDN w:val="0"/>
              <w:adjustRightInd w:val="0"/>
              <w:jc w:val="center"/>
            </w:pPr>
          </w:p>
        </w:tc>
      </w:tr>
      <w:tr w:rsidTr="00B13758">
        <w:tblPrEx>
          <w:tblW w:w="8154" w:type="dxa"/>
          <w:tblCellMar>
            <w:left w:w="54" w:type="dxa"/>
            <w:right w:w="54" w:type="dxa"/>
          </w:tblCellMar>
          <w:tblLook w:val="0000"/>
        </w:tblPrEx>
        <w:trPr>
          <w:trHeight w:val="1142"/>
        </w:trPr>
        <w:tc>
          <w:tcPr>
            <w:tcW w:w="3810" w:type="dxa"/>
            <w:shd w:val="clear" w:color="auto" w:fill="auto"/>
          </w:tcPr>
          <w:p w:rsidR="002E4B28" w:rsidRPr="0060706A" w:rsidP="002E4B28">
            <w:pPr>
              <w:autoSpaceDE w:val="0"/>
              <w:autoSpaceDN w:val="0"/>
              <w:adjustRightInd w:val="0"/>
              <w:ind w:left="540" w:hanging="540"/>
              <w:rPr>
                <w:b/>
              </w:rPr>
            </w:pPr>
            <w:r>
              <w:rPr>
                <w:b/>
              </w:rPr>
              <w:t>6</w:t>
            </w:r>
            <w:r w:rsidRPr="0060706A">
              <w:rPr>
                <w:b/>
              </w:rPr>
              <w:t>. Complex Tariff Filings (Small)</w:t>
            </w:r>
          </w:p>
        </w:tc>
        <w:tc>
          <w:tcPr>
            <w:tcW w:w="1429" w:type="dxa"/>
          </w:tcPr>
          <w:p w:rsidR="002E4B28" w:rsidRPr="0060706A" w:rsidP="002E4B28">
            <w:pPr>
              <w:autoSpaceDE w:val="0"/>
              <w:autoSpaceDN w:val="0"/>
              <w:adjustRightInd w:val="0"/>
              <w:jc w:val="center"/>
            </w:pPr>
          </w:p>
        </w:tc>
        <w:tc>
          <w:tcPr>
            <w:tcW w:w="1483" w:type="dxa"/>
            <w:shd w:val="clear" w:color="auto" w:fill="auto"/>
          </w:tcPr>
          <w:p w:rsidR="002E4B28" w:rsidP="002E4B28">
            <w:pPr>
              <w:autoSpaceDE w:val="0"/>
              <w:autoSpaceDN w:val="0"/>
              <w:adjustRightInd w:val="0"/>
              <w:jc w:val="center"/>
            </w:pPr>
          </w:p>
          <w:p w:rsidR="002E4B28" w:rsidRPr="0060706A" w:rsidP="002E4B28">
            <w:pPr>
              <w:autoSpaceDE w:val="0"/>
              <w:autoSpaceDN w:val="0"/>
              <w:adjustRightInd w:val="0"/>
              <w:jc w:val="center"/>
            </w:pPr>
            <w:r w:rsidRPr="0060706A">
              <w:t>$3,270.00</w:t>
            </w:r>
          </w:p>
        </w:tc>
        <w:tc>
          <w:tcPr>
            <w:tcW w:w="1432" w:type="dxa"/>
          </w:tcPr>
          <w:p w:rsidR="002E4B28" w:rsidRPr="0060706A" w:rsidP="002E4B28">
            <w:pPr>
              <w:autoSpaceDE w:val="0"/>
              <w:autoSpaceDN w:val="0"/>
              <w:adjustRightInd w:val="0"/>
              <w:jc w:val="center"/>
            </w:pPr>
          </w:p>
        </w:tc>
      </w:tr>
      <w:tr w:rsidTr="00B13758">
        <w:tblPrEx>
          <w:tblW w:w="8154" w:type="dxa"/>
          <w:tblCellMar>
            <w:left w:w="54" w:type="dxa"/>
            <w:right w:w="54" w:type="dxa"/>
          </w:tblCellMar>
          <w:tblLook w:val="0000"/>
        </w:tblPrEx>
        <w:trPr>
          <w:trHeight w:val="1142"/>
        </w:trPr>
        <w:tc>
          <w:tcPr>
            <w:tcW w:w="3810" w:type="dxa"/>
            <w:shd w:val="clear" w:color="auto" w:fill="auto"/>
          </w:tcPr>
          <w:p w:rsidR="002E4B28" w:rsidRPr="0060706A" w:rsidP="002E4B28">
            <w:pPr>
              <w:autoSpaceDE w:val="0"/>
              <w:autoSpaceDN w:val="0"/>
              <w:adjustRightInd w:val="0"/>
              <w:ind w:left="540" w:hanging="540"/>
              <w:rPr>
                <w:b/>
              </w:rPr>
            </w:pPr>
            <w:r>
              <w:rPr>
                <w:b/>
              </w:rPr>
              <w:t>7</w:t>
            </w:r>
            <w:r w:rsidRPr="0060706A">
              <w:rPr>
                <w:b/>
              </w:rPr>
              <w:t>.  Application for Special Permission for Waiver of Tariff Rules</w:t>
            </w:r>
          </w:p>
        </w:tc>
        <w:tc>
          <w:tcPr>
            <w:tcW w:w="1429" w:type="dxa"/>
          </w:tcPr>
          <w:p w:rsidR="002E4B28" w:rsidRPr="0060706A" w:rsidP="002E4B28">
            <w:pPr>
              <w:autoSpaceDE w:val="0"/>
              <w:autoSpaceDN w:val="0"/>
              <w:adjustRightInd w:val="0"/>
              <w:jc w:val="center"/>
            </w:pPr>
          </w:p>
          <w:p w:rsidR="002E4B28" w:rsidRPr="0060706A" w:rsidP="002E4B28">
            <w:pPr>
              <w:autoSpaceDE w:val="0"/>
              <w:autoSpaceDN w:val="0"/>
              <w:adjustRightInd w:val="0"/>
              <w:jc w:val="center"/>
            </w:pPr>
            <w:r w:rsidRPr="0060706A">
              <w:t>Corres &amp; 159</w:t>
            </w:r>
          </w:p>
        </w:tc>
        <w:tc>
          <w:tcPr>
            <w:tcW w:w="1483" w:type="dxa"/>
            <w:shd w:val="clear" w:color="auto" w:fill="auto"/>
          </w:tcPr>
          <w:p w:rsidR="002E4B28" w:rsidP="002E4B28">
            <w:pPr>
              <w:autoSpaceDE w:val="0"/>
              <w:autoSpaceDN w:val="0"/>
              <w:adjustRightInd w:val="0"/>
              <w:jc w:val="center"/>
            </w:pPr>
          </w:p>
          <w:p w:rsidR="002E4B28" w:rsidRPr="0060706A" w:rsidP="002E4B28">
            <w:pPr>
              <w:autoSpaceDE w:val="0"/>
              <w:autoSpaceDN w:val="0"/>
              <w:adjustRightInd w:val="0"/>
              <w:jc w:val="center"/>
            </w:pPr>
            <w:r w:rsidRPr="0060706A">
              <w:t>$375.00</w:t>
            </w:r>
          </w:p>
        </w:tc>
        <w:tc>
          <w:tcPr>
            <w:tcW w:w="1432" w:type="dxa"/>
          </w:tcPr>
          <w:p w:rsidR="002E4B28" w:rsidRPr="0060706A" w:rsidP="002E4B28">
            <w:pPr>
              <w:autoSpaceDE w:val="0"/>
              <w:autoSpaceDN w:val="0"/>
              <w:adjustRightInd w:val="0"/>
              <w:jc w:val="center"/>
            </w:pPr>
          </w:p>
        </w:tc>
      </w:tr>
      <w:tr w:rsidTr="00B13758">
        <w:tblPrEx>
          <w:tblW w:w="8154" w:type="dxa"/>
          <w:tblCellMar>
            <w:left w:w="54" w:type="dxa"/>
            <w:right w:w="54" w:type="dxa"/>
          </w:tblCellMar>
          <w:tblLook w:val="0000"/>
        </w:tblPrEx>
        <w:trPr>
          <w:trHeight w:val="1223"/>
        </w:trPr>
        <w:tc>
          <w:tcPr>
            <w:tcW w:w="3810" w:type="dxa"/>
            <w:shd w:val="clear" w:color="auto" w:fill="auto"/>
          </w:tcPr>
          <w:p w:rsidR="002E4B28" w:rsidRPr="0060706A" w:rsidP="002E4B28">
            <w:pPr>
              <w:autoSpaceDE w:val="0"/>
              <w:autoSpaceDN w:val="0"/>
              <w:adjustRightInd w:val="0"/>
              <w:ind w:left="540" w:hanging="540"/>
              <w:rPr>
                <w:b/>
              </w:rPr>
            </w:pPr>
            <w:r>
              <w:t>8.</w:t>
            </w:r>
            <w:r w:rsidR="00B13758">
              <w:t xml:space="preserve"> </w:t>
            </w:r>
            <w:r w:rsidRPr="00B13758">
              <w:rPr>
                <w:b/>
                <w:bCs/>
              </w:rPr>
              <w:t xml:space="preserve">Universal Service </w:t>
            </w:r>
            <w:r w:rsidRPr="00B13758">
              <w:rPr>
                <w:b/>
                <w:bCs/>
              </w:rPr>
              <w:t>Short-Form Auction Application</w:t>
            </w:r>
          </w:p>
        </w:tc>
        <w:tc>
          <w:tcPr>
            <w:tcW w:w="1429" w:type="dxa"/>
          </w:tcPr>
          <w:p w:rsidR="002E4B28" w:rsidRPr="0060706A" w:rsidP="002E4B28">
            <w:pPr>
              <w:autoSpaceDE w:val="0"/>
              <w:autoSpaceDN w:val="0"/>
              <w:adjustRightInd w:val="0"/>
              <w:jc w:val="center"/>
            </w:pPr>
          </w:p>
          <w:p w:rsidR="002E4B28" w:rsidRPr="0060706A" w:rsidP="002E4B28">
            <w:pPr>
              <w:autoSpaceDE w:val="0"/>
              <w:autoSpaceDN w:val="0"/>
              <w:adjustRightInd w:val="0"/>
              <w:jc w:val="center"/>
            </w:pPr>
          </w:p>
        </w:tc>
        <w:tc>
          <w:tcPr>
            <w:tcW w:w="1483" w:type="dxa"/>
            <w:shd w:val="clear" w:color="auto" w:fill="auto"/>
          </w:tcPr>
          <w:p w:rsidR="002E4B28" w:rsidP="002E4B28">
            <w:pPr>
              <w:autoSpaceDE w:val="0"/>
              <w:autoSpaceDN w:val="0"/>
              <w:adjustRightInd w:val="0"/>
              <w:jc w:val="center"/>
            </w:pPr>
          </w:p>
          <w:p w:rsidR="002E4B28" w:rsidRPr="0060706A" w:rsidP="002E4B28">
            <w:pPr>
              <w:autoSpaceDE w:val="0"/>
              <w:autoSpaceDN w:val="0"/>
              <w:adjustRightInd w:val="0"/>
              <w:jc w:val="center"/>
              <w:rPr>
                <w:spacing w:val="-2"/>
              </w:rPr>
            </w:pPr>
            <w:r>
              <w:t>$1,030</w:t>
            </w:r>
          </w:p>
        </w:tc>
        <w:tc>
          <w:tcPr>
            <w:tcW w:w="1432" w:type="dxa"/>
          </w:tcPr>
          <w:p w:rsidR="002E4B28" w:rsidRPr="0060706A" w:rsidP="002E4B28">
            <w:pPr>
              <w:autoSpaceDE w:val="0"/>
              <w:autoSpaceDN w:val="0"/>
              <w:adjustRightInd w:val="0"/>
              <w:jc w:val="center"/>
            </w:pPr>
          </w:p>
          <w:p w:rsidR="002E4B28" w:rsidRPr="0060706A" w:rsidP="002E4B28">
            <w:pPr>
              <w:autoSpaceDE w:val="0"/>
              <w:autoSpaceDN w:val="0"/>
              <w:adjustRightInd w:val="0"/>
              <w:jc w:val="center"/>
            </w:pPr>
          </w:p>
        </w:tc>
      </w:tr>
      <w:tr w:rsidTr="00B13758">
        <w:tblPrEx>
          <w:tblW w:w="8154" w:type="dxa"/>
          <w:tblCellMar>
            <w:left w:w="54" w:type="dxa"/>
            <w:right w:w="54" w:type="dxa"/>
          </w:tblCellMar>
          <w:tblLook w:val="0000"/>
        </w:tblPrEx>
        <w:trPr>
          <w:trHeight w:val="1223"/>
        </w:trPr>
        <w:tc>
          <w:tcPr>
            <w:tcW w:w="3810" w:type="dxa"/>
            <w:shd w:val="clear" w:color="auto" w:fill="auto"/>
          </w:tcPr>
          <w:p w:rsidR="002E4B28" w:rsidRPr="0060706A" w:rsidP="002E4B28">
            <w:pPr>
              <w:autoSpaceDE w:val="0"/>
              <w:autoSpaceDN w:val="0"/>
              <w:adjustRightInd w:val="0"/>
              <w:ind w:left="540" w:hanging="540"/>
              <w:rPr>
                <w:b/>
              </w:rPr>
            </w:pPr>
            <w:r>
              <w:rPr>
                <w:b/>
              </w:rPr>
              <w:t>9</w:t>
            </w:r>
            <w:r w:rsidRPr="0060706A">
              <w:rPr>
                <w:b/>
              </w:rPr>
              <w:t xml:space="preserve">. </w:t>
            </w:r>
            <w:r w:rsidR="00B13758">
              <w:rPr>
                <w:b/>
              </w:rPr>
              <w:t>Universal Service</w:t>
            </w:r>
            <w:r w:rsidRPr="0060706A" w:rsidR="00B13758">
              <w:rPr>
                <w:b/>
              </w:rPr>
              <w:t xml:space="preserve"> </w:t>
            </w:r>
            <w:r w:rsidRPr="0060706A">
              <w:rPr>
                <w:b/>
              </w:rPr>
              <w:t>Long Form Auction Application</w:t>
            </w:r>
          </w:p>
        </w:tc>
        <w:tc>
          <w:tcPr>
            <w:tcW w:w="1429" w:type="dxa"/>
          </w:tcPr>
          <w:p w:rsidR="002E4B28" w:rsidRPr="0060706A" w:rsidP="002E4B28">
            <w:pPr>
              <w:autoSpaceDE w:val="0"/>
              <w:autoSpaceDN w:val="0"/>
              <w:adjustRightInd w:val="0"/>
              <w:jc w:val="center"/>
            </w:pPr>
          </w:p>
        </w:tc>
        <w:tc>
          <w:tcPr>
            <w:tcW w:w="1483" w:type="dxa"/>
            <w:shd w:val="clear" w:color="auto" w:fill="auto"/>
          </w:tcPr>
          <w:p w:rsidR="002E4B28" w:rsidP="002E4B28">
            <w:pPr>
              <w:autoSpaceDE w:val="0"/>
              <w:autoSpaceDN w:val="0"/>
              <w:adjustRightInd w:val="0"/>
              <w:jc w:val="center"/>
            </w:pPr>
          </w:p>
          <w:p w:rsidR="002E4B28" w:rsidRPr="0060706A" w:rsidP="002E4B28">
            <w:pPr>
              <w:autoSpaceDE w:val="0"/>
              <w:autoSpaceDN w:val="0"/>
              <w:adjustRightInd w:val="0"/>
              <w:jc w:val="center"/>
            </w:pPr>
            <w:r w:rsidRPr="0060706A">
              <w:t>$1,935.00</w:t>
            </w:r>
          </w:p>
        </w:tc>
        <w:tc>
          <w:tcPr>
            <w:tcW w:w="1432" w:type="dxa"/>
          </w:tcPr>
          <w:p w:rsidR="002E4B28" w:rsidRPr="0060706A" w:rsidP="002E4B28">
            <w:pPr>
              <w:autoSpaceDE w:val="0"/>
              <w:autoSpaceDN w:val="0"/>
              <w:adjustRightInd w:val="0"/>
              <w:jc w:val="center"/>
            </w:pPr>
          </w:p>
        </w:tc>
      </w:tr>
      <w:tr w:rsidTr="00B13758">
        <w:tblPrEx>
          <w:tblW w:w="8154" w:type="dxa"/>
          <w:tblCellMar>
            <w:left w:w="54" w:type="dxa"/>
            <w:right w:w="54" w:type="dxa"/>
          </w:tblCellMar>
          <w:tblLook w:val="0000"/>
        </w:tblPrEx>
        <w:trPr>
          <w:trHeight w:val="1232"/>
        </w:trPr>
        <w:tc>
          <w:tcPr>
            <w:tcW w:w="3810" w:type="dxa"/>
            <w:shd w:val="clear" w:color="auto" w:fill="auto"/>
          </w:tcPr>
          <w:p w:rsidR="002E4B28" w:rsidRPr="0060706A" w:rsidP="002E4B28">
            <w:pPr>
              <w:autoSpaceDE w:val="0"/>
              <w:autoSpaceDN w:val="0"/>
              <w:adjustRightInd w:val="0"/>
              <w:ind w:left="540" w:hanging="540"/>
              <w:rPr>
                <w:b/>
              </w:rPr>
            </w:pPr>
            <w:r w:rsidRPr="0060706A">
              <w:rPr>
                <w:b/>
              </w:rPr>
              <w:t>1</w:t>
            </w:r>
            <w:r>
              <w:rPr>
                <w:b/>
              </w:rPr>
              <w:t>0</w:t>
            </w:r>
            <w:r w:rsidRPr="0060706A">
              <w:rPr>
                <w:b/>
              </w:rPr>
              <w:t>.  Waiver of Accounting Rules</w:t>
            </w:r>
            <w:r w:rsidRPr="0060706A">
              <w:t xml:space="preserve">     </w:t>
            </w:r>
          </w:p>
        </w:tc>
        <w:tc>
          <w:tcPr>
            <w:tcW w:w="1429" w:type="dxa"/>
          </w:tcPr>
          <w:p w:rsidR="002E4B28" w:rsidRPr="0060706A" w:rsidP="002E4B28">
            <w:pPr>
              <w:autoSpaceDE w:val="0"/>
              <w:autoSpaceDN w:val="0"/>
              <w:adjustRightInd w:val="0"/>
              <w:jc w:val="center"/>
            </w:pPr>
          </w:p>
          <w:p w:rsidR="002E4B28" w:rsidRPr="0060706A" w:rsidP="002E4B28">
            <w:pPr>
              <w:autoSpaceDE w:val="0"/>
              <w:autoSpaceDN w:val="0"/>
              <w:adjustRightInd w:val="0"/>
              <w:jc w:val="center"/>
            </w:pPr>
            <w:r w:rsidRPr="0060706A">
              <w:t>Corres &amp; 159</w:t>
            </w:r>
          </w:p>
        </w:tc>
        <w:tc>
          <w:tcPr>
            <w:tcW w:w="1483" w:type="dxa"/>
            <w:shd w:val="clear" w:color="auto" w:fill="auto"/>
          </w:tcPr>
          <w:p w:rsidR="002E4B28" w:rsidP="002E4B28">
            <w:pPr>
              <w:autoSpaceDE w:val="0"/>
              <w:autoSpaceDN w:val="0"/>
              <w:adjustRightInd w:val="0"/>
              <w:jc w:val="center"/>
            </w:pPr>
          </w:p>
          <w:p w:rsidR="002E4B28" w:rsidRPr="0060706A" w:rsidP="002E4B28">
            <w:pPr>
              <w:autoSpaceDE w:val="0"/>
              <w:autoSpaceDN w:val="0"/>
              <w:adjustRightInd w:val="0"/>
              <w:jc w:val="center"/>
              <w:rPr>
                <w:spacing w:val="-2"/>
              </w:rPr>
            </w:pPr>
            <w:r w:rsidRPr="0060706A">
              <w:t>$4,415.00</w:t>
            </w:r>
          </w:p>
        </w:tc>
        <w:tc>
          <w:tcPr>
            <w:tcW w:w="1432" w:type="dxa"/>
          </w:tcPr>
          <w:p w:rsidR="002E4B28" w:rsidRPr="0060706A" w:rsidP="002E4B28">
            <w:pPr>
              <w:autoSpaceDE w:val="0"/>
              <w:autoSpaceDN w:val="0"/>
              <w:adjustRightInd w:val="0"/>
              <w:jc w:val="center"/>
            </w:pPr>
          </w:p>
          <w:p w:rsidR="002E4B28" w:rsidRPr="0060706A" w:rsidP="002E4B28">
            <w:pPr>
              <w:autoSpaceDE w:val="0"/>
              <w:autoSpaceDN w:val="0"/>
              <w:adjustRightInd w:val="0"/>
              <w:jc w:val="center"/>
            </w:pPr>
            <w:r w:rsidRPr="0060706A">
              <w:t>BEA</w:t>
            </w:r>
          </w:p>
        </w:tc>
      </w:tr>
    </w:tbl>
    <w:p w:rsidR="00ED5194" w:rsidRPr="0059512C" w:rsidP="00ED5194">
      <w:pPr>
        <w:rPr>
          <w:bCs/>
          <w:szCs w:val="22"/>
        </w:rPr>
      </w:pPr>
    </w:p>
    <w:p w:rsidR="00ED5194" w:rsidRPr="0059512C" w:rsidP="00ED5194">
      <w:pPr>
        <w:rPr>
          <w:bCs/>
          <w:szCs w:val="22"/>
        </w:rPr>
      </w:pPr>
    </w:p>
    <w:p w:rsidR="00ED5194" w:rsidRPr="0059512C" w:rsidP="00ED5194">
      <w:pPr>
        <w:rPr>
          <w:bCs/>
          <w:szCs w:val="22"/>
        </w:rPr>
      </w:pPr>
    </w:p>
    <w:p w:rsidR="00ED5194" w:rsidRPr="0059512C" w:rsidP="00ED5194">
      <w:pPr>
        <w:rPr>
          <w:szCs w:val="22"/>
        </w:rPr>
      </w:pPr>
      <w:r w:rsidRPr="0059512C">
        <w:rPr>
          <w:szCs w:val="22"/>
        </w:rPr>
        <w:t>7.  Section 1.1106 is revised to read as follows:</w:t>
      </w:r>
    </w:p>
    <w:p w:rsidR="00ED5194" w:rsidRPr="0059512C" w:rsidP="00ED5194">
      <w:pPr>
        <w:ind w:left="360"/>
        <w:rPr>
          <w:bCs/>
          <w:szCs w:val="22"/>
        </w:rPr>
      </w:pPr>
    </w:p>
    <w:p w:rsidR="00ED5194" w:rsidRPr="0059512C" w:rsidP="00ED5194">
      <w:pPr>
        <w:rPr>
          <w:bCs/>
          <w:szCs w:val="22"/>
        </w:rPr>
      </w:pPr>
      <w:r w:rsidRPr="0059512C">
        <w:rPr>
          <w:bCs/>
          <w:szCs w:val="22"/>
          <w:u w:val="single"/>
        </w:rPr>
        <w:t xml:space="preserve">§1.1106 Schedule of </w:t>
      </w:r>
      <w:r w:rsidRPr="0059512C">
        <w:rPr>
          <w:bCs/>
          <w:szCs w:val="22"/>
          <w:u w:val="single"/>
        </w:rPr>
        <w:t>charges for applications and other filings for the enforcement services</w:t>
      </w:r>
      <w:r w:rsidRPr="0059512C">
        <w:rPr>
          <w:bCs/>
          <w:szCs w:val="22"/>
        </w:rPr>
        <w:t>.</w:t>
      </w:r>
    </w:p>
    <w:p w:rsidR="00ED5194" w:rsidRPr="0059512C" w:rsidP="00ED5194">
      <w:pPr>
        <w:rPr>
          <w:bCs/>
          <w:szCs w:val="22"/>
        </w:rPr>
      </w:pPr>
    </w:p>
    <w:p w:rsidR="00ED5194" w:rsidRPr="0059512C" w:rsidP="00ED5194">
      <w:pPr>
        <w:ind w:left="360" w:right="-180"/>
        <w:rPr>
          <w:szCs w:val="22"/>
        </w:rPr>
      </w:pPr>
      <w:r w:rsidRPr="0059512C">
        <w:rPr>
          <w:szCs w:val="22"/>
        </w:rPr>
        <w:t>*****</w:t>
      </w:r>
    </w:p>
    <w:p w:rsidR="00ED5194" w:rsidRPr="0059512C" w:rsidP="00ED5194">
      <w:pPr>
        <w:rPr>
          <w:bCs/>
          <w:szCs w:val="22"/>
        </w:rPr>
      </w:pPr>
    </w:p>
    <w:p w:rsidR="00107F84" w:rsidRPr="0059512C" w:rsidP="00107F84">
      <w:pPr>
        <w:rPr>
          <w:szCs w:val="22"/>
        </w:rPr>
      </w:pPr>
      <w:r w:rsidRPr="0059512C">
        <w:rPr>
          <w:szCs w:val="22"/>
        </w:rPr>
        <w:t xml:space="preserve">Remit payment for these services electronically using the Commission’s electronic payment system in accordance with the procedures set forth on the Commission’s website, </w:t>
      </w:r>
      <w:hyperlink r:id="rId9" w:history="1">
        <w:r w:rsidRPr="0059512C">
          <w:rPr>
            <w:rStyle w:val="Hyperlink"/>
            <w:szCs w:val="22"/>
          </w:rPr>
          <w:t>www.fcc.gov/licensing-data</w:t>
        </w:r>
        <w:r w:rsidRPr="0059512C">
          <w:rPr>
            <w:rStyle w:val="Hyperlink"/>
            <w:szCs w:val="22"/>
          </w:rPr>
          <w:t>bases/fees</w:t>
        </w:r>
      </w:hyperlink>
      <w:r w:rsidRPr="0059512C">
        <w:rPr>
          <w:szCs w:val="22"/>
        </w:rPr>
        <w:t>.</w:t>
      </w:r>
    </w:p>
    <w:p w:rsidR="00ED5194" w:rsidRPr="0059512C" w:rsidP="00ED5194">
      <w:pPr>
        <w:rPr>
          <w:bCs/>
          <w:szCs w:val="22"/>
        </w:rPr>
      </w:pPr>
    </w:p>
    <w:p w:rsidR="00ED5194" w:rsidRPr="0059512C" w:rsidP="00ED5194">
      <w:pPr>
        <w:ind w:left="360" w:right="-180"/>
        <w:rPr>
          <w:bCs/>
          <w:szCs w:val="22"/>
        </w:rPr>
      </w:pP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3834"/>
        <w:gridCol w:w="1440"/>
        <w:gridCol w:w="1440"/>
        <w:gridCol w:w="1440"/>
      </w:tblGrid>
      <w:tr w:rsidTr="001B3814">
        <w:tblPrEx>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Ex>
        <w:trPr>
          <w:trHeight w:val="593"/>
          <w:tblHeader/>
        </w:trPr>
        <w:tc>
          <w:tcPr>
            <w:tcW w:w="3834" w:type="dxa"/>
            <w:shd w:val="clear" w:color="auto" w:fill="auto"/>
            <w:vAlign w:val="center"/>
          </w:tcPr>
          <w:p w:rsidR="00ED5194" w:rsidRPr="0060706A" w:rsidP="001B3814">
            <w:pPr>
              <w:autoSpaceDE w:val="0"/>
              <w:autoSpaceDN w:val="0"/>
              <w:adjustRightInd w:val="0"/>
              <w:jc w:val="center"/>
              <w:rPr>
                <w:b/>
              </w:rPr>
            </w:pPr>
            <w:r w:rsidRPr="0060706A">
              <w:rPr>
                <w:b/>
              </w:rPr>
              <w:t>Service</w:t>
            </w:r>
          </w:p>
        </w:tc>
        <w:tc>
          <w:tcPr>
            <w:tcW w:w="1440" w:type="dxa"/>
          </w:tcPr>
          <w:p w:rsidR="00ED5194" w:rsidRPr="0060706A" w:rsidP="001B3814">
            <w:pPr>
              <w:autoSpaceDE w:val="0"/>
              <w:autoSpaceDN w:val="0"/>
              <w:adjustRightInd w:val="0"/>
              <w:jc w:val="center"/>
              <w:rPr>
                <w:b/>
              </w:rPr>
            </w:pPr>
            <w:r w:rsidRPr="0060706A">
              <w:rPr>
                <w:b/>
              </w:rPr>
              <w:t>FCC Form No.</w:t>
            </w:r>
          </w:p>
        </w:tc>
        <w:tc>
          <w:tcPr>
            <w:tcW w:w="1440" w:type="dxa"/>
            <w:shd w:val="clear" w:color="auto" w:fill="auto"/>
            <w:vAlign w:val="center"/>
          </w:tcPr>
          <w:p w:rsidR="00ED5194" w:rsidRPr="0060706A" w:rsidP="001B3814">
            <w:pPr>
              <w:autoSpaceDE w:val="0"/>
              <w:autoSpaceDN w:val="0"/>
              <w:adjustRightInd w:val="0"/>
              <w:jc w:val="center"/>
              <w:rPr>
                <w:b/>
              </w:rPr>
            </w:pPr>
            <w:r w:rsidRPr="0060706A">
              <w:rPr>
                <w:b/>
              </w:rPr>
              <w:t>Proposed Fee</w:t>
            </w:r>
          </w:p>
          <w:p w:rsidR="00ED5194" w:rsidRPr="0060706A" w:rsidP="001B3814">
            <w:pPr>
              <w:autoSpaceDE w:val="0"/>
              <w:autoSpaceDN w:val="0"/>
              <w:adjustRightInd w:val="0"/>
              <w:jc w:val="center"/>
              <w:rPr>
                <w:b/>
              </w:rPr>
            </w:pPr>
            <w:r w:rsidRPr="0060706A">
              <w:rPr>
                <w:b/>
              </w:rPr>
              <w:t>Amount</w:t>
            </w:r>
          </w:p>
        </w:tc>
        <w:tc>
          <w:tcPr>
            <w:tcW w:w="1440" w:type="dxa"/>
          </w:tcPr>
          <w:p w:rsidR="00ED5194" w:rsidRPr="0060706A" w:rsidP="001B3814">
            <w:pPr>
              <w:autoSpaceDE w:val="0"/>
              <w:autoSpaceDN w:val="0"/>
              <w:adjustRightInd w:val="0"/>
              <w:jc w:val="center"/>
              <w:rPr>
                <w:b/>
              </w:rPr>
            </w:pPr>
            <w:r w:rsidRPr="0060706A">
              <w:rPr>
                <w:b/>
              </w:rPr>
              <w:t>Payment Type Code</w:t>
            </w:r>
          </w:p>
        </w:tc>
      </w:tr>
      <w:tr w:rsidTr="00B13758">
        <w:tblPrEx>
          <w:tblW w:w="8154" w:type="dxa"/>
          <w:tblCellMar>
            <w:left w:w="54" w:type="dxa"/>
            <w:right w:w="54" w:type="dxa"/>
          </w:tblCellMar>
          <w:tblLook w:val="0000"/>
        </w:tblPrEx>
        <w:trPr>
          <w:trHeight w:val="1043"/>
        </w:trPr>
        <w:tc>
          <w:tcPr>
            <w:tcW w:w="3834" w:type="dxa"/>
            <w:shd w:val="clear" w:color="auto" w:fill="auto"/>
          </w:tcPr>
          <w:p w:rsidR="00ED5194" w:rsidRPr="0060706A" w:rsidP="001B3814">
            <w:pPr>
              <w:autoSpaceDE w:val="0"/>
              <w:autoSpaceDN w:val="0"/>
              <w:adjustRightInd w:val="0"/>
              <w:ind w:left="540" w:hanging="540"/>
              <w:rPr>
                <w:b/>
              </w:rPr>
            </w:pPr>
            <w:r w:rsidRPr="0060706A">
              <w:rPr>
                <w:b/>
              </w:rPr>
              <w:t>1.  Formal Complaints and Pole Attachment Complaints</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p w:rsidR="00ED5194" w:rsidRPr="0060706A" w:rsidP="001B3814"/>
          <w:p w:rsidR="00ED5194" w:rsidRPr="0060706A" w:rsidP="001B3814">
            <w:pPr>
              <w:jc w:val="center"/>
            </w:pPr>
          </w:p>
        </w:tc>
        <w:tc>
          <w:tcPr>
            <w:tcW w:w="1440" w:type="dxa"/>
            <w:shd w:val="clear" w:color="auto" w:fill="auto"/>
          </w:tcPr>
          <w:p w:rsidR="00087A38" w:rsidP="00087A38">
            <w:pPr>
              <w:autoSpaceDE w:val="0"/>
              <w:autoSpaceDN w:val="0"/>
              <w:adjustRightInd w:val="0"/>
              <w:jc w:val="center"/>
            </w:pPr>
          </w:p>
          <w:p w:rsidR="00ED5194" w:rsidRPr="0060706A">
            <w:pPr>
              <w:autoSpaceDE w:val="0"/>
              <w:autoSpaceDN w:val="0"/>
              <w:adjustRightInd w:val="0"/>
              <w:jc w:val="center"/>
              <w:rPr>
                <w:b/>
              </w:rPr>
            </w:pPr>
            <w:r w:rsidRPr="0060706A">
              <w:t>$5</w:t>
            </w:r>
            <w:r w:rsidRPr="0060706A" w:rsidR="00D05066">
              <w:t>40</w:t>
            </w:r>
            <w:r w:rsidRPr="0060706A">
              <w:t>.00</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CIZ</w:t>
            </w:r>
          </w:p>
        </w:tc>
      </w:tr>
    </w:tbl>
    <w:p w:rsidR="00ED5194" w:rsidRPr="0059512C" w:rsidP="00ED5194">
      <w:pPr>
        <w:ind w:left="360" w:right="-180"/>
        <w:rPr>
          <w:bCs/>
          <w:szCs w:val="22"/>
        </w:rPr>
      </w:pPr>
    </w:p>
    <w:p w:rsidR="00ED5194" w:rsidRPr="0059512C" w:rsidP="00ED5194">
      <w:pPr>
        <w:rPr>
          <w:szCs w:val="22"/>
        </w:rPr>
      </w:pPr>
      <w:r w:rsidRPr="0059512C">
        <w:rPr>
          <w:szCs w:val="22"/>
        </w:rPr>
        <w:t>8.  Section 1.1107 is revised to read as follows:</w:t>
      </w:r>
    </w:p>
    <w:p w:rsidR="00ED5194" w:rsidRPr="0059512C" w:rsidP="00ED5194">
      <w:pPr>
        <w:ind w:left="360"/>
        <w:rPr>
          <w:szCs w:val="22"/>
        </w:rPr>
      </w:pPr>
    </w:p>
    <w:p w:rsidR="00ED5194" w:rsidRPr="0059512C" w:rsidP="00ED5194">
      <w:pPr>
        <w:rPr>
          <w:b/>
          <w:szCs w:val="22"/>
          <w:u w:val="single"/>
        </w:rPr>
      </w:pPr>
      <w:r w:rsidRPr="0059512C">
        <w:rPr>
          <w:szCs w:val="22"/>
          <w:u w:val="single"/>
        </w:rPr>
        <w:t xml:space="preserve">§1.1107 Schedule of charges for </w:t>
      </w:r>
      <w:r w:rsidRPr="0059512C">
        <w:rPr>
          <w:szCs w:val="22"/>
          <w:u w:val="single"/>
        </w:rPr>
        <w:t>applications and other filings for the international services</w:t>
      </w:r>
      <w:r w:rsidRPr="0059512C">
        <w:rPr>
          <w:szCs w:val="22"/>
        </w:rPr>
        <w:t>.</w:t>
      </w:r>
      <w:r w:rsidRPr="0059512C">
        <w:rPr>
          <w:szCs w:val="22"/>
          <w:u w:val="single"/>
        </w:rPr>
        <w:t xml:space="preserve"> </w:t>
      </w:r>
    </w:p>
    <w:p w:rsidR="00ED5194" w:rsidRPr="0059512C" w:rsidP="00ED5194">
      <w:pPr>
        <w:rPr>
          <w:szCs w:val="22"/>
          <w:u w:val="single"/>
        </w:rPr>
      </w:pPr>
    </w:p>
    <w:p w:rsidR="00ED5194" w:rsidRPr="0059512C" w:rsidP="00ED5194">
      <w:pPr>
        <w:ind w:left="360" w:right="-180"/>
        <w:rPr>
          <w:szCs w:val="22"/>
          <w:u w:val="single"/>
        </w:rPr>
      </w:pPr>
      <w:r w:rsidRPr="0059512C">
        <w:rPr>
          <w:szCs w:val="22"/>
        </w:rPr>
        <w:t>*****</w:t>
      </w:r>
    </w:p>
    <w:p w:rsidR="00ED5194" w:rsidRPr="0059512C" w:rsidP="00ED5194">
      <w:pPr>
        <w:ind w:left="360"/>
        <w:rPr>
          <w:bCs/>
          <w:szCs w:val="22"/>
        </w:rPr>
      </w:pPr>
      <w:r w:rsidRPr="0059512C">
        <w:rPr>
          <w:bCs/>
          <w:szCs w:val="22"/>
        </w:rPr>
        <w:t>Payment can be made electronically using the Commission’s electronic filing and payment system Fee Filer (</w:t>
      </w:r>
      <w:hyperlink r:id="rId8" w:history="1">
        <w:r w:rsidRPr="0059512C">
          <w:rPr>
            <w:rStyle w:val="Hyperlink"/>
            <w:bCs/>
            <w:szCs w:val="22"/>
          </w:rPr>
          <w:t>www.fcc.gov/feefiler</w:t>
        </w:r>
      </w:hyperlink>
      <w:r w:rsidRPr="0059512C">
        <w:rPr>
          <w:bCs/>
          <w:szCs w:val="22"/>
        </w:rPr>
        <w:t>).  Remit manua</w:t>
      </w:r>
      <w:r w:rsidRPr="0059512C">
        <w:rPr>
          <w:bCs/>
          <w:szCs w:val="22"/>
        </w:rPr>
        <w:t xml:space="preserve">l filings and/or payments for these services to: Federal Communications Commission, International Bureau Applications, P.O. Box 979093, St. Louis, MO 63197-9000. </w:t>
      </w:r>
    </w:p>
    <w:p w:rsidR="00ED5194" w:rsidRPr="0059512C" w:rsidP="00ED5194">
      <w:pPr>
        <w:ind w:left="360" w:right="-180"/>
        <w:rPr>
          <w:bCs/>
          <w:szCs w:val="22"/>
        </w:rPr>
      </w:pPr>
    </w:p>
    <w:p w:rsidR="00ED5194" w:rsidRPr="0059512C" w:rsidP="00ED5194">
      <w:pPr>
        <w:ind w:left="360" w:right="-180"/>
        <w:rPr>
          <w:bCs/>
          <w:szCs w:val="22"/>
        </w:rPr>
      </w:pPr>
    </w:p>
    <w:tbl>
      <w:tblPr>
        <w:tblW w:w="819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3870"/>
        <w:gridCol w:w="1440"/>
        <w:gridCol w:w="1440"/>
        <w:gridCol w:w="1440"/>
      </w:tblGrid>
      <w:tr w:rsidTr="001B3814">
        <w:tblPrEx>
          <w:tblW w:w="819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Ex>
        <w:trPr>
          <w:trHeight w:val="615"/>
          <w:tblHeader/>
        </w:trPr>
        <w:tc>
          <w:tcPr>
            <w:tcW w:w="3870" w:type="dxa"/>
            <w:shd w:val="clear" w:color="auto" w:fill="auto"/>
            <w:vAlign w:val="center"/>
          </w:tcPr>
          <w:p w:rsidR="00ED5194" w:rsidRPr="0060706A" w:rsidP="001B3814">
            <w:pPr>
              <w:autoSpaceDE w:val="0"/>
              <w:autoSpaceDN w:val="0"/>
              <w:adjustRightInd w:val="0"/>
              <w:jc w:val="center"/>
              <w:rPr>
                <w:b/>
              </w:rPr>
            </w:pPr>
            <w:r w:rsidRPr="0060706A">
              <w:rPr>
                <w:b/>
              </w:rPr>
              <w:t>Service</w:t>
            </w:r>
          </w:p>
        </w:tc>
        <w:tc>
          <w:tcPr>
            <w:tcW w:w="1440" w:type="dxa"/>
          </w:tcPr>
          <w:p w:rsidR="00ED5194" w:rsidRPr="0060706A" w:rsidP="001B3814">
            <w:pPr>
              <w:autoSpaceDE w:val="0"/>
              <w:autoSpaceDN w:val="0"/>
              <w:adjustRightInd w:val="0"/>
              <w:jc w:val="center"/>
              <w:rPr>
                <w:b/>
              </w:rPr>
            </w:pPr>
            <w:r w:rsidRPr="0060706A">
              <w:rPr>
                <w:b/>
              </w:rPr>
              <w:t>FCC Form No.</w:t>
            </w:r>
          </w:p>
        </w:tc>
        <w:tc>
          <w:tcPr>
            <w:tcW w:w="1440" w:type="dxa"/>
            <w:shd w:val="clear" w:color="auto" w:fill="auto"/>
            <w:vAlign w:val="center"/>
          </w:tcPr>
          <w:p w:rsidR="00ED5194" w:rsidRPr="0060706A" w:rsidP="001B3814">
            <w:pPr>
              <w:autoSpaceDE w:val="0"/>
              <w:autoSpaceDN w:val="0"/>
              <w:adjustRightInd w:val="0"/>
              <w:jc w:val="center"/>
              <w:rPr>
                <w:b/>
              </w:rPr>
            </w:pPr>
            <w:r w:rsidRPr="0060706A">
              <w:rPr>
                <w:b/>
              </w:rPr>
              <w:t>Proposed Fee</w:t>
            </w:r>
          </w:p>
          <w:p w:rsidR="00ED5194" w:rsidRPr="0060706A" w:rsidP="001B3814">
            <w:pPr>
              <w:autoSpaceDE w:val="0"/>
              <w:autoSpaceDN w:val="0"/>
              <w:adjustRightInd w:val="0"/>
              <w:jc w:val="center"/>
              <w:rPr>
                <w:b/>
              </w:rPr>
            </w:pPr>
            <w:r w:rsidRPr="0060706A">
              <w:rPr>
                <w:b/>
              </w:rPr>
              <w:t>Amount</w:t>
            </w:r>
          </w:p>
        </w:tc>
        <w:tc>
          <w:tcPr>
            <w:tcW w:w="1440" w:type="dxa"/>
          </w:tcPr>
          <w:p w:rsidR="00ED5194" w:rsidRPr="0060706A" w:rsidP="001B3814">
            <w:pPr>
              <w:autoSpaceDE w:val="0"/>
              <w:autoSpaceDN w:val="0"/>
              <w:adjustRightInd w:val="0"/>
              <w:jc w:val="center"/>
              <w:rPr>
                <w:b/>
              </w:rPr>
            </w:pPr>
            <w:r w:rsidRPr="0060706A">
              <w:rPr>
                <w:b/>
              </w:rPr>
              <w:t>Payment Type Code</w:t>
            </w:r>
            <w:r w:rsidRPr="0060706A">
              <w:t xml:space="preserve"> </w:t>
            </w:r>
          </w:p>
        </w:tc>
      </w:tr>
      <w:tr w:rsidTr="00B13758">
        <w:tblPrEx>
          <w:tblW w:w="8190" w:type="dxa"/>
          <w:tblInd w:w="-36" w:type="dxa"/>
          <w:tblCellMar>
            <w:left w:w="54" w:type="dxa"/>
            <w:right w:w="54" w:type="dxa"/>
          </w:tblCellMar>
          <w:tblLook w:val="0000"/>
        </w:tblPrEx>
        <w:trPr>
          <w:trHeight w:val="1034"/>
        </w:trPr>
        <w:tc>
          <w:tcPr>
            <w:tcW w:w="3870" w:type="dxa"/>
            <w:shd w:val="clear" w:color="auto" w:fill="auto"/>
          </w:tcPr>
          <w:p w:rsidR="00ED5194" w:rsidRPr="0060706A" w:rsidP="001B3814">
            <w:pPr>
              <w:autoSpaceDE w:val="0"/>
              <w:autoSpaceDN w:val="0"/>
              <w:adjustRightInd w:val="0"/>
              <w:ind w:left="540" w:hanging="540"/>
              <w:rPr>
                <w:b/>
              </w:rPr>
            </w:pPr>
            <w:r w:rsidRPr="0060706A">
              <w:rPr>
                <w:b/>
              </w:rPr>
              <w:t xml:space="preserve">1.  Cable Landing </w:t>
            </w:r>
            <w:r w:rsidRPr="0060706A">
              <w:rPr>
                <w:b/>
              </w:rPr>
              <w:t>License</w:t>
            </w:r>
          </w:p>
          <w:p w:rsidR="00ED5194" w:rsidRPr="0060706A" w:rsidP="001B3814">
            <w:pPr>
              <w:autoSpaceDE w:val="0"/>
              <w:autoSpaceDN w:val="0"/>
              <w:adjustRightInd w:val="0"/>
              <w:ind w:left="540" w:hanging="540"/>
              <w:rPr>
                <w:b/>
              </w:rPr>
            </w:pPr>
            <w:r w:rsidRPr="0060706A">
              <w:t xml:space="preserve">  a. New license</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087A38" w:rsidP="00087A38">
            <w:pPr>
              <w:autoSpaceDE w:val="0"/>
              <w:autoSpaceDN w:val="0"/>
              <w:adjustRightInd w:val="0"/>
              <w:jc w:val="center"/>
            </w:pPr>
          </w:p>
          <w:p w:rsidR="00ED5194" w:rsidRPr="0060706A">
            <w:pPr>
              <w:autoSpaceDE w:val="0"/>
              <w:autoSpaceDN w:val="0"/>
              <w:adjustRightInd w:val="0"/>
              <w:jc w:val="center"/>
              <w:rPr>
                <w:b/>
                <w:spacing w:val="-2"/>
              </w:rPr>
            </w:pPr>
            <w:r w:rsidRPr="0060706A">
              <w:t>$3,</w:t>
            </w:r>
            <w:r w:rsidRPr="0060706A" w:rsidR="001D05F1">
              <w:t>83</w:t>
            </w:r>
            <w:r w:rsidRPr="0060706A">
              <w:t>5.00</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CXT</w:t>
            </w:r>
          </w:p>
        </w:tc>
      </w:tr>
      <w:tr w:rsidTr="00B13758">
        <w:tblPrEx>
          <w:tblW w:w="8190" w:type="dxa"/>
          <w:tblInd w:w="-36" w:type="dxa"/>
          <w:tblCellMar>
            <w:left w:w="54" w:type="dxa"/>
            <w:right w:w="54" w:type="dxa"/>
          </w:tblCellMar>
          <w:tblLook w:val="0000"/>
        </w:tblPrEx>
        <w:trPr>
          <w:trHeight w:val="980"/>
        </w:trPr>
        <w:tc>
          <w:tcPr>
            <w:tcW w:w="3870" w:type="dxa"/>
            <w:shd w:val="clear" w:color="auto" w:fill="auto"/>
          </w:tcPr>
          <w:p w:rsidR="001D05F1" w:rsidRPr="0060706A" w:rsidP="001D05F1">
            <w:pPr>
              <w:autoSpaceDE w:val="0"/>
              <w:autoSpaceDN w:val="0"/>
              <w:adjustRightInd w:val="0"/>
              <w:ind w:left="540" w:hanging="540"/>
            </w:pPr>
            <w:r w:rsidRPr="0060706A">
              <w:t xml:space="preserve">  b. Assignment/transfer of control, substantive</w:t>
            </w:r>
          </w:p>
          <w:p w:rsidR="001D05F1" w:rsidRPr="0060706A" w:rsidP="001D05F1">
            <w:pPr>
              <w:autoSpaceDE w:val="0"/>
              <w:autoSpaceDN w:val="0"/>
              <w:adjustRightInd w:val="0"/>
              <w:ind w:left="540" w:hanging="540"/>
            </w:pPr>
            <w:r w:rsidRPr="0060706A">
              <w:t xml:space="preserve">        </w:t>
            </w: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087A38" w:rsidP="00087A38">
            <w:pPr>
              <w:autoSpaceDE w:val="0"/>
              <w:autoSpaceDN w:val="0"/>
              <w:adjustRightInd w:val="0"/>
              <w:jc w:val="center"/>
            </w:pPr>
          </w:p>
          <w:p w:rsidR="001D05F1" w:rsidRPr="0060706A">
            <w:pPr>
              <w:autoSpaceDE w:val="0"/>
              <w:autoSpaceDN w:val="0"/>
              <w:adjustRightInd w:val="0"/>
              <w:jc w:val="center"/>
            </w:pPr>
            <w:r w:rsidRPr="0060706A">
              <w:t>$1,230.00</w:t>
            </w:r>
          </w:p>
          <w:p w:rsidR="001D05F1" w:rsidRPr="0060706A">
            <w:pPr>
              <w:autoSpaceDE w:val="0"/>
              <w:autoSpaceDN w:val="0"/>
              <w:adjustRightInd w:val="0"/>
              <w:jc w:val="center"/>
            </w:pPr>
          </w:p>
          <w:p w:rsidR="001D05F1" w:rsidRPr="0060706A">
            <w:pPr>
              <w:autoSpaceDE w:val="0"/>
              <w:autoSpaceDN w:val="0"/>
              <w:adjustRightInd w:val="0"/>
              <w:jc w:val="center"/>
              <w:rPr>
                <w:spacing w:val="-2"/>
              </w:rPr>
            </w:pP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CUT</w:t>
            </w:r>
          </w:p>
        </w:tc>
      </w:tr>
      <w:tr w:rsidTr="00B13758">
        <w:tblPrEx>
          <w:tblW w:w="8190" w:type="dxa"/>
          <w:tblInd w:w="-36" w:type="dxa"/>
          <w:tblCellMar>
            <w:left w:w="54" w:type="dxa"/>
            <w:right w:w="54" w:type="dxa"/>
          </w:tblCellMar>
          <w:tblLook w:val="0000"/>
        </w:tblPrEx>
        <w:trPr>
          <w:trHeight w:val="980"/>
        </w:trPr>
        <w:tc>
          <w:tcPr>
            <w:tcW w:w="3870" w:type="dxa"/>
            <w:shd w:val="clear" w:color="auto" w:fill="auto"/>
          </w:tcPr>
          <w:p w:rsidR="001D05F1" w:rsidRPr="0060706A" w:rsidP="001D05F1">
            <w:pPr>
              <w:autoSpaceDE w:val="0"/>
              <w:autoSpaceDN w:val="0"/>
              <w:adjustRightInd w:val="0"/>
              <w:ind w:left="540" w:hanging="540"/>
            </w:pPr>
            <w:r w:rsidRPr="0060706A">
              <w:t>c.  Assignment/transfer of control, pro forma</w:t>
            </w: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087A38" w:rsidP="00087A38">
            <w:pPr>
              <w:autoSpaceDE w:val="0"/>
              <w:autoSpaceDN w:val="0"/>
              <w:adjustRightInd w:val="0"/>
              <w:jc w:val="center"/>
            </w:pPr>
          </w:p>
          <w:p w:rsidR="001D05F1" w:rsidRPr="0060706A">
            <w:pPr>
              <w:autoSpaceDE w:val="0"/>
              <w:autoSpaceDN w:val="0"/>
              <w:adjustRightInd w:val="0"/>
              <w:jc w:val="center"/>
            </w:pPr>
            <w:r w:rsidRPr="0060706A">
              <w:t>$675.00</w:t>
            </w: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CUT</w:t>
            </w:r>
          </w:p>
        </w:tc>
      </w:tr>
      <w:tr w:rsidTr="00B13758">
        <w:tblPrEx>
          <w:tblW w:w="8190" w:type="dxa"/>
          <w:tblInd w:w="-36" w:type="dxa"/>
          <w:tblCellMar>
            <w:left w:w="54" w:type="dxa"/>
            <w:right w:w="54" w:type="dxa"/>
          </w:tblCellMar>
          <w:tblLook w:val="0000"/>
        </w:tblPrEx>
        <w:trPr>
          <w:trHeight w:val="980"/>
        </w:trPr>
        <w:tc>
          <w:tcPr>
            <w:tcW w:w="3870" w:type="dxa"/>
            <w:shd w:val="clear" w:color="auto" w:fill="auto"/>
          </w:tcPr>
          <w:p w:rsidR="001D05F1" w:rsidRPr="0060706A" w:rsidP="001D05F1">
            <w:pPr>
              <w:autoSpaceDE w:val="0"/>
              <w:autoSpaceDN w:val="0"/>
              <w:adjustRightInd w:val="0"/>
              <w:ind w:left="540" w:hanging="540"/>
            </w:pPr>
            <w:r w:rsidRPr="0060706A">
              <w:t xml:space="preserve">  d. Foreign Carrier Affiliation Notification</w:t>
            </w: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p>
        </w:tc>
        <w:tc>
          <w:tcPr>
            <w:tcW w:w="1440" w:type="dxa"/>
            <w:shd w:val="clear" w:color="auto" w:fill="auto"/>
          </w:tcPr>
          <w:p w:rsidR="00087A38" w:rsidP="00087A38">
            <w:pPr>
              <w:autoSpaceDE w:val="0"/>
              <w:autoSpaceDN w:val="0"/>
              <w:adjustRightInd w:val="0"/>
              <w:jc w:val="center"/>
            </w:pPr>
          </w:p>
          <w:p w:rsidR="001D05F1" w:rsidRPr="0060706A">
            <w:pPr>
              <w:autoSpaceDE w:val="0"/>
              <w:autoSpaceDN w:val="0"/>
              <w:adjustRightInd w:val="0"/>
              <w:jc w:val="center"/>
            </w:pPr>
            <w:r w:rsidRPr="0060706A">
              <w:t>$495.00</w:t>
            </w:r>
          </w:p>
        </w:tc>
        <w:tc>
          <w:tcPr>
            <w:tcW w:w="1440" w:type="dxa"/>
          </w:tcPr>
          <w:p w:rsidR="001D05F1" w:rsidRPr="0060706A" w:rsidP="001D05F1">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61"/>
        </w:trPr>
        <w:tc>
          <w:tcPr>
            <w:tcW w:w="3870" w:type="dxa"/>
            <w:shd w:val="clear" w:color="auto" w:fill="auto"/>
          </w:tcPr>
          <w:p w:rsidR="001D05F1" w:rsidRPr="0060706A" w:rsidP="001D05F1">
            <w:pPr>
              <w:autoSpaceDE w:val="0"/>
              <w:autoSpaceDN w:val="0"/>
              <w:adjustRightInd w:val="0"/>
              <w:ind w:left="540" w:hanging="540"/>
            </w:pPr>
            <w:r w:rsidRPr="0060706A">
              <w:t xml:space="preserve">  e.  Modification </w:t>
            </w:r>
          </w:p>
          <w:p w:rsidR="001D05F1" w:rsidRPr="0060706A" w:rsidP="001D05F1">
            <w:pPr>
              <w:autoSpaceDE w:val="0"/>
              <w:autoSpaceDN w:val="0"/>
              <w:adjustRightInd w:val="0"/>
              <w:ind w:left="540" w:hanging="540"/>
            </w:pPr>
            <w:r w:rsidRPr="0060706A">
              <w:t xml:space="preserve">         </w:t>
            </w: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087A38" w:rsidP="00087A38">
            <w:pPr>
              <w:autoSpaceDE w:val="0"/>
              <w:autoSpaceDN w:val="0"/>
              <w:adjustRightInd w:val="0"/>
              <w:jc w:val="center"/>
            </w:pPr>
          </w:p>
          <w:p w:rsidR="001D05F1" w:rsidRPr="0060706A">
            <w:pPr>
              <w:autoSpaceDE w:val="0"/>
              <w:autoSpaceDN w:val="0"/>
              <w:adjustRightInd w:val="0"/>
              <w:jc w:val="center"/>
              <w:rPr>
                <w:spacing w:val="-2"/>
              </w:rPr>
            </w:pPr>
            <w:r w:rsidRPr="0060706A">
              <w:t>$1,230.00</w:t>
            </w:r>
          </w:p>
        </w:tc>
        <w:tc>
          <w:tcPr>
            <w:tcW w:w="1440" w:type="dxa"/>
          </w:tcPr>
          <w:p w:rsidR="001D05F1" w:rsidRPr="0060706A" w:rsidP="001D05F1">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1D05F1" w:rsidRPr="0060706A" w:rsidP="001D05F1">
            <w:pPr>
              <w:autoSpaceDE w:val="0"/>
              <w:autoSpaceDN w:val="0"/>
              <w:adjustRightInd w:val="0"/>
              <w:ind w:left="540" w:hanging="540"/>
            </w:pPr>
            <w:r w:rsidRPr="0060706A">
              <w:t xml:space="preserve">  f.  Renewal</w:t>
            </w:r>
          </w:p>
          <w:p w:rsidR="001D05F1" w:rsidRPr="0060706A" w:rsidP="001D05F1">
            <w:pPr>
              <w:autoSpaceDE w:val="0"/>
              <w:autoSpaceDN w:val="0"/>
              <w:adjustRightInd w:val="0"/>
              <w:ind w:left="540" w:hanging="540"/>
            </w:pP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D72107" w:rsidP="00D72107">
            <w:pPr>
              <w:autoSpaceDE w:val="0"/>
              <w:autoSpaceDN w:val="0"/>
              <w:adjustRightInd w:val="0"/>
              <w:jc w:val="center"/>
            </w:pPr>
          </w:p>
          <w:p w:rsidR="001D05F1" w:rsidRPr="0060706A">
            <w:pPr>
              <w:autoSpaceDE w:val="0"/>
              <w:autoSpaceDN w:val="0"/>
              <w:adjustRightInd w:val="0"/>
              <w:jc w:val="center"/>
              <w:rPr>
                <w:spacing w:val="-2"/>
              </w:rPr>
            </w:pPr>
            <w:r w:rsidRPr="0060706A">
              <w:t>$2,440.00</w:t>
            </w:r>
          </w:p>
        </w:tc>
        <w:tc>
          <w:tcPr>
            <w:tcW w:w="1440" w:type="dxa"/>
          </w:tcPr>
          <w:p w:rsidR="001D05F1" w:rsidRPr="0060706A" w:rsidP="001D05F1">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70"/>
        </w:trPr>
        <w:tc>
          <w:tcPr>
            <w:tcW w:w="3870" w:type="dxa"/>
            <w:shd w:val="clear" w:color="auto" w:fill="auto"/>
          </w:tcPr>
          <w:p w:rsidR="001D05F1" w:rsidRPr="0060706A" w:rsidP="001D05F1">
            <w:pPr>
              <w:autoSpaceDE w:val="0"/>
              <w:autoSpaceDN w:val="0"/>
              <w:adjustRightInd w:val="0"/>
              <w:ind w:left="540" w:hanging="540"/>
            </w:pPr>
            <w:r w:rsidRPr="0060706A">
              <w:t xml:space="preserve">  g.  Special Temporary Authority</w:t>
            </w: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D72107" w:rsidP="00D72107">
            <w:pPr>
              <w:autoSpaceDE w:val="0"/>
              <w:autoSpaceDN w:val="0"/>
              <w:adjustRightInd w:val="0"/>
              <w:jc w:val="center"/>
            </w:pPr>
          </w:p>
          <w:p w:rsidR="001D05F1" w:rsidRPr="0060706A">
            <w:pPr>
              <w:autoSpaceDE w:val="0"/>
              <w:autoSpaceDN w:val="0"/>
              <w:adjustRightInd w:val="0"/>
              <w:jc w:val="center"/>
              <w:rPr>
                <w:spacing w:val="-2"/>
              </w:rPr>
            </w:pPr>
            <w:r w:rsidRPr="0060706A">
              <w:t>$675.00</w:t>
            </w: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CUT</w:t>
            </w:r>
          </w:p>
        </w:tc>
      </w:tr>
      <w:tr w:rsidTr="00B13758">
        <w:tblPrEx>
          <w:tblW w:w="8190" w:type="dxa"/>
          <w:tblInd w:w="-36" w:type="dxa"/>
          <w:tblCellMar>
            <w:left w:w="54" w:type="dxa"/>
            <w:right w:w="54" w:type="dxa"/>
          </w:tblCellMar>
          <w:tblLook w:val="0000"/>
        </w:tblPrEx>
        <w:trPr>
          <w:trHeight w:val="1070"/>
        </w:trPr>
        <w:tc>
          <w:tcPr>
            <w:tcW w:w="3870" w:type="dxa"/>
            <w:shd w:val="clear" w:color="auto" w:fill="auto"/>
          </w:tcPr>
          <w:p w:rsidR="001D05F1" w:rsidRPr="0060706A" w:rsidP="001D05F1">
            <w:pPr>
              <w:autoSpaceDE w:val="0"/>
              <w:autoSpaceDN w:val="0"/>
              <w:adjustRightInd w:val="0"/>
              <w:ind w:left="540" w:hanging="540"/>
            </w:pPr>
            <w:r w:rsidRPr="0060706A">
              <w:t xml:space="preserve">  h. Waiver</w:t>
            </w: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D72107" w:rsidP="00D72107">
            <w:pPr>
              <w:autoSpaceDE w:val="0"/>
              <w:autoSpaceDN w:val="0"/>
              <w:adjustRightInd w:val="0"/>
              <w:jc w:val="center"/>
            </w:pPr>
          </w:p>
          <w:p w:rsidR="001D05F1" w:rsidRPr="0060706A">
            <w:pPr>
              <w:autoSpaceDE w:val="0"/>
              <w:autoSpaceDN w:val="0"/>
              <w:adjustRightInd w:val="0"/>
              <w:jc w:val="center"/>
            </w:pPr>
            <w:r w:rsidRPr="0060706A">
              <w:t>$335.00</w:t>
            </w:r>
          </w:p>
        </w:tc>
        <w:tc>
          <w:tcPr>
            <w:tcW w:w="1440" w:type="dxa"/>
          </w:tcPr>
          <w:p w:rsidR="001D05F1" w:rsidRPr="0060706A" w:rsidP="001D05F1">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51"/>
        </w:trPr>
        <w:tc>
          <w:tcPr>
            <w:tcW w:w="3870" w:type="dxa"/>
            <w:shd w:val="clear" w:color="auto" w:fill="auto"/>
          </w:tcPr>
          <w:p w:rsidR="001D05F1" w:rsidRPr="0060706A" w:rsidP="001D05F1">
            <w:pPr>
              <w:autoSpaceDE w:val="0"/>
              <w:autoSpaceDN w:val="0"/>
              <w:adjustRightInd w:val="0"/>
              <w:ind w:left="540" w:hanging="540"/>
              <w:rPr>
                <w:b/>
              </w:rPr>
            </w:pPr>
            <w:r w:rsidRPr="0060706A">
              <w:rPr>
                <w:b/>
              </w:rPr>
              <w:t>2.  International Section 214 Applications</w:t>
            </w:r>
          </w:p>
          <w:p w:rsidR="001D05F1" w:rsidRPr="0060706A" w:rsidP="001D05F1">
            <w:pPr>
              <w:autoSpaceDE w:val="0"/>
              <w:autoSpaceDN w:val="0"/>
              <w:adjustRightInd w:val="0"/>
              <w:ind w:left="540" w:hanging="540"/>
              <w:rPr>
                <w:b/>
              </w:rPr>
            </w:pPr>
            <w:r w:rsidRPr="0060706A">
              <w:t xml:space="preserve">  a. New authorization</w:t>
            </w: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D72107" w:rsidP="00D72107">
            <w:pPr>
              <w:autoSpaceDE w:val="0"/>
              <w:autoSpaceDN w:val="0"/>
              <w:adjustRightInd w:val="0"/>
              <w:jc w:val="center"/>
            </w:pPr>
          </w:p>
          <w:p w:rsidR="001D05F1" w:rsidRPr="0060706A">
            <w:pPr>
              <w:autoSpaceDE w:val="0"/>
              <w:autoSpaceDN w:val="0"/>
              <w:adjustRightInd w:val="0"/>
              <w:jc w:val="center"/>
              <w:rPr>
                <w:spacing w:val="-2"/>
              </w:rPr>
            </w:pPr>
            <w:r w:rsidRPr="0060706A">
              <w:t>$</w:t>
            </w:r>
            <w:r w:rsidR="00715074">
              <w:t>785</w:t>
            </w:r>
            <w:r w:rsidRPr="0060706A">
              <w:t>.00</w:t>
            </w:r>
          </w:p>
        </w:tc>
        <w:tc>
          <w:tcPr>
            <w:tcW w:w="1440" w:type="dxa"/>
          </w:tcPr>
          <w:p w:rsidR="001D05F1" w:rsidRPr="0060706A" w:rsidP="001D05F1">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60"/>
        </w:trPr>
        <w:tc>
          <w:tcPr>
            <w:tcW w:w="3870" w:type="dxa"/>
            <w:shd w:val="clear" w:color="auto" w:fill="auto"/>
          </w:tcPr>
          <w:p w:rsidR="00ED5194" w:rsidRPr="0060706A" w:rsidP="001B3814">
            <w:pPr>
              <w:autoSpaceDE w:val="0"/>
              <w:autoSpaceDN w:val="0"/>
              <w:adjustRightInd w:val="0"/>
              <w:ind w:left="540" w:hanging="540"/>
            </w:pPr>
            <w:r w:rsidRPr="0060706A">
              <w:t xml:space="preserve">  b. Assignment/transfer of control, substantive</w:t>
            </w:r>
          </w:p>
          <w:p w:rsidR="00ED5194" w:rsidRPr="0060706A" w:rsidP="001B3814">
            <w:pPr>
              <w:autoSpaceDE w:val="0"/>
              <w:autoSpaceDN w:val="0"/>
              <w:adjustRightInd w:val="0"/>
              <w:ind w:left="540" w:hanging="540"/>
            </w:pPr>
            <w:r w:rsidRPr="0060706A">
              <w:t xml:space="preserve">        </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D72107" w:rsidP="00D72107">
            <w:pPr>
              <w:autoSpaceDE w:val="0"/>
              <w:autoSpaceDN w:val="0"/>
              <w:adjustRightInd w:val="0"/>
              <w:jc w:val="center"/>
            </w:pPr>
          </w:p>
          <w:p w:rsidR="00ED5194" w:rsidRPr="0060706A">
            <w:pPr>
              <w:autoSpaceDE w:val="0"/>
              <w:autoSpaceDN w:val="0"/>
              <w:adjustRightInd w:val="0"/>
              <w:jc w:val="center"/>
              <w:rPr>
                <w:spacing w:val="-2"/>
              </w:rPr>
            </w:pPr>
            <w:r w:rsidRPr="0060706A">
              <w:t>$1,</w:t>
            </w:r>
            <w:r w:rsidR="00715074">
              <w:t>230</w:t>
            </w:r>
            <w:r w:rsidRPr="0060706A">
              <w:t>.00</w:t>
            </w:r>
          </w:p>
        </w:tc>
        <w:tc>
          <w:tcPr>
            <w:tcW w:w="1440" w:type="dxa"/>
          </w:tcPr>
          <w:p w:rsidR="00ED5194" w:rsidRPr="0060706A" w:rsidP="001B381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60"/>
        </w:trPr>
        <w:tc>
          <w:tcPr>
            <w:tcW w:w="3870" w:type="dxa"/>
            <w:shd w:val="clear" w:color="auto" w:fill="auto"/>
          </w:tcPr>
          <w:p w:rsidR="001D05F1" w:rsidRPr="0060706A" w:rsidP="001D05F1">
            <w:pPr>
              <w:autoSpaceDE w:val="0"/>
              <w:autoSpaceDN w:val="0"/>
              <w:adjustRightInd w:val="0"/>
              <w:ind w:left="540" w:hanging="540"/>
            </w:pPr>
            <w:r w:rsidRPr="0060706A">
              <w:t xml:space="preserve">  c. Assignment/transfer of control, pro forma</w:t>
            </w: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D72107" w:rsidP="00D72107">
            <w:pPr>
              <w:autoSpaceDE w:val="0"/>
              <w:autoSpaceDN w:val="0"/>
              <w:adjustRightInd w:val="0"/>
              <w:jc w:val="center"/>
            </w:pPr>
          </w:p>
          <w:p w:rsidR="001D05F1" w:rsidRPr="0060706A">
            <w:pPr>
              <w:autoSpaceDE w:val="0"/>
              <w:autoSpaceDN w:val="0"/>
              <w:adjustRightInd w:val="0"/>
              <w:jc w:val="center"/>
            </w:pPr>
            <w:r w:rsidRPr="0060706A">
              <w:t>$675.00</w:t>
            </w:r>
          </w:p>
        </w:tc>
        <w:tc>
          <w:tcPr>
            <w:tcW w:w="1440" w:type="dxa"/>
          </w:tcPr>
          <w:p w:rsidR="001D05F1" w:rsidRPr="0060706A" w:rsidP="001D05F1">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69"/>
        </w:trPr>
        <w:tc>
          <w:tcPr>
            <w:tcW w:w="3870" w:type="dxa"/>
            <w:shd w:val="clear" w:color="auto" w:fill="auto"/>
          </w:tcPr>
          <w:p w:rsidR="001D05F1" w:rsidRPr="0060706A" w:rsidP="001D05F1">
            <w:pPr>
              <w:autoSpaceDE w:val="0"/>
              <w:autoSpaceDN w:val="0"/>
              <w:adjustRightInd w:val="0"/>
              <w:ind w:left="540" w:hanging="540"/>
            </w:pPr>
            <w:r w:rsidRPr="0060706A">
              <w:t xml:space="preserve">  d. Foreign Carrier Affiliation Notification</w:t>
            </w:r>
          </w:p>
        </w:tc>
        <w:tc>
          <w:tcPr>
            <w:tcW w:w="1440" w:type="dxa"/>
          </w:tcPr>
          <w:p w:rsidR="00D72107"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D72107" w:rsidP="00D72107">
            <w:pPr>
              <w:autoSpaceDE w:val="0"/>
              <w:autoSpaceDN w:val="0"/>
              <w:adjustRightInd w:val="0"/>
              <w:jc w:val="center"/>
            </w:pPr>
          </w:p>
          <w:p w:rsidR="001D05F1" w:rsidRPr="0060706A">
            <w:pPr>
              <w:autoSpaceDE w:val="0"/>
              <w:autoSpaceDN w:val="0"/>
              <w:adjustRightInd w:val="0"/>
              <w:jc w:val="center"/>
              <w:rPr>
                <w:spacing w:val="-2"/>
              </w:rPr>
            </w:pPr>
            <w:r w:rsidRPr="0060706A">
              <w:t>$495.00</w:t>
            </w:r>
          </w:p>
        </w:tc>
        <w:tc>
          <w:tcPr>
            <w:tcW w:w="1440" w:type="dxa"/>
          </w:tcPr>
          <w:p w:rsidR="001D05F1" w:rsidRPr="0060706A" w:rsidP="001D05F1">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60"/>
        </w:trPr>
        <w:tc>
          <w:tcPr>
            <w:tcW w:w="3870" w:type="dxa"/>
            <w:shd w:val="clear" w:color="auto" w:fill="auto"/>
          </w:tcPr>
          <w:p w:rsidR="001D05F1" w:rsidRPr="0060706A" w:rsidP="001D05F1">
            <w:pPr>
              <w:autoSpaceDE w:val="0"/>
              <w:autoSpaceDN w:val="0"/>
              <w:adjustRightInd w:val="0"/>
              <w:ind w:left="540" w:hanging="540"/>
            </w:pPr>
            <w:r w:rsidRPr="0060706A">
              <w:t xml:space="preserve">  e. Modification</w:t>
            </w:r>
          </w:p>
          <w:p w:rsidR="001D05F1" w:rsidRPr="0060706A" w:rsidP="001D05F1">
            <w:pPr>
              <w:autoSpaceDE w:val="0"/>
              <w:autoSpaceDN w:val="0"/>
              <w:adjustRightInd w:val="0"/>
              <w:ind w:left="540" w:hanging="540"/>
            </w:pP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D72107" w:rsidP="00D72107">
            <w:pPr>
              <w:autoSpaceDE w:val="0"/>
              <w:autoSpaceDN w:val="0"/>
              <w:adjustRightInd w:val="0"/>
              <w:jc w:val="center"/>
            </w:pPr>
          </w:p>
          <w:p w:rsidR="001D05F1" w:rsidRPr="0060706A">
            <w:pPr>
              <w:autoSpaceDE w:val="0"/>
              <w:autoSpaceDN w:val="0"/>
              <w:adjustRightInd w:val="0"/>
              <w:jc w:val="center"/>
              <w:rPr>
                <w:spacing w:val="-2"/>
              </w:rPr>
            </w:pPr>
            <w:r w:rsidRPr="0060706A">
              <w:t>$6</w:t>
            </w:r>
            <w:r w:rsidR="00715074">
              <w:t>75</w:t>
            </w:r>
            <w:r w:rsidRPr="0060706A">
              <w:t>.00</w:t>
            </w:r>
          </w:p>
        </w:tc>
        <w:tc>
          <w:tcPr>
            <w:tcW w:w="1440" w:type="dxa"/>
          </w:tcPr>
          <w:p w:rsidR="001D05F1" w:rsidRPr="0060706A" w:rsidP="001D05F1">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51"/>
        </w:trPr>
        <w:tc>
          <w:tcPr>
            <w:tcW w:w="3870" w:type="dxa"/>
            <w:shd w:val="clear" w:color="auto" w:fill="auto"/>
          </w:tcPr>
          <w:p w:rsidR="001D05F1" w:rsidRPr="0060706A" w:rsidP="001D05F1">
            <w:pPr>
              <w:autoSpaceDE w:val="0"/>
              <w:autoSpaceDN w:val="0"/>
              <w:adjustRightInd w:val="0"/>
              <w:ind w:left="540" w:hanging="540"/>
            </w:pPr>
            <w:r w:rsidRPr="0060706A">
              <w:t xml:space="preserve">  f. Special Temporary Authority</w:t>
            </w:r>
          </w:p>
          <w:p w:rsidR="001D05F1" w:rsidRPr="0060706A" w:rsidP="001D05F1">
            <w:pPr>
              <w:autoSpaceDE w:val="0"/>
              <w:autoSpaceDN w:val="0"/>
              <w:adjustRightInd w:val="0"/>
              <w:ind w:left="540" w:hanging="540"/>
            </w:pPr>
            <w:r w:rsidRPr="0060706A">
              <w:t xml:space="preserve">       </w:t>
            </w: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D72107" w:rsidP="00D72107">
            <w:pPr>
              <w:autoSpaceDE w:val="0"/>
              <w:autoSpaceDN w:val="0"/>
              <w:adjustRightInd w:val="0"/>
              <w:jc w:val="center"/>
            </w:pPr>
          </w:p>
          <w:p w:rsidR="001D05F1" w:rsidRPr="0060706A">
            <w:pPr>
              <w:autoSpaceDE w:val="0"/>
              <w:autoSpaceDN w:val="0"/>
              <w:adjustRightInd w:val="0"/>
              <w:jc w:val="center"/>
              <w:rPr>
                <w:spacing w:val="-2"/>
              </w:rPr>
            </w:pPr>
            <w:r w:rsidRPr="0060706A">
              <w:t>$675.00</w:t>
            </w:r>
          </w:p>
        </w:tc>
        <w:tc>
          <w:tcPr>
            <w:tcW w:w="1440" w:type="dxa"/>
          </w:tcPr>
          <w:p w:rsidR="001D05F1" w:rsidRPr="0060706A" w:rsidP="001D05F1">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51"/>
        </w:trPr>
        <w:tc>
          <w:tcPr>
            <w:tcW w:w="3870" w:type="dxa"/>
            <w:shd w:val="clear" w:color="auto" w:fill="auto"/>
          </w:tcPr>
          <w:p w:rsidR="001D05F1" w:rsidRPr="0060706A" w:rsidP="001D05F1">
            <w:pPr>
              <w:autoSpaceDE w:val="0"/>
              <w:autoSpaceDN w:val="0"/>
              <w:adjustRightInd w:val="0"/>
              <w:ind w:left="540" w:hanging="540"/>
            </w:pPr>
            <w:r w:rsidRPr="0060706A">
              <w:t xml:space="preserve">  g. Waiver</w:t>
            </w: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D72107" w:rsidP="00D72107">
            <w:pPr>
              <w:autoSpaceDE w:val="0"/>
              <w:autoSpaceDN w:val="0"/>
              <w:adjustRightInd w:val="0"/>
              <w:jc w:val="center"/>
            </w:pPr>
          </w:p>
          <w:p w:rsidR="001D05F1" w:rsidRPr="0060706A">
            <w:pPr>
              <w:autoSpaceDE w:val="0"/>
              <w:autoSpaceDN w:val="0"/>
              <w:adjustRightInd w:val="0"/>
              <w:jc w:val="center"/>
            </w:pPr>
            <w:r w:rsidRPr="0060706A">
              <w:t>$335.00</w:t>
            </w:r>
          </w:p>
        </w:tc>
        <w:tc>
          <w:tcPr>
            <w:tcW w:w="1440" w:type="dxa"/>
          </w:tcPr>
          <w:p w:rsidR="001D05F1" w:rsidRPr="0060706A" w:rsidP="001D05F1">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1D05F1" w:rsidRPr="0060706A" w:rsidP="001D05F1">
            <w:pPr>
              <w:autoSpaceDE w:val="0"/>
              <w:autoSpaceDN w:val="0"/>
              <w:adjustRightInd w:val="0"/>
              <w:ind w:left="540" w:hanging="540"/>
            </w:pPr>
            <w:r w:rsidRPr="0060706A">
              <w:t xml:space="preserve">  h. Discontinuance of services</w:t>
            </w:r>
          </w:p>
          <w:p w:rsidR="001D05F1" w:rsidRPr="0060706A" w:rsidP="001D05F1">
            <w:pPr>
              <w:autoSpaceDE w:val="0"/>
              <w:autoSpaceDN w:val="0"/>
              <w:adjustRightInd w:val="0"/>
              <w:ind w:left="540" w:hanging="540"/>
            </w:pPr>
          </w:p>
        </w:tc>
        <w:tc>
          <w:tcPr>
            <w:tcW w:w="1440" w:type="dxa"/>
          </w:tcPr>
          <w:p w:rsidR="001D05F1" w:rsidRPr="0060706A" w:rsidP="001D05F1">
            <w:pPr>
              <w:autoSpaceDE w:val="0"/>
              <w:autoSpaceDN w:val="0"/>
              <w:adjustRightInd w:val="0"/>
              <w:jc w:val="center"/>
            </w:pPr>
          </w:p>
          <w:p w:rsidR="001D05F1" w:rsidRPr="0060706A" w:rsidP="001D05F1">
            <w:pPr>
              <w:autoSpaceDE w:val="0"/>
              <w:autoSpaceDN w:val="0"/>
              <w:adjustRightInd w:val="0"/>
              <w:jc w:val="center"/>
            </w:pPr>
            <w:r w:rsidRPr="0060706A">
              <w:t>Corres &amp; 159</w:t>
            </w:r>
          </w:p>
        </w:tc>
        <w:tc>
          <w:tcPr>
            <w:tcW w:w="1440" w:type="dxa"/>
            <w:shd w:val="clear" w:color="auto" w:fill="auto"/>
          </w:tcPr>
          <w:p w:rsidR="0023067E" w:rsidP="00D72107">
            <w:pPr>
              <w:autoSpaceDE w:val="0"/>
              <w:autoSpaceDN w:val="0"/>
              <w:adjustRightInd w:val="0"/>
              <w:jc w:val="center"/>
            </w:pPr>
          </w:p>
          <w:p w:rsidR="001D05F1" w:rsidRPr="0060706A">
            <w:pPr>
              <w:autoSpaceDE w:val="0"/>
              <w:autoSpaceDN w:val="0"/>
              <w:adjustRightInd w:val="0"/>
              <w:jc w:val="center"/>
              <w:rPr>
                <w:spacing w:val="-2"/>
              </w:rPr>
            </w:pPr>
            <w:r w:rsidRPr="0060706A">
              <w:t>$335.00</w:t>
            </w:r>
          </w:p>
        </w:tc>
        <w:tc>
          <w:tcPr>
            <w:tcW w:w="1440" w:type="dxa"/>
          </w:tcPr>
          <w:p w:rsidR="001D05F1" w:rsidRPr="0060706A" w:rsidP="001D05F1">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ED5194" w:rsidRPr="0060706A" w:rsidP="001B3814">
            <w:pPr>
              <w:autoSpaceDE w:val="0"/>
              <w:autoSpaceDN w:val="0"/>
              <w:adjustRightInd w:val="0"/>
              <w:ind w:left="540" w:hanging="540"/>
              <w:rPr>
                <w:b/>
              </w:rPr>
            </w:pPr>
            <w:r w:rsidRPr="0060706A">
              <w:rPr>
                <w:b/>
              </w:rPr>
              <w:t>3. Section 310(b) Foreign Ownership Petitions for Declaratory Ruling</w:t>
            </w:r>
          </w:p>
          <w:p w:rsidR="00ED5194" w:rsidRPr="0060706A" w:rsidP="001B3814">
            <w:pPr>
              <w:autoSpaceDE w:val="0"/>
              <w:autoSpaceDN w:val="0"/>
              <w:adjustRightInd w:val="0"/>
              <w:ind w:left="540" w:hanging="540"/>
            </w:pPr>
            <w:r w:rsidRPr="0060706A">
              <w:t xml:space="preserve">  a. Petition</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23067E" w:rsidP="00D72107">
            <w:pPr>
              <w:autoSpaceDE w:val="0"/>
              <w:autoSpaceDN w:val="0"/>
              <w:adjustRightInd w:val="0"/>
              <w:jc w:val="center"/>
            </w:pPr>
          </w:p>
          <w:p w:rsidR="00ED5194" w:rsidRPr="0060706A">
            <w:pPr>
              <w:autoSpaceDE w:val="0"/>
              <w:autoSpaceDN w:val="0"/>
              <w:adjustRightInd w:val="0"/>
              <w:jc w:val="center"/>
            </w:pPr>
            <w:r w:rsidRPr="0060706A">
              <w:t>$</w:t>
            </w:r>
            <w:r w:rsidR="00E0603D">
              <w:t>2,485</w:t>
            </w:r>
            <w:r w:rsidRPr="0060706A">
              <w:t>.00</w:t>
            </w:r>
          </w:p>
        </w:tc>
        <w:tc>
          <w:tcPr>
            <w:tcW w:w="1440" w:type="dxa"/>
          </w:tcPr>
          <w:p w:rsidR="00ED5194" w:rsidRPr="0060706A" w:rsidP="001B381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ED5194" w:rsidRPr="0060706A" w:rsidP="001B3814">
            <w:pPr>
              <w:autoSpaceDE w:val="0"/>
              <w:autoSpaceDN w:val="0"/>
              <w:adjustRightInd w:val="0"/>
              <w:ind w:left="540" w:hanging="540"/>
            </w:pPr>
            <w:r w:rsidRPr="0060706A">
              <w:t xml:space="preserve">  </w:t>
            </w:r>
            <w:r w:rsidRPr="0060706A" w:rsidR="0045798A">
              <w:t>b</w:t>
            </w:r>
            <w:r w:rsidRPr="0060706A">
              <w:t>. Waiver</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23067E" w:rsidP="00D72107">
            <w:pPr>
              <w:autoSpaceDE w:val="0"/>
              <w:autoSpaceDN w:val="0"/>
              <w:adjustRightInd w:val="0"/>
              <w:jc w:val="center"/>
            </w:pPr>
          </w:p>
          <w:p w:rsidR="00ED5194" w:rsidRPr="0060706A">
            <w:pPr>
              <w:autoSpaceDE w:val="0"/>
              <w:autoSpaceDN w:val="0"/>
              <w:adjustRightInd w:val="0"/>
              <w:jc w:val="center"/>
            </w:pPr>
            <w:r w:rsidRPr="0060706A">
              <w:t>$</w:t>
            </w:r>
            <w:r w:rsidRPr="0060706A" w:rsidR="0045798A">
              <w:t>3</w:t>
            </w:r>
            <w:r w:rsidRPr="0060706A" w:rsidR="005212D3">
              <w:t>3</w:t>
            </w:r>
            <w:r w:rsidRPr="0060706A" w:rsidR="0045798A">
              <w:t>5</w:t>
            </w:r>
            <w:r w:rsidRPr="0060706A">
              <w:t>.00</w:t>
            </w:r>
          </w:p>
        </w:tc>
        <w:tc>
          <w:tcPr>
            <w:tcW w:w="1440" w:type="dxa"/>
          </w:tcPr>
          <w:p w:rsidR="00ED5194" w:rsidRPr="0060706A" w:rsidP="001B381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ED5194" w:rsidRPr="0060706A" w:rsidP="001B3814">
            <w:pPr>
              <w:autoSpaceDE w:val="0"/>
              <w:autoSpaceDN w:val="0"/>
              <w:adjustRightInd w:val="0"/>
              <w:ind w:left="540" w:hanging="540"/>
              <w:rPr>
                <w:b/>
              </w:rPr>
            </w:pPr>
            <w:r w:rsidRPr="0060706A">
              <w:rPr>
                <w:b/>
              </w:rPr>
              <w:t xml:space="preserve">4. </w:t>
            </w:r>
            <w:r w:rsidRPr="0060706A">
              <w:rPr>
                <w:b/>
              </w:rPr>
              <w:t>Recognized Operating Agency</w:t>
            </w:r>
          </w:p>
          <w:p w:rsidR="00ED5194" w:rsidRPr="0060706A" w:rsidP="001B3814">
            <w:pPr>
              <w:autoSpaceDE w:val="0"/>
              <w:autoSpaceDN w:val="0"/>
              <w:adjustRightInd w:val="0"/>
              <w:ind w:left="540" w:hanging="540"/>
            </w:pPr>
            <w:r w:rsidRPr="0060706A">
              <w:t xml:space="preserve">  a. ROA application</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23067E" w:rsidP="00D72107">
            <w:pPr>
              <w:autoSpaceDE w:val="0"/>
              <w:autoSpaceDN w:val="0"/>
              <w:adjustRightInd w:val="0"/>
              <w:jc w:val="center"/>
            </w:pPr>
          </w:p>
          <w:p w:rsidR="00ED5194" w:rsidRPr="0060706A">
            <w:pPr>
              <w:autoSpaceDE w:val="0"/>
              <w:autoSpaceDN w:val="0"/>
              <w:adjustRightInd w:val="0"/>
              <w:jc w:val="center"/>
            </w:pPr>
            <w:r w:rsidRPr="0060706A">
              <w:t>$1,1</w:t>
            </w:r>
            <w:r w:rsidRPr="0060706A" w:rsidR="005212D3">
              <w:t>4</w:t>
            </w:r>
            <w:r w:rsidRPr="0060706A">
              <w:t>5.00</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CUG</w:t>
            </w: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ED5194" w:rsidRPr="0060706A" w:rsidP="001B3814">
            <w:pPr>
              <w:autoSpaceDE w:val="0"/>
              <w:autoSpaceDN w:val="0"/>
              <w:adjustRightInd w:val="0"/>
              <w:ind w:left="540" w:hanging="540"/>
            </w:pPr>
            <w:r w:rsidRPr="0060706A">
              <w:t xml:space="preserve">  b. Waiver</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23067E" w:rsidP="00D72107">
            <w:pPr>
              <w:autoSpaceDE w:val="0"/>
              <w:autoSpaceDN w:val="0"/>
              <w:adjustRightInd w:val="0"/>
              <w:jc w:val="center"/>
            </w:pPr>
          </w:p>
          <w:p w:rsidR="00ED5194" w:rsidRPr="0060706A">
            <w:pPr>
              <w:autoSpaceDE w:val="0"/>
              <w:autoSpaceDN w:val="0"/>
              <w:adjustRightInd w:val="0"/>
              <w:jc w:val="center"/>
            </w:pPr>
            <w:r w:rsidRPr="0060706A">
              <w:t>$3</w:t>
            </w:r>
            <w:r w:rsidRPr="0060706A" w:rsidR="005212D3">
              <w:t>3</w:t>
            </w:r>
            <w:r w:rsidRPr="0060706A" w:rsidR="0045798A">
              <w:t>5</w:t>
            </w:r>
            <w:r w:rsidRPr="0060706A">
              <w:t>.00</w:t>
            </w:r>
          </w:p>
        </w:tc>
        <w:tc>
          <w:tcPr>
            <w:tcW w:w="1440" w:type="dxa"/>
          </w:tcPr>
          <w:p w:rsidR="00ED5194" w:rsidRPr="0060706A" w:rsidP="001B381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ED5194" w:rsidRPr="0060706A" w:rsidP="001B3814">
            <w:pPr>
              <w:autoSpaceDE w:val="0"/>
              <w:autoSpaceDN w:val="0"/>
              <w:adjustRightInd w:val="0"/>
              <w:ind w:left="540" w:hanging="540"/>
              <w:rPr>
                <w:b/>
              </w:rPr>
            </w:pPr>
            <w:r w:rsidRPr="0060706A">
              <w:rPr>
                <w:b/>
              </w:rPr>
              <w:t>5. Data Network Identification Code</w:t>
            </w:r>
          </w:p>
          <w:p w:rsidR="00ED5194" w:rsidRPr="0060706A" w:rsidP="001B3814">
            <w:pPr>
              <w:autoSpaceDE w:val="0"/>
              <w:autoSpaceDN w:val="0"/>
              <w:adjustRightInd w:val="0"/>
              <w:ind w:left="540" w:hanging="540"/>
            </w:pPr>
            <w:r w:rsidRPr="0060706A">
              <w:t xml:space="preserve">  a. DNIC application</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23067E" w:rsidP="00D72107">
            <w:pPr>
              <w:autoSpaceDE w:val="0"/>
              <w:autoSpaceDN w:val="0"/>
              <w:adjustRightInd w:val="0"/>
              <w:jc w:val="center"/>
            </w:pPr>
          </w:p>
          <w:p w:rsidR="00ED5194" w:rsidRPr="0060706A">
            <w:pPr>
              <w:autoSpaceDE w:val="0"/>
              <w:autoSpaceDN w:val="0"/>
              <w:adjustRightInd w:val="0"/>
              <w:jc w:val="center"/>
            </w:pPr>
            <w:r w:rsidRPr="0060706A">
              <w:t>$</w:t>
            </w:r>
            <w:r w:rsidR="00715074">
              <w:t>785</w:t>
            </w:r>
            <w:r w:rsidRPr="0060706A">
              <w:t>.00</w:t>
            </w:r>
          </w:p>
        </w:tc>
        <w:tc>
          <w:tcPr>
            <w:tcW w:w="1440" w:type="dxa"/>
          </w:tcPr>
          <w:p w:rsidR="00ED5194" w:rsidRPr="0060706A" w:rsidP="001B381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8E74C1" w:rsidRPr="00461F90" w:rsidP="00461F90">
            <w:pPr>
              <w:autoSpaceDE w:val="0"/>
              <w:autoSpaceDN w:val="0"/>
              <w:adjustRightInd w:val="0"/>
              <w:rPr>
                <w:b/>
              </w:rPr>
            </w:pPr>
            <w:r>
              <w:rPr>
                <w:b/>
              </w:rPr>
              <w:t>b Waiver</w:t>
            </w:r>
          </w:p>
        </w:tc>
        <w:tc>
          <w:tcPr>
            <w:tcW w:w="1440" w:type="dxa"/>
          </w:tcPr>
          <w:p w:rsidR="008E74C1" w:rsidRPr="0060706A" w:rsidP="001B3814">
            <w:pPr>
              <w:autoSpaceDE w:val="0"/>
              <w:autoSpaceDN w:val="0"/>
              <w:adjustRightInd w:val="0"/>
              <w:jc w:val="center"/>
            </w:pPr>
          </w:p>
        </w:tc>
        <w:tc>
          <w:tcPr>
            <w:tcW w:w="1440" w:type="dxa"/>
            <w:shd w:val="clear" w:color="auto" w:fill="auto"/>
          </w:tcPr>
          <w:p w:rsidR="0023067E" w:rsidP="00D72107">
            <w:pPr>
              <w:autoSpaceDE w:val="0"/>
              <w:autoSpaceDN w:val="0"/>
              <w:adjustRightInd w:val="0"/>
              <w:jc w:val="center"/>
            </w:pPr>
          </w:p>
          <w:p w:rsidR="008E74C1" w:rsidRPr="0060706A">
            <w:pPr>
              <w:autoSpaceDE w:val="0"/>
              <w:autoSpaceDN w:val="0"/>
              <w:adjustRightInd w:val="0"/>
              <w:jc w:val="center"/>
            </w:pPr>
            <w:r>
              <w:t>$335.00</w:t>
            </w:r>
          </w:p>
        </w:tc>
        <w:tc>
          <w:tcPr>
            <w:tcW w:w="1440" w:type="dxa"/>
          </w:tcPr>
          <w:p w:rsidR="008E74C1" w:rsidRPr="0060706A" w:rsidP="001B381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ED5194" w:rsidRPr="0060706A" w:rsidP="001B3814">
            <w:pPr>
              <w:autoSpaceDE w:val="0"/>
              <w:autoSpaceDN w:val="0"/>
              <w:adjustRightInd w:val="0"/>
              <w:ind w:left="540" w:hanging="540"/>
              <w:rPr>
                <w:b/>
              </w:rPr>
            </w:pPr>
            <w:r w:rsidRPr="0060706A">
              <w:rPr>
                <w:b/>
              </w:rPr>
              <w:t xml:space="preserve">6. International Signaling </w:t>
            </w:r>
            <w:r w:rsidRPr="0060706A">
              <w:rPr>
                <w:b/>
              </w:rPr>
              <w:t>Point Code</w:t>
            </w:r>
          </w:p>
          <w:p w:rsidR="00ED5194" w:rsidRPr="0060706A" w:rsidP="001B3814">
            <w:pPr>
              <w:autoSpaceDE w:val="0"/>
              <w:autoSpaceDN w:val="0"/>
              <w:adjustRightInd w:val="0"/>
              <w:ind w:left="540" w:hanging="540"/>
            </w:pPr>
            <w:r w:rsidRPr="0060706A">
              <w:t xml:space="preserve">  a. ISPC application</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23067E" w:rsidP="00D72107">
            <w:pPr>
              <w:autoSpaceDE w:val="0"/>
              <w:autoSpaceDN w:val="0"/>
              <w:adjustRightInd w:val="0"/>
              <w:jc w:val="center"/>
            </w:pPr>
          </w:p>
          <w:p w:rsidR="00ED5194" w:rsidRPr="0060706A">
            <w:pPr>
              <w:autoSpaceDE w:val="0"/>
              <w:autoSpaceDN w:val="0"/>
              <w:adjustRightInd w:val="0"/>
              <w:jc w:val="center"/>
            </w:pPr>
            <w:r w:rsidRPr="0060706A">
              <w:t>$</w:t>
            </w:r>
            <w:r w:rsidR="00847DFA">
              <w:t>785</w:t>
            </w:r>
            <w:r w:rsidRPr="0060706A">
              <w:t>.00</w:t>
            </w:r>
          </w:p>
        </w:tc>
        <w:tc>
          <w:tcPr>
            <w:tcW w:w="1440" w:type="dxa"/>
          </w:tcPr>
          <w:p w:rsidR="00ED5194" w:rsidRPr="0060706A" w:rsidP="001B381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ED5194" w:rsidRPr="0060706A" w:rsidP="001B3814">
            <w:pPr>
              <w:autoSpaceDE w:val="0"/>
              <w:autoSpaceDN w:val="0"/>
              <w:adjustRightInd w:val="0"/>
              <w:ind w:left="540" w:hanging="540"/>
            </w:pPr>
            <w:r w:rsidRPr="0060706A">
              <w:t xml:space="preserve">  b. </w:t>
            </w:r>
            <w:r w:rsidRPr="0060706A" w:rsidR="0045798A">
              <w:t>Transfer of Control</w:t>
            </w:r>
          </w:p>
        </w:tc>
        <w:tc>
          <w:tcPr>
            <w:tcW w:w="1440" w:type="dxa"/>
          </w:tcPr>
          <w:p w:rsidR="00ED5194" w:rsidRPr="0060706A" w:rsidP="001B3814">
            <w:pPr>
              <w:autoSpaceDE w:val="0"/>
              <w:autoSpaceDN w:val="0"/>
              <w:adjustRightInd w:val="0"/>
              <w:jc w:val="center"/>
            </w:pPr>
          </w:p>
          <w:p w:rsidR="00ED5194" w:rsidRPr="0060706A" w:rsidP="001B3814">
            <w:pPr>
              <w:autoSpaceDE w:val="0"/>
              <w:autoSpaceDN w:val="0"/>
              <w:adjustRightInd w:val="0"/>
              <w:jc w:val="center"/>
            </w:pPr>
            <w:r w:rsidRPr="0060706A">
              <w:t>Corres &amp; 159</w:t>
            </w:r>
          </w:p>
        </w:tc>
        <w:tc>
          <w:tcPr>
            <w:tcW w:w="1440" w:type="dxa"/>
            <w:shd w:val="clear" w:color="auto" w:fill="auto"/>
          </w:tcPr>
          <w:p w:rsidR="0023067E" w:rsidP="00D72107">
            <w:pPr>
              <w:autoSpaceDE w:val="0"/>
              <w:autoSpaceDN w:val="0"/>
              <w:adjustRightInd w:val="0"/>
              <w:jc w:val="center"/>
            </w:pPr>
          </w:p>
          <w:p w:rsidR="00ED5194" w:rsidRPr="0060706A">
            <w:pPr>
              <w:autoSpaceDE w:val="0"/>
              <w:autoSpaceDN w:val="0"/>
              <w:adjustRightInd w:val="0"/>
              <w:jc w:val="center"/>
            </w:pPr>
            <w:r w:rsidRPr="0060706A">
              <w:t>$</w:t>
            </w:r>
            <w:r w:rsidRPr="0060706A" w:rsidR="0045798A">
              <w:t>6</w:t>
            </w:r>
            <w:r w:rsidRPr="0060706A" w:rsidR="004129BB">
              <w:t>75</w:t>
            </w:r>
            <w:r w:rsidRPr="0060706A">
              <w:t>.00</w:t>
            </w:r>
          </w:p>
        </w:tc>
        <w:tc>
          <w:tcPr>
            <w:tcW w:w="1440" w:type="dxa"/>
          </w:tcPr>
          <w:p w:rsidR="00ED5194" w:rsidRPr="0060706A" w:rsidP="001B381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847DFA" w:rsidRPr="0060706A" w:rsidP="00847DFA">
            <w:pPr>
              <w:autoSpaceDE w:val="0"/>
              <w:autoSpaceDN w:val="0"/>
              <w:adjustRightInd w:val="0"/>
              <w:ind w:left="540" w:hanging="540"/>
            </w:pPr>
            <w:r>
              <w:t xml:space="preserve">  c. Modification</w:t>
            </w:r>
          </w:p>
        </w:tc>
        <w:tc>
          <w:tcPr>
            <w:tcW w:w="1440" w:type="dxa"/>
          </w:tcPr>
          <w:p w:rsidR="00847DFA" w:rsidRPr="0060706A" w:rsidP="00847DFA">
            <w:pPr>
              <w:autoSpaceDE w:val="0"/>
              <w:autoSpaceDN w:val="0"/>
              <w:adjustRightInd w:val="0"/>
              <w:jc w:val="center"/>
            </w:pPr>
          </w:p>
        </w:tc>
        <w:tc>
          <w:tcPr>
            <w:tcW w:w="1440" w:type="dxa"/>
            <w:shd w:val="clear" w:color="auto" w:fill="auto"/>
          </w:tcPr>
          <w:p w:rsidR="0023067E" w:rsidP="00D72107">
            <w:pPr>
              <w:autoSpaceDE w:val="0"/>
              <w:autoSpaceDN w:val="0"/>
              <w:adjustRightInd w:val="0"/>
              <w:jc w:val="center"/>
            </w:pPr>
          </w:p>
          <w:p w:rsidR="00847DFA" w:rsidRPr="0060706A">
            <w:pPr>
              <w:autoSpaceDE w:val="0"/>
              <w:autoSpaceDN w:val="0"/>
              <w:adjustRightInd w:val="0"/>
              <w:jc w:val="center"/>
            </w:pPr>
            <w:r>
              <w:t>$675.00</w:t>
            </w:r>
          </w:p>
        </w:tc>
        <w:tc>
          <w:tcPr>
            <w:tcW w:w="1440" w:type="dxa"/>
          </w:tcPr>
          <w:p w:rsidR="00847DFA" w:rsidRPr="0060706A" w:rsidP="00847DFA">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CD2544" w:rsidRPr="0060706A" w:rsidP="00CD2544">
            <w:pPr>
              <w:autoSpaceDE w:val="0"/>
              <w:autoSpaceDN w:val="0"/>
              <w:adjustRightInd w:val="0"/>
              <w:ind w:left="540" w:hanging="540"/>
              <w:rPr>
                <w:b/>
              </w:rPr>
            </w:pPr>
            <w:r>
              <w:t xml:space="preserve">  d.</w:t>
            </w:r>
            <w:r w:rsidR="00A303EE">
              <w:t xml:space="preserve"> </w:t>
            </w:r>
            <w:r>
              <w:t>Waiver</w:t>
            </w:r>
          </w:p>
        </w:tc>
        <w:tc>
          <w:tcPr>
            <w:tcW w:w="1440" w:type="dxa"/>
          </w:tcPr>
          <w:p w:rsidR="00CD2544" w:rsidRPr="0060706A" w:rsidP="00CD2544">
            <w:pPr>
              <w:autoSpaceDE w:val="0"/>
              <w:autoSpaceDN w:val="0"/>
              <w:adjustRightInd w:val="0"/>
              <w:jc w:val="center"/>
            </w:pPr>
          </w:p>
        </w:tc>
        <w:tc>
          <w:tcPr>
            <w:tcW w:w="1440" w:type="dxa"/>
            <w:shd w:val="clear" w:color="auto" w:fill="auto"/>
          </w:tcPr>
          <w:p w:rsidR="0023067E" w:rsidP="00D72107">
            <w:pPr>
              <w:autoSpaceDE w:val="0"/>
              <w:autoSpaceDN w:val="0"/>
              <w:adjustRightInd w:val="0"/>
              <w:jc w:val="center"/>
            </w:pPr>
          </w:p>
          <w:p w:rsidR="00CD2544" w:rsidRPr="0060706A">
            <w:pPr>
              <w:autoSpaceDE w:val="0"/>
              <w:autoSpaceDN w:val="0"/>
              <w:adjustRightInd w:val="0"/>
              <w:jc w:val="center"/>
            </w:pPr>
            <w:r>
              <w:t>$335.00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CD2544" w:rsidRPr="0060706A" w:rsidP="00CD2544">
            <w:pPr>
              <w:autoSpaceDE w:val="0"/>
              <w:autoSpaceDN w:val="0"/>
              <w:adjustRightInd w:val="0"/>
              <w:ind w:left="540" w:hanging="540"/>
              <w:rPr>
                <w:b/>
              </w:rPr>
            </w:pPr>
            <w:r w:rsidRPr="0060706A">
              <w:rPr>
                <w:b/>
              </w:rPr>
              <w:t>7.  Fixed or Temporary Fixed Transmit or Transmit/Receive Earth Stations, per call sign</w:t>
            </w:r>
          </w:p>
          <w:p w:rsidR="00CD2544" w:rsidRPr="0060706A" w:rsidP="00CD2544">
            <w:pPr>
              <w:autoSpaceDE w:val="0"/>
              <w:autoSpaceDN w:val="0"/>
              <w:adjustRightInd w:val="0"/>
              <w:ind w:left="540" w:hanging="540"/>
              <w:rPr>
                <w:b/>
              </w:rPr>
            </w:pPr>
            <w:r w:rsidRPr="0060706A">
              <w:t xml:space="preserve">  a. Initial Application, single site</w:t>
            </w:r>
          </w:p>
        </w:tc>
        <w:tc>
          <w:tcPr>
            <w:tcW w:w="1440" w:type="dxa"/>
          </w:tcPr>
          <w:p w:rsidR="00CD2544" w:rsidRPr="0060706A" w:rsidP="00CD2544">
            <w:pPr>
              <w:autoSpaceDE w:val="0"/>
              <w:autoSpaceDN w:val="0"/>
              <w:adjustRightInd w:val="0"/>
              <w:jc w:val="center"/>
            </w:pPr>
            <w:r w:rsidRPr="0060706A">
              <w:t>312 Main &amp; Schedule B</w:t>
            </w:r>
          </w:p>
          <w:p w:rsidR="00CD2544" w:rsidRPr="0060706A" w:rsidP="00CD2544">
            <w:pPr>
              <w:autoSpaceDE w:val="0"/>
              <w:autoSpaceDN w:val="0"/>
              <w:adjustRightInd w:val="0"/>
              <w:jc w:val="center"/>
            </w:pPr>
            <w:r w:rsidRPr="0060706A">
              <w:t>&amp; 159</w:t>
            </w:r>
          </w:p>
        </w:tc>
        <w:tc>
          <w:tcPr>
            <w:tcW w:w="1440" w:type="dxa"/>
            <w:shd w:val="clear" w:color="auto" w:fill="auto"/>
          </w:tcPr>
          <w:p w:rsidR="00081620" w:rsidP="00081620">
            <w:pPr>
              <w:autoSpaceDE w:val="0"/>
              <w:autoSpaceDN w:val="0"/>
              <w:adjustRightInd w:val="0"/>
              <w:jc w:val="center"/>
            </w:pPr>
          </w:p>
          <w:p w:rsidR="00CD2544" w:rsidRPr="0060706A">
            <w:pPr>
              <w:autoSpaceDE w:val="0"/>
              <w:autoSpaceDN w:val="0"/>
              <w:adjustRightInd w:val="0"/>
              <w:jc w:val="center"/>
              <w:rPr>
                <w:spacing w:val="-2"/>
              </w:rPr>
            </w:pPr>
            <w:r w:rsidRPr="0060706A">
              <w:t>$360.00</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BAX</w:t>
            </w: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CD2544" w:rsidRPr="0060706A" w:rsidP="00CD2544">
            <w:pPr>
              <w:autoSpaceDE w:val="0"/>
              <w:autoSpaceDN w:val="0"/>
              <w:adjustRightInd w:val="0"/>
              <w:ind w:left="540" w:hanging="540"/>
            </w:pPr>
            <w:r w:rsidRPr="0060706A">
              <w:t xml:space="preserve">  b. Initial application, multiple sites</w:t>
            </w:r>
          </w:p>
        </w:tc>
        <w:tc>
          <w:tcPr>
            <w:tcW w:w="1440" w:type="dxa"/>
          </w:tcPr>
          <w:p w:rsidR="00CD2544" w:rsidRPr="0060706A" w:rsidP="00CD2544">
            <w:pPr>
              <w:autoSpaceDE w:val="0"/>
              <w:autoSpaceDN w:val="0"/>
              <w:adjustRightInd w:val="0"/>
              <w:jc w:val="center"/>
            </w:pPr>
            <w:r w:rsidRPr="0060706A">
              <w:t>312 Main &amp; Schedule B</w:t>
            </w:r>
          </w:p>
          <w:p w:rsidR="00CD2544" w:rsidRPr="0060706A" w:rsidP="00CD2544">
            <w:pPr>
              <w:autoSpaceDE w:val="0"/>
              <w:autoSpaceDN w:val="0"/>
              <w:adjustRightInd w:val="0"/>
              <w:jc w:val="center"/>
            </w:pPr>
            <w:r w:rsidRPr="0060706A">
              <w:t>&amp; 159</w:t>
            </w:r>
          </w:p>
        </w:tc>
        <w:tc>
          <w:tcPr>
            <w:tcW w:w="1440" w:type="dxa"/>
            <w:shd w:val="clear" w:color="auto" w:fill="auto"/>
          </w:tcPr>
          <w:p w:rsidR="00081620" w:rsidP="00081620">
            <w:pPr>
              <w:autoSpaceDE w:val="0"/>
              <w:autoSpaceDN w:val="0"/>
              <w:adjustRightInd w:val="0"/>
              <w:jc w:val="center"/>
            </w:pPr>
          </w:p>
          <w:p w:rsidR="00CD2544" w:rsidRPr="0060706A">
            <w:pPr>
              <w:autoSpaceDE w:val="0"/>
              <w:autoSpaceDN w:val="0"/>
              <w:adjustRightInd w:val="0"/>
              <w:jc w:val="center"/>
            </w:pPr>
            <w:r w:rsidRPr="0060706A">
              <w:t>$6,515.00</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BAX</w:t>
            </w: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CD2544" w:rsidRPr="0060706A" w:rsidP="00CD2544">
            <w:pPr>
              <w:autoSpaceDE w:val="0"/>
              <w:autoSpaceDN w:val="0"/>
              <w:adjustRightInd w:val="0"/>
              <w:ind w:left="540" w:hanging="540"/>
              <w:rPr>
                <w:b/>
              </w:rPr>
            </w:pPr>
            <w:r w:rsidRPr="0060706A">
              <w:t xml:space="preserve"> </w:t>
            </w:r>
            <w:r w:rsidRPr="0060706A">
              <w:rPr>
                <w:b/>
              </w:rPr>
              <w:t>8.</w:t>
            </w:r>
            <w:r w:rsidRPr="0060706A">
              <w:t xml:space="preserve"> </w:t>
            </w:r>
            <w:r w:rsidRPr="0060706A">
              <w:rPr>
                <w:b/>
              </w:rPr>
              <w:t>Receive Only Earth Stations</w:t>
            </w:r>
          </w:p>
          <w:p w:rsidR="00CD2544" w:rsidRPr="0060706A" w:rsidP="00CD2544">
            <w:pPr>
              <w:autoSpaceDE w:val="0"/>
              <w:autoSpaceDN w:val="0"/>
              <w:adjustRightInd w:val="0"/>
              <w:ind w:left="540" w:hanging="540"/>
            </w:pPr>
            <w:r w:rsidRPr="0060706A">
              <w:t xml:space="preserve">  a. Initial Applications for Registration or License, single site, per site       </w:t>
            </w:r>
          </w:p>
        </w:tc>
        <w:tc>
          <w:tcPr>
            <w:tcW w:w="1440" w:type="dxa"/>
          </w:tcPr>
          <w:p w:rsidR="00CD2544" w:rsidRPr="0060706A" w:rsidP="00CD2544">
            <w:pPr>
              <w:autoSpaceDE w:val="0"/>
              <w:autoSpaceDN w:val="0"/>
              <w:adjustRightInd w:val="0"/>
              <w:jc w:val="center"/>
            </w:pPr>
            <w:r w:rsidRPr="0060706A">
              <w:t>312 Main &amp; Schedule B</w:t>
            </w:r>
          </w:p>
          <w:p w:rsidR="00CD2544" w:rsidRPr="0060706A" w:rsidP="00CD2544">
            <w:pPr>
              <w:autoSpaceDE w:val="0"/>
              <w:autoSpaceDN w:val="0"/>
              <w:adjustRightInd w:val="0"/>
              <w:jc w:val="center"/>
            </w:pPr>
            <w:r w:rsidRPr="0060706A">
              <w:t>&amp; 159</w:t>
            </w:r>
          </w:p>
        </w:tc>
        <w:tc>
          <w:tcPr>
            <w:tcW w:w="1440" w:type="dxa"/>
            <w:shd w:val="clear" w:color="auto" w:fill="auto"/>
          </w:tcPr>
          <w:p w:rsidR="00081620" w:rsidP="00081620">
            <w:pPr>
              <w:autoSpaceDE w:val="0"/>
              <w:autoSpaceDN w:val="0"/>
              <w:adjustRightInd w:val="0"/>
              <w:jc w:val="center"/>
            </w:pPr>
          </w:p>
          <w:p w:rsidR="00CD2544" w:rsidRPr="0060706A">
            <w:pPr>
              <w:autoSpaceDE w:val="0"/>
              <w:autoSpaceDN w:val="0"/>
              <w:adjustRightInd w:val="0"/>
              <w:jc w:val="center"/>
            </w:pPr>
            <w:r w:rsidRPr="0060706A">
              <w:t>$175.00</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CMO</w:t>
            </w: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CD2544" w:rsidRPr="0060706A" w:rsidP="00CD2544">
            <w:pPr>
              <w:autoSpaceDE w:val="0"/>
              <w:autoSpaceDN w:val="0"/>
              <w:adjustRightInd w:val="0"/>
            </w:pPr>
            <w:r w:rsidRPr="0060706A">
              <w:t>b Initial application or registration, multiple sites, per system</w:t>
            </w:r>
          </w:p>
          <w:p w:rsidR="00CD2544" w:rsidRPr="0060706A" w:rsidP="00CD2544">
            <w:pPr>
              <w:autoSpaceDE w:val="0"/>
              <w:autoSpaceDN w:val="0"/>
              <w:adjustRightInd w:val="0"/>
              <w:ind w:left="540" w:hanging="540"/>
            </w:pPr>
            <w:r w:rsidRPr="0060706A">
              <w:t xml:space="preserve">   </w:t>
            </w:r>
          </w:p>
        </w:tc>
        <w:tc>
          <w:tcPr>
            <w:tcW w:w="1440" w:type="dxa"/>
          </w:tcPr>
          <w:p w:rsidR="00CD2544" w:rsidRPr="0060706A" w:rsidP="00CD2544">
            <w:pPr>
              <w:autoSpaceDE w:val="0"/>
              <w:autoSpaceDN w:val="0"/>
              <w:adjustRightInd w:val="0"/>
              <w:jc w:val="center"/>
            </w:pPr>
            <w:r w:rsidRPr="0060706A">
              <w:t>312 Main &amp; Schedule B</w:t>
            </w:r>
          </w:p>
          <w:p w:rsidR="00CD2544" w:rsidRPr="0060706A" w:rsidP="00CD2544">
            <w:pPr>
              <w:autoSpaceDE w:val="0"/>
              <w:autoSpaceDN w:val="0"/>
              <w:adjustRightInd w:val="0"/>
              <w:jc w:val="center"/>
            </w:pPr>
            <w:r w:rsidRPr="0060706A">
              <w:t>&amp; 159</w:t>
            </w:r>
          </w:p>
        </w:tc>
        <w:tc>
          <w:tcPr>
            <w:tcW w:w="1440" w:type="dxa"/>
            <w:shd w:val="clear" w:color="auto" w:fill="auto"/>
          </w:tcPr>
          <w:p w:rsidR="00081620" w:rsidP="00081620">
            <w:pPr>
              <w:autoSpaceDE w:val="0"/>
              <w:autoSpaceDN w:val="0"/>
              <w:adjustRightInd w:val="0"/>
              <w:jc w:val="center"/>
            </w:pPr>
          </w:p>
          <w:p w:rsidR="00CD2544" w:rsidRPr="0060706A">
            <w:pPr>
              <w:autoSpaceDE w:val="0"/>
              <w:autoSpaceDN w:val="0"/>
              <w:adjustRightInd w:val="0"/>
              <w:jc w:val="center"/>
            </w:pPr>
            <w:r w:rsidRPr="0060706A">
              <w:t>$465.00</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CMO</w:t>
            </w: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CD2544" w:rsidRPr="0060706A" w:rsidP="00CD2544">
            <w:pPr>
              <w:autoSpaceDE w:val="0"/>
              <w:autoSpaceDN w:val="0"/>
              <w:adjustRightInd w:val="0"/>
              <w:ind w:left="540" w:hanging="540"/>
              <w:rPr>
                <w:b/>
              </w:rPr>
            </w:pPr>
            <w:r w:rsidRPr="0060706A">
              <w:t xml:space="preserve">  </w:t>
            </w:r>
            <w:r w:rsidRPr="0060706A">
              <w:rPr>
                <w:b/>
              </w:rPr>
              <w:t xml:space="preserve">9. </w:t>
            </w:r>
            <w:r w:rsidRPr="0060706A">
              <w:rPr>
                <w:b/>
              </w:rPr>
              <w:t>Blanket Earth Stations, per call sign</w:t>
            </w:r>
          </w:p>
          <w:p w:rsidR="00CD2544" w:rsidRPr="0060706A" w:rsidP="00CD2544">
            <w:pPr>
              <w:autoSpaceDE w:val="0"/>
              <w:autoSpaceDN w:val="0"/>
              <w:adjustRightInd w:val="0"/>
              <w:ind w:left="540" w:hanging="540"/>
            </w:pPr>
            <w:r w:rsidRPr="0060706A">
              <w:t xml:space="preserve">a. Initial Applications for Registration or License             </w:t>
            </w:r>
          </w:p>
        </w:tc>
        <w:tc>
          <w:tcPr>
            <w:tcW w:w="1440" w:type="dxa"/>
          </w:tcPr>
          <w:p w:rsidR="00CD2544" w:rsidRPr="0060706A" w:rsidP="00CD2544">
            <w:pPr>
              <w:autoSpaceDE w:val="0"/>
              <w:autoSpaceDN w:val="0"/>
              <w:adjustRightInd w:val="0"/>
              <w:jc w:val="center"/>
            </w:pPr>
            <w:r w:rsidRPr="0060706A">
              <w:t>312 Main &amp; Schedule B</w:t>
            </w:r>
          </w:p>
          <w:p w:rsidR="00CD2544" w:rsidRPr="0060706A" w:rsidP="00CD2544">
            <w:pPr>
              <w:autoSpaceDE w:val="0"/>
              <w:autoSpaceDN w:val="0"/>
              <w:adjustRightInd w:val="0"/>
              <w:jc w:val="center"/>
            </w:pPr>
            <w:r w:rsidRPr="0060706A">
              <w:t>&amp; 159</w:t>
            </w:r>
          </w:p>
        </w:tc>
        <w:tc>
          <w:tcPr>
            <w:tcW w:w="1440" w:type="dxa"/>
            <w:shd w:val="clear" w:color="auto" w:fill="auto"/>
          </w:tcPr>
          <w:p w:rsidR="00081620" w:rsidP="00081620">
            <w:pPr>
              <w:autoSpaceDE w:val="0"/>
              <w:autoSpaceDN w:val="0"/>
              <w:adjustRightInd w:val="0"/>
              <w:jc w:val="center"/>
            </w:pPr>
          </w:p>
          <w:p w:rsidR="00CD2544" w:rsidRPr="0060706A">
            <w:pPr>
              <w:autoSpaceDE w:val="0"/>
              <w:autoSpaceDN w:val="0"/>
              <w:adjustRightInd w:val="0"/>
              <w:jc w:val="center"/>
            </w:pPr>
            <w:r w:rsidRPr="0060706A">
              <w:t>$360.00</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BGB</w:t>
            </w:r>
          </w:p>
        </w:tc>
      </w:tr>
      <w:tr w:rsidTr="00B13758">
        <w:tblPrEx>
          <w:tblW w:w="8190" w:type="dxa"/>
          <w:tblInd w:w="-36" w:type="dxa"/>
          <w:tblCellMar>
            <w:left w:w="54" w:type="dxa"/>
            <w:right w:w="54" w:type="dxa"/>
          </w:tblCellMar>
          <w:tblLook w:val="0000"/>
        </w:tblPrEx>
        <w:trPr>
          <w:trHeight w:val="1052"/>
        </w:trPr>
        <w:tc>
          <w:tcPr>
            <w:tcW w:w="3870" w:type="dxa"/>
            <w:shd w:val="clear" w:color="auto" w:fill="auto"/>
          </w:tcPr>
          <w:p w:rsidR="00CD2544" w:rsidRPr="0060706A" w:rsidP="00CD2544">
            <w:pPr>
              <w:autoSpaceDE w:val="0"/>
              <w:autoSpaceDN w:val="0"/>
              <w:adjustRightInd w:val="0"/>
              <w:ind w:left="540" w:hanging="540"/>
              <w:rPr>
                <w:b/>
              </w:rPr>
            </w:pPr>
            <w:r w:rsidRPr="0060706A">
              <w:t xml:space="preserve"> </w:t>
            </w:r>
            <w:r w:rsidRPr="0060706A">
              <w:rPr>
                <w:b/>
              </w:rPr>
              <w:t>10. Mobile Earth Stations, per call sign</w:t>
            </w:r>
          </w:p>
          <w:p w:rsidR="00CD2544" w:rsidRPr="0060706A" w:rsidP="00CD2544">
            <w:pPr>
              <w:autoSpaceDE w:val="0"/>
              <w:autoSpaceDN w:val="0"/>
              <w:adjustRightInd w:val="0"/>
              <w:ind w:left="540" w:hanging="540"/>
            </w:pPr>
            <w:r w:rsidRPr="0060706A">
              <w:t xml:space="preserve">        a. Initial application for blanket authorization, per system, per call sign</w:t>
            </w:r>
          </w:p>
        </w:tc>
        <w:tc>
          <w:tcPr>
            <w:tcW w:w="1440" w:type="dxa"/>
          </w:tcPr>
          <w:p w:rsidR="00CD2544" w:rsidRPr="0060706A" w:rsidP="00CD2544">
            <w:pPr>
              <w:autoSpaceDE w:val="0"/>
              <w:autoSpaceDN w:val="0"/>
              <w:adjustRightInd w:val="0"/>
              <w:jc w:val="center"/>
            </w:pPr>
            <w:r w:rsidRPr="0060706A">
              <w:t>312 Main &amp;</w:t>
            </w:r>
          </w:p>
          <w:p w:rsidR="00CD2544" w:rsidRPr="0060706A" w:rsidP="00CD2544">
            <w:pPr>
              <w:autoSpaceDE w:val="0"/>
              <w:autoSpaceDN w:val="0"/>
              <w:adjustRightInd w:val="0"/>
              <w:jc w:val="center"/>
            </w:pPr>
            <w:r w:rsidRPr="0060706A">
              <w:t>Schedule B</w:t>
            </w:r>
          </w:p>
          <w:p w:rsidR="00CD2544" w:rsidRPr="0060706A" w:rsidP="00CD2544">
            <w:pPr>
              <w:autoSpaceDE w:val="0"/>
              <w:autoSpaceDN w:val="0"/>
              <w:adjustRightInd w:val="0"/>
              <w:jc w:val="center"/>
            </w:pPr>
            <w:r w:rsidRPr="0060706A">
              <w:t>&amp; 159</w:t>
            </w:r>
          </w:p>
        </w:tc>
        <w:tc>
          <w:tcPr>
            <w:tcW w:w="1440" w:type="dxa"/>
            <w:shd w:val="clear" w:color="auto" w:fill="auto"/>
          </w:tcPr>
          <w:p w:rsidR="00081620" w:rsidP="00081620">
            <w:pPr>
              <w:autoSpaceDE w:val="0"/>
              <w:autoSpaceDN w:val="0"/>
              <w:adjustRightInd w:val="0"/>
              <w:jc w:val="center"/>
            </w:pPr>
          </w:p>
          <w:p w:rsidR="00CD2544" w:rsidRPr="0060706A">
            <w:pPr>
              <w:autoSpaceDE w:val="0"/>
              <w:autoSpaceDN w:val="0"/>
              <w:adjustRightInd w:val="0"/>
              <w:jc w:val="center"/>
            </w:pPr>
            <w:r w:rsidRPr="0060706A">
              <w:t>$815.00</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BGB</w:t>
            </w:r>
          </w:p>
        </w:tc>
      </w:tr>
      <w:tr w:rsidTr="00B13758">
        <w:tblPrEx>
          <w:tblW w:w="8190" w:type="dxa"/>
          <w:tblInd w:w="-36" w:type="dxa"/>
          <w:tblCellMar>
            <w:left w:w="54" w:type="dxa"/>
            <w:right w:w="54" w:type="dxa"/>
          </w:tblCellMar>
          <w:tblLook w:val="0000"/>
        </w:tblPrEx>
        <w:trPr>
          <w:trHeight w:val="1088"/>
        </w:trPr>
        <w:tc>
          <w:tcPr>
            <w:tcW w:w="3870" w:type="dxa"/>
            <w:shd w:val="clear" w:color="auto" w:fill="auto"/>
          </w:tcPr>
          <w:p w:rsidR="00CD2544" w:rsidRPr="0060706A" w:rsidP="00CD2544">
            <w:pPr>
              <w:autoSpaceDE w:val="0"/>
              <w:autoSpaceDN w:val="0"/>
              <w:adjustRightInd w:val="0"/>
              <w:rPr>
                <w:b/>
              </w:rPr>
            </w:pPr>
            <w:r w:rsidRPr="0060706A">
              <w:rPr>
                <w:b/>
              </w:rPr>
              <w:t>11. Amendments to Earth Station Applications or Registrations</w:t>
            </w:r>
          </w:p>
          <w:p w:rsidR="00CD2544" w:rsidRPr="0060706A" w:rsidP="00CD2544">
            <w:pPr>
              <w:autoSpaceDE w:val="0"/>
              <w:autoSpaceDN w:val="0"/>
              <w:adjustRightInd w:val="0"/>
            </w:pPr>
            <w:r w:rsidRPr="0060706A">
              <w:t>a. Single site</w:t>
            </w:r>
          </w:p>
        </w:tc>
        <w:tc>
          <w:tcPr>
            <w:tcW w:w="1440" w:type="dxa"/>
          </w:tcPr>
          <w:p w:rsidR="00CD2544" w:rsidRPr="0060706A" w:rsidP="00CD2544">
            <w:pPr>
              <w:autoSpaceDE w:val="0"/>
              <w:autoSpaceDN w:val="0"/>
              <w:adjustRightInd w:val="0"/>
              <w:jc w:val="center"/>
            </w:pPr>
            <w:r w:rsidRPr="0060706A">
              <w:t>312 Main &amp;</w:t>
            </w:r>
          </w:p>
          <w:p w:rsidR="00CD2544" w:rsidRPr="0060706A" w:rsidP="00CD2544">
            <w:pPr>
              <w:autoSpaceDE w:val="0"/>
              <w:autoSpaceDN w:val="0"/>
              <w:adjustRightInd w:val="0"/>
              <w:rPr>
                <w:spacing w:val="-2"/>
              </w:rPr>
            </w:pPr>
            <w:r w:rsidRPr="0060706A">
              <w:t>Schedule A or B &amp; 159</w:t>
            </w:r>
          </w:p>
        </w:tc>
        <w:tc>
          <w:tcPr>
            <w:tcW w:w="1440" w:type="dxa"/>
            <w:shd w:val="clear" w:color="auto" w:fill="auto"/>
          </w:tcPr>
          <w:p w:rsidR="00081620" w:rsidP="00081620">
            <w:pPr>
              <w:autoSpaceDE w:val="0"/>
              <w:autoSpaceDN w:val="0"/>
              <w:adjustRightInd w:val="0"/>
              <w:jc w:val="center"/>
              <w:rPr>
                <w:spacing w:val="-2"/>
              </w:rPr>
            </w:pPr>
          </w:p>
          <w:p w:rsidR="00CD2544" w:rsidRPr="0060706A">
            <w:pPr>
              <w:autoSpaceDE w:val="0"/>
              <w:autoSpaceDN w:val="0"/>
              <w:adjustRightInd w:val="0"/>
              <w:jc w:val="center"/>
              <w:rPr>
                <w:spacing w:val="-2"/>
              </w:rPr>
            </w:pPr>
            <w:r w:rsidRPr="0060706A">
              <w:rPr>
                <w:spacing w:val="-2"/>
              </w:rPr>
              <w:t>$430.00</w:t>
            </w:r>
          </w:p>
        </w:tc>
        <w:tc>
          <w:tcPr>
            <w:tcW w:w="1440" w:type="dxa"/>
          </w:tcPr>
          <w:p w:rsidR="00CD2544" w:rsidRPr="0060706A" w:rsidP="00CD2544">
            <w:pPr>
              <w:autoSpaceDE w:val="0"/>
              <w:autoSpaceDN w:val="0"/>
              <w:adjustRightInd w:val="0"/>
              <w:rPr>
                <w:spacing w:val="-2"/>
              </w:rPr>
            </w:pPr>
          </w:p>
        </w:tc>
      </w:tr>
      <w:tr w:rsidTr="00B13758">
        <w:tblPrEx>
          <w:tblW w:w="8190" w:type="dxa"/>
          <w:tblInd w:w="-36" w:type="dxa"/>
          <w:tblCellMar>
            <w:left w:w="54" w:type="dxa"/>
            <w:right w:w="54" w:type="dxa"/>
          </w:tblCellMar>
          <w:tblLook w:val="0000"/>
        </w:tblPrEx>
        <w:trPr>
          <w:trHeight w:val="1160"/>
        </w:trPr>
        <w:tc>
          <w:tcPr>
            <w:tcW w:w="3870" w:type="dxa"/>
            <w:shd w:val="clear" w:color="auto" w:fill="auto"/>
          </w:tcPr>
          <w:p w:rsidR="00CD2544" w:rsidRPr="0060706A" w:rsidP="00CD2544">
            <w:pPr>
              <w:autoSpaceDE w:val="0"/>
              <w:autoSpaceDN w:val="0"/>
              <w:adjustRightInd w:val="0"/>
            </w:pPr>
            <w:r w:rsidRPr="0060706A">
              <w:t xml:space="preserve">b </w:t>
            </w:r>
            <w:r w:rsidRPr="0060706A">
              <w:t>Multiple sites</w:t>
            </w:r>
          </w:p>
          <w:p w:rsidR="00CD2544" w:rsidRPr="0060706A" w:rsidP="00CD2544">
            <w:pPr>
              <w:autoSpaceDE w:val="0"/>
              <w:autoSpaceDN w:val="0"/>
              <w:adjustRightInd w:val="0"/>
              <w:ind w:left="540" w:hanging="540"/>
            </w:pPr>
          </w:p>
        </w:tc>
        <w:tc>
          <w:tcPr>
            <w:tcW w:w="1440" w:type="dxa"/>
          </w:tcPr>
          <w:p w:rsidR="00CD2544" w:rsidRPr="0060706A" w:rsidP="00CD2544">
            <w:pPr>
              <w:autoSpaceDE w:val="0"/>
              <w:autoSpaceDN w:val="0"/>
              <w:adjustRightInd w:val="0"/>
              <w:jc w:val="center"/>
            </w:pPr>
            <w:r w:rsidRPr="0060706A">
              <w:t>312 Main &amp;</w:t>
            </w:r>
          </w:p>
          <w:p w:rsidR="00CD2544" w:rsidRPr="0060706A" w:rsidP="00CD2544">
            <w:pPr>
              <w:autoSpaceDE w:val="0"/>
              <w:autoSpaceDN w:val="0"/>
              <w:adjustRightInd w:val="0"/>
              <w:jc w:val="center"/>
            </w:pPr>
            <w:r w:rsidRPr="0060706A">
              <w:t>Schedule A or B &amp; 159</w:t>
            </w:r>
          </w:p>
        </w:tc>
        <w:tc>
          <w:tcPr>
            <w:tcW w:w="1440" w:type="dxa"/>
            <w:shd w:val="clear" w:color="auto" w:fill="auto"/>
          </w:tcPr>
          <w:p w:rsidR="00081620" w:rsidP="00081620">
            <w:pPr>
              <w:autoSpaceDE w:val="0"/>
              <w:autoSpaceDN w:val="0"/>
              <w:adjustRightInd w:val="0"/>
              <w:jc w:val="center"/>
            </w:pPr>
          </w:p>
          <w:p w:rsidR="00CD2544" w:rsidRPr="0060706A">
            <w:pPr>
              <w:autoSpaceDE w:val="0"/>
              <w:autoSpaceDN w:val="0"/>
              <w:adjustRightInd w:val="0"/>
              <w:jc w:val="center"/>
            </w:pPr>
            <w:r w:rsidRPr="0060706A">
              <w:t>$630.00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60"/>
        </w:trPr>
        <w:tc>
          <w:tcPr>
            <w:tcW w:w="3870" w:type="dxa"/>
            <w:shd w:val="clear" w:color="auto" w:fill="auto"/>
          </w:tcPr>
          <w:p w:rsidR="00CD2544" w:rsidRPr="0060706A" w:rsidP="00CD2544">
            <w:pPr>
              <w:autoSpaceDE w:val="0"/>
              <w:autoSpaceDN w:val="0"/>
              <w:adjustRightInd w:val="0"/>
              <w:ind w:left="540" w:hanging="540"/>
            </w:pPr>
            <w:r w:rsidRPr="0060706A">
              <w:rPr>
                <w:b/>
              </w:rPr>
              <w:t>12.  Modifications of Earth Station Licenses or Registrations</w:t>
            </w:r>
          </w:p>
        </w:tc>
        <w:tc>
          <w:tcPr>
            <w:tcW w:w="1440" w:type="dxa"/>
          </w:tcPr>
          <w:p w:rsidR="00CD2544" w:rsidRPr="0060706A" w:rsidP="00CD2544">
            <w:pPr>
              <w:autoSpaceDE w:val="0"/>
              <w:autoSpaceDN w:val="0"/>
              <w:adjustRightInd w:val="0"/>
              <w:jc w:val="center"/>
            </w:pPr>
            <w:r w:rsidRPr="0060706A">
              <w:t>312 Main &amp;</w:t>
            </w:r>
          </w:p>
          <w:p w:rsidR="00CD2544" w:rsidRPr="0060706A" w:rsidP="00CD2544">
            <w:pPr>
              <w:autoSpaceDE w:val="0"/>
              <w:autoSpaceDN w:val="0"/>
              <w:adjustRightInd w:val="0"/>
              <w:jc w:val="center"/>
            </w:pPr>
            <w:r w:rsidRPr="0060706A">
              <w:t>Schedule B</w:t>
            </w:r>
          </w:p>
          <w:p w:rsidR="00CD2544" w:rsidRPr="0060706A" w:rsidP="00CD2544">
            <w:pPr>
              <w:autoSpaceDE w:val="0"/>
              <w:autoSpaceDN w:val="0"/>
              <w:adjustRightInd w:val="0"/>
              <w:jc w:val="center"/>
            </w:pPr>
            <w:r w:rsidRPr="0060706A">
              <w:t>&amp; 159</w:t>
            </w:r>
          </w:p>
        </w:tc>
        <w:tc>
          <w:tcPr>
            <w:tcW w:w="1440" w:type="dxa"/>
            <w:shd w:val="clear" w:color="auto" w:fill="auto"/>
          </w:tcPr>
          <w:p w:rsidR="00081620" w:rsidP="00081620">
            <w:pPr>
              <w:autoSpaceDE w:val="0"/>
              <w:autoSpaceDN w:val="0"/>
              <w:adjustRightInd w:val="0"/>
              <w:jc w:val="center"/>
            </w:pPr>
          </w:p>
          <w:p w:rsidR="00CD2544" w:rsidRPr="0060706A">
            <w:pPr>
              <w:autoSpaceDE w:val="0"/>
              <w:autoSpaceDN w:val="0"/>
              <w:adjustRightInd w:val="0"/>
              <w:jc w:val="center"/>
            </w:pPr>
            <w:r w:rsidRPr="0060706A">
              <w:t>$545.00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60"/>
        </w:trPr>
        <w:tc>
          <w:tcPr>
            <w:tcW w:w="3870" w:type="dxa"/>
            <w:shd w:val="clear" w:color="auto" w:fill="auto"/>
          </w:tcPr>
          <w:p w:rsidR="00CD2544" w:rsidRPr="0060706A" w:rsidP="00CD2544">
            <w:pPr>
              <w:autoSpaceDE w:val="0"/>
              <w:autoSpaceDN w:val="0"/>
              <w:adjustRightInd w:val="0"/>
              <w:rPr>
                <w:b/>
              </w:rPr>
            </w:pPr>
            <w:r w:rsidRPr="0060706A">
              <w:rPr>
                <w:b/>
              </w:rPr>
              <w:t xml:space="preserve">13. Assignment or Transfer of Control of Earth Station Licenses or Registrations, per call </w:t>
            </w:r>
            <w:r w:rsidRPr="0060706A">
              <w:rPr>
                <w:b/>
              </w:rPr>
              <w:t>sign</w:t>
            </w:r>
          </w:p>
        </w:tc>
        <w:tc>
          <w:tcPr>
            <w:tcW w:w="1440" w:type="dxa"/>
          </w:tcPr>
          <w:p w:rsidR="00CD2544" w:rsidRPr="0060706A" w:rsidP="00CD2544">
            <w:pPr>
              <w:autoSpaceDE w:val="0"/>
              <w:autoSpaceDN w:val="0"/>
              <w:adjustRightInd w:val="0"/>
              <w:jc w:val="center"/>
            </w:pPr>
            <w:r w:rsidRPr="0060706A">
              <w:t>312 Main &amp;</w:t>
            </w:r>
          </w:p>
          <w:p w:rsidR="00CD2544" w:rsidRPr="0060706A" w:rsidP="00CD2544">
            <w:pPr>
              <w:autoSpaceDE w:val="0"/>
              <w:autoSpaceDN w:val="0"/>
              <w:adjustRightInd w:val="0"/>
              <w:jc w:val="center"/>
            </w:pPr>
            <w:r w:rsidRPr="0060706A">
              <w:t>Schedule A</w:t>
            </w:r>
          </w:p>
          <w:p w:rsidR="00CD2544" w:rsidRPr="0060706A" w:rsidP="00CD2544">
            <w:pPr>
              <w:autoSpaceDE w:val="0"/>
              <w:autoSpaceDN w:val="0"/>
              <w:adjustRightInd w:val="0"/>
              <w:jc w:val="center"/>
            </w:pPr>
            <w:r w:rsidRPr="0060706A">
              <w:t>&amp; 159</w:t>
            </w:r>
          </w:p>
        </w:tc>
        <w:tc>
          <w:tcPr>
            <w:tcW w:w="1440" w:type="dxa"/>
            <w:shd w:val="clear" w:color="auto" w:fill="auto"/>
          </w:tcPr>
          <w:p w:rsidR="00081620" w:rsidP="00081620">
            <w:pPr>
              <w:autoSpaceDE w:val="0"/>
              <w:autoSpaceDN w:val="0"/>
              <w:adjustRightInd w:val="0"/>
              <w:jc w:val="center"/>
            </w:pPr>
          </w:p>
          <w:p w:rsidR="00CD2544" w:rsidRPr="0060706A">
            <w:pPr>
              <w:autoSpaceDE w:val="0"/>
              <w:autoSpaceDN w:val="0"/>
              <w:adjustRightInd w:val="0"/>
              <w:jc w:val="center"/>
            </w:pPr>
            <w:r w:rsidRPr="0060706A">
              <w:t>$745.00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60"/>
        </w:trPr>
        <w:tc>
          <w:tcPr>
            <w:tcW w:w="3870" w:type="dxa"/>
            <w:shd w:val="clear" w:color="auto" w:fill="auto"/>
          </w:tcPr>
          <w:p w:rsidR="00CD2544" w:rsidRPr="0060706A" w:rsidP="00CD2544">
            <w:pPr>
              <w:autoSpaceDE w:val="0"/>
              <w:autoSpaceDN w:val="0"/>
              <w:adjustRightInd w:val="0"/>
              <w:rPr>
                <w:b/>
              </w:rPr>
            </w:pPr>
            <w:r w:rsidRPr="0060706A">
              <w:rPr>
                <w:b/>
              </w:rPr>
              <w:t>14. Pro Forma Assignment or Transfer of Control of Earth Station Licenses or Registrations, per call sign</w:t>
            </w:r>
          </w:p>
        </w:tc>
        <w:tc>
          <w:tcPr>
            <w:tcW w:w="1440" w:type="dxa"/>
          </w:tcPr>
          <w:p w:rsidR="00CD2544" w:rsidRPr="0060706A" w:rsidP="00CD2544">
            <w:pPr>
              <w:autoSpaceDE w:val="0"/>
              <w:autoSpaceDN w:val="0"/>
              <w:adjustRightInd w:val="0"/>
              <w:jc w:val="center"/>
            </w:pPr>
            <w:r w:rsidRPr="0060706A">
              <w:t>312 Main &amp;</w:t>
            </w:r>
          </w:p>
          <w:p w:rsidR="00CD2544" w:rsidRPr="0060706A" w:rsidP="00CD2544">
            <w:pPr>
              <w:autoSpaceDE w:val="0"/>
              <w:autoSpaceDN w:val="0"/>
              <w:adjustRightInd w:val="0"/>
              <w:jc w:val="center"/>
            </w:pPr>
            <w:r w:rsidRPr="0060706A">
              <w:t>Schedule A</w:t>
            </w:r>
          </w:p>
          <w:p w:rsidR="00CD2544" w:rsidRPr="0060706A" w:rsidP="00CD2544">
            <w:pPr>
              <w:autoSpaceDE w:val="0"/>
              <w:autoSpaceDN w:val="0"/>
              <w:adjustRightInd w:val="0"/>
              <w:jc w:val="center"/>
            </w:pPr>
            <w:r w:rsidRPr="0060706A">
              <w:t>&amp; 159</w:t>
            </w:r>
          </w:p>
        </w:tc>
        <w:tc>
          <w:tcPr>
            <w:tcW w:w="1440" w:type="dxa"/>
            <w:shd w:val="clear" w:color="auto" w:fill="auto"/>
          </w:tcPr>
          <w:p w:rsidR="00540183" w:rsidP="00540183">
            <w:pPr>
              <w:autoSpaceDE w:val="0"/>
              <w:autoSpaceDN w:val="0"/>
              <w:adjustRightInd w:val="0"/>
              <w:jc w:val="center"/>
            </w:pPr>
          </w:p>
          <w:p w:rsidR="00CD2544" w:rsidRPr="0060706A">
            <w:pPr>
              <w:autoSpaceDE w:val="0"/>
              <w:autoSpaceDN w:val="0"/>
              <w:adjustRightInd w:val="0"/>
              <w:jc w:val="center"/>
            </w:pPr>
            <w:r w:rsidRPr="0060706A">
              <w:t>$400.00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60"/>
        </w:trPr>
        <w:tc>
          <w:tcPr>
            <w:tcW w:w="3870" w:type="dxa"/>
            <w:shd w:val="clear" w:color="auto" w:fill="auto"/>
          </w:tcPr>
          <w:p w:rsidR="00CD2544" w:rsidRPr="0060706A" w:rsidP="00CD2544">
            <w:pPr>
              <w:autoSpaceDE w:val="0"/>
              <w:autoSpaceDN w:val="0"/>
              <w:adjustRightInd w:val="0"/>
              <w:ind w:left="540" w:hanging="540"/>
              <w:rPr>
                <w:b/>
              </w:rPr>
            </w:pPr>
            <w:r w:rsidRPr="0060706A">
              <w:rPr>
                <w:b/>
              </w:rPr>
              <w:t>15. Renewals of Earth Station Licenses, per call sign</w:t>
            </w:r>
          </w:p>
          <w:p w:rsidR="00CD2544" w:rsidRPr="0060706A" w:rsidP="00CE4C9A">
            <w:pPr>
              <w:pStyle w:val="ListParagraph"/>
              <w:numPr>
                <w:ilvl w:val="0"/>
                <w:numId w:val="23"/>
              </w:numPr>
              <w:autoSpaceDE w:val="0"/>
              <w:autoSpaceDN w:val="0"/>
              <w:adjustRightInd w:val="0"/>
            </w:pPr>
            <w:r w:rsidRPr="0060706A">
              <w:t xml:space="preserve">Single </w:t>
            </w:r>
            <w:r w:rsidRPr="0060706A">
              <w:t>site</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312-R &amp; 159</w:t>
            </w:r>
          </w:p>
        </w:tc>
        <w:tc>
          <w:tcPr>
            <w:tcW w:w="1440" w:type="dxa"/>
            <w:shd w:val="clear" w:color="auto" w:fill="auto"/>
          </w:tcPr>
          <w:p w:rsidR="00540183" w:rsidP="00540183">
            <w:pPr>
              <w:autoSpaceDE w:val="0"/>
              <w:autoSpaceDN w:val="0"/>
              <w:adjustRightInd w:val="0"/>
              <w:jc w:val="center"/>
            </w:pPr>
          </w:p>
          <w:p w:rsidR="00CD2544" w:rsidRPr="0060706A">
            <w:pPr>
              <w:autoSpaceDE w:val="0"/>
              <w:autoSpaceDN w:val="0"/>
              <w:adjustRightInd w:val="0"/>
              <w:jc w:val="center"/>
            </w:pPr>
            <w:r w:rsidRPr="0060706A">
              <w:t>$115.00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60"/>
        </w:trPr>
        <w:tc>
          <w:tcPr>
            <w:tcW w:w="3870" w:type="dxa"/>
            <w:shd w:val="clear" w:color="auto" w:fill="auto"/>
          </w:tcPr>
          <w:p w:rsidR="00CD2544" w:rsidRPr="0060706A" w:rsidP="00CE4C9A">
            <w:pPr>
              <w:pStyle w:val="ListParagraph"/>
              <w:numPr>
                <w:ilvl w:val="0"/>
                <w:numId w:val="23"/>
              </w:numPr>
              <w:autoSpaceDE w:val="0"/>
              <w:autoSpaceDN w:val="0"/>
              <w:adjustRightInd w:val="0"/>
            </w:pPr>
            <w:r w:rsidRPr="0060706A">
              <w:t>Multiple sites</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312-R &amp; 159</w:t>
            </w:r>
          </w:p>
        </w:tc>
        <w:tc>
          <w:tcPr>
            <w:tcW w:w="1440" w:type="dxa"/>
            <w:shd w:val="clear" w:color="auto" w:fill="auto"/>
          </w:tcPr>
          <w:p w:rsidR="00540183" w:rsidP="00540183">
            <w:pPr>
              <w:autoSpaceDE w:val="0"/>
              <w:autoSpaceDN w:val="0"/>
              <w:adjustRightInd w:val="0"/>
              <w:jc w:val="center"/>
            </w:pPr>
          </w:p>
          <w:p w:rsidR="00CD2544" w:rsidRPr="0060706A">
            <w:pPr>
              <w:autoSpaceDE w:val="0"/>
              <w:autoSpaceDN w:val="0"/>
              <w:adjustRightInd w:val="0"/>
              <w:jc w:val="center"/>
            </w:pPr>
            <w:r w:rsidRPr="0060706A">
              <w:t>$145.00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60"/>
        </w:trPr>
        <w:tc>
          <w:tcPr>
            <w:tcW w:w="3870" w:type="dxa"/>
            <w:shd w:val="clear" w:color="auto" w:fill="auto"/>
          </w:tcPr>
          <w:p w:rsidR="00CD2544" w:rsidRPr="0060706A" w:rsidP="00CD2544">
            <w:pPr>
              <w:autoSpaceDE w:val="0"/>
              <w:autoSpaceDN w:val="0"/>
              <w:adjustRightInd w:val="0"/>
              <w:rPr>
                <w:b/>
              </w:rPr>
            </w:pPr>
            <w:r w:rsidRPr="0060706A">
              <w:rPr>
                <w:b/>
              </w:rPr>
              <w:t>16. Earth Station Special Temporary Authority, per call sign</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312 &amp; 159</w:t>
            </w:r>
          </w:p>
          <w:p w:rsidR="00CD2544" w:rsidRPr="0060706A" w:rsidP="00CD2544">
            <w:pPr>
              <w:jc w:val="center"/>
            </w:pPr>
          </w:p>
        </w:tc>
        <w:tc>
          <w:tcPr>
            <w:tcW w:w="1440" w:type="dxa"/>
            <w:shd w:val="clear" w:color="auto" w:fill="auto"/>
          </w:tcPr>
          <w:p w:rsidR="00540183" w:rsidP="00540183">
            <w:pPr>
              <w:autoSpaceDE w:val="0"/>
              <w:autoSpaceDN w:val="0"/>
              <w:adjustRightInd w:val="0"/>
              <w:jc w:val="center"/>
            </w:pPr>
          </w:p>
          <w:p w:rsidR="00CD2544" w:rsidRPr="0060706A">
            <w:pPr>
              <w:autoSpaceDE w:val="0"/>
              <w:autoSpaceDN w:val="0"/>
              <w:adjustRightInd w:val="0"/>
              <w:jc w:val="center"/>
            </w:pPr>
            <w:r w:rsidRPr="0060706A">
              <w:t>$195.00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412"/>
        </w:trPr>
        <w:tc>
          <w:tcPr>
            <w:tcW w:w="3870" w:type="dxa"/>
            <w:shd w:val="clear" w:color="auto" w:fill="auto"/>
          </w:tcPr>
          <w:p w:rsidR="00CD2544" w:rsidRPr="0060706A" w:rsidP="00CD2544">
            <w:pPr>
              <w:autoSpaceDE w:val="0"/>
              <w:autoSpaceDN w:val="0"/>
              <w:adjustRightInd w:val="0"/>
              <w:ind w:left="540" w:hanging="540"/>
              <w:rPr>
                <w:b/>
              </w:rPr>
            </w:pPr>
            <w:r w:rsidRPr="0060706A">
              <w:rPr>
                <w:b/>
              </w:rPr>
              <w:t>17.  Space Stations –Geostationary Orbit</w:t>
            </w:r>
          </w:p>
          <w:p w:rsidR="00CD2544" w:rsidRPr="0060706A" w:rsidP="00CD2544">
            <w:pPr>
              <w:autoSpaceDE w:val="0"/>
              <w:autoSpaceDN w:val="0"/>
              <w:adjustRightInd w:val="0"/>
              <w:ind w:left="540" w:hanging="540"/>
              <w:rPr>
                <w:b/>
              </w:rPr>
            </w:pPr>
            <w:r w:rsidRPr="0060706A">
              <w:t xml:space="preserve">  a. Application for Authority to Construct, Deploy, &amp; Operate, per satellite</w:t>
            </w:r>
          </w:p>
        </w:tc>
        <w:tc>
          <w:tcPr>
            <w:tcW w:w="1440" w:type="dxa"/>
          </w:tcPr>
          <w:p w:rsidR="00CD2544" w:rsidRPr="0060706A" w:rsidP="00CD2544">
            <w:pPr>
              <w:autoSpaceDE w:val="0"/>
              <w:autoSpaceDN w:val="0"/>
              <w:adjustRightInd w:val="0"/>
              <w:jc w:val="center"/>
            </w:pPr>
            <w:r w:rsidRPr="0060706A">
              <w:t>312 Main &amp; Schedule S &amp; 159</w:t>
            </w:r>
          </w:p>
          <w:p w:rsidR="00CD2544" w:rsidRPr="0060706A" w:rsidP="00CD2544">
            <w:pPr>
              <w:autoSpaceDE w:val="0"/>
              <w:autoSpaceDN w:val="0"/>
              <w:adjustRightInd w:val="0"/>
              <w:jc w:val="center"/>
            </w:pPr>
          </w:p>
          <w:p w:rsidR="00CD2544" w:rsidRPr="0060706A" w:rsidP="00CD2544">
            <w:pPr>
              <w:jc w:val="center"/>
            </w:pPr>
          </w:p>
        </w:tc>
        <w:tc>
          <w:tcPr>
            <w:tcW w:w="1440" w:type="dxa"/>
            <w:shd w:val="clear" w:color="auto" w:fill="auto"/>
          </w:tcPr>
          <w:p w:rsidR="00540183" w:rsidP="00540183">
            <w:pPr>
              <w:autoSpaceDE w:val="0"/>
              <w:autoSpaceDN w:val="0"/>
              <w:adjustRightInd w:val="0"/>
              <w:jc w:val="center"/>
            </w:pPr>
          </w:p>
          <w:p w:rsidR="00CD2544" w:rsidRPr="0060706A">
            <w:pPr>
              <w:autoSpaceDE w:val="0"/>
              <w:autoSpaceDN w:val="0"/>
              <w:adjustRightInd w:val="0"/>
              <w:jc w:val="center"/>
              <w:rPr>
                <w:spacing w:val="-2"/>
              </w:rPr>
            </w:pPr>
            <w:r w:rsidRPr="0060706A">
              <w:t>$3,555.00</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BNY</w:t>
            </w:r>
          </w:p>
        </w:tc>
      </w:tr>
      <w:tr w:rsidTr="00B13758">
        <w:tblPrEx>
          <w:tblW w:w="8190" w:type="dxa"/>
          <w:tblInd w:w="-36" w:type="dxa"/>
          <w:tblCellMar>
            <w:left w:w="54" w:type="dxa"/>
            <w:right w:w="54" w:type="dxa"/>
          </w:tblCellMar>
          <w:tblLook w:val="0000"/>
        </w:tblPrEx>
        <w:trPr>
          <w:trHeight w:val="1412"/>
        </w:trPr>
        <w:tc>
          <w:tcPr>
            <w:tcW w:w="3870" w:type="dxa"/>
            <w:shd w:val="clear" w:color="auto" w:fill="auto"/>
          </w:tcPr>
          <w:p w:rsidR="00CD2544" w:rsidRPr="0060706A" w:rsidP="00CD2544">
            <w:pPr>
              <w:autoSpaceDE w:val="0"/>
              <w:autoSpaceDN w:val="0"/>
              <w:adjustRightInd w:val="0"/>
              <w:ind w:left="540" w:hanging="540"/>
            </w:pPr>
            <w:r w:rsidRPr="0060706A">
              <w:t>b Application for authority to operate, per satellite</w:t>
            </w:r>
          </w:p>
        </w:tc>
        <w:tc>
          <w:tcPr>
            <w:tcW w:w="1440" w:type="dxa"/>
          </w:tcPr>
          <w:p w:rsidR="00CD2544" w:rsidRPr="0060706A" w:rsidP="00CD2544">
            <w:pPr>
              <w:autoSpaceDE w:val="0"/>
              <w:autoSpaceDN w:val="0"/>
              <w:adjustRightInd w:val="0"/>
              <w:jc w:val="center"/>
            </w:pPr>
            <w:r w:rsidRPr="0060706A">
              <w:t>312 Main &amp; Schedule S &amp; 159</w:t>
            </w:r>
          </w:p>
          <w:p w:rsidR="00CD2544" w:rsidRPr="0060706A" w:rsidP="00CD2544">
            <w:pPr>
              <w:autoSpaceDE w:val="0"/>
              <w:autoSpaceDN w:val="0"/>
              <w:adjustRightInd w:val="0"/>
              <w:jc w:val="center"/>
            </w:pPr>
          </w:p>
        </w:tc>
        <w:tc>
          <w:tcPr>
            <w:tcW w:w="1440" w:type="dxa"/>
            <w:shd w:val="clear" w:color="auto" w:fill="auto"/>
          </w:tcPr>
          <w:p w:rsidR="00540183" w:rsidP="00540183">
            <w:pPr>
              <w:autoSpaceDE w:val="0"/>
              <w:autoSpaceDN w:val="0"/>
              <w:adjustRightInd w:val="0"/>
              <w:jc w:val="center"/>
            </w:pPr>
          </w:p>
          <w:p w:rsidR="00CD2544" w:rsidRPr="0060706A">
            <w:pPr>
              <w:autoSpaceDE w:val="0"/>
              <w:autoSpaceDN w:val="0"/>
              <w:adjustRightInd w:val="0"/>
              <w:jc w:val="center"/>
            </w:pPr>
            <w:r w:rsidRPr="0060706A">
              <w:t>$ 3,555.00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412"/>
        </w:trPr>
        <w:tc>
          <w:tcPr>
            <w:tcW w:w="3870" w:type="dxa"/>
            <w:shd w:val="clear" w:color="auto" w:fill="auto"/>
          </w:tcPr>
          <w:p w:rsidR="00CD2544" w:rsidRPr="0060706A" w:rsidP="00CD2544">
            <w:pPr>
              <w:autoSpaceDE w:val="0"/>
              <w:autoSpaceDN w:val="0"/>
              <w:adjustRightInd w:val="0"/>
              <w:rPr>
                <w:b/>
              </w:rPr>
            </w:pPr>
            <w:r w:rsidRPr="0060706A">
              <w:rPr>
                <w:b/>
              </w:rPr>
              <w:t xml:space="preserve">  18. Space Stations, Non-Geostationary Orbit</w:t>
            </w:r>
          </w:p>
          <w:p w:rsidR="00CD2544" w:rsidRPr="0060706A" w:rsidP="00CD2544">
            <w:pPr>
              <w:autoSpaceDE w:val="0"/>
              <w:autoSpaceDN w:val="0"/>
              <w:adjustRightInd w:val="0"/>
            </w:pPr>
            <w:r w:rsidRPr="0060706A">
              <w:t>a. Application for authority to construct, deploy, &amp; operate, per system of technically identical satellites, per call sign</w:t>
            </w:r>
          </w:p>
        </w:tc>
        <w:tc>
          <w:tcPr>
            <w:tcW w:w="1440" w:type="dxa"/>
          </w:tcPr>
          <w:p w:rsidR="00CD2544" w:rsidRPr="0060706A" w:rsidP="00CD2544">
            <w:pPr>
              <w:autoSpaceDE w:val="0"/>
              <w:autoSpaceDN w:val="0"/>
              <w:adjustRightInd w:val="0"/>
              <w:jc w:val="center"/>
            </w:pPr>
            <w:r w:rsidRPr="0060706A">
              <w:t>312 Main &amp; Schedule S &amp; 159</w:t>
            </w:r>
          </w:p>
          <w:p w:rsidR="00CD2544" w:rsidRPr="0060706A" w:rsidP="00CD2544">
            <w:pPr>
              <w:autoSpaceDE w:val="0"/>
              <w:autoSpaceDN w:val="0"/>
              <w:adjustRightInd w:val="0"/>
              <w:jc w:val="center"/>
            </w:pPr>
          </w:p>
        </w:tc>
        <w:tc>
          <w:tcPr>
            <w:tcW w:w="1440" w:type="dxa"/>
            <w:shd w:val="clear" w:color="auto" w:fill="auto"/>
          </w:tcPr>
          <w:p w:rsidR="00540183" w:rsidP="00540183">
            <w:pPr>
              <w:autoSpaceDE w:val="0"/>
              <w:autoSpaceDN w:val="0"/>
              <w:adjustRightInd w:val="0"/>
              <w:jc w:val="center"/>
            </w:pPr>
          </w:p>
          <w:p w:rsidR="00CD2544" w:rsidRPr="0060706A">
            <w:pPr>
              <w:autoSpaceDE w:val="0"/>
              <w:autoSpaceDN w:val="0"/>
              <w:adjustRightInd w:val="0"/>
              <w:jc w:val="center"/>
            </w:pPr>
            <w:r w:rsidRPr="0060706A">
              <w:t>$15,050.00</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CLW</w:t>
            </w:r>
          </w:p>
        </w:tc>
      </w:tr>
      <w:tr w:rsidTr="00B13758">
        <w:tblPrEx>
          <w:tblW w:w="8190" w:type="dxa"/>
          <w:tblInd w:w="-36" w:type="dxa"/>
          <w:tblCellMar>
            <w:left w:w="54" w:type="dxa"/>
            <w:right w:w="54" w:type="dxa"/>
          </w:tblCellMar>
          <w:tblLook w:val="0000"/>
        </w:tblPrEx>
        <w:trPr>
          <w:trHeight w:val="998"/>
        </w:trPr>
        <w:tc>
          <w:tcPr>
            <w:tcW w:w="3870" w:type="dxa"/>
            <w:shd w:val="clear" w:color="auto" w:fill="auto"/>
          </w:tcPr>
          <w:p w:rsidR="00CD2544" w:rsidRPr="0060706A" w:rsidP="00CD2544">
            <w:pPr>
              <w:autoSpaceDE w:val="0"/>
              <w:autoSpaceDN w:val="0"/>
              <w:adjustRightInd w:val="0"/>
              <w:ind w:left="540" w:hanging="540"/>
            </w:pPr>
            <w:r w:rsidRPr="0060706A">
              <w:t xml:space="preserve">  b. Application for authority to operate, per system of technically identical satellites, per call sign</w:t>
            </w:r>
          </w:p>
          <w:p w:rsidR="00CD2544" w:rsidRPr="0060706A" w:rsidP="00CD2544">
            <w:pPr>
              <w:autoSpaceDE w:val="0"/>
              <w:autoSpaceDN w:val="0"/>
              <w:adjustRightInd w:val="0"/>
              <w:ind w:left="540" w:hanging="540"/>
            </w:pPr>
          </w:p>
        </w:tc>
        <w:tc>
          <w:tcPr>
            <w:tcW w:w="1440" w:type="dxa"/>
          </w:tcPr>
          <w:p w:rsidR="00CD2544" w:rsidRPr="0060706A" w:rsidP="00CD2544">
            <w:pPr>
              <w:autoSpaceDE w:val="0"/>
              <w:autoSpaceDN w:val="0"/>
              <w:adjustRightInd w:val="0"/>
              <w:jc w:val="center"/>
            </w:pPr>
            <w:r w:rsidRPr="0060706A">
              <w:t>312 Main &amp; Schedule S &amp; 159</w:t>
            </w:r>
          </w:p>
          <w:p w:rsidR="00CD2544" w:rsidRPr="0060706A" w:rsidP="00CD2544">
            <w:pPr>
              <w:autoSpaceDE w:val="0"/>
              <w:autoSpaceDN w:val="0"/>
              <w:adjustRightInd w:val="0"/>
              <w:jc w:val="center"/>
            </w:pPr>
          </w:p>
        </w:tc>
        <w:tc>
          <w:tcPr>
            <w:tcW w:w="1440" w:type="dxa"/>
            <w:shd w:val="clear" w:color="auto" w:fill="auto"/>
          </w:tcPr>
          <w:p w:rsidR="00540183" w:rsidP="00540183">
            <w:pPr>
              <w:autoSpaceDE w:val="0"/>
              <w:autoSpaceDN w:val="0"/>
              <w:adjustRightInd w:val="0"/>
              <w:jc w:val="center"/>
            </w:pPr>
          </w:p>
          <w:p w:rsidR="00CD2544" w:rsidRPr="0060706A">
            <w:pPr>
              <w:autoSpaceDE w:val="0"/>
              <w:autoSpaceDN w:val="0"/>
              <w:adjustRightInd w:val="0"/>
              <w:jc w:val="center"/>
              <w:rPr>
                <w:spacing w:val="-2"/>
              </w:rPr>
            </w:pPr>
            <w:r w:rsidRPr="0060706A">
              <w:t>$15,050.00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79"/>
        </w:trPr>
        <w:tc>
          <w:tcPr>
            <w:tcW w:w="3870" w:type="dxa"/>
            <w:shd w:val="clear" w:color="auto" w:fill="auto"/>
          </w:tcPr>
          <w:p w:rsidR="00CD2544" w:rsidRPr="0060706A" w:rsidP="00CD2544">
            <w:pPr>
              <w:autoSpaceDE w:val="0"/>
              <w:autoSpaceDN w:val="0"/>
              <w:adjustRightInd w:val="0"/>
              <w:ind w:left="540" w:hanging="540"/>
              <w:rPr>
                <w:b/>
              </w:rPr>
            </w:pPr>
            <w:r w:rsidRPr="0060706A">
              <w:rPr>
                <w:b/>
              </w:rPr>
              <w:t xml:space="preserve">  19.  Space Stations, Petition for declaratory ruling for a foreign space station to access the U.S. market</w:t>
            </w:r>
          </w:p>
          <w:p w:rsidR="00CD2544" w:rsidRPr="0060706A" w:rsidP="00CD2544">
            <w:pPr>
              <w:autoSpaceDE w:val="0"/>
              <w:autoSpaceDN w:val="0"/>
              <w:adjustRightInd w:val="0"/>
              <w:ind w:left="540" w:hanging="540"/>
            </w:pPr>
            <w:r w:rsidRPr="0060706A">
              <w:t>a. Geostationary orbit</w:t>
            </w:r>
          </w:p>
          <w:p w:rsidR="00CD2544" w:rsidRPr="0060706A" w:rsidP="00CD2544">
            <w:pPr>
              <w:autoSpaceDE w:val="0"/>
              <w:autoSpaceDN w:val="0"/>
              <w:adjustRightInd w:val="0"/>
              <w:ind w:left="540" w:hanging="540"/>
            </w:pPr>
            <w:r w:rsidRPr="0060706A">
              <w:t xml:space="preserve">  </w:t>
            </w:r>
          </w:p>
          <w:p w:rsidR="00CD2544" w:rsidRPr="0060706A" w:rsidP="00CD2544">
            <w:pPr>
              <w:pStyle w:val="ListParagraph"/>
              <w:autoSpaceDE w:val="0"/>
              <w:autoSpaceDN w:val="0"/>
              <w:adjustRightInd w:val="0"/>
            </w:pPr>
            <w:r w:rsidRPr="0060706A">
              <w:t xml:space="preserve">           </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Corres &amp; 159</w:t>
            </w:r>
          </w:p>
        </w:tc>
        <w:tc>
          <w:tcPr>
            <w:tcW w:w="1440" w:type="dxa"/>
            <w:shd w:val="clear" w:color="auto" w:fill="auto"/>
          </w:tcPr>
          <w:p w:rsidR="00540183" w:rsidP="00540183">
            <w:pPr>
              <w:autoSpaceDE w:val="0"/>
              <w:autoSpaceDN w:val="0"/>
              <w:adjustRightInd w:val="0"/>
              <w:jc w:val="center"/>
            </w:pPr>
          </w:p>
          <w:p w:rsidR="00CD2544" w:rsidRPr="0060706A">
            <w:pPr>
              <w:autoSpaceDE w:val="0"/>
              <w:autoSpaceDN w:val="0"/>
              <w:adjustRightInd w:val="0"/>
              <w:jc w:val="center"/>
            </w:pPr>
            <w:r w:rsidRPr="0060706A">
              <w:t>$3,555.00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79"/>
        </w:trPr>
        <w:tc>
          <w:tcPr>
            <w:tcW w:w="3870" w:type="dxa"/>
            <w:shd w:val="clear" w:color="auto" w:fill="auto"/>
          </w:tcPr>
          <w:p w:rsidR="00CD2544" w:rsidRPr="0060706A" w:rsidP="00CD2544">
            <w:pPr>
              <w:autoSpaceDE w:val="0"/>
              <w:autoSpaceDN w:val="0"/>
              <w:adjustRightInd w:val="0"/>
              <w:ind w:left="540" w:hanging="540"/>
            </w:pPr>
            <w:r w:rsidRPr="0060706A">
              <w:t xml:space="preserve">  b. Non-Geostationary Orbit</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Corres &amp; 159</w:t>
            </w:r>
          </w:p>
        </w:tc>
        <w:tc>
          <w:tcPr>
            <w:tcW w:w="1440" w:type="dxa"/>
            <w:shd w:val="clear" w:color="auto" w:fill="auto"/>
          </w:tcPr>
          <w:p w:rsidR="00C042E4" w:rsidP="00C042E4">
            <w:pPr>
              <w:autoSpaceDE w:val="0"/>
              <w:autoSpaceDN w:val="0"/>
              <w:adjustRightInd w:val="0"/>
              <w:jc w:val="center"/>
            </w:pPr>
          </w:p>
          <w:p w:rsidR="00CD2544" w:rsidRPr="0060706A">
            <w:pPr>
              <w:autoSpaceDE w:val="0"/>
              <w:autoSpaceDN w:val="0"/>
              <w:adjustRightInd w:val="0"/>
              <w:jc w:val="center"/>
            </w:pPr>
            <w:r w:rsidRPr="0060706A">
              <w:t>$15,050.00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79"/>
        </w:trPr>
        <w:tc>
          <w:tcPr>
            <w:tcW w:w="3870" w:type="dxa"/>
            <w:shd w:val="clear" w:color="auto" w:fill="auto"/>
          </w:tcPr>
          <w:p w:rsidR="00CD2544" w:rsidRPr="0060706A" w:rsidP="00CD2544">
            <w:pPr>
              <w:autoSpaceDE w:val="0"/>
              <w:autoSpaceDN w:val="0"/>
              <w:adjustRightInd w:val="0"/>
              <w:ind w:left="540" w:hanging="540"/>
              <w:rPr>
                <w:b/>
              </w:rPr>
            </w:pPr>
            <w:r w:rsidRPr="0060706A">
              <w:t xml:space="preserve">  </w:t>
            </w:r>
            <w:r w:rsidRPr="0060706A">
              <w:rPr>
                <w:b/>
              </w:rPr>
              <w:t xml:space="preserve">20. Space </w:t>
            </w:r>
            <w:r w:rsidRPr="0060706A">
              <w:rPr>
                <w:b/>
              </w:rPr>
              <w:t>Stations, Small Satellites, per call sign</w:t>
            </w:r>
          </w:p>
          <w:p w:rsidR="00CD2544" w:rsidRPr="0060706A" w:rsidP="00CD2544">
            <w:pPr>
              <w:autoSpaceDE w:val="0"/>
              <w:autoSpaceDN w:val="0"/>
              <w:adjustRightInd w:val="0"/>
              <w:ind w:left="540" w:hanging="540"/>
              <w:rPr>
                <w:b/>
              </w:rPr>
            </w:pPr>
            <w:r w:rsidRPr="0060706A">
              <w:t>a. Application for authority to construct, deploy, &amp; operate, per call sign</w:t>
            </w:r>
          </w:p>
        </w:tc>
        <w:tc>
          <w:tcPr>
            <w:tcW w:w="1440" w:type="dxa"/>
          </w:tcPr>
          <w:p w:rsidR="00CD2544" w:rsidRPr="0060706A" w:rsidP="00CD2544">
            <w:pPr>
              <w:autoSpaceDE w:val="0"/>
              <w:autoSpaceDN w:val="0"/>
              <w:adjustRightInd w:val="0"/>
              <w:jc w:val="center"/>
            </w:pPr>
            <w:r w:rsidRPr="0060706A">
              <w:t>312 Main &amp; Schedule S &amp; 159</w:t>
            </w:r>
          </w:p>
          <w:p w:rsidR="00CD2544" w:rsidRPr="0060706A" w:rsidP="00CD2544">
            <w:pPr>
              <w:autoSpaceDE w:val="0"/>
              <w:autoSpaceDN w:val="0"/>
              <w:adjustRightInd w:val="0"/>
              <w:jc w:val="center"/>
            </w:pPr>
          </w:p>
        </w:tc>
        <w:tc>
          <w:tcPr>
            <w:tcW w:w="1440" w:type="dxa"/>
            <w:shd w:val="clear" w:color="auto" w:fill="auto"/>
          </w:tcPr>
          <w:p w:rsidR="00C042E4" w:rsidP="00C042E4">
            <w:pPr>
              <w:autoSpaceDE w:val="0"/>
              <w:autoSpaceDN w:val="0"/>
              <w:adjustRightInd w:val="0"/>
              <w:jc w:val="center"/>
            </w:pPr>
          </w:p>
          <w:p w:rsidR="00CD2544" w:rsidRPr="0060706A">
            <w:pPr>
              <w:autoSpaceDE w:val="0"/>
              <w:autoSpaceDN w:val="0"/>
              <w:adjustRightInd w:val="0"/>
              <w:jc w:val="center"/>
            </w:pPr>
            <w:r w:rsidRPr="0060706A">
              <w:t>$2,175.00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79"/>
        </w:trPr>
        <w:tc>
          <w:tcPr>
            <w:tcW w:w="3870" w:type="dxa"/>
            <w:shd w:val="clear" w:color="auto" w:fill="auto"/>
          </w:tcPr>
          <w:p w:rsidR="00CD2544" w:rsidRPr="0060706A" w:rsidP="00CD2544">
            <w:pPr>
              <w:autoSpaceDE w:val="0"/>
              <w:autoSpaceDN w:val="0"/>
              <w:adjustRightInd w:val="0"/>
              <w:rPr>
                <w:b/>
              </w:rPr>
            </w:pPr>
            <w:r w:rsidRPr="0060706A">
              <w:rPr>
                <w:b/>
              </w:rPr>
              <w:t>21. Space Stations, Amendments, per call sign</w:t>
            </w:r>
          </w:p>
        </w:tc>
        <w:tc>
          <w:tcPr>
            <w:tcW w:w="1440" w:type="dxa"/>
          </w:tcPr>
          <w:p w:rsidR="00CD2544" w:rsidRPr="0060706A" w:rsidP="00CD2544">
            <w:pPr>
              <w:autoSpaceDE w:val="0"/>
              <w:autoSpaceDN w:val="0"/>
              <w:adjustRightInd w:val="0"/>
              <w:jc w:val="center"/>
            </w:pPr>
            <w:r w:rsidRPr="0060706A">
              <w:t>312 Main &amp; Schedule S &amp; 159</w:t>
            </w:r>
          </w:p>
        </w:tc>
        <w:tc>
          <w:tcPr>
            <w:tcW w:w="1440" w:type="dxa"/>
            <w:shd w:val="clear" w:color="auto" w:fill="auto"/>
          </w:tcPr>
          <w:p w:rsidR="00C042E4" w:rsidP="00C042E4">
            <w:pPr>
              <w:autoSpaceDE w:val="0"/>
              <w:autoSpaceDN w:val="0"/>
              <w:adjustRightInd w:val="0"/>
              <w:jc w:val="center"/>
            </w:pPr>
          </w:p>
          <w:p w:rsidR="00CD2544" w:rsidRPr="0060706A">
            <w:pPr>
              <w:autoSpaceDE w:val="0"/>
              <w:autoSpaceDN w:val="0"/>
              <w:adjustRightInd w:val="0"/>
              <w:jc w:val="center"/>
            </w:pPr>
            <w:r w:rsidRPr="0060706A">
              <w:t>$1,620.00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79"/>
        </w:trPr>
        <w:tc>
          <w:tcPr>
            <w:tcW w:w="3870" w:type="dxa"/>
            <w:shd w:val="clear" w:color="auto" w:fill="auto"/>
          </w:tcPr>
          <w:p w:rsidR="00CD2544" w:rsidRPr="0060706A" w:rsidP="00CD2544">
            <w:pPr>
              <w:autoSpaceDE w:val="0"/>
              <w:autoSpaceDN w:val="0"/>
              <w:adjustRightInd w:val="0"/>
              <w:ind w:left="360"/>
              <w:rPr>
                <w:b/>
              </w:rPr>
            </w:pPr>
            <w:r w:rsidRPr="0060706A">
              <w:rPr>
                <w:b/>
              </w:rPr>
              <w:t xml:space="preserve">22. </w:t>
            </w:r>
            <w:r w:rsidRPr="0060706A">
              <w:rPr>
                <w:b/>
              </w:rPr>
              <w:t>Space Stations, Modifications, per call sign</w:t>
            </w:r>
          </w:p>
        </w:tc>
        <w:tc>
          <w:tcPr>
            <w:tcW w:w="1440" w:type="dxa"/>
          </w:tcPr>
          <w:p w:rsidR="00CD2544" w:rsidRPr="0060706A" w:rsidP="00CD2544">
            <w:pPr>
              <w:autoSpaceDE w:val="0"/>
              <w:autoSpaceDN w:val="0"/>
              <w:adjustRightInd w:val="0"/>
              <w:jc w:val="center"/>
            </w:pPr>
            <w:r w:rsidRPr="0060706A">
              <w:t>312 Main &amp; Schedule S (if needed) &amp; 159</w:t>
            </w:r>
          </w:p>
        </w:tc>
        <w:tc>
          <w:tcPr>
            <w:tcW w:w="1440" w:type="dxa"/>
            <w:shd w:val="clear" w:color="auto" w:fill="auto"/>
          </w:tcPr>
          <w:p w:rsidR="00C042E4" w:rsidP="00C042E4">
            <w:pPr>
              <w:autoSpaceDE w:val="0"/>
              <w:autoSpaceDN w:val="0"/>
              <w:adjustRightInd w:val="0"/>
              <w:jc w:val="center"/>
            </w:pPr>
          </w:p>
          <w:p w:rsidR="00CD2544" w:rsidRPr="0060706A">
            <w:pPr>
              <w:autoSpaceDE w:val="0"/>
              <w:autoSpaceDN w:val="0"/>
              <w:adjustRightInd w:val="0"/>
              <w:jc w:val="center"/>
            </w:pPr>
            <w:r w:rsidRPr="0060706A">
              <w:t>$2,495.00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79"/>
        </w:trPr>
        <w:tc>
          <w:tcPr>
            <w:tcW w:w="3870" w:type="dxa"/>
            <w:shd w:val="clear" w:color="auto" w:fill="auto"/>
          </w:tcPr>
          <w:p w:rsidR="00CD2544" w:rsidRPr="0060706A" w:rsidP="00CD2544">
            <w:pPr>
              <w:autoSpaceDE w:val="0"/>
              <w:autoSpaceDN w:val="0"/>
              <w:adjustRightInd w:val="0"/>
              <w:rPr>
                <w:b/>
              </w:rPr>
            </w:pPr>
            <w:r w:rsidRPr="0060706A">
              <w:rPr>
                <w:b/>
              </w:rPr>
              <w:t>23. Space Stations, Assignment or Transfer of Control, per call sign</w:t>
            </w:r>
          </w:p>
        </w:tc>
        <w:tc>
          <w:tcPr>
            <w:tcW w:w="1440" w:type="dxa"/>
          </w:tcPr>
          <w:p w:rsidR="00CD2544" w:rsidRPr="0060706A" w:rsidP="00CD2544">
            <w:pPr>
              <w:autoSpaceDE w:val="0"/>
              <w:autoSpaceDN w:val="0"/>
              <w:adjustRightInd w:val="0"/>
              <w:jc w:val="center"/>
            </w:pPr>
            <w:r w:rsidRPr="0060706A">
              <w:t>312 Main &amp; Schedule A &amp; 159</w:t>
            </w:r>
          </w:p>
        </w:tc>
        <w:tc>
          <w:tcPr>
            <w:tcW w:w="1440" w:type="dxa"/>
            <w:shd w:val="clear" w:color="auto" w:fill="auto"/>
          </w:tcPr>
          <w:p w:rsidR="00C042E4" w:rsidP="00C042E4">
            <w:pPr>
              <w:autoSpaceDE w:val="0"/>
              <w:autoSpaceDN w:val="0"/>
              <w:adjustRightInd w:val="0"/>
              <w:jc w:val="center"/>
            </w:pPr>
          </w:p>
          <w:p w:rsidR="00CD2544" w:rsidRPr="0060706A">
            <w:pPr>
              <w:autoSpaceDE w:val="0"/>
              <w:autoSpaceDN w:val="0"/>
              <w:adjustRightInd w:val="0"/>
              <w:jc w:val="center"/>
            </w:pPr>
            <w:r w:rsidRPr="0060706A">
              <w:t>$745.00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79"/>
        </w:trPr>
        <w:tc>
          <w:tcPr>
            <w:tcW w:w="3870" w:type="dxa"/>
            <w:shd w:val="clear" w:color="auto" w:fill="auto"/>
          </w:tcPr>
          <w:p w:rsidR="00CD2544" w:rsidRPr="0060706A" w:rsidP="00CD2544">
            <w:pPr>
              <w:autoSpaceDE w:val="0"/>
              <w:autoSpaceDN w:val="0"/>
              <w:adjustRightInd w:val="0"/>
              <w:rPr>
                <w:b/>
              </w:rPr>
            </w:pPr>
            <w:r w:rsidRPr="0060706A">
              <w:rPr>
                <w:b/>
              </w:rPr>
              <w:t xml:space="preserve">24. Space Stations, Pro Forma Assignment or </w:t>
            </w:r>
            <w:r w:rsidRPr="0060706A">
              <w:rPr>
                <w:b/>
              </w:rPr>
              <w:t>Transfer of Control, per call sign</w:t>
            </w:r>
          </w:p>
        </w:tc>
        <w:tc>
          <w:tcPr>
            <w:tcW w:w="1440" w:type="dxa"/>
          </w:tcPr>
          <w:p w:rsidR="00CD2544" w:rsidRPr="0060706A" w:rsidP="00CD2544">
            <w:pPr>
              <w:autoSpaceDE w:val="0"/>
              <w:autoSpaceDN w:val="0"/>
              <w:adjustRightInd w:val="0"/>
              <w:jc w:val="center"/>
            </w:pPr>
            <w:r w:rsidRPr="0060706A">
              <w:t>312 Main &amp; Schedule A &amp; 159</w:t>
            </w:r>
          </w:p>
        </w:tc>
        <w:tc>
          <w:tcPr>
            <w:tcW w:w="1440" w:type="dxa"/>
            <w:shd w:val="clear" w:color="auto" w:fill="auto"/>
          </w:tcPr>
          <w:p w:rsidR="00C042E4" w:rsidP="00C042E4">
            <w:pPr>
              <w:autoSpaceDE w:val="0"/>
              <w:autoSpaceDN w:val="0"/>
              <w:adjustRightInd w:val="0"/>
              <w:jc w:val="center"/>
            </w:pPr>
          </w:p>
          <w:p w:rsidR="00CD2544" w:rsidRPr="0060706A">
            <w:pPr>
              <w:autoSpaceDE w:val="0"/>
              <w:autoSpaceDN w:val="0"/>
              <w:adjustRightInd w:val="0"/>
              <w:jc w:val="center"/>
            </w:pPr>
            <w:r w:rsidRPr="0060706A">
              <w:t>$400.00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79"/>
        </w:trPr>
        <w:tc>
          <w:tcPr>
            <w:tcW w:w="3870" w:type="dxa"/>
            <w:shd w:val="clear" w:color="auto" w:fill="auto"/>
          </w:tcPr>
          <w:p w:rsidR="00CD2544" w:rsidRPr="0060706A" w:rsidP="00CD2544">
            <w:pPr>
              <w:pStyle w:val="ListParagraph"/>
              <w:autoSpaceDE w:val="0"/>
              <w:autoSpaceDN w:val="0"/>
              <w:adjustRightInd w:val="0"/>
              <w:rPr>
                <w:b/>
              </w:rPr>
            </w:pPr>
            <w:r w:rsidRPr="0060706A">
              <w:rPr>
                <w:b/>
              </w:rPr>
              <w:t xml:space="preserve">25. Space Stations, Special Temporary Authority, per call sign           </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312 Main &amp; Corres &amp; 159</w:t>
            </w:r>
          </w:p>
        </w:tc>
        <w:tc>
          <w:tcPr>
            <w:tcW w:w="1440" w:type="dxa"/>
            <w:shd w:val="clear" w:color="auto" w:fill="auto"/>
          </w:tcPr>
          <w:p w:rsidR="00C042E4" w:rsidP="00C042E4">
            <w:pPr>
              <w:autoSpaceDE w:val="0"/>
              <w:autoSpaceDN w:val="0"/>
              <w:adjustRightInd w:val="0"/>
              <w:jc w:val="center"/>
            </w:pPr>
          </w:p>
          <w:p w:rsidR="00CD2544" w:rsidRPr="0060706A">
            <w:pPr>
              <w:autoSpaceDE w:val="0"/>
              <w:autoSpaceDN w:val="0"/>
              <w:adjustRightInd w:val="0"/>
              <w:jc w:val="center"/>
            </w:pPr>
            <w:r w:rsidRPr="0060706A">
              <w:t>$1,435.00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232"/>
        </w:trPr>
        <w:tc>
          <w:tcPr>
            <w:tcW w:w="3870" w:type="dxa"/>
            <w:shd w:val="clear" w:color="auto" w:fill="auto"/>
          </w:tcPr>
          <w:p w:rsidR="00CD2544" w:rsidRPr="0060706A" w:rsidP="00CD2544">
            <w:pPr>
              <w:autoSpaceDE w:val="0"/>
              <w:autoSpaceDN w:val="0"/>
              <w:adjustRightInd w:val="0"/>
              <w:ind w:left="360" w:hanging="360"/>
              <w:rPr>
                <w:b/>
              </w:rPr>
            </w:pPr>
            <w:r w:rsidRPr="0060706A">
              <w:rPr>
                <w:b/>
              </w:rPr>
              <w:t>26.  International Broadcast Stations</w:t>
            </w:r>
          </w:p>
          <w:p w:rsidR="00CD2544" w:rsidRPr="0060706A" w:rsidP="00CD2544">
            <w:pPr>
              <w:autoSpaceDE w:val="0"/>
              <w:autoSpaceDN w:val="0"/>
              <w:adjustRightInd w:val="0"/>
              <w:ind w:left="546" w:hanging="546"/>
              <w:rPr>
                <w:b/>
              </w:rPr>
            </w:pPr>
            <w:r w:rsidRPr="0060706A">
              <w:t xml:space="preserve">  a.  New Station &amp;  Facilities Change Construction Permit           </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309 &amp; 159</w:t>
            </w:r>
          </w:p>
        </w:tc>
        <w:tc>
          <w:tcPr>
            <w:tcW w:w="1440" w:type="dxa"/>
            <w:shd w:val="clear" w:color="auto" w:fill="auto"/>
          </w:tcPr>
          <w:p w:rsidR="00C042E4" w:rsidP="00C042E4">
            <w:pPr>
              <w:autoSpaceDE w:val="0"/>
              <w:autoSpaceDN w:val="0"/>
              <w:adjustRightInd w:val="0"/>
              <w:jc w:val="center"/>
            </w:pPr>
          </w:p>
          <w:p w:rsidR="00CD2544" w:rsidRPr="0060706A">
            <w:pPr>
              <w:autoSpaceDE w:val="0"/>
              <w:autoSpaceDN w:val="0"/>
              <w:adjustRightInd w:val="0"/>
              <w:jc w:val="center"/>
              <w:rPr>
                <w:spacing w:val="-2"/>
              </w:rPr>
            </w:pPr>
            <w:r w:rsidRPr="0060706A">
              <w:t>$4,010.00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06"/>
        </w:trPr>
        <w:tc>
          <w:tcPr>
            <w:tcW w:w="3870" w:type="dxa"/>
            <w:shd w:val="clear" w:color="auto" w:fill="auto"/>
          </w:tcPr>
          <w:p w:rsidR="00CD2544" w:rsidRPr="0060706A" w:rsidP="00CD2544">
            <w:pPr>
              <w:autoSpaceDE w:val="0"/>
              <w:autoSpaceDN w:val="0"/>
              <w:adjustRightInd w:val="0"/>
              <w:ind w:left="540" w:hanging="540"/>
              <w:jc w:val="both"/>
            </w:pPr>
            <w:r w:rsidRPr="0060706A">
              <w:t xml:space="preserve">  b.  New License</w:t>
            </w:r>
          </w:p>
          <w:p w:rsidR="00CD2544" w:rsidRPr="0060706A" w:rsidP="00CD2544">
            <w:pPr>
              <w:autoSpaceDE w:val="0"/>
              <w:autoSpaceDN w:val="0"/>
              <w:adjustRightInd w:val="0"/>
              <w:ind w:left="540" w:hanging="540"/>
              <w:jc w:val="both"/>
            </w:pP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310 &amp; 159</w:t>
            </w:r>
          </w:p>
        </w:tc>
        <w:tc>
          <w:tcPr>
            <w:tcW w:w="1440" w:type="dxa"/>
            <w:shd w:val="clear" w:color="auto" w:fill="auto"/>
          </w:tcPr>
          <w:p w:rsidR="00C042E4" w:rsidP="00C042E4">
            <w:pPr>
              <w:autoSpaceDE w:val="0"/>
              <w:autoSpaceDN w:val="0"/>
              <w:adjustRightInd w:val="0"/>
              <w:jc w:val="center"/>
            </w:pPr>
          </w:p>
          <w:p w:rsidR="00CD2544" w:rsidRPr="0060706A">
            <w:pPr>
              <w:autoSpaceDE w:val="0"/>
              <w:autoSpaceDN w:val="0"/>
              <w:adjustRightInd w:val="0"/>
              <w:jc w:val="center"/>
              <w:rPr>
                <w:spacing w:val="-2"/>
              </w:rPr>
            </w:pPr>
            <w:r w:rsidRPr="0060706A">
              <w:t>$905.00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160"/>
        </w:trPr>
        <w:tc>
          <w:tcPr>
            <w:tcW w:w="3870" w:type="dxa"/>
            <w:shd w:val="clear" w:color="auto" w:fill="auto"/>
          </w:tcPr>
          <w:p w:rsidR="00CD2544" w:rsidRPr="0060706A" w:rsidP="00CD2544">
            <w:pPr>
              <w:autoSpaceDE w:val="0"/>
              <w:autoSpaceDN w:val="0"/>
              <w:adjustRightInd w:val="0"/>
              <w:ind w:left="540" w:hanging="540"/>
              <w:jc w:val="both"/>
            </w:pPr>
            <w:r w:rsidRPr="0060706A">
              <w:t xml:space="preserve">  c. License Renewal</w:t>
            </w:r>
          </w:p>
          <w:p w:rsidR="00CD2544" w:rsidRPr="0060706A" w:rsidP="00CD2544">
            <w:pPr>
              <w:autoSpaceDE w:val="0"/>
              <w:autoSpaceDN w:val="0"/>
              <w:adjustRightInd w:val="0"/>
              <w:ind w:left="540" w:hanging="540"/>
              <w:jc w:val="both"/>
            </w:pPr>
            <w:r w:rsidRPr="0060706A">
              <w:t xml:space="preserve">       </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311 &amp; 159</w:t>
            </w:r>
          </w:p>
        </w:tc>
        <w:tc>
          <w:tcPr>
            <w:tcW w:w="1440" w:type="dxa"/>
            <w:shd w:val="clear" w:color="auto" w:fill="auto"/>
          </w:tcPr>
          <w:p w:rsidR="00C042E4" w:rsidP="00C042E4">
            <w:pPr>
              <w:autoSpaceDE w:val="0"/>
              <w:autoSpaceDN w:val="0"/>
              <w:adjustRightInd w:val="0"/>
              <w:jc w:val="center"/>
            </w:pPr>
          </w:p>
          <w:p w:rsidR="00CD2544" w:rsidRPr="0060706A">
            <w:pPr>
              <w:autoSpaceDE w:val="0"/>
              <w:autoSpaceDN w:val="0"/>
              <w:adjustRightInd w:val="0"/>
              <w:jc w:val="center"/>
              <w:rPr>
                <w:spacing w:val="-2"/>
              </w:rPr>
            </w:pPr>
            <w:r w:rsidRPr="0060706A">
              <w:t>$230.00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250"/>
        </w:trPr>
        <w:tc>
          <w:tcPr>
            <w:tcW w:w="3870" w:type="dxa"/>
            <w:shd w:val="clear" w:color="auto" w:fill="auto"/>
          </w:tcPr>
          <w:p w:rsidR="00CD2544" w:rsidRPr="0060706A" w:rsidP="00CD2544">
            <w:pPr>
              <w:autoSpaceDE w:val="0"/>
              <w:autoSpaceDN w:val="0"/>
              <w:adjustRightInd w:val="0"/>
              <w:ind w:left="540" w:hanging="540"/>
            </w:pPr>
            <w:r w:rsidRPr="0060706A">
              <w:t xml:space="preserve">  d. License Assignment/Transfer of Control</w:t>
            </w:r>
          </w:p>
          <w:p w:rsidR="00CD2544" w:rsidRPr="0060706A" w:rsidP="00CD2544">
            <w:pPr>
              <w:autoSpaceDE w:val="0"/>
              <w:autoSpaceDN w:val="0"/>
              <w:adjustRightInd w:val="0"/>
              <w:ind w:left="540" w:hanging="540"/>
              <w:jc w:val="both"/>
            </w:pP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314, 315, 3,16, &amp; 159</w:t>
            </w:r>
          </w:p>
        </w:tc>
        <w:tc>
          <w:tcPr>
            <w:tcW w:w="1440" w:type="dxa"/>
            <w:shd w:val="clear" w:color="auto" w:fill="auto"/>
          </w:tcPr>
          <w:p w:rsidR="005959BD" w:rsidP="005959BD">
            <w:pPr>
              <w:autoSpaceDE w:val="0"/>
              <w:autoSpaceDN w:val="0"/>
              <w:adjustRightInd w:val="0"/>
              <w:jc w:val="center"/>
            </w:pPr>
          </w:p>
          <w:p w:rsidR="00CD2544" w:rsidRPr="0060706A">
            <w:pPr>
              <w:autoSpaceDE w:val="0"/>
              <w:autoSpaceDN w:val="0"/>
              <w:adjustRightInd w:val="0"/>
              <w:jc w:val="center"/>
            </w:pPr>
            <w:r w:rsidRPr="0060706A">
              <w:t>$80.00</w:t>
            </w:r>
          </w:p>
          <w:p w:rsidR="00CD2544" w:rsidRPr="0060706A">
            <w:pPr>
              <w:autoSpaceDE w:val="0"/>
              <w:autoSpaceDN w:val="0"/>
              <w:adjustRightInd w:val="0"/>
              <w:jc w:val="center"/>
            </w:pPr>
          </w:p>
          <w:p w:rsidR="00CD2544" w:rsidRPr="0060706A">
            <w:pPr>
              <w:autoSpaceDE w:val="0"/>
              <w:autoSpaceDN w:val="0"/>
              <w:adjustRightInd w:val="0"/>
              <w:jc w:val="center"/>
            </w:pP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79"/>
        </w:trPr>
        <w:tc>
          <w:tcPr>
            <w:tcW w:w="3870" w:type="dxa"/>
            <w:shd w:val="clear" w:color="auto" w:fill="auto"/>
          </w:tcPr>
          <w:p w:rsidR="00CD2544" w:rsidRPr="0060706A" w:rsidP="00CD2544">
            <w:pPr>
              <w:autoSpaceDE w:val="0"/>
              <w:autoSpaceDN w:val="0"/>
              <w:adjustRightInd w:val="0"/>
              <w:ind w:left="540" w:hanging="540"/>
            </w:pPr>
            <w:r w:rsidRPr="0060706A">
              <w:t xml:space="preserve">  e. Frequency Assignment &amp; Coordination</w:t>
            </w:r>
          </w:p>
          <w:p w:rsidR="00CD2544" w:rsidRPr="0060706A" w:rsidP="00CD2544">
            <w:pPr>
              <w:autoSpaceDE w:val="0"/>
              <w:autoSpaceDN w:val="0"/>
              <w:adjustRightInd w:val="0"/>
              <w:ind w:left="540" w:hanging="540"/>
            </w:pP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Written Request &amp; 159</w:t>
            </w:r>
          </w:p>
        </w:tc>
        <w:tc>
          <w:tcPr>
            <w:tcW w:w="1440" w:type="dxa"/>
            <w:shd w:val="clear" w:color="auto" w:fill="auto"/>
          </w:tcPr>
          <w:p w:rsidR="005959BD" w:rsidP="005959BD">
            <w:pPr>
              <w:autoSpaceDE w:val="0"/>
              <w:autoSpaceDN w:val="0"/>
              <w:adjustRightInd w:val="0"/>
              <w:jc w:val="center"/>
            </w:pPr>
          </w:p>
          <w:p w:rsidR="00CD2544" w:rsidRPr="0060706A">
            <w:pPr>
              <w:autoSpaceDE w:val="0"/>
              <w:autoSpaceDN w:val="0"/>
              <w:adjustRightInd w:val="0"/>
              <w:jc w:val="center"/>
            </w:pPr>
            <w:r w:rsidRPr="0060706A">
              <w:t>$595.00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61"/>
        </w:trPr>
        <w:tc>
          <w:tcPr>
            <w:tcW w:w="3870" w:type="dxa"/>
            <w:shd w:val="clear" w:color="auto" w:fill="auto"/>
          </w:tcPr>
          <w:p w:rsidR="00CD2544" w:rsidRPr="0060706A" w:rsidP="00CD2544">
            <w:pPr>
              <w:autoSpaceDE w:val="0"/>
              <w:autoSpaceDN w:val="0"/>
              <w:adjustRightInd w:val="0"/>
              <w:ind w:left="540" w:hanging="540"/>
            </w:pPr>
            <w:r w:rsidRPr="0060706A">
              <w:t xml:space="preserve">  f. Special Temporary Authorization</w:t>
            </w:r>
          </w:p>
          <w:p w:rsidR="00CD2544" w:rsidRPr="0060706A" w:rsidP="00CD2544">
            <w:pPr>
              <w:autoSpaceDE w:val="0"/>
              <w:autoSpaceDN w:val="0"/>
              <w:adjustRightInd w:val="0"/>
              <w:ind w:left="540" w:hanging="540"/>
              <w:jc w:val="both"/>
            </w:pPr>
            <w:r w:rsidRPr="0060706A">
              <w:t xml:space="preserve">        </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Written Request &amp; 159</w:t>
            </w:r>
          </w:p>
        </w:tc>
        <w:tc>
          <w:tcPr>
            <w:tcW w:w="1440" w:type="dxa"/>
            <w:shd w:val="clear" w:color="auto" w:fill="auto"/>
          </w:tcPr>
          <w:p w:rsidR="005959BD" w:rsidP="005959BD">
            <w:pPr>
              <w:autoSpaceDE w:val="0"/>
              <w:autoSpaceDN w:val="0"/>
              <w:adjustRightInd w:val="0"/>
              <w:jc w:val="center"/>
            </w:pPr>
          </w:p>
          <w:p w:rsidR="00CD2544" w:rsidRPr="0060706A">
            <w:pPr>
              <w:autoSpaceDE w:val="0"/>
              <w:autoSpaceDN w:val="0"/>
              <w:adjustRightInd w:val="0"/>
              <w:jc w:val="center"/>
              <w:rPr>
                <w:spacing w:val="-2"/>
              </w:rPr>
            </w:pPr>
            <w:r w:rsidRPr="0060706A">
              <w:t>$395.00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422"/>
        </w:trPr>
        <w:tc>
          <w:tcPr>
            <w:tcW w:w="3870" w:type="dxa"/>
            <w:shd w:val="clear" w:color="auto" w:fill="auto"/>
          </w:tcPr>
          <w:p w:rsidR="00CD2544" w:rsidRPr="0060706A" w:rsidP="00CD2544">
            <w:pPr>
              <w:autoSpaceDE w:val="0"/>
              <w:autoSpaceDN w:val="0"/>
              <w:adjustRightInd w:val="0"/>
              <w:ind w:left="360" w:hanging="360"/>
              <w:rPr>
                <w:b/>
              </w:rPr>
            </w:pPr>
            <w:r w:rsidRPr="0060706A">
              <w:rPr>
                <w:b/>
              </w:rPr>
              <w:t xml:space="preserve">27.  Permit to </w:t>
            </w:r>
            <w:r w:rsidRPr="0060706A">
              <w:rPr>
                <w:b/>
              </w:rPr>
              <w:t>Deliver Programs to Foreign Broadcast Stations</w:t>
            </w:r>
          </w:p>
          <w:p w:rsidR="00CD2544" w:rsidRPr="0060706A" w:rsidP="00CD2544">
            <w:pPr>
              <w:autoSpaceDE w:val="0"/>
              <w:autoSpaceDN w:val="0"/>
              <w:adjustRightInd w:val="0"/>
              <w:ind w:left="540" w:hanging="540"/>
              <w:rPr>
                <w:b/>
              </w:rPr>
            </w:pPr>
            <w:r w:rsidRPr="0060706A">
              <w:t xml:space="preserve">  a.New License</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308 &amp; 159</w:t>
            </w:r>
          </w:p>
        </w:tc>
        <w:tc>
          <w:tcPr>
            <w:tcW w:w="1440" w:type="dxa"/>
            <w:shd w:val="clear" w:color="auto" w:fill="auto"/>
          </w:tcPr>
          <w:p w:rsidR="005959BD" w:rsidP="005959BD">
            <w:pPr>
              <w:autoSpaceDE w:val="0"/>
              <w:autoSpaceDN w:val="0"/>
              <w:adjustRightInd w:val="0"/>
              <w:jc w:val="center"/>
            </w:pPr>
          </w:p>
          <w:p w:rsidR="00CD2544" w:rsidRPr="0060706A">
            <w:pPr>
              <w:autoSpaceDE w:val="0"/>
              <w:autoSpaceDN w:val="0"/>
              <w:adjustRightInd w:val="0"/>
              <w:jc w:val="center"/>
            </w:pPr>
            <w:r w:rsidRPr="0060706A">
              <w:t>$360.00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25"/>
        </w:trPr>
        <w:tc>
          <w:tcPr>
            <w:tcW w:w="3870" w:type="dxa"/>
            <w:shd w:val="clear" w:color="auto" w:fill="auto"/>
          </w:tcPr>
          <w:p w:rsidR="00CD2544" w:rsidRPr="0060706A" w:rsidP="00CD2544">
            <w:pPr>
              <w:autoSpaceDE w:val="0"/>
              <w:autoSpaceDN w:val="0"/>
              <w:adjustRightInd w:val="0"/>
              <w:ind w:left="540" w:hanging="540"/>
            </w:pPr>
            <w:r w:rsidRPr="0060706A">
              <w:t xml:space="preserve">  b. Modification</w:t>
            </w:r>
          </w:p>
        </w:tc>
        <w:tc>
          <w:tcPr>
            <w:tcW w:w="1440" w:type="dxa"/>
          </w:tcPr>
          <w:p w:rsidR="005959BD" w:rsidP="00CD2544">
            <w:pPr>
              <w:autoSpaceDE w:val="0"/>
              <w:autoSpaceDN w:val="0"/>
              <w:adjustRightInd w:val="0"/>
              <w:jc w:val="center"/>
            </w:pPr>
          </w:p>
          <w:p w:rsidR="00CD2544" w:rsidRPr="0060706A" w:rsidP="00CD2544">
            <w:pPr>
              <w:autoSpaceDE w:val="0"/>
              <w:autoSpaceDN w:val="0"/>
              <w:adjustRightInd w:val="0"/>
              <w:jc w:val="center"/>
            </w:pPr>
            <w:r w:rsidRPr="0060706A">
              <w:t>308 &amp; 159</w:t>
            </w:r>
          </w:p>
        </w:tc>
        <w:tc>
          <w:tcPr>
            <w:tcW w:w="1440" w:type="dxa"/>
            <w:shd w:val="clear" w:color="auto" w:fill="auto"/>
          </w:tcPr>
          <w:p w:rsidR="005959BD" w:rsidP="005959BD">
            <w:pPr>
              <w:autoSpaceDE w:val="0"/>
              <w:autoSpaceDN w:val="0"/>
              <w:adjustRightInd w:val="0"/>
              <w:jc w:val="center"/>
            </w:pPr>
          </w:p>
          <w:p w:rsidR="00CD2544" w:rsidRPr="0060706A">
            <w:pPr>
              <w:autoSpaceDE w:val="0"/>
              <w:autoSpaceDN w:val="0"/>
              <w:adjustRightInd w:val="0"/>
              <w:jc w:val="center"/>
            </w:pPr>
            <w:r w:rsidRPr="0060706A">
              <w:t>$185.00</w:t>
            </w:r>
          </w:p>
        </w:tc>
        <w:tc>
          <w:tcPr>
            <w:tcW w:w="1440" w:type="dxa"/>
          </w:tcPr>
          <w:p w:rsidR="00CD2544" w:rsidRPr="0060706A" w:rsidP="00CD2544">
            <w:pPr>
              <w:autoSpaceDE w:val="0"/>
              <w:autoSpaceDN w:val="0"/>
              <w:adjustRightInd w:val="0"/>
              <w:jc w:val="center"/>
            </w:pPr>
          </w:p>
        </w:tc>
      </w:tr>
      <w:tr w:rsidTr="00B13758">
        <w:tblPrEx>
          <w:tblW w:w="8190" w:type="dxa"/>
          <w:tblInd w:w="-36" w:type="dxa"/>
          <w:tblCellMar>
            <w:left w:w="54" w:type="dxa"/>
            <w:right w:w="54" w:type="dxa"/>
          </w:tblCellMar>
          <w:tblLook w:val="0000"/>
        </w:tblPrEx>
        <w:trPr>
          <w:trHeight w:val="1025"/>
        </w:trPr>
        <w:tc>
          <w:tcPr>
            <w:tcW w:w="3870" w:type="dxa"/>
            <w:shd w:val="clear" w:color="auto" w:fill="auto"/>
          </w:tcPr>
          <w:p w:rsidR="00CD2544" w:rsidRPr="0060706A" w:rsidP="00CD2544">
            <w:pPr>
              <w:autoSpaceDE w:val="0"/>
              <w:autoSpaceDN w:val="0"/>
              <w:adjustRightInd w:val="0"/>
              <w:ind w:left="540" w:hanging="540"/>
            </w:pPr>
            <w:r w:rsidRPr="0060706A">
              <w:t>c. License Renewal</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308 &amp; 159</w:t>
            </w:r>
          </w:p>
        </w:tc>
        <w:tc>
          <w:tcPr>
            <w:tcW w:w="1440" w:type="dxa"/>
            <w:shd w:val="clear" w:color="auto" w:fill="auto"/>
          </w:tcPr>
          <w:p w:rsidR="00CD2544" w:rsidRPr="0060706A" w:rsidP="00B13758">
            <w:pPr>
              <w:autoSpaceDE w:val="0"/>
              <w:autoSpaceDN w:val="0"/>
              <w:adjustRightInd w:val="0"/>
            </w:pPr>
          </w:p>
          <w:p w:rsidR="00CD2544" w:rsidRPr="0060706A">
            <w:pPr>
              <w:autoSpaceDE w:val="0"/>
              <w:autoSpaceDN w:val="0"/>
              <w:adjustRightInd w:val="0"/>
              <w:jc w:val="center"/>
            </w:pPr>
            <w:r w:rsidRPr="0060706A">
              <w:t>$155.00</w:t>
            </w:r>
          </w:p>
        </w:tc>
        <w:tc>
          <w:tcPr>
            <w:tcW w:w="1440" w:type="dxa"/>
          </w:tcPr>
          <w:p w:rsidR="00CD2544" w:rsidRPr="0060706A" w:rsidP="00CD2544">
            <w:pPr>
              <w:autoSpaceDE w:val="0"/>
              <w:autoSpaceDN w:val="0"/>
              <w:adjustRightInd w:val="0"/>
            </w:pPr>
          </w:p>
        </w:tc>
      </w:tr>
      <w:tr w:rsidTr="00B13758">
        <w:tblPrEx>
          <w:tblW w:w="8190" w:type="dxa"/>
          <w:tblInd w:w="-36" w:type="dxa"/>
          <w:tblCellMar>
            <w:left w:w="54" w:type="dxa"/>
            <w:right w:w="54" w:type="dxa"/>
          </w:tblCellMar>
          <w:tblLook w:val="0000"/>
        </w:tblPrEx>
        <w:trPr>
          <w:trHeight w:val="1025"/>
        </w:trPr>
        <w:tc>
          <w:tcPr>
            <w:tcW w:w="3870" w:type="dxa"/>
            <w:shd w:val="clear" w:color="auto" w:fill="auto"/>
          </w:tcPr>
          <w:p w:rsidR="00CD2544" w:rsidRPr="0060706A" w:rsidP="00CD2544">
            <w:pPr>
              <w:autoSpaceDE w:val="0"/>
              <w:autoSpaceDN w:val="0"/>
              <w:adjustRightInd w:val="0"/>
              <w:ind w:left="540" w:hanging="540"/>
            </w:pPr>
            <w:r w:rsidRPr="0060706A">
              <w:t>d. STA</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308 &amp; 159</w:t>
            </w:r>
          </w:p>
        </w:tc>
        <w:tc>
          <w:tcPr>
            <w:tcW w:w="1440" w:type="dxa"/>
            <w:shd w:val="clear" w:color="auto" w:fill="auto"/>
          </w:tcPr>
          <w:p w:rsidR="00CD2544" w:rsidRPr="0060706A" w:rsidP="00B13758">
            <w:pPr>
              <w:autoSpaceDE w:val="0"/>
              <w:autoSpaceDN w:val="0"/>
              <w:adjustRightInd w:val="0"/>
            </w:pPr>
          </w:p>
          <w:p w:rsidR="00CD2544" w:rsidRPr="0060706A">
            <w:pPr>
              <w:autoSpaceDE w:val="0"/>
              <w:autoSpaceDN w:val="0"/>
              <w:adjustRightInd w:val="0"/>
              <w:jc w:val="center"/>
            </w:pPr>
            <w:r w:rsidRPr="0060706A">
              <w:t>$155.00</w:t>
            </w:r>
          </w:p>
        </w:tc>
        <w:tc>
          <w:tcPr>
            <w:tcW w:w="1440" w:type="dxa"/>
          </w:tcPr>
          <w:p w:rsidR="00CD2544" w:rsidRPr="0060706A" w:rsidP="00CD2544">
            <w:pPr>
              <w:autoSpaceDE w:val="0"/>
              <w:autoSpaceDN w:val="0"/>
              <w:adjustRightInd w:val="0"/>
            </w:pPr>
          </w:p>
        </w:tc>
      </w:tr>
      <w:tr w:rsidTr="00B13758">
        <w:tblPrEx>
          <w:tblW w:w="8190" w:type="dxa"/>
          <w:tblInd w:w="-36" w:type="dxa"/>
          <w:tblCellMar>
            <w:left w:w="54" w:type="dxa"/>
            <w:right w:w="54" w:type="dxa"/>
          </w:tblCellMar>
          <w:tblLook w:val="0000"/>
        </w:tblPrEx>
        <w:trPr>
          <w:trHeight w:val="1025"/>
        </w:trPr>
        <w:tc>
          <w:tcPr>
            <w:tcW w:w="3870" w:type="dxa"/>
            <w:shd w:val="clear" w:color="auto" w:fill="auto"/>
          </w:tcPr>
          <w:p w:rsidR="00CD2544" w:rsidRPr="0060706A" w:rsidP="00CD2544">
            <w:pPr>
              <w:autoSpaceDE w:val="0"/>
              <w:autoSpaceDN w:val="0"/>
              <w:adjustRightInd w:val="0"/>
              <w:ind w:left="540" w:hanging="540"/>
            </w:pPr>
            <w:r w:rsidRPr="0060706A">
              <w:t xml:space="preserve"> e. Transfer of Control</w:t>
            </w:r>
          </w:p>
        </w:tc>
        <w:tc>
          <w:tcPr>
            <w:tcW w:w="1440" w:type="dxa"/>
          </w:tcPr>
          <w:p w:rsidR="00CD2544" w:rsidRPr="0060706A" w:rsidP="00CD2544">
            <w:pPr>
              <w:autoSpaceDE w:val="0"/>
              <w:autoSpaceDN w:val="0"/>
              <w:adjustRightInd w:val="0"/>
              <w:jc w:val="center"/>
            </w:pPr>
          </w:p>
          <w:p w:rsidR="00CD2544" w:rsidRPr="0060706A" w:rsidP="00CD2544">
            <w:pPr>
              <w:autoSpaceDE w:val="0"/>
              <w:autoSpaceDN w:val="0"/>
              <w:adjustRightInd w:val="0"/>
              <w:jc w:val="center"/>
            </w:pPr>
            <w:r w:rsidRPr="0060706A">
              <w:t>308 &amp; 159</w:t>
            </w:r>
          </w:p>
        </w:tc>
        <w:tc>
          <w:tcPr>
            <w:tcW w:w="1440" w:type="dxa"/>
            <w:shd w:val="clear" w:color="auto" w:fill="auto"/>
          </w:tcPr>
          <w:p w:rsidR="00CD2544" w:rsidRPr="0060706A" w:rsidP="00B13758">
            <w:pPr>
              <w:autoSpaceDE w:val="0"/>
              <w:autoSpaceDN w:val="0"/>
              <w:adjustRightInd w:val="0"/>
            </w:pPr>
          </w:p>
          <w:p w:rsidR="00CD2544" w:rsidRPr="0060706A">
            <w:pPr>
              <w:autoSpaceDE w:val="0"/>
              <w:autoSpaceDN w:val="0"/>
              <w:adjustRightInd w:val="0"/>
              <w:jc w:val="center"/>
            </w:pPr>
            <w:r w:rsidRPr="0060706A">
              <w:t>$260.00</w:t>
            </w:r>
          </w:p>
        </w:tc>
        <w:tc>
          <w:tcPr>
            <w:tcW w:w="1440" w:type="dxa"/>
          </w:tcPr>
          <w:p w:rsidR="00CD2544" w:rsidRPr="0060706A" w:rsidP="00CD2544">
            <w:pPr>
              <w:autoSpaceDE w:val="0"/>
              <w:autoSpaceDN w:val="0"/>
              <w:adjustRightInd w:val="0"/>
            </w:pPr>
          </w:p>
        </w:tc>
      </w:tr>
    </w:tbl>
    <w:p w:rsidR="00ED5194" w:rsidRPr="0059512C" w:rsidP="00ED5194">
      <w:pPr>
        <w:pStyle w:val="EndnoteText"/>
        <w:tabs>
          <w:tab w:val="left" w:pos="720"/>
        </w:tabs>
        <w:rPr>
          <w:sz w:val="22"/>
          <w:szCs w:val="22"/>
        </w:rPr>
      </w:pPr>
    </w:p>
    <w:p w:rsidR="00725630" w:rsidRPr="0059512C" w:rsidP="00ED5194">
      <w:pPr>
        <w:pStyle w:val="EndnoteText"/>
        <w:tabs>
          <w:tab w:val="left" w:pos="720"/>
        </w:tabs>
        <w:rPr>
          <w:sz w:val="22"/>
          <w:szCs w:val="22"/>
        </w:rPr>
      </w:pPr>
    </w:p>
    <w:p w:rsidR="00725630" w:rsidRPr="0060706A" w:rsidP="00F364EF">
      <w:pPr>
        <w:pStyle w:val="EndnoteText"/>
        <w:tabs>
          <w:tab w:val="left" w:pos="720"/>
        </w:tabs>
        <w:rPr>
          <w:sz w:val="22"/>
        </w:rPr>
      </w:pPr>
    </w:p>
    <w:p w:rsidR="00ED5194" w:rsidRPr="0059512C" w:rsidP="00ED5194">
      <w:pPr>
        <w:ind w:left="360" w:right="-180"/>
        <w:rPr>
          <w:bCs/>
          <w:szCs w:val="22"/>
        </w:rPr>
      </w:pPr>
    </w:p>
    <w:p w:rsidR="00ED5194" w:rsidRPr="0059512C" w:rsidP="00ED5194">
      <w:pPr>
        <w:pStyle w:val="ParaNum"/>
        <w:numPr>
          <w:ilvl w:val="0"/>
          <w:numId w:val="0"/>
        </w:numPr>
        <w:rPr>
          <w:szCs w:val="22"/>
        </w:rPr>
      </w:pPr>
      <w:r w:rsidRPr="0059512C">
        <w:rPr>
          <w:szCs w:val="22"/>
        </w:rPr>
        <w:t xml:space="preserve">10. </w:t>
      </w:r>
      <w:r w:rsidRPr="0059512C">
        <w:rPr>
          <w:szCs w:val="22"/>
        </w:rPr>
        <w:t>Section 1.1109 is revised to read as follows:</w:t>
      </w:r>
    </w:p>
    <w:p w:rsidR="00ED5194" w:rsidRPr="0059512C" w:rsidP="00ED5194">
      <w:pPr>
        <w:rPr>
          <w:szCs w:val="22"/>
          <w:u w:val="single"/>
        </w:rPr>
      </w:pPr>
      <w:r w:rsidRPr="0059512C">
        <w:rPr>
          <w:szCs w:val="22"/>
          <w:u w:val="single"/>
        </w:rPr>
        <w:t>§1.1109 Schedule of charges for applications and other filings for the Homeland services</w:t>
      </w:r>
      <w:r w:rsidRPr="0059512C">
        <w:rPr>
          <w:szCs w:val="22"/>
        </w:rPr>
        <w:t>.</w:t>
      </w:r>
      <w:r w:rsidRPr="0059512C">
        <w:rPr>
          <w:szCs w:val="22"/>
          <w:u w:val="single"/>
        </w:rPr>
        <w:t xml:space="preserve"> </w:t>
      </w:r>
    </w:p>
    <w:p w:rsidR="00ED5194" w:rsidRPr="0059512C" w:rsidP="00ED5194">
      <w:pPr>
        <w:rPr>
          <w:szCs w:val="22"/>
          <w:u w:val="single"/>
        </w:rPr>
      </w:pPr>
    </w:p>
    <w:p w:rsidR="00ED5194" w:rsidRPr="0059512C" w:rsidP="00ED5194">
      <w:pPr>
        <w:ind w:left="360" w:right="-180"/>
        <w:rPr>
          <w:szCs w:val="22"/>
        </w:rPr>
      </w:pPr>
      <w:r w:rsidRPr="0059512C">
        <w:rPr>
          <w:szCs w:val="22"/>
        </w:rPr>
        <w:t>*****</w:t>
      </w:r>
    </w:p>
    <w:p w:rsidR="00ED5194" w:rsidRPr="0059512C" w:rsidP="00ED5194">
      <w:pPr>
        <w:rPr>
          <w:szCs w:val="22"/>
          <w:u w:val="single"/>
        </w:rPr>
      </w:pPr>
    </w:p>
    <w:p w:rsidR="00ED5194" w:rsidRPr="0059512C" w:rsidP="006974D3">
      <w:pPr>
        <w:rPr>
          <w:szCs w:val="22"/>
        </w:rPr>
      </w:pPr>
      <w:r w:rsidRPr="0059512C">
        <w:rPr>
          <w:bCs/>
          <w:szCs w:val="22"/>
        </w:rPr>
        <w:t>Payments should be made electronically using the Commission’s electronic filing and payment system Fee Filer (</w:t>
      </w:r>
      <w:hyperlink r:id="rId8" w:history="1">
        <w:r w:rsidRPr="0059512C">
          <w:rPr>
            <w:rStyle w:val="Hyperlink"/>
            <w:bCs/>
            <w:szCs w:val="22"/>
          </w:rPr>
          <w:t>www.fcc.gov/feefiler</w:t>
        </w:r>
      </w:hyperlink>
      <w:r w:rsidRPr="0059512C">
        <w:rPr>
          <w:bCs/>
          <w:szCs w:val="22"/>
        </w:rPr>
        <w:t>).  Manual filings and/or payments for these services are no longer accepted.</w:t>
      </w:r>
    </w:p>
    <w:p w:rsidR="00ED5194" w:rsidRPr="0059512C" w:rsidP="00ED5194">
      <w:pPr>
        <w:ind w:left="360" w:right="-180"/>
        <w:rPr>
          <w:bCs/>
          <w:szCs w:val="22"/>
        </w:rPr>
      </w:pPr>
    </w:p>
    <w:p w:rsidR="00ED5194" w:rsidRPr="0059512C" w:rsidP="00ED5194">
      <w:pPr>
        <w:ind w:left="360" w:right="-180"/>
        <w:rPr>
          <w:b/>
          <w:szCs w:val="22"/>
        </w:rPr>
      </w:pPr>
    </w:p>
    <w:tbl>
      <w:tblPr>
        <w:tblW w:w="81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440"/>
        <w:gridCol w:w="1440"/>
        <w:gridCol w:w="1440"/>
      </w:tblGrid>
      <w:tr w:rsidTr="001B3814">
        <w:tblPrEx>
          <w:tblW w:w="81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870" w:type="dxa"/>
            <w:tcBorders>
              <w:top w:val="single" w:sz="4" w:space="0" w:color="auto"/>
            </w:tcBorders>
            <w:vAlign w:val="center"/>
          </w:tcPr>
          <w:p w:rsidR="00ED5194" w:rsidRPr="0060706A" w:rsidP="001B3814">
            <w:pPr>
              <w:autoSpaceDE w:val="0"/>
              <w:autoSpaceDN w:val="0"/>
              <w:adjustRightInd w:val="0"/>
              <w:jc w:val="center"/>
              <w:rPr>
                <w:b/>
              </w:rPr>
            </w:pPr>
            <w:r w:rsidRPr="0060706A">
              <w:rPr>
                <w:b/>
              </w:rPr>
              <w:t>Service</w:t>
            </w:r>
          </w:p>
        </w:tc>
        <w:tc>
          <w:tcPr>
            <w:tcW w:w="1440" w:type="dxa"/>
            <w:tcBorders>
              <w:top w:val="single" w:sz="4" w:space="0" w:color="auto"/>
            </w:tcBorders>
          </w:tcPr>
          <w:p w:rsidR="00ED5194" w:rsidRPr="0060706A" w:rsidP="001B3814">
            <w:pPr>
              <w:autoSpaceDE w:val="0"/>
              <w:autoSpaceDN w:val="0"/>
              <w:adjustRightInd w:val="0"/>
              <w:jc w:val="center"/>
              <w:rPr>
                <w:b/>
              </w:rPr>
            </w:pPr>
            <w:r w:rsidRPr="0060706A">
              <w:rPr>
                <w:b/>
              </w:rPr>
              <w:t>FCC Form No.</w:t>
            </w:r>
          </w:p>
        </w:tc>
        <w:tc>
          <w:tcPr>
            <w:tcW w:w="1440" w:type="dxa"/>
            <w:tcBorders>
              <w:top w:val="single" w:sz="4" w:space="0" w:color="auto"/>
            </w:tcBorders>
            <w:vAlign w:val="center"/>
          </w:tcPr>
          <w:p w:rsidR="00ED5194" w:rsidRPr="0060706A" w:rsidP="001B3814">
            <w:pPr>
              <w:autoSpaceDE w:val="0"/>
              <w:autoSpaceDN w:val="0"/>
              <w:adjustRightInd w:val="0"/>
              <w:jc w:val="center"/>
              <w:rPr>
                <w:b/>
              </w:rPr>
            </w:pPr>
            <w:r w:rsidRPr="0060706A">
              <w:rPr>
                <w:b/>
              </w:rPr>
              <w:t>Fee</w:t>
            </w:r>
          </w:p>
          <w:p w:rsidR="00ED5194" w:rsidRPr="0060706A" w:rsidP="001B3814">
            <w:pPr>
              <w:autoSpaceDE w:val="0"/>
              <w:autoSpaceDN w:val="0"/>
              <w:adjustRightInd w:val="0"/>
              <w:jc w:val="center"/>
              <w:rPr>
                <w:b/>
              </w:rPr>
            </w:pPr>
            <w:r w:rsidRPr="0060706A">
              <w:rPr>
                <w:b/>
              </w:rPr>
              <w:t>Amount</w:t>
            </w:r>
          </w:p>
        </w:tc>
        <w:tc>
          <w:tcPr>
            <w:tcW w:w="1440" w:type="dxa"/>
            <w:tcBorders>
              <w:top w:val="single" w:sz="4" w:space="0" w:color="auto"/>
            </w:tcBorders>
          </w:tcPr>
          <w:p w:rsidR="00ED5194" w:rsidRPr="0060706A" w:rsidP="001B3814">
            <w:pPr>
              <w:autoSpaceDE w:val="0"/>
              <w:autoSpaceDN w:val="0"/>
              <w:adjustRightInd w:val="0"/>
              <w:jc w:val="center"/>
              <w:rPr>
                <w:b/>
              </w:rPr>
            </w:pPr>
            <w:r w:rsidRPr="0060706A">
              <w:rPr>
                <w:b/>
              </w:rPr>
              <w:t>Payment Type Code</w:t>
            </w:r>
          </w:p>
        </w:tc>
      </w:tr>
      <w:tr w:rsidTr="001B3814">
        <w:tblPrEx>
          <w:tblW w:w="8190" w:type="dxa"/>
          <w:tblInd w:w="18" w:type="dxa"/>
          <w:tblLook w:val="01E0"/>
        </w:tblPrEx>
        <w:tc>
          <w:tcPr>
            <w:tcW w:w="3870" w:type="dxa"/>
            <w:tcBorders>
              <w:top w:val="single" w:sz="4" w:space="0" w:color="auto"/>
            </w:tcBorders>
          </w:tcPr>
          <w:p w:rsidR="00ED5194" w:rsidRPr="0060706A" w:rsidP="00CE4C9A">
            <w:pPr>
              <w:numPr>
                <w:ilvl w:val="0"/>
                <w:numId w:val="18"/>
              </w:numPr>
              <w:autoSpaceDE w:val="0"/>
              <w:autoSpaceDN w:val="0"/>
              <w:adjustRightInd w:val="0"/>
              <w:rPr>
                <w:b/>
              </w:rPr>
            </w:pPr>
            <w:r w:rsidRPr="0060706A">
              <w:rPr>
                <w:b/>
              </w:rPr>
              <w:t>Communication</w:t>
            </w:r>
          </w:p>
          <w:p w:rsidR="00ED5194" w:rsidRPr="0059512C" w:rsidP="001B3814">
            <w:pPr>
              <w:autoSpaceDE w:val="0"/>
              <w:autoSpaceDN w:val="0"/>
              <w:adjustRightInd w:val="0"/>
              <w:rPr>
                <w:b/>
                <w:bCs/>
                <w:snapToGrid/>
                <w:kern w:val="0"/>
                <w:szCs w:val="22"/>
              </w:rPr>
            </w:pPr>
            <w:r w:rsidRPr="0060706A">
              <w:rPr>
                <w:b/>
              </w:rPr>
              <w:t xml:space="preserve"> Assistance for Law</w:t>
            </w:r>
            <w:r w:rsidRPr="0059512C">
              <w:rPr>
                <w:b/>
                <w:bCs/>
                <w:szCs w:val="22"/>
              </w:rPr>
              <w:t xml:space="preserve"> Enforcement (CALEA) </w:t>
            </w:r>
            <w:r w:rsidRPr="0059512C">
              <w:rPr>
                <w:bCs/>
                <w:szCs w:val="22"/>
              </w:rPr>
              <w:t>Petitions</w:t>
            </w:r>
            <w:r w:rsidRPr="0059512C">
              <w:rPr>
                <w:b/>
                <w:bCs/>
                <w:snapToGrid/>
                <w:kern w:val="0"/>
                <w:szCs w:val="22"/>
              </w:rPr>
              <w:t xml:space="preserve"> </w:t>
            </w:r>
          </w:p>
        </w:tc>
        <w:tc>
          <w:tcPr>
            <w:tcW w:w="1440" w:type="dxa"/>
            <w:tcBorders>
              <w:top w:val="single" w:sz="4" w:space="0" w:color="auto"/>
            </w:tcBorders>
          </w:tcPr>
          <w:p w:rsidR="00ED5194" w:rsidRPr="0060706A" w:rsidP="001B3814">
            <w:pPr>
              <w:pStyle w:val="EndnoteText"/>
              <w:tabs>
                <w:tab w:val="left" w:pos="720"/>
              </w:tabs>
              <w:jc w:val="center"/>
              <w:rPr>
                <w:sz w:val="22"/>
              </w:rPr>
            </w:pPr>
          </w:p>
          <w:p w:rsidR="00ED5194" w:rsidRPr="0060706A" w:rsidP="001B3814">
            <w:pPr>
              <w:pStyle w:val="EndnoteText"/>
              <w:tabs>
                <w:tab w:val="left" w:pos="720"/>
              </w:tabs>
              <w:jc w:val="center"/>
              <w:rPr>
                <w:sz w:val="22"/>
              </w:rPr>
            </w:pPr>
            <w:r w:rsidRPr="0060706A">
              <w:rPr>
                <w:sz w:val="22"/>
              </w:rPr>
              <w:t>Corres &amp; 159</w:t>
            </w:r>
          </w:p>
          <w:p w:rsidR="00ED5194" w:rsidRPr="0059512C" w:rsidP="001B3814">
            <w:pPr>
              <w:jc w:val="center"/>
              <w:rPr>
                <w:szCs w:val="22"/>
              </w:rPr>
            </w:pPr>
          </w:p>
        </w:tc>
        <w:tc>
          <w:tcPr>
            <w:tcW w:w="1440" w:type="dxa"/>
            <w:tcBorders>
              <w:top w:val="single" w:sz="4" w:space="0" w:color="auto"/>
            </w:tcBorders>
            <w:vAlign w:val="center"/>
          </w:tcPr>
          <w:p w:rsidR="00ED5194" w:rsidRPr="0059512C" w:rsidP="001B3814">
            <w:pPr>
              <w:pStyle w:val="EndnoteText"/>
              <w:tabs>
                <w:tab w:val="left" w:pos="720"/>
              </w:tabs>
              <w:jc w:val="center"/>
              <w:rPr>
                <w:spacing w:val="-2"/>
                <w:sz w:val="22"/>
                <w:szCs w:val="22"/>
              </w:rPr>
            </w:pPr>
            <w:r w:rsidRPr="0060706A">
              <w:rPr>
                <w:sz w:val="22"/>
              </w:rPr>
              <w:t>$</w:t>
            </w:r>
            <w:r w:rsidRPr="0060706A" w:rsidR="00D44239">
              <w:rPr>
                <w:sz w:val="22"/>
              </w:rPr>
              <w:t>3,</w:t>
            </w:r>
            <w:r w:rsidRPr="0060706A" w:rsidR="00814590">
              <w:rPr>
                <w:sz w:val="22"/>
              </w:rPr>
              <w:t>875</w:t>
            </w:r>
            <w:r w:rsidRPr="0060706A" w:rsidR="00D44239">
              <w:rPr>
                <w:sz w:val="22"/>
              </w:rPr>
              <w:t>.00</w:t>
            </w:r>
          </w:p>
        </w:tc>
        <w:tc>
          <w:tcPr>
            <w:tcW w:w="1440" w:type="dxa"/>
            <w:tcBorders>
              <w:top w:val="single" w:sz="4" w:space="0" w:color="auto"/>
            </w:tcBorders>
          </w:tcPr>
          <w:p w:rsidR="00ED5194" w:rsidRPr="0060706A" w:rsidP="001B3814">
            <w:pPr>
              <w:pStyle w:val="EndnoteText"/>
              <w:tabs>
                <w:tab w:val="left" w:pos="720"/>
              </w:tabs>
              <w:jc w:val="center"/>
              <w:rPr>
                <w:sz w:val="22"/>
              </w:rPr>
            </w:pPr>
          </w:p>
          <w:p w:rsidR="00ED5194" w:rsidRPr="0060706A" w:rsidP="001B3814">
            <w:pPr>
              <w:pStyle w:val="EndnoteText"/>
              <w:tabs>
                <w:tab w:val="left" w:pos="720"/>
              </w:tabs>
              <w:jc w:val="center"/>
              <w:rPr>
                <w:sz w:val="22"/>
              </w:rPr>
            </w:pPr>
            <w:r w:rsidRPr="0060706A">
              <w:rPr>
                <w:sz w:val="22"/>
              </w:rPr>
              <w:t>CLEA</w:t>
            </w:r>
          </w:p>
        </w:tc>
      </w:tr>
    </w:tbl>
    <w:p w:rsidR="00107F84" w:rsidRPr="0060706A" w:rsidP="005D7F1C">
      <w:pPr>
        <w:widowControl/>
        <w:spacing w:after="200" w:line="276" w:lineRule="auto"/>
      </w:pPr>
    </w:p>
    <w:p w:rsidR="00107F84" w:rsidRPr="0059512C" w:rsidP="00107F84">
      <w:pPr>
        <w:rPr>
          <w:szCs w:val="22"/>
        </w:rPr>
      </w:pPr>
      <w:r w:rsidRPr="0059512C">
        <w:rPr>
          <w:szCs w:val="22"/>
        </w:rPr>
        <w:t xml:space="preserve">11. Section 1.1112 of the Commission’s rules is revised to read as follows: </w:t>
      </w:r>
    </w:p>
    <w:p w:rsidR="00107F84" w:rsidRPr="0059512C" w:rsidP="00107F84">
      <w:pPr>
        <w:rPr>
          <w:szCs w:val="22"/>
        </w:rPr>
      </w:pPr>
    </w:p>
    <w:p w:rsidR="00107F84" w:rsidRPr="0059512C" w:rsidP="00107F84">
      <w:pPr>
        <w:rPr>
          <w:szCs w:val="22"/>
        </w:rPr>
      </w:pPr>
      <w:r w:rsidRPr="0059512C">
        <w:rPr>
          <w:b/>
          <w:bCs/>
          <w:szCs w:val="22"/>
        </w:rPr>
        <w:t>§ 1.1112 Form of payment.</w:t>
      </w:r>
    </w:p>
    <w:p w:rsidR="00107F84" w:rsidRPr="0059512C" w:rsidP="00107F84">
      <w:pPr>
        <w:rPr>
          <w:szCs w:val="22"/>
        </w:rPr>
      </w:pPr>
    </w:p>
    <w:p w:rsidR="00107F84" w:rsidRPr="0059512C" w:rsidP="00107F84">
      <w:pPr>
        <w:rPr>
          <w:szCs w:val="22"/>
        </w:rPr>
      </w:pPr>
      <w:r w:rsidRPr="0059512C">
        <w:rPr>
          <w:szCs w:val="22"/>
        </w:rPr>
        <w:t xml:space="preserve"> (a) Annual and multiple year regulatory fees must be paid electronically as described in paragraph (e) of this section. Except as otherwise permitted under these rules, application fees and fees for other filings must also be paid electronically in accord</w:t>
      </w:r>
      <w:r w:rsidRPr="0059512C">
        <w:rPr>
          <w:szCs w:val="22"/>
        </w:rPr>
        <w:t>ance with paragraph (e) of this section.  Fee payments that are permitted to be paid manually under these rules should be in the form of a check, cashier's check, or money order denominated in U.S. dollars and drawn on a United States financial institution</w:t>
      </w:r>
      <w:r w:rsidRPr="0059512C">
        <w:rPr>
          <w:szCs w:val="22"/>
        </w:rPr>
        <w:t xml:space="preserve"> and made </w:t>
      </w:r>
      <w:r w:rsidRPr="0059512C">
        <w:rPr>
          <w:szCs w:val="22"/>
        </w:rPr>
        <w:t xml:space="preserve">payable to the Federal Communications Commission or by a Visa, MasterCard, American Express, or Discover credit card. No other credit card is acceptable. Fees for applications and other filings paid by credit card will not be accepted unless the </w:t>
      </w:r>
      <w:r w:rsidRPr="0059512C">
        <w:rPr>
          <w:szCs w:val="22"/>
        </w:rPr>
        <w:t>credit card section of FCC Form 159 is completed in full. For those fees payable manually under these rules, (i) the Commission discourages applicants from submitting cash and will not be responsible for cash sent through the mail; (ii) personal or corpora</w:t>
      </w:r>
      <w:r w:rsidRPr="0059512C">
        <w:rPr>
          <w:szCs w:val="22"/>
        </w:rPr>
        <w:t xml:space="preserve">te checks dated more than six months prior to their submission to the Commission's lockbox bank and postdated checks will not be accepted and will be returned as deficient and (iii) third party checks (i.e., checks with a third party as maker or endorser) </w:t>
      </w:r>
      <w:r w:rsidRPr="0059512C">
        <w:rPr>
          <w:szCs w:val="22"/>
        </w:rPr>
        <w:t>will not be accepted.</w:t>
      </w:r>
    </w:p>
    <w:p w:rsidR="00107F84" w:rsidRPr="0059512C" w:rsidP="00107F84">
      <w:pPr>
        <w:rPr>
          <w:szCs w:val="22"/>
        </w:rPr>
      </w:pPr>
      <w:r w:rsidRPr="0059512C">
        <w:rPr>
          <w:szCs w:val="22"/>
        </w:rPr>
        <w:t>(1) Payors of fees that may be paid manually under these rules are encouraged to submit these payments electronically under the procedures described in paragraph (e) of this section.</w:t>
      </w:r>
    </w:p>
    <w:p w:rsidR="00107F84" w:rsidRPr="0059512C" w:rsidP="00107F84">
      <w:pPr>
        <w:rPr>
          <w:szCs w:val="22"/>
        </w:rPr>
      </w:pPr>
      <w:r w:rsidRPr="0059512C">
        <w:rPr>
          <w:szCs w:val="22"/>
        </w:rPr>
        <w:t>(2) Specific procedures for electronic payments are</w:t>
      </w:r>
      <w:r w:rsidRPr="0059512C">
        <w:rPr>
          <w:szCs w:val="22"/>
        </w:rPr>
        <w:t xml:space="preserve"> announced in Bureau/Office fee filing guides.</w:t>
      </w:r>
    </w:p>
    <w:p w:rsidR="00107F84" w:rsidRPr="0059512C" w:rsidP="00107F84">
      <w:pPr>
        <w:rPr>
          <w:szCs w:val="22"/>
        </w:rPr>
      </w:pPr>
      <w:r w:rsidRPr="0059512C">
        <w:rPr>
          <w:szCs w:val="22"/>
        </w:rPr>
        <w:t>(3) It is the responsibility of the payer to insure that any electronic payment is made in the manner required by the Commission. Failure to comply with the Commission's procedures will result in the return of</w:t>
      </w:r>
      <w:r w:rsidRPr="0059512C">
        <w:rPr>
          <w:szCs w:val="22"/>
        </w:rPr>
        <w:t xml:space="preserve"> the application or other filing.</w:t>
      </w:r>
    </w:p>
    <w:p w:rsidR="00107F84" w:rsidRPr="0059512C" w:rsidP="00107F84">
      <w:pPr>
        <w:rPr>
          <w:szCs w:val="22"/>
        </w:rPr>
      </w:pPr>
      <w:r w:rsidRPr="0059512C">
        <w:rPr>
          <w:szCs w:val="22"/>
        </w:rPr>
        <w:t>(4) To insure proper credit, applicants making wire transfer payments must follow the instructions set out in the appropriate Bureau Office fee filing guide.</w:t>
      </w:r>
    </w:p>
    <w:p w:rsidR="00107F84" w:rsidRPr="0059512C" w:rsidP="00107F84">
      <w:pPr>
        <w:rPr>
          <w:szCs w:val="22"/>
        </w:rPr>
      </w:pPr>
      <w:r w:rsidRPr="0059512C">
        <w:rPr>
          <w:szCs w:val="22"/>
        </w:rPr>
        <w:t>(b) Applicants are required to submit one payment instrument (ch</w:t>
      </w:r>
      <w:r w:rsidRPr="0059512C">
        <w:rPr>
          <w:szCs w:val="22"/>
        </w:rPr>
        <w:t>eck, cashier's check, or money order) and FCC Form 159 with each application or filing; multiple payment instruments for a single application or filing are not permitted. A separate Fee Form (FCC Form 159) will not be required once the information requirem</w:t>
      </w:r>
      <w:r w:rsidRPr="0059512C">
        <w:rPr>
          <w:szCs w:val="22"/>
        </w:rPr>
        <w:t>ents of that form (the Fee Code, fee amount, and total fee remitted) are incorporated into the underlying application form.</w:t>
      </w:r>
    </w:p>
    <w:p w:rsidR="00107F84" w:rsidRPr="0059512C" w:rsidP="00107F84">
      <w:pPr>
        <w:rPr>
          <w:szCs w:val="22"/>
        </w:rPr>
      </w:pPr>
      <w:r w:rsidRPr="0059512C">
        <w:rPr>
          <w:szCs w:val="22"/>
        </w:rPr>
        <w:t>(c) The Commission may accept multiple money orders in payment of a fee for a single application where the fee exceeds the maximum a</w:t>
      </w:r>
      <w:r w:rsidRPr="0059512C">
        <w:rPr>
          <w:szCs w:val="22"/>
        </w:rPr>
        <w:t>mount for a money order established by the issuing agency and the use of multiple money orders is the only practical method available for fee payment.(d) The Commission may require payment of fees with a cashier's check upon notification to an applicant or</w:t>
      </w:r>
      <w:r w:rsidRPr="0059512C">
        <w:rPr>
          <w:szCs w:val="22"/>
        </w:rPr>
        <w:t xml:space="preserve"> filer or prospective group of applicants under the conditions set forth below in paragraphs (d) (1) and (2) of this section.</w:t>
      </w:r>
    </w:p>
    <w:p w:rsidR="00107F84" w:rsidRPr="0059512C" w:rsidP="00107F84">
      <w:pPr>
        <w:rPr>
          <w:szCs w:val="22"/>
        </w:rPr>
      </w:pPr>
      <w:r w:rsidRPr="0059512C">
        <w:rPr>
          <w:szCs w:val="22"/>
        </w:rPr>
        <w:t>(1) Payment by cashier's check may be required when a person or organization has made payment on one or more occasions with a paym</w:t>
      </w:r>
      <w:r w:rsidRPr="0059512C">
        <w:rPr>
          <w:szCs w:val="22"/>
        </w:rPr>
        <w:t>ent instrument on which the Commission does not receive final payment and such failure is not excused by bank error.</w:t>
      </w:r>
    </w:p>
    <w:p w:rsidR="00107F84" w:rsidRPr="0059512C" w:rsidP="00107F84">
      <w:pPr>
        <w:rPr>
          <w:szCs w:val="22"/>
        </w:rPr>
      </w:pPr>
      <w:r w:rsidRPr="0059512C">
        <w:rPr>
          <w:szCs w:val="22"/>
        </w:rPr>
        <w:t>(2) The Commission will notify the party in writing that future payments must be made by cashier's check until further notice. If, subseque</w:t>
      </w:r>
      <w:r w:rsidRPr="0059512C">
        <w:rPr>
          <w:szCs w:val="22"/>
        </w:rPr>
        <w:t>nt to such notice, payment is not made by cashier's check, the party's payment will not be accepted and its application or other filing will be returned.</w:t>
      </w:r>
    </w:p>
    <w:p w:rsidR="00107F84" w:rsidRPr="0059512C" w:rsidP="00107F84">
      <w:pPr>
        <w:rPr>
          <w:szCs w:val="22"/>
        </w:rPr>
      </w:pPr>
      <w:r w:rsidRPr="0059512C">
        <w:rPr>
          <w:szCs w:val="22"/>
        </w:rPr>
        <w:t>(e) Annual and multiple year regulatory fee payments, and except as otherwise permitted under these ru</w:t>
      </w:r>
      <w:r w:rsidRPr="0059512C">
        <w:rPr>
          <w:szCs w:val="22"/>
        </w:rPr>
        <w:t>les, application and other fee payments shall be submitted by online ACH payment, online Visa, MasterCard, American Express, or Discover credit card payment, or wire transfer payment denominated in U.S. dollars and drawn on a United States financial instit</w:t>
      </w:r>
      <w:r w:rsidRPr="0059512C">
        <w:rPr>
          <w:szCs w:val="22"/>
        </w:rPr>
        <w:t>ution and made payable to the Federal Communications Commission. No other credit card is acceptable. Any other form of payment (e.g., paper checks) will be rejected and sent back to the payor.</w:t>
      </w:r>
    </w:p>
    <w:p w:rsidR="00107F84" w:rsidRPr="0059512C" w:rsidP="00107F84">
      <w:pPr>
        <w:rPr>
          <w:szCs w:val="22"/>
        </w:rPr>
      </w:pPr>
      <w:r w:rsidRPr="0059512C">
        <w:rPr>
          <w:szCs w:val="22"/>
        </w:rPr>
        <w:t>(f) All fees collected will be paid into the general fund of th</w:t>
      </w:r>
      <w:r w:rsidRPr="0059512C">
        <w:rPr>
          <w:szCs w:val="22"/>
        </w:rPr>
        <w:t xml:space="preserve">e United States Treasury in accordance with </w:t>
      </w:r>
      <w:r w:rsidRPr="0059512C">
        <w:rPr>
          <w:color w:val="0000FF"/>
          <w:szCs w:val="22"/>
          <w:u w:val="single"/>
        </w:rPr>
        <w:t>Public L. 115-141.</w:t>
      </w:r>
    </w:p>
    <w:p w:rsidR="00107F84" w:rsidRPr="0059512C" w:rsidP="00107F84">
      <w:pPr>
        <w:rPr>
          <w:szCs w:val="22"/>
        </w:rPr>
      </w:pPr>
      <w:r w:rsidRPr="0059512C">
        <w:rPr>
          <w:szCs w:val="22"/>
        </w:rPr>
        <w:t>(g) The Commission will furnish a stamped receipt of an application filed by mail or in person only upon request that complies with the following instructions. In order to obtain a stamped rece</w:t>
      </w:r>
      <w:r w:rsidRPr="0059512C">
        <w:rPr>
          <w:szCs w:val="22"/>
        </w:rPr>
        <w:t>ipt for an application (or other filing), the application package must include a copy of the first page of the application, clearly marked “copy”, submitted expressly for the purpose of serving as a receipt of the filing. The copy should be the top documen</w:t>
      </w:r>
      <w:r w:rsidRPr="0059512C">
        <w:rPr>
          <w:szCs w:val="22"/>
        </w:rPr>
        <w:t>t in the package. If hand delivered, the copy will be date-stamped immediately and provided to the bearer of the submission. For submissions by mail, the receipt copy will be provided through return mail if the filer has attached to the receipt copy a stam</w:t>
      </w:r>
      <w:r w:rsidRPr="0059512C">
        <w:rPr>
          <w:szCs w:val="22"/>
        </w:rPr>
        <w:t>ped self-addressed envelope of sufficient size to contain the date stamped copy of the application. No remittance receipt copies will be furnished. Stamped receipts of electronically-filed applications will not be provided.</w:t>
      </w:r>
    </w:p>
    <w:p w:rsidR="003D3896" w:rsidRPr="0059512C" w:rsidP="00ED5194">
      <w:pPr>
        <w:tabs>
          <w:tab w:val="left" w:pos="3629"/>
        </w:tabs>
        <w:rPr>
          <w:b/>
          <w:szCs w:val="22"/>
        </w:rPr>
      </w:pPr>
    </w:p>
    <w:p w:rsidR="00107F84" w:rsidRPr="0059512C">
      <w:pPr>
        <w:widowControl/>
        <w:rPr>
          <w:b/>
          <w:szCs w:val="22"/>
        </w:rPr>
      </w:pPr>
    </w:p>
    <w:p w:rsidR="00107F84" w:rsidRPr="0059512C" w:rsidP="00107F84">
      <w:pPr>
        <w:rPr>
          <w:bCs/>
          <w:szCs w:val="22"/>
        </w:rPr>
      </w:pPr>
      <w:r w:rsidRPr="0059512C">
        <w:rPr>
          <w:bCs/>
          <w:szCs w:val="22"/>
        </w:rPr>
        <w:t xml:space="preserve">12,  </w:t>
      </w:r>
      <w:r w:rsidRPr="0059512C">
        <w:rPr>
          <w:bCs/>
          <w:szCs w:val="22"/>
        </w:rPr>
        <w:t xml:space="preserve">Section 1.1113 of the Commission’s rules is revised to read as follows: </w:t>
      </w:r>
    </w:p>
    <w:p w:rsidR="00107F84" w:rsidRPr="0059512C" w:rsidP="00107F84">
      <w:pPr>
        <w:rPr>
          <w:b/>
          <w:bCs/>
          <w:szCs w:val="22"/>
        </w:rPr>
      </w:pPr>
    </w:p>
    <w:p w:rsidR="00107F84" w:rsidRPr="0059512C" w:rsidP="00107F84">
      <w:pPr>
        <w:rPr>
          <w:szCs w:val="22"/>
        </w:rPr>
      </w:pPr>
      <w:r w:rsidRPr="0059512C">
        <w:rPr>
          <w:b/>
          <w:bCs/>
          <w:szCs w:val="22"/>
        </w:rPr>
        <w:t>§ 1.1113 Filing locations.</w:t>
      </w:r>
    </w:p>
    <w:p w:rsidR="00107F84" w:rsidRPr="0059512C" w:rsidP="00107F84">
      <w:pPr>
        <w:rPr>
          <w:szCs w:val="22"/>
        </w:rPr>
      </w:pPr>
    </w:p>
    <w:p w:rsidR="00107F84" w:rsidRPr="0059512C" w:rsidP="00107F84">
      <w:pPr>
        <w:rPr>
          <w:szCs w:val="22"/>
        </w:rPr>
      </w:pPr>
      <w:r w:rsidRPr="0059512C">
        <w:rPr>
          <w:szCs w:val="22"/>
        </w:rPr>
        <w:t xml:space="preserve"> (a) Except as noted in this section, applications and other filings, with attached fees and FCC Form 159, must be submitted to the locations and addresses set forth in </w:t>
      </w:r>
      <w:hyperlink r:id="rId10" w:history="1">
        <w:r w:rsidRPr="0059512C">
          <w:rPr>
            <w:color w:val="0000FF"/>
            <w:szCs w:val="22"/>
            <w:u w:val="single"/>
          </w:rPr>
          <w:t>§§ 1.1102</w:t>
        </w:r>
      </w:hyperlink>
      <w:r w:rsidRPr="0059512C">
        <w:rPr>
          <w:szCs w:val="22"/>
        </w:rPr>
        <w:t xml:space="preserve"> through </w:t>
      </w:r>
      <w:hyperlink r:id="rId11" w:history="1">
        <w:r w:rsidRPr="0059512C">
          <w:rPr>
            <w:color w:val="0000FF"/>
            <w:szCs w:val="22"/>
            <w:u w:val="single"/>
          </w:rPr>
          <w:t>1.1109</w:t>
        </w:r>
      </w:hyperlink>
      <w:r w:rsidRPr="0059512C">
        <w:rPr>
          <w:szCs w:val="22"/>
        </w:rPr>
        <w:t>.</w:t>
      </w:r>
    </w:p>
    <w:p w:rsidR="00107F84" w:rsidRPr="0059512C" w:rsidP="00107F84">
      <w:pPr>
        <w:rPr>
          <w:szCs w:val="22"/>
        </w:rPr>
      </w:pPr>
      <w:r w:rsidRPr="0059512C">
        <w:rPr>
          <w:szCs w:val="22"/>
        </w:rPr>
        <w:t>(1) Tariff filings shall be filed with the Secr</w:t>
      </w:r>
      <w:r w:rsidRPr="0059512C">
        <w:rPr>
          <w:szCs w:val="22"/>
        </w:rPr>
        <w:t xml:space="preserve">etary, Federal Communications Commission, Washington, DC 20554. On the same day, the filer should submit a copy of the cover letter, the FCC Form 159, and the appropriate fee in accordance with the procedures established in </w:t>
      </w:r>
    </w:p>
    <w:p w:rsidR="00107F84" w:rsidRPr="0059512C" w:rsidP="00107F84">
      <w:pPr>
        <w:rPr>
          <w:szCs w:val="22"/>
        </w:rPr>
      </w:pPr>
      <w:hyperlink r:id="rId12" w:history="1">
        <w:r w:rsidRPr="0059512C">
          <w:rPr>
            <w:color w:val="0000FF"/>
            <w:szCs w:val="22"/>
            <w:u w:val="single"/>
          </w:rPr>
          <w:t>§ 1.1105</w:t>
        </w:r>
      </w:hyperlink>
      <w:r w:rsidRPr="0059512C">
        <w:rPr>
          <w:szCs w:val="22"/>
        </w:rPr>
        <w:t>.</w:t>
      </w:r>
    </w:p>
    <w:p w:rsidR="00107F84" w:rsidRPr="0059512C" w:rsidP="00107F84">
      <w:pPr>
        <w:rPr>
          <w:szCs w:val="22"/>
        </w:rPr>
      </w:pPr>
      <w:r w:rsidRPr="0059512C">
        <w:rPr>
          <w:szCs w:val="22"/>
        </w:rPr>
        <w:t xml:space="preserve">(2) Bills for </w:t>
      </w:r>
      <w:r w:rsidRPr="0059512C">
        <w:rPr>
          <w:szCs w:val="22"/>
        </w:rPr>
        <w:t xml:space="preserve">collection must be paid in accordance with the payment instructions set forth on the bill sent by the Commission.To ensure proper credit, payments must be accompanied by the bill. Electronic payments must include the reference number contained on the bill </w:t>
      </w:r>
      <w:r w:rsidRPr="0059512C">
        <w:rPr>
          <w:szCs w:val="22"/>
        </w:rPr>
        <w:t>sent by the Commission.</w:t>
      </w:r>
    </w:p>
    <w:p w:rsidR="00107F84" w:rsidRPr="0059512C" w:rsidP="00107F84">
      <w:pPr>
        <w:rPr>
          <w:szCs w:val="22"/>
        </w:rPr>
      </w:pPr>
      <w:r w:rsidRPr="0059512C">
        <w:rPr>
          <w:szCs w:val="22"/>
        </w:rPr>
        <w:t xml:space="preserve">(3) Petitions for reconsideration or applications for review of fee decisions pursuant to </w:t>
      </w:r>
    </w:p>
    <w:p w:rsidR="00107F84" w:rsidRPr="0059512C" w:rsidP="00107F84">
      <w:pPr>
        <w:rPr>
          <w:szCs w:val="22"/>
        </w:rPr>
      </w:pPr>
      <w:hyperlink r:id="rId13" w:anchor="co_pp_a83b000018c76" w:history="1">
        <w:r w:rsidRPr="0059512C">
          <w:rPr>
            <w:color w:val="0000FF"/>
            <w:szCs w:val="22"/>
            <w:u w:val="single"/>
          </w:rPr>
          <w:t>§ 1.1119(b)</w:t>
        </w:r>
      </w:hyperlink>
      <w:r w:rsidRPr="0059512C">
        <w:rPr>
          <w:szCs w:val="22"/>
        </w:rPr>
        <w:t xml:space="preserve"> of this subpart must be accompanied by the required fee for the application or other filing being</w:t>
      </w:r>
      <w:r w:rsidRPr="0059512C">
        <w:rPr>
          <w:szCs w:val="22"/>
        </w:rPr>
        <w:t xml:space="preserve"> considered or reviewed.</w:t>
      </w:r>
    </w:p>
    <w:p w:rsidR="00107F84" w:rsidRPr="0059512C" w:rsidP="00107F84">
      <w:pPr>
        <w:rPr>
          <w:szCs w:val="22"/>
        </w:rPr>
      </w:pPr>
      <w:r w:rsidRPr="0059512C">
        <w:rPr>
          <w:szCs w:val="22"/>
        </w:rPr>
        <w:t xml:space="preserve">(4) Applicants claiming an exemption from a fee requirement for an application or other filing under </w:t>
      </w:r>
      <w:hyperlink r:id="rId14" w:anchor="co_pp_e07e0000a9f57" w:history="1">
        <w:r w:rsidRPr="0059512C">
          <w:rPr>
            <w:color w:val="0000FF"/>
            <w:szCs w:val="22"/>
            <w:u w:val="single"/>
          </w:rPr>
          <w:t>47 U.S.C. 158(d)(1)</w:t>
        </w:r>
      </w:hyperlink>
      <w:r w:rsidRPr="0059512C">
        <w:rPr>
          <w:szCs w:val="22"/>
        </w:rPr>
        <w:t xml:space="preserve"> or </w:t>
      </w:r>
      <w:hyperlink r:id="rId15" w:history="1">
        <w:r w:rsidRPr="0059512C">
          <w:rPr>
            <w:color w:val="0000FF"/>
            <w:szCs w:val="22"/>
            <w:u w:val="single"/>
          </w:rPr>
          <w:t>§ 1.1116</w:t>
        </w:r>
      </w:hyperlink>
      <w:r w:rsidRPr="0059512C">
        <w:rPr>
          <w:szCs w:val="22"/>
        </w:rPr>
        <w:t xml:space="preserve"> of this subpart shall file their applications in the appropri</w:t>
      </w:r>
      <w:r w:rsidRPr="0059512C">
        <w:rPr>
          <w:szCs w:val="22"/>
        </w:rPr>
        <w:t xml:space="preserve">ate location as set forth in the rules for the service for which they are applying, except that request for waiver accompanied by a tentative fee payment should be filed as set forth in </w:t>
      </w:r>
      <w:hyperlink r:id="rId10" w:history="1">
        <w:r w:rsidRPr="0059512C">
          <w:rPr>
            <w:color w:val="0000FF"/>
            <w:szCs w:val="22"/>
            <w:u w:val="single"/>
          </w:rPr>
          <w:t>§§ 1.1102</w:t>
        </w:r>
      </w:hyperlink>
      <w:r w:rsidRPr="0059512C">
        <w:rPr>
          <w:szCs w:val="22"/>
        </w:rPr>
        <w:t xml:space="preserve"> through </w:t>
      </w:r>
      <w:hyperlink r:id="rId11" w:history="1">
        <w:r w:rsidRPr="0059512C">
          <w:rPr>
            <w:color w:val="0000FF"/>
            <w:szCs w:val="22"/>
            <w:u w:val="single"/>
          </w:rPr>
          <w:t>1.1109</w:t>
        </w:r>
      </w:hyperlink>
      <w:r w:rsidRPr="0059512C">
        <w:rPr>
          <w:szCs w:val="22"/>
        </w:rPr>
        <w:t>.</w:t>
      </w:r>
    </w:p>
    <w:p w:rsidR="00107F84" w:rsidRPr="0059512C" w:rsidP="00107F84">
      <w:pPr>
        <w:rPr>
          <w:szCs w:val="22"/>
        </w:rPr>
      </w:pPr>
      <w:r w:rsidRPr="0059512C">
        <w:rPr>
          <w:szCs w:val="22"/>
        </w:rPr>
        <w:t xml:space="preserve">(b) Except as provided for in </w:t>
      </w:r>
      <w:r w:rsidRPr="0059512C">
        <w:rPr>
          <w:szCs w:val="22"/>
        </w:rPr>
        <w:t>paragraph (c) of this section, all materials must be submitted as one package. The Commission will not take responsibility for matching fees, forms and applications submitted at different times or locations. Materials submitted at other than the location a</w:t>
      </w:r>
      <w:r w:rsidRPr="0059512C">
        <w:rPr>
          <w:szCs w:val="22"/>
        </w:rPr>
        <w:t xml:space="preserve">nd address required by </w:t>
      </w:r>
      <w:hyperlink r:id="rId16" w:anchor="co_pp_a83b000018c76" w:history="1">
        <w:r w:rsidRPr="0059512C">
          <w:rPr>
            <w:szCs w:val="22"/>
            <w:u w:val="single"/>
          </w:rPr>
          <w:t>§ 0.401(b)</w:t>
        </w:r>
      </w:hyperlink>
      <w:r w:rsidRPr="0059512C">
        <w:rPr>
          <w:szCs w:val="22"/>
        </w:rPr>
        <w:t xml:space="preserve"> and paragraph (a) of this section will be returned to the applicant or filer.</w:t>
      </w:r>
    </w:p>
    <w:p w:rsidR="00107F84" w:rsidRPr="0059512C" w:rsidP="00107F84">
      <w:pPr>
        <w:rPr>
          <w:szCs w:val="22"/>
        </w:rPr>
      </w:pPr>
      <w:r w:rsidRPr="0059512C">
        <w:rPr>
          <w:szCs w:val="22"/>
        </w:rPr>
        <w:t>(c) Fees for applications and other filings pertaining to the Wireless Radio Services that are submitted electron</w:t>
      </w:r>
      <w:r w:rsidRPr="0059512C">
        <w:rPr>
          <w:szCs w:val="22"/>
        </w:rPr>
        <w:t>ically via ULS may be paid electronically or sent to the Commission's lock box bank manually. When paying manually, applicants must include the application file number (assigned by the ULS electronic filing system on FCC Form 159) and submit such number wi</w:t>
      </w:r>
      <w:r w:rsidRPr="0059512C">
        <w:rPr>
          <w:szCs w:val="22"/>
        </w:rPr>
        <w:t>th the payment in order for the Commission to verify that the payment was made. Manual payments must be received no later than ten (10) days after receipt of the application on ULS or the application will be dismissed. Payment received more than ten (10) d</w:t>
      </w:r>
      <w:r w:rsidRPr="0059512C">
        <w:rPr>
          <w:szCs w:val="22"/>
        </w:rPr>
        <w:t xml:space="preserve">ays after electronic filing of an application on a Bureau/Office electronic filing system (e.g., ULS) will be forfeited (see </w:t>
      </w:r>
      <w:hyperlink r:id="rId17" w:history="1">
        <w:r w:rsidRPr="0059512C">
          <w:rPr>
            <w:color w:val="0000FF"/>
            <w:szCs w:val="22"/>
            <w:u w:val="single"/>
          </w:rPr>
          <w:t>§§ 1.934</w:t>
        </w:r>
      </w:hyperlink>
      <w:r w:rsidRPr="0059512C">
        <w:rPr>
          <w:szCs w:val="22"/>
        </w:rPr>
        <w:t xml:space="preserve"> and </w:t>
      </w:r>
      <w:hyperlink r:id="rId18" w:history="1">
        <w:r w:rsidRPr="0059512C">
          <w:rPr>
            <w:color w:val="0000FF"/>
            <w:szCs w:val="22"/>
            <w:u w:val="single"/>
          </w:rPr>
          <w:t>1.1111</w:t>
        </w:r>
      </w:hyperlink>
      <w:r w:rsidRPr="0059512C">
        <w:rPr>
          <w:szCs w:val="22"/>
        </w:rPr>
        <w:t>.)</w:t>
      </w:r>
    </w:p>
    <w:p w:rsidR="00107F84" w:rsidRPr="0059512C" w:rsidP="00107F84">
      <w:pPr>
        <w:rPr>
          <w:szCs w:val="22"/>
        </w:rPr>
      </w:pPr>
      <w:r w:rsidRPr="0059512C">
        <w:rPr>
          <w:szCs w:val="22"/>
        </w:rPr>
        <w:t>(d) Fees for applications and other filings pertaining to the Multichannel Video and Cable Telev</w:t>
      </w:r>
      <w:r w:rsidRPr="0059512C">
        <w:rPr>
          <w:szCs w:val="22"/>
        </w:rPr>
        <w:t>ision Service (MVCTS) and the Cable Television Relay Service (CARS) that are submitted electronically via the Cable Operations and Licensing System (COALS) may be paid electronically or sent to the Commission's lock box bank manually. When paying manually,</w:t>
      </w:r>
      <w:r w:rsidRPr="0059512C">
        <w:rPr>
          <w:szCs w:val="22"/>
        </w:rPr>
        <w:t xml:space="preserve"> applicants must include the FCC Form 159 generated by COALS (pre-filled with the transaction confirmation number) and completed with the necessary additional payment information to allow the Commission to verify that payment was made. Manual payments must</w:t>
      </w:r>
      <w:r w:rsidRPr="0059512C">
        <w:rPr>
          <w:szCs w:val="22"/>
        </w:rPr>
        <w:t xml:space="preserve"> be received no later than ten (10) days after receipt of the application or filing in COALS or the application or filing will be dismissed.</w:t>
      </w:r>
    </w:p>
    <w:p w:rsidR="00107F84" w:rsidRPr="0059512C" w:rsidP="00107F84">
      <w:pPr>
        <w:rPr>
          <w:szCs w:val="22"/>
        </w:rPr>
      </w:pPr>
    </w:p>
    <w:p w:rsidR="00107F84" w:rsidRPr="0059512C" w:rsidP="00107F84">
      <w:pPr>
        <w:rPr>
          <w:bCs/>
          <w:szCs w:val="22"/>
        </w:rPr>
      </w:pPr>
      <w:r w:rsidRPr="0059512C">
        <w:rPr>
          <w:bCs/>
          <w:szCs w:val="22"/>
        </w:rPr>
        <w:t xml:space="preserve">13.  </w:t>
      </w:r>
      <w:r w:rsidRPr="0059512C">
        <w:rPr>
          <w:bCs/>
          <w:szCs w:val="22"/>
        </w:rPr>
        <w:t xml:space="preserve">Section 1.1114 of the Commission’s rules is revised to read as follows: </w:t>
      </w:r>
    </w:p>
    <w:p w:rsidR="00107F84" w:rsidRPr="0059512C" w:rsidP="00107F84">
      <w:pPr>
        <w:rPr>
          <w:b/>
          <w:bCs/>
          <w:szCs w:val="22"/>
        </w:rPr>
      </w:pPr>
    </w:p>
    <w:p w:rsidR="00107F84" w:rsidRPr="0059512C" w:rsidP="00107F84">
      <w:pPr>
        <w:rPr>
          <w:szCs w:val="22"/>
        </w:rPr>
      </w:pPr>
      <w:r w:rsidRPr="0059512C">
        <w:rPr>
          <w:b/>
          <w:bCs/>
          <w:szCs w:val="22"/>
        </w:rPr>
        <w:t>§ 1.1114 Conditionality of Commission or staff authorizations.</w:t>
      </w:r>
    </w:p>
    <w:p w:rsidR="00107F84" w:rsidRPr="0059512C" w:rsidP="00107F84">
      <w:pPr>
        <w:rPr>
          <w:szCs w:val="22"/>
        </w:rPr>
      </w:pPr>
    </w:p>
    <w:p w:rsidR="00107F84" w:rsidRPr="0059512C" w:rsidP="00107F84">
      <w:pPr>
        <w:rPr>
          <w:szCs w:val="22"/>
        </w:rPr>
      </w:pPr>
      <w:r w:rsidRPr="0059512C">
        <w:rPr>
          <w:szCs w:val="22"/>
        </w:rPr>
        <w:t xml:space="preserve"> (a) Any instrument of authorization granted by the Commission, or by its staff under delegated authority, will be con</w:t>
      </w:r>
      <w:r w:rsidRPr="0059512C">
        <w:rPr>
          <w:szCs w:val="22"/>
        </w:rPr>
        <w:t>ditioned upon final payment of the applicable fee or delinquent fees and timely payment of bills issued by the Commission. As applied to checks, bank drafts and money orders, final payment shall mean receipt by the Treasury of funds cleared by the financia</w:t>
      </w:r>
      <w:r w:rsidRPr="0059512C">
        <w:rPr>
          <w:szCs w:val="22"/>
        </w:rPr>
        <w:t>l institution on which the check, bank draft or money order is drawn.</w:t>
      </w:r>
    </w:p>
    <w:p w:rsidR="00107F84" w:rsidRPr="0059512C" w:rsidP="00107F84">
      <w:pPr>
        <w:rPr>
          <w:szCs w:val="22"/>
        </w:rPr>
      </w:pPr>
      <w:r w:rsidRPr="0059512C">
        <w:rPr>
          <w:szCs w:val="22"/>
        </w:rPr>
        <w:t>(1) If, prior to a grant of an instrument of authorization, the Commission is notified that final payment has not been made, the application or filing will be:</w:t>
      </w:r>
    </w:p>
    <w:p w:rsidR="00107F84" w:rsidRPr="0059512C" w:rsidP="00107F84">
      <w:pPr>
        <w:rPr>
          <w:szCs w:val="22"/>
        </w:rPr>
      </w:pPr>
      <w:r w:rsidRPr="0059512C">
        <w:rPr>
          <w:szCs w:val="22"/>
        </w:rPr>
        <w:t>(i) Dismissed and returned</w:t>
      </w:r>
      <w:r w:rsidRPr="0059512C">
        <w:rPr>
          <w:szCs w:val="22"/>
        </w:rPr>
        <w:t xml:space="preserve"> to the applicant;</w:t>
      </w:r>
    </w:p>
    <w:p w:rsidR="00107F84" w:rsidRPr="0059512C" w:rsidP="00107F84">
      <w:pPr>
        <w:rPr>
          <w:szCs w:val="22"/>
        </w:rPr>
      </w:pPr>
      <w:r w:rsidRPr="0059512C">
        <w:rPr>
          <w:szCs w:val="22"/>
        </w:rPr>
        <w:t>(ii) Shall lose its place in the processing line;</w:t>
      </w:r>
    </w:p>
    <w:p w:rsidR="00107F84" w:rsidRPr="0059512C" w:rsidP="00107F84">
      <w:pPr>
        <w:rPr>
          <w:szCs w:val="22"/>
        </w:rPr>
      </w:pPr>
      <w:r w:rsidRPr="0059512C">
        <w:rPr>
          <w:szCs w:val="22"/>
        </w:rPr>
        <w:t>(iii) And will not be accorded nunc pro tunc treatment if resubmitted after the relevant filing deadline.</w:t>
      </w:r>
    </w:p>
    <w:p w:rsidR="00107F84" w:rsidRPr="0059512C" w:rsidP="00107F84">
      <w:pPr>
        <w:rPr>
          <w:szCs w:val="22"/>
        </w:rPr>
      </w:pPr>
      <w:r w:rsidRPr="0059512C">
        <w:rPr>
          <w:szCs w:val="22"/>
        </w:rPr>
        <w:t>(2) If, subsequent to a grant of an instrument of authorization, the Commission i</w:t>
      </w:r>
      <w:r w:rsidRPr="0059512C">
        <w:rPr>
          <w:szCs w:val="22"/>
        </w:rPr>
        <w:t>s notified that final payment has not been made, the Commission will:</w:t>
      </w:r>
    </w:p>
    <w:p w:rsidR="00107F84" w:rsidRPr="0059512C" w:rsidP="00107F84">
      <w:pPr>
        <w:rPr>
          <w:szCs w:val="22"/>
        </w:rPr>
      </w:pPr>
      <w:r w:rsidRPr="0059512C">
        <w:rPr>
          <w:szCs w:val="22"/>
        </w:rPr>
        <w:t>(i) Automatically rescind that instrument of authorization for failure to meet the condition imposed by this subsection; and</w:t>
      </w:r>
    </w:p>
    <w:p w:rsidR="00107F84" w:rsidRPr="0059512C" w:rsidP="00107F84">
      <w:pPr>
        <w:rPr>
          <w:szCs w:val="22"/>
        </w:rPr>
      </w:pPr>
      <w:r w:rsidRPr="0059512C">
        <w:rPr>
          <w:szCs w:val="22"/>
        </w:rPr>
        <w:t>(ii) Notify the grantee of this action; and</w:t>
      </w:r>
    </w:p>
    <w:p w:rsidR="00107F84" w:rsidRPr="0059512C" w:rsidP="00107F84">
      <w:pPr>
        <w:rPr>
          <w:szCs w:val="22"/>
        </w:rPr>
      </w:pPr>
      <w:r w:rsidRPr="0059512C">
        <w:rPr>
          <w:szCs w:val="22"/>
        </w:rPr>
        <w:t xml:space="preserve">(iii) Not </w:t>
      </w:r>
      <w:r w:rsidRPr="0059512C">
        <w:rPr>
          <w:szCs w:val="22"/>
        </w:rPr>
        <w:t>permit nunc pro tunc treatment for the resubmission of the application or filing if the relevant deadline has expired.</w:t>
      </w:r>
    </w:p>
    <w:p w:rsidR="00107F84" w:rsidRPr="0059512C" w:rsidP="00107F84">
      <w:pPr>
        <w:rPr>
          <w:szCs w:val="22"/>
        </w:rPr>
      </w:pPr>
      <w:r w:rsidRPr="0059512C">
        <w:rPr>
          <w:szCs w:val="22"/>
        </w:rPr>
        <w:t>(3) Upon receipt of a notification of rescission of the authorization, the grantee will immediately cease operations initiated pursuant t</w:t>
      </w:r>
      <w:r w:rsidRPr="0059512C">
        <w:rPr>
          <w:szCs w:val="22"/>
        </w:rPr>
        <w:t>o the authorization.</w:t>
      </w:r>
    </w:p>
    <w:p w:rsidR="00107F84" w:rsidRPr="0059512C" w:rsidP="00107F84">
      <w:pPr>
        <w:rPr>
          <w:szCs w:val="22"/>
        </w:rPr>
      </w:pPr>
      <w:r w:rsidRPr="0059512C">
        <w:rPr>
          <w:szCs w:val="22"/>
        </w:rPr>
        <w:t>(b) In those instances where the Commission has granted a request for deferred payment of a fee or issued a bill payable at a future date, further processing of the application or filing, or the grant of authority, shall be conditioned</w:t>
      </w:r>
      <w:r w:rsidRPr="0059512C">
        <w:rPr>
          <w:szCs w:val="22"/>
        </w:rPr>
        <w:t xml:space="preserve"> upon final payment of the fee, plus other required payments for late payments, by the date prescribed by the deferral decision or bill. Failure to comply with the terms of the deferral decision or bill shall result in the automatic dismissal of the submis</w:t>
      </w:r>
      <w:r w:rsidRPr="0059512C">
        <w:rPr>
          <w:szCs w:val="22"/>
        </w:rPr>
        <w:t>sion or rescission of the Commission authorization for failure to meet the condition imposed by this subpart. The Commission reserves the right to return payments received after the date established on the bill and exercise the conditions attached to the a</w:t>
      </w:r>
      <w:r w:rsidRPr="0059512C">
        <w:rPr>
          <w:szCs w:val="22"/>
        </w:rPr>
        <w:t>pplication. The Commission shall:</w:t>
      </w:r>
    </w:p>
    <w:p w:rsidR="00107F84" w:rsidRPr="0059512C" w:rsidP="00107F84">
      <w:pPr>
        <w:rPr>
          <w:szCs w:val="22"/>
        </w:rPr>
      </w:pPr>
      <w:r w:rsidRPr="0059512C">
        <w:rPr>
          <w:szCs w:val="22"/>
        </w:rPr>
        <w:t>(1) Notify the grantee that the authorization has been rescinded;</w:t>
      </w:r>
    </w:p>
    <w:p w:rsidR="00107F84" w:rsidRPr="0059512C" w:rsidP="00107F84">
      <w:pPr>
        <w:rPr>
          <w:szCs w:val="22"/>
        </w:rPr>
      </w:pPr>
      <w:r w:rsidRPr="0059512C">
        <w:rPr>
          <w:szCs w:val="22"/>
        </w:rPr>
        <w:t>(i) Upon such notification, the grantee will immediately cease operations initiated pursuant to the authorization.</w:t>
      </w:r>
    </w:p>
    <w:p w:rsidR="00107F84" w:rsidRPr="0059512C" w:rsidP="00107F84">
      <w:pPr>
        <w:rPr>
          <w:szCs w:val="22"/>
        </w:rPr>
      </w:pPr>
      <w:r w:rsidRPr="0059512C">
        <w:rPr>
          <w:szCs w:val="22"/>
        </w:rPr>
        <w:t xml:space="preserve">(ii) [Reserved by </w:t>
      </w:r>
      <w:hyperlink r:id="rId19" w:anchor="co_pp_sp_1037_3446" w:history="1">
        <w:r w:rsidRPr="0059512C">
          <w:rPr>
            <w:color w:val="0000FF"/>
            <w:szCs w:val="22"/>
            <w:u w:val="single"/>
          </w:rPr>
          <w:t>74 FR 3446</w:t>
        </w:r>
      </w:hyperlink>
      <w:r w:rsidRPr="0059512C">
        <w:rPr>
          <w:szCs w:val="22"/>
        </w:rPr>
        <w:t>]</w:t>
      </w:r>
    </w:p>
    <w:p w:rsidR="00107F84" w:rsidRPr="0059512C" w:rsidP="00107F84">
      <w:pPr>
        <w:rPr>
          <w:szCs w:val="22"/>
        </w:rPr>
      </w:pPr>
      <w:r w:rsidRPr="0059512C">
        <w:rPr>
          <w:szCs w:val="22"/>
        </w:rPr>
        <w:t>(2) Not permit nunc pro tunc treatment to applicants who attempt to refile after the original deadline for the underlying submission.</w:t>
      </w:r>
    </w:p>
    <w:p w:rsidR="00107F84" w:rsidRPr="0059512C" w:rsidP="00107F84">
      <w:pPr>
        <w:rPr>
          <w:szCs w:val="22"/>
        </w:rPr>
      </w:pPr>
      <w:r w:rsidRPr="0059512C">
        <w:rPr>
          <w:szCs w:val="22"/>
        </w:rPr>
        <w:t>(c)(1) Where an applicant is found to be delinquent i</w:t>
      </w:r>
      <w:r w:rsidRPr="0059512C">
        <w:rPr>
          <w:szCs w:val="22"/>
        </w:rPr>
        <w:t>n the payment of an application fee, including any installment payment, the Commission will make a written request for the delinquent fee or installment payment, together with any penalty and interest that may be due. Such request shall inform the applican</w:t>
      </w:r>
      <w:r w:rsidRPr="0059512C">
        <w:rPr>
          <w:szCs w:val="22"/>
        </w:rPr>
        <w:t xml:space="preserve">t/filer that failure to pay or make satisfactory payment arrangements with the Commission will result in the Commission's withholding action on, and/or as appropriate, dismissal of, any applications or requests filed by the applicant. The staff shall also </w:t>
      </w:r>
      <w:r w:rsidRPr="0059512C">
        <w:rPr>
          <w:szCs w:val="22"/>
        </w:rPr>
        <w:t xml:space="preserve">inform the applicant of the procedures for seeking Commission review of the staff's fee determination. </w:t>
      </w:r>
    </w:p>
    <w:p w:rsidR="00107F84" w:rsidRPr="0059512C" w:rsidP="00107F84">
      <w:pPr>
        <w:rPr>
          <w:szCs w:val="22"/>
        </w:rPr>
      </w:pPr>
      <w:r w:rsidRPr="0059512C">
        <w:rPr>
          <w:szCs w:val="22"/>
        </w:rPr>
        <w:t>(2) If, after final determination that the fee is due or that the applicant is delinquent in the payment of fees, and payment is not made in a timely ma</w:t>
      </w:r>
      <w:r w:rsidRPr="0059512C">
        <w:rPr>
          <w:szCs w:val="22"/>
        </w:rPr>
        <w:t>nner, the staff will withhold action on the application or filing until payment or other satisfactory arrangements is made with the Commission. If payment or satisfactory arrangement with the Commission is not made within 30 days of the date of the origina</w:t>
      </w:r>
      <w:r w:rsidRPr="0059512C">
        <w:rPr>
          <w:szCs w:val="22"/>
        </w:rPr>
        <w:t>l notification, the application will be dismissed.</w:t>
      </w:r>
    </w:p>
    <w:p w:rsidR="00107F84" w:rsidRPr="0059512C" w:rsidP="00107F84">
      <w:pPr>
        <w:rPr>
          <w:szCs w:val="22"/>
        </w:rPr>
      </w:pPr>
    </w:p>
    <w:p w:rsidR="00107F84" w:rsidRPr="0059512C" w:rsidP="00107F84">
      <w:pPr>
        <w:rPr>
          <w:szCs w:val="22"/>
        </w:rPr>
      </w:pPr>
    </w:p>
    <w:p w:rsidR="00107F84" w:rsidRPr="0059512C" w:rsidP="00107F84">
      <w:pPr>
        <w:rPr>
          <w:bCs/>
          <w:szCs w:val="22"/>
        </w:rPr>
      </w:pPr>
      <w:r w:rsidRPr="0059512C">
        <w:rPr>
          <w:bCs/>
          <w:szCs w:val="22"/>
        </w:rPr>
        <w:t>14.  Section 1.1117 of the Commission’s rules is revised to read as follows:</w:t>
      </w:r>
    </w:p>
    <w:p w:rsidR="00107F84" w:rsidRPr="0059512C" w:rsidP="00107F84">
      <w:pPr>
        <w:rPr>
          <w:b/>
          <w:bCs/>
          <w:szCs w:val="22"/>
        </w:rPr>
      </w:pPr>
    </w:p>
    <w:p w:rsidR="00107F84" w:rsidRPr="0059512C" w:rsidP="00107F84">
      <w:pPr>
        <w:rPr>
          <w:szCs w:val="22"/>
        </w:rPr>
      </w:pPr>
      <w:r w:rsidRPr="0059512C">
        <w:rPr>
          <w:b/>
          <w:bCs/>
          <w:szCs w:val="22"/>
        </w:rPr>
        <w:t>§ 1.1117 Adjustments and amendments to charges.</w:t>
      </w:r>
    </w:p>
    <w:p w:rsidR="00107F84" w:rsidRPr="0059512C" w:rsidP="00107F84">
      <w:pPr>
        <w:rPr>
          <w:szCs w:val="22"/>
        </w:rPr>
      </w:pPr>
    </w:p>
    <w:p w:rsidR="00107F84" w:rsidRPr="0059512C" w:rsidP="00107F84">
      <w:pPr>
        <w:rPr>
          <w:szCs w:val="22"/>
        </w:rPr>
      </w:pPr>
      <w:r w:rsidRPr="0059512C">
        <w:rPr>
          <w:szCs w:val="22"/>
        </w:rPr>
        <w:t xml:space="preserve">(a) The Schedule of Charges established by </w:t>
      </w:r>
      <w:hyperlink r:id="rId20" w:history="1">
        <w:r w:rsidRPr="0059512C">
          <w:rPr>
            <w:color w:val="0000FF"/>
            <w:szCs w:val="22"/>
            <w:u w:val="single"/>
          </w:rPr>
          <w:t>§§ 1.1102</w:t>
        </w:r>
      </w:hyperlink>
      <w:r w:rsidRPr="0059512C">
        <w:rPr>
          <w:szCs w:val="22"/>
        </w:rPr>
        <w:t xml:space="preserve"> through </w:t>
      </w:r>
      <w:hyperlink r:id="rId21" w:history="1">
        <w:r w:rsidRPr="0059512C">
          <w:rPr>
            <w:color w:val="0000FF"/>
            <w:szCs w:val="22"/>
            <w:u w:val="single"/>
          </w:rPr>
          <w:t>1</w:t>
        </w:r>
        <w:r w:rsidRPr="0059512C">
          <w:rPr>
            <w:color w:val="0000FF"/>
            <w:szCs w:val="22"/>
            <w:u w:val="single"/>
          </w:rPr>
          <w:t>.1109</w:t>
        </w:r>
      </w:hyperlink>
      <w:r w:rsidRPr="0059512C">
        <w:rPr>
          <w:szCs w:val="22"/>
        </w:rPr>
        <w:t xml:space="preserve"> of this subpart shall be reviewed by the Commission on October 1,____and every two years thereafter, and adjustments and amendments made, if any, will be reflected in the next publication of Schedule of Charges in accordance with section 8 of the Com</w:t>
      </w:r>
      <w:r w:rsidRPr="0059512C">
        <w:rPr>
          <w:szCs w:val="22"/>
        </w:rPr>
        <w:t>munications Act, as amended by sections 102 and 103 of title I of the Consolidated Appropriations Act of 2018 (Pub. L. 1115-141, 132 Stat. 1084), 47 U.S.C. §158.</w:t>
      </w:r>
    </w:p>
    <w:p w:rsidR="00107F84" w:rsidRPr="0059512C" w:rsidP="00107F84">
      <w:pPr>
        <w:rPr>
          <w:szCs w:val="22"/>
        </w:rPr>
      </w:pPr>
      <w:r w:rsidRPr="0059512C">
        <w:rPr>
          <w:szCs w:val="22"/>
        </w:rPr>
        <w:t xml:space="preserve"> </w:t>
      </w:r>
    </w:p>
    <w:p w:rsidR="00107F84" w:rsidRPr="0059512C" w:rsidP="00107F84">
      <w:pPr>
        <w:rPr>
          <w:bCs/>
          <w:szCs w:val="22"/>
        </w:rPr>
      </w:pPr>
      <w:r w:rsidRPr="0059512C">
        <w:rPr>
          <w:bCs/>
          <w:szCs w:val="22"/>
        </w:rPr>
        <w:t>15.  Section 1.1118 of the Commission’s rules is revised to read as follows:</w:t>
      </w:r>
    </w:p>
    <w:p w:rsidR="00107F84" w:rsidRPr="0059512C" w:rsidP="00107F84">
      <w:pPr>
        <w:rPr>
          <w:szCs w:val="22"/>
        </w:rPr>
      </w:pPr>
      <w:r w:rsidRPr="0059512C">
        <w:rPr>
          <w:b/>
          <w:bCs/>
          <w:szCs w:val="22"/>
        </w:rPr>
        <w:t>§ 1.1118 Penalt</w:t>
      </w:r>
      <w:r w:rsidRPr="0059512C">
        <w:rPr>
          <w:b/>
          <w:bCs/>
          <w:szCs w:val="22"/>
        </w:rPr>
        <w:t>y for late or insufficient payments.</w:t>
      </w:r>
    </w:p>
    <w:p w:rsidR="00107F84" w:rsidRPr="0059512C" w:rsidP="00107F84">
      <w:pPr>
        <w:rPr>
          <w:szCs w:val="22"/>
        </w:rPr>
      </w:pPr>
    </w:p>
    <w:p w:rsidR="00107F84" w:rsidRPr="0059512C" w:rsidP="00107F84">
      <w:pPr>
        <w:rPr>
          <w:szCs w:val="22"/>
        </w:rPr>
      </w:pPr>
      <w:r w:rsidRPr="0059512C">
        <w:rPr>
          <w:szCs w:val="22"/>
        </w:rPr>
        <w:t xml:space="preserve"> (a) Filings subject to fees and accompanied by defective fee submissions will be dismissed under </w:t>
      </w:r>
      <w:hyperlink r:id="rId22" w:anchor="co_pp_5ba1000067d06" w:history="1">
        <w:r w:rsidRPr="0059512C">
          <w:rPr>
            <w:color w:val="0000FF"/>
            <w:szCs w:val="22"/>
            <w:u w:val="single"/>
          </w:rPr>
          <w:t>§ 1.1111 (d)</w:t>
        </w:r>
      </w:hyperlink>
      <w:r w:rsidRPr="0059512C">
        <w:rPr>
          <w:szCs w:val="22"/>
        </w:rPr>
        <w:t xml:space="preserve"> of this subpart where the defect is discovered by the Commission's staff within 30 calendar days from the receipt of the application or filing by the Commission.</w:t>
      </w:r>
    </w:p>
    <w:p w:rsidR="00107F84" w:rsidRPr="0059512C" w:rsidP="00107F84">
      <w:pPr>
        <w:rPr>
          <w:szCs w:val="22"/>
        </w:rPr>
      </w:pPr>
      <w:r w:rsidRPr="0059512C">
        <w:rPr>
          <w:szCs w:val="22"/>
        </w:rPr>
        <w:t>(1) A defective fee may be corrected by resubmitting the application or other filing, togethe</w:t>
      </w:r>
      <w:r w:rsidRPr="0059512C">
        <w:rPr>
          <w:szCs w:val="22"/>
        </w:rPr>
        <w:t>r with the entire correct fee.</w:t>
      </w:r>
    </w:p>
    <w:p w:rsidR="00107F84" w:rsidRPr="0059512C" w:rsidP="00107F84">
      <w:pPr>
        <w:rPr>
          <w:szCs w:val="22"/>
        </w:rPr>
      </w:pPr>
      <w:r w:rsidRPr="0059512C">
        <w:rPr>
          <w:szCs w:val="22"/>
        </w:rPr>
        <w:t xml:space="preserve">(2) For purposes of determining whether the filing is timely, the date of resubmission with the correct fee will be considered the date of filing. However, in cases where the fee payment fails due to error of the applicant's </w:t>
      </w:r>
      <w:r w:rsidRPr="0059512C">
        <w:rPr>
          <w:szCs w:val="22"/>
        </w:rPr>
        <w:t>bank, as evidenced by an affidavit of an officer of the bank, the date of the original submission will be considered the date of filing.</w:t>
      </w:r>
    </w:p>
    <w:p w:rsidR="00107F84" w:rsidRPr="0059512C" w:rsidP="00107F84">
      <w:pPr>
        <w:rPr>
          <w:szCs w:val="22"/>
        </w:rPr>
      </w:pPr>
      <w:r w:rsidRPr="0059512C">
        <w:rPr>
          <w:szCs w:val="22"/>
        </w:rPr>
        <w:t>(b) Applications or filings accompanied by insufficient fees or no fees, or where such applications or filings are made</w:t>
      </w:r>
      <w:r w:rsidRPr="0059512C">
        <w:rPr>
          <w:szCs w:val="22"/>
        </w:rPr>
        <w:t xml:space="preserve"> by persons or organizations that are delinquent in fees owed to the Commission, that are inadvertently forwarded to Commission staff for substantive review will be billed for the amount due if the discrepancy is not discovered until after 30 calendar days</w:t>
      </w:r>
      <w:r w:rsidRPr="0059512C">
        <w:rPr>
          <w:szCs w:val="22"/>
        </w:rPr>
        <w:t xml:space="preserve"> from the receipt of the application or filing by the Commission. Applications or filings that are accompanied by insufficient fees or no fees will have a penalty charge equaling 25 percent of the amount due added to each bill. Any Commission action taken </w:t>
      </w:r>
      <w:r w:rsidRPr="0059512C">
        <w:rPr>
          <w:szCs w:val="22"/>
        </w:rPr>
        <w:t>prior to timely payment of these charges is contingent and subject to rescission.</w:t>
      </w:r>
    </w:p>
    <w:p w:rsidR="00107F84" w:rsidRPr="0059512C" w:rsidP="00107F84">
      <w:pPr>
        <w:rPr>
          <w:szCs w:val="22"/>
        </w:rPr>
      </w:pPr>
      <w:r w:rsidRPr="0059512C">
        <w:rPr>
          <w:szCs w:val="22"/>
        </w:rPr>
        <w:t xml:space="preserve">(c) Applicants to whom a deferral of payment is granted under the terms of this subsection will be billed for the amount due plus a penalty charge equaling 25 percent of the </w:t>
      </w:r>
      <w:r w:rsidRPr="0059512C">
        <w:rPr>
          <w:szCs w:val="22"/>
        </w:rPr>
        <w:t>amount due. Any Commission actions taken prior to timely payment of these charges are contingent and subject to rescission.</w:t>
      </w:r>
    </w:p>
    <w:p w:rsidR="00107F84" w:rsidRPr="0059512C" w:rsidP="00107F84">
      <w:pPr>
        <w:rPr>
          <w:szCs w:val="22"/>
        </w:rPr>
      </w:pPr>
      <w:r w:rsidRPr="0059512C">
        <w:rPr>
          <w:szCs w:val="22"/>
        </w:rPr>
        <w:t>(d) Failure to submit fees, following notice to the applicant of failure to submit the required fee, is subject to collection of the</w:t>
      </w:r>
      <w:r w:rsidRPr="0059512C">
        <w:rPr>
          <w:szCs w:val="22"/>
        </w:rPr>
        <w:t xml:space="preserve"> fee, the 25 percent penalty, and interest thereon pursuant to Section 9A of the Communications Act, as amended, and the provisions of the Debt Collection Improvement Act of 1996 (DCIA), </w:t>
      </w:r>
      <w:hyperlink r:id="rId23" w:history="1">
        <w:r w:rsidRPr="0059512C">
          <w:rPr>
            <w:color w:val="0000FF"/>
            <w:szCs w:val="22"/>
            <w:u w:val="single"/>
          </w:rPr>
          <w:t>Public Law 104–134, 110 Stat. 132</w:t>
        </w:r>
        <w:r w:rsidRPr="0059512C">
          <w:rPr>
            <w:color w:val="0000FF"/>
            <w:szCs w:val="22"/>
            <w:u w:val="single"/>
          </w:rPr>
          <w:t>1,</w:t>
        </w:r>
      </w:hyperlink>
      <w:r w:rsidRPr="0059512C">
        <w:rPr>
          <w:szCs w:val="22"/>
        </w:rPr>
        <w:t xml:space="preserve"> 1358 (Apr. 26, 1996), codified at </w:t>
      </w:r>
      <w:hyperlink r:id="rId24" w:history="1">
        <w:r w:rsidRPr="0059512C">
          <w:rPr>
            <w:color w:val="0000FF"/>
            <w:szCs w:val="22"/>
            <w:u w:val="single"/>
          </w:rPr>
          <w:t>31 U.S.C. 3701 et seq.</w:t>
        </w:r>
      </w:hyperlink>
      <w:r w:rsidRPr="0059512C">
        <w:rPr>
          <w:szCs w:val="22"/>
        </w:rPr>
        <w:t xml:space="preserve"> See </w:t>
      </w:r>
      <w:hyperlink r:id="rId25" w:history="1">
        <w:r w:rsidRPr="0059512C">
          <w:rPr>
            <w:color w:val="0000FF"/>
            <w:szCs w:val="22"/>
            <w:u w:val="single"/>
          </w:rPr>
          <w:t>47 CFR 1.1901</w:t>
        </w:r>
      </w:hyperlink>
      <w:r w:rsidRPr="0059512C">
        <w:rPr>
          <w:szCs w:val="22"/>
        </w:rPr>
        <w:t xml:space="preserve"> through </w:t>
      </w:r>
      <w:hyperlink r:id="rId26" w:history="1">
        <w:r w:rsidRPr="0059512C">
          <w:rPr>
            <w:color w:val="0000FF"/>
            <w:szCs w:val="22"/>
            <w:u w:val="single"/>
          </w:rPr>
          <w:t>1.1952</w:t>
        </w:r>
      </w:hyperlink>
      <w:r w:rsidRPr="0059512C">
        <w:rPr>
          <w:szCs w:val="22"/>
        </w:rPr>
        <w:t>. The debt collection processes described above may proceed concurrently with any other sanction in this paragraph and elsewhere in the Commissi</w:t>
      </w:r>
      <w:r w:rsidRPr="0059512C">
        <w:rPr>
          <w:szCs w:val="22"/>
        </w:rPr>
        <w:t>on’s rules.</w:t>
      </w:r>
    </w:p>
    <w:p w:rsidR="00107F84" w:rsidRPr="0059512C" w:rsidP="00107F84">
      <w:pPr>
        <w:rPr>
          <w:szCs w:val="22"/>
        </w:rPr>
      </w:pPr>
    </w:p>
    <w:p w:rsidR="00107F84" w:rsidRPr="0059512C" w:rsidP="00107F84">
      <w:pPr>
        <w:rPr>
          <w:szCs w:val="22"/>
        </w:rPr>
      </w:pPr>
      <w:r w:rsidRPr="0059512C">
        <w:rPr>
          <w:szCs w:val="22"/>
        </w:rPr>
        <w:t xml:space="preserve">  </w:t>
      </w:r>
    </w:p>
    <w:p w:rsidR="00107F84" w:rsidRPr="0059512C" w:rsidP="00107F84">
      <w:pPr>
        <w:rPr>
          <w:szCs w:val="22"/>
        </w:rPr>
      </w:pPr>
      <w:r w:rsidRPr="0059512C">
        <w:rPr>
          <w:bCs/>
          <w:szCs w:val="22"/>
        </w:rPr>
        <w:t>16.  Section 1.1119 of the Commission’s rules is revised to read as follows:</w:t>
      </w:r>
    </w:p>
    <w:p w:rsidR="00107F84" w:rsidRPr="0059512C" w:rsidP="00107F84">
      <w:pPr>
        <w:rPr>
          <w:b/>
          <w:bCs/>
          <w:szCs w:val="22"/>
        </w:rPr>
      </w:pPr>
      <w:r w:rsidRPr="0059512C">
        <w:rPr>
          <w:b/>
          <w:bCs/>
          <w:szCs w:val="22"/>
        </w:rPr>
        <w:t>§ 1.1119 Petitions and applications for review.</w:t>
      </w:r>
    </w:p>
    <w:p w:rsidR="00107F84" w:rsidRPr="0059512C" w:rsidP="00107F84">
      <w:pPr>
        <w:rPr>
          <w:szCs w:val="22"/>
        </w:rPr>
      </w:pPr>
    </w:p>
    <w:p w:rsidR="00107F84" w:rsidRPr="0059512C" w:rsidP="00107F84">
      <w:pPr>
        <w:rPr>
          <w:szCs w:val="22"/>
        </w:rPr>
      </w:pPr>
      <w:r w:rsidRPr="0059512C">
        <w:rPr>
          <w:szCs w:val="22"/>
        </w:rPr>
        <w:t xml:space="preserve"> (a) The fees established by this subpart and any associated penalties and interest charges may be waived, reduced or deferred in specific instances where good cause is shown and where waiver, reduction or deferral of the fee would promote the public inter</w:t>
      </w:r>
      <w:r w:rsidRPr="0059512C">
        <w:rPr>
          <w:szCs w:val="22"/>
        </w:rPr>
        <w:t>est.</w:t>
      </w:r>
    </w:p>
    <w:p w:rsidR="00107F84" w:rsidRPr="0059512C" w:rsidP="00107F84">
      <w:pPr>
        <w:rPr>
          <w:szCs w:val="22"/>
        </w:rPr>
      </w:pPr>
      <w:r w:rsidRPr="0059512C">
        <w:rPr>
          <w:szCs w:val="22"/>
        </w:rPr>
        <w:t>(b) Requests for waiver, reduction or deferral will only be considered when received from applicants acting in respect to their own applications. Requests for waiver, reduction or deferral of entire classes of services will not be considered.</w:t>
      </w:r>
    </w:p>
    <w:p w:rsidR="00107F84" w:rsidRPr="0059512C" w:rsidP="00107F84">
      <w:pPr>
        <w:rPr>
          <w:szCs w:val="22"/>
        </w:rPr>
      </w:pPr>
      <w:r w:rsidRPr="0059512C">
        <w:rPr>
          <w:szCs w:val="22"/>
        </w:rPr>
        <w:t>(c) Peti</w:t>
      </w:r>
      <w:r w:rsidRPr="0059512C">
        <w:rPr>
          <w:szCs w:val="22"/>
        </w:rPr>
        <w:t>tions for waiver, reduction or deferral of fees, fee determinations, reconsiderations and applications for review will be acted upon by the Managing Director with the concurrence of the General Counsel. All such filings within the scope of the fee rules sh</w:t>
      </w:r>
      <w:r w:rsidRPr="0059512C">
        <w:rPr>
          <w:szCs w:val="22"/>
        </w:rPr>
        <w:t>all be filed as a separate pleading and clearly marked to the attention of the Managing Director. Any such request that is not filed as a separate pleading will not be considered by the Commission. Requests for deferral of a fee payment for financial hards</w:t>
      </w:r>
      <w:r w:rsidRPr="0059512C">
        <w:rPr>
          <w:szCs w:val="22"/>
        </w:rPr>
        <w:t>hip must be accompanied by supporting documentation.</w:t>
      </w:r>
    </w:p>
    <w:p w:rsidR="00107F84" w:rsidRPr="0059512C" w:rsidP="00107F84">
      <w:pPr>
        <w:rPr>
          <w:szCs w:val="22"/>
        </w:rPr>
      </w:pPr>
      <w:r w:rsidRPr="0059512C">
        <w:rPr>
          <w:szCs w:val="22"/>
        </w:rPr>
        <w:t xml:space="preserve">(1) Petitions and applications for review submitted with a fee must be submitted electronically or to the Commission's lock box bank at the address for the appropriate service as set forth in </w:t>
      </w:r>
      <w:hyperlink r:id="rId27" w:history="1">
        <w:r w:rsidRPr="0059512C">
          <w:rPr>
            <w:color w:val="0000FF"/>
            <w:szCs w:val="22"/>
            <w:u w:val="single"/>
          </w:rPr>
          <w:t>§§ 1</w:t>
        </w:r>
        <w:r w:rsidRPr="0059512C">
          <w:rPr>
            <w:color w:val="0000FF"/>
            <w:szCs w:val="22"/>
            <w:u w:val="single"/>
          </w:rPr>
          <w:t>.1102</w:t>
        </w:r>
      </w:hyperlink>
      <w:r w:rsidRPr="0059512C">
        <w:rPr>
          <w:szCs w:val="22"/>
        </w:rPr>
        <w:t xml:space="preserve"> through </w:t>
      </w:r>
      <w:hyperlink r:id="rId28" w:history="1">
        <w:r w:rsidRPr="0059512C">
          <w:rPr>
            <w:color w:val="0000FF"/>
            <w:szCs w:val="22"/>
            <w:u w:val="single"/>
          </w:rPr>
          <w:t>1.110</w:t>
        </w:r>
      </w:hyperlink>
      <w:r w:rsidRPr="0059512C">
        <w:rPr>
          <w:color w:val="0000FF"/>
          <w:szCs w:val="22"/>
          <w:u w:val="single"/>
        </w:rPr>
        <w:t>9</w:t>
      </w:r>
      <w:r w:rsidRPr="0059512C">
        <w:rPr>
          <w:szCs w:val="22"/>
        </w:rPr>
        <w:t>.</w:t>
      </w:r>
    </w:p>
    <w:p w:rsidR="00107F84" w:rsidRPr="0059512C" w:rsidP="00107F84">
      <w:pPr>
        <w:rPr>
          <w:szCs w:val="22"/>
        </w:rPr>
      </w:pPr>
      <w:r w:rsidRPr="0059512C">
        <w:rPr>
          <w:szCs w:val="22"/>
        </w:rPr>
        <w:t>(2) If no fee payment is submitted, the request should be filed electronically through the Commission's Electronic Comment Filing System or with the Commission's Secretary.</w:t>
      </w:r>
    </w:p>
    <w:p w:rsidR="00107F84" w:rsidRPr="0059512C" w:rsidP="00107F84">
      <w:pPr>
        <w:rPr>
          <w:szCs w:val="22"/>
        </w:rPr>
      </w:pPr>
      <w:r w:rsidRPr="0059512C">
        <w:rPr>
          <w:szCs w:val="22"/>
        </w:rPr>
        <w:t>(d) Deferrals of fees will be granted for an establish</w:t>
      </w:r>
      <w:r w:rsidRPr="0059512C">
        <w:rPr>
          <w:szCs w:val="22"/>
        </w:rPr>
        <w:t>ed period of time not to exceed six months.</w:t>
      </w:r>
    </w:p>
    <w:p w:rsidR="00107F84" w:rsidRPr="0059512C" w:rsidP="00107F84">
      <w:pPr>
        <w:rPr>
          <w:szCs w:val="22"/>
        </w:rPr>
      </w:pPr>
      <w:r w:rsidRPr="0059512C">
        <w:rPr>
          <w:szCs w:val="22"/>
        </w:rPr>
        <w:t>(e) Applicants seeking waivers must submit the request for waiver with the application or filing, required fee and FCC Form 159, or a request for deferral.  Petitions for waiver, reduction  and/or deferral of pay</w:t>
      </w:r>
      <w:r w:rsidRPr="0059512C">
        <w:rPr>
          <w:szCs w:val="22"/>
        </w:rPr>
        <w:t xml:space="preserve">ment must be submitted to the Office of the Managing Director as specified in paragraph (c) of this section. Requests that do not comply with this regulation will be dismissed in accordance with </w:t>
      </w:r>
      <w:hyperlink r:id="rId29" w:history="1">
        <w:r w:rsidRPr="0059512C">
          <w:rPr>
            <w:color w:val="0000FF"/>
            <w:szCs w:val="22"/>
            <w:u w:val="single"/>
          </w:rPr>
          <w:t>§ 1.1111</w:t>
        </w:r>
      </w:hyperlink>
      <w:r w:rsidRPr="0059512C">
        <w:rPr>
          <w:szCs w:val="22"/>
        </w:rPr>
        <w:t xml:space="preserve"> </w:t>
      </w:r>
      <w:r w:rsidRPr="0059512C">
        <w:rPr>
          <w:szCs w:val="22"/>
        </w:rPr>
        <w:t>of this subpart. Submitted fees will be retur</w:t>
      </w:r>
      <w:r w:rsidRPr="0059512C">
        <w:rPr>
          <w:szCs w:val="22"/>
        </w:rPr>
        <w:t>ned in whole if a waiver is granted and in part if a reduction is granted. The Commission will not be responsible for delays in acting upon these requests.</w:t>
      </w:r>
    </w:p>
    <w:p w:rsidR="00107F84" w:rsidRPr="0059512C" w:rsidP="00107F84">
      <w:pPr>
        <w:rPr>
          <w:szCs w:val="22"/>
        </w:rPr>
      </w:pPr>
      <w:r w:rsidRPr="0059512C">
        <w:rPr>
          <w:szCs w:val="22"/>
        </w:rPr>
        <w:t>(f) Petitions for waiver of a fee based on financial hardship will be subject to the provisions of p</w:t>
      </w:r>
      <w:r w:rsidRPr="0059512C">
        <w:rPr>
          <w:szCs w:val="22"/>
        </w:rPr>
        <w:t>aragraph 1.1166(e).</w:t>
      </w:r>
    </w:p>
    <w:p w:rsidR="00107F84" w:rsidRPr="0059512C" w:rsidP="00107F84">
      <w:pPr>
        <w:rPr>
          <w:szCs w:val="22"/>
        </w:rPr>
      </w:pPr>
    </w:p>
    <w:p w:rsidR="00107F84" w:rsidRPr="0059512C" w:rsidP="00107F84">
      <w:pPr>
        <w:rPr>
          <w:szCs w:val="22"/>
        </w:rPr>
      </w:pPr>
    </w:p>
    <w:p w:rsidR="00107F84" w:rsidRPr="0059512C" w:rsidP="00107F84">
      <w:pPr>
        <w:rPr>
          <w:bCs/>
          <w:szCs w:val="22"/>
        </w:rPr>
      </w:pPr>
      <w:r w:rsidRPr="0059512C">
        <w:rPr>
          <w:bCs/>
          <w:szCs w:val="22"/>
        </w:rPr>
        <w:t>17.  Section 1.1120 of the Commission’s rules is revised to read as follows:</w:t>
      </w:r>
    </w:p>
    <w:p w:rsidR="00107F84" w:rsidRPr="0059512C" w:rsidP="00107F84">
      <w:pPr>
        <w:rPr>
          <w:bCs/>
          <w:szCs w:val="22"/>
        </w:rPr>
      </w:pPr>
    </w:p>
    <w:p w:rsidR="00107F84" w:rsidRPr="0059512C" w:rsidP="00107F84">
      <w:pPr>
        <w:rPr>
          <w:szCs w:val="22"/>
        </w:rPr>
      </w:pPr>
      <w:r w:rsidRPr="0059512C">
        <w:rPr>
          <w:b/>
          <w:bCs/>
          <w:szCs w:val="22"/>
        </w:rPr>
        <w:t>§ 1.1120 Error claims.</w:t>
      </w:r>
    </w:p>
    <w:p w:rsidR="00107F84" w:rsidRPr="0059512C" w:rsidP="00107F84">
      <w:pPr>
        <w:rPr>
          <w:szCs w:val="22"/>
        </w:rPr>
      </w:pPr>
    </w:p>
    <w:p w:rsidR="00107F84" w:rsidRPr="0059512C" w:rsidP="00107F84">
      <w:pPr>
        <w:rPr>
          <w:szCs w:val="22"/>
        </w:rPr>
      </w:pPr>
      <w:r w:rsidRPr="0059512C">
        <w:rPr>
          <w:szCs w:val="22"/>
        </w:rPr>
        <w:t xml:space="preserve"> (a) Applicants who wish to challenge a staff determination of an insufficient fee payment or delinquent debt may do so in writing. A challenge to a determination that a party is delinquent in paying the full application fee must be accompanied by suitable</w:t>
      </w:r>
      <w:r w:rsidRPr="0059512C">
        <w:rPr>
          <w:szCs w:val="22"/>
        </w:rPr>
        <w:t xml:space="preserve"> proof that the fee payment had been paid or waived (or deferred from payment during the period in question), or by the required application fee payment and any assessedt penalty and interest (see </w:t>
      </w:r>
      <w:hyperlink r:id="rId30" w:history="1">
        <w:r w:rsidRPr="0059512C">
          <w:rPr>
            <w:color w:val="0000FF"/>
            <w:szCs w:val="22"/>
            <w:u w:val="single"/>
          </w:rPr>
          <w:t>§ 1.1118</w:t>
        </w:r>
      </w:hyperlink>
      <w:r w:rsidRPr="0059512C">
        <w:rPr>
          <w:szCs w:val="22"/>
        </w:rPr>
        <w:t>). Failure to comply with these procedures w</w:t>
      </w:r>
      <w:r w:rsidRPr="0059512C">
        <w:rPr>
          <w:szCs w:val="22"/>
        </w:rPr>
        <w:t>ill result in dismissal of the challenge. These claims should be addressed to the Federal Communications Commission, Attention: Financial Operations, 445 12th St., SW., Washington, DC 20554 or e-mailed to ARINQUIRIES@fcc.gov.</w:t>
      </w:r>
    </w:p>
    <w:p w:rsidR="00107F84" w:rsidRPr="0059512C" w:rsidP="00107F84">
      <w:pPr>
        <w:rPr>
          <w:szCs w:val="22"/>
        </w:rPr>
      </w:pPr>
      <w:r w:rsidRPr="0059512C">
        <w:rPr>
          <w:szCs w:val="22"/>
        </w:rPr>
        <w:t>(b) Actions taken by Financial</w:t>
      </w:r>
      <w:r w:rsidRPr="0059512C">
        <w:rPr>
          <w:szCs w:val="22"/>
        </w:rPr>
        <w:t xml:space="preserve"> Operations staff are subject to the reconsideration and review provisions of </w:t>
      </w:r>
      <w:hyperlink r:id="rId31" w:history="1">
        <w:r w:rsidRPr="0059512C">
          <w:rPr>
            <w:color w:val="0000FF"/>
            <w:szCs w:val="22"/>
            <w:u w:val="single"/>
          </w:rPr>
          <w:t>§§ 1.106</w:t>
        </w:r>
      </w:hyperlink>
      <w:r w:rsidRPr="0059512C">
        <w:rPr>
          <w:szCs w:val="22"/>
        </w:rPr>
        <w:t xml:space="preserve"> and </w:t>
      </w:r>
      <w:hyperlink r:id="rId32" w:history="1">
        <w:r w:rsidRPr="0059512C">
          <w:rPr>
            <w:color w:val="0000FF"/>
            <w:szCs w:val="22"/>
            <w:u w:val="single"/>
          </w:rPr>
          <w:t>1.115</w:t>
        </w:r>
      </w:hyperlink>
      <w:r w:rsidRPr="0059512C">
        <w:rPr>
          <w:szCs w:val="22"/>
        </w:rPr>
        <w:t xml:space="preserve"> of this part, EXCEPT THAT reconsideration and/or review will only be available where the applicant has made the full and proper payment of the unde</w:t>
      </w:r>
      <w:r w:rsidRPr="0059512C">
        <w:rPr>
          <w:szCs w:val="22"/>
        </w:rPr>
        <w:t>rlying fee as required by this subpart.</w:t>
      </w:r>
    </w:p>
    <w:p w:rsidR="00107F84" w:rsidRPr="0059512C" w:rsidP="00107F84">
      <w:pPr>
        <w:rPr>
          <w:szCs w:val="22"/>
        </w:rPr>
      </w:pPr>
      <w:r w:rsidRPr="0059512C">
        <w:rPr>
          <w:szCs w:val="22"/>
        </w:rPr>
        <w:t>(1) Petitions for reconsideration and/or applications for review submitted by applicants that have not made the full and proper fee payment will be dismissed; and</w:t>
      </w:r>
    </w:p>
    <w:p w:rsidR="00493C31" w:rsidRPr="0059512C" w:rsidP="00837E8F">
      <w:pPr>
        <w:rPr>
          <w:szCs w:val="22"/>
        </w:rPr>
        <w:sectPr w:rsidSect="00B12D8D">
          <w:headerReference w:type="default" r:id="rId33"/>
          <w:footerReference w:type="even" r:id="rId34"/>
          <w:footerReference w:type="default" r:id="rId35"/>
          <w:headerReference w:type="first" r:id="rId36"/>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r w:rsidRPr="0059512C">
        <w:rPr>
          <w:szCs w:val="22"/>
        </w:rPr>
        <w:t>(2) If the fee payment should fail while the Commission is considering the matter, the petition for reconsideration or app</w:t>
      </w:r>
      <w:r w:rsidRPr="0059512C">
        <w:rPr>
          <w:szCs w:val="22"/>
        </w:rPr>
        <w:t>lication for review will be dismissed.</w:t>
      </w:r>
    </w:p>
    <w:p w:rsidR="009667D7" w:rsidRPr="0059512C" w:rsidP="00837E8F">
      <w:pPr>
        <w:rPr>
          <w:b/>
          <w:szCs w:val="22"/>
        </w:rPr>
      </w:pPr>
      <w:r w:rsidRPr="0059512C">
        <w:rPr>
          <w:b/>
          <w:szCs w:val="22"/>
        </w:rPr>
        <w:t xml:space="preserve"> </w:t>
      </w:r>
    </w:p>
    <w:p w:rsidR="009667D7" w:rsidRPr="0059512C" w:rsidP="009667D7">
      <w:pPr>
        <w:tabs>
          <w:tab w:val="left" w:pos="3629"/>
        </w:tabs>
        <w:jc w:val="center"/>
        <w:rPr>
          <w:b/>
          <w:szCs w:val="22"/>
        </w:rPr>
      </w:pPr>
      <w:r w:rsidRPr="0059512C">
        <w:rPr>
          <w:b/>
          <w:szCs w:val="22"/>
        </w:rPr>
        <w:t xml:space="preserve">APPENDIX </w:t>
      </w:r>
      <w:r w:rsidR="00160549">
        <w:rPr>
          <w:b/>
          <w:szCs w:val="22"/>
        </w:rPr>
        <w:t>B</w:t>
      </w:r>
    </w:p>
    <w:p w:rsidR="009667D7" w:rsidRPr="0059512C" w:rsidP="009667D7">
      <w:pPr>
        <w:tabs>
          <w:tab w:val="left" w:pos="3629"/>
        </w:tabs>
        <w:jc w:val="center"/>
        <w:rPr>
          <w:b/>
          <w:szCs w:val="22"/>
        </w:rPr>
      </w:pPr>
    </w:p>
    <w:p w:rsidR="009667D7" w:rsidRPr="0059512C" w:rsidP="009667D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r w:rsidRPr="0059512C">
        <w:rPr>
          <w:b/>
          <w:szCs w:val="22"/>
        </w:rPr>
        <w:t>Initial Regulatory Flexibility Analysis</w:t>
      </w:r>
    </w:p>
    <w:p w:rsidR="009667D7" w:rsidRPr="0059512C" w:rsidP="009667D7">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szCs w:val="22"/>
        </w:rPr>
      </w:pPr>
    </w:p>
    <w:p w:rsidR="009667D7" w:rsidRPr="0059512C" w:rsidP="00CE4C9A">
      <w:pPr>
        <w:pStyle w:val="ParaNum"/>
        <w:numPr>
          <w:ilvl w:val="0"/>
          <w:numId w:val="26"/>
        </w:numPr>
        <w:tabs>
          <w:tab w:val="clear" w:pos="1080"/>
          <w:tab w:val="num" w:pos="1440"/>
        </w:tabs>
        <w:rPr>
          <w:szCs w:val="22"/>
        </w:rPr>
      </w:pPr>
      <w:r w:rsidRPr="0059512C">
        <w:rPr>
          <w:szCs w:val="22"/>
        </w:rPr>
        <w:t>As required by the Regulatory Flexibility Act of 1980, as amended (RFA</w:t>
      </w:r>
      <w:r w:rsidRPr="0059512C" w:rsidR="00C56BF2">
        <w:rPr>
          <w:szCs w:val="22"/>
        </w:rPr>
        <w:t>)</w:t>
      </w:r>
      <w:r>
        <w:rPr>
          <w:rStyle w:val="FootnoteReference"/>
          <w:spacing w:val="-2"/>
          <w:sz w:val="22"/>
        </w:rPr>
        <w:footnoteReference w:id="225"/>
      </w:r>
      <w:r w:rsidRPr="0059512C">
        <w:rPr>
          <w:szCs w:val="22"/>
        </w:rPr>
        <w:t xml:space="preserve"> the Commission prepared this Initial Regulatory Flexibility Analysis (IRFA) of the possible significant economic impact on small entities by the policies and rules proposed in the Notice of Proposed Rulemaking (</w:t>
      </w:r>
      <w:r w:rsidRPr="0059512C">
        <w:rPr>
          <w:i/>
          <w:szCs w:val="22"/>
        </w:rPr>
        <w:t>Notice</w:t>
      </w:r>
      <w:r w:rsidRPr="0059512C">
        <w:rPr>
          <w:szCs w:val="22"/>
        </w:rPr>
        <w:t xml:space="preserve">).  Written comments are requested on </w:t>
      </w:r>
      <w:r w:rsidRPr="0059512C">
        <w:rPr>
          <w:szCs w:val="22"/>
        </w:rPr>
        <w:t xml:space="preserve">this IRFA.  Comments must be identified as responses to the IRFA and must be filed by the deadline for comments on this </w:t>
      </w:r>
      <w:r w:rsidRPr="0059512C">
        <w:rPr>
          <w:i/>
          <w:szCs w:val="22"/>
        </w:rPr>
        <w:t>Notice</w:t>
      </w:r>
      <w:r w:rsidRPr="0059512C">
        <w:rPr>
          <w:szCs w:val="22"/>
        </w:rPr>
        <w:t xml:space="preserve">.  The Commission will send a copy of the </w:t>
      </w:r>
      <w:r w:rsidRPr="0059512C">
        <w:rPr>
          <w:i/>
          <w:szCs w:val="22"/>
        </w:rPr>
        <w:t>Notice</w:t>
      </w:r>
      <w:r w:rsidRPr="0059512C">
        <w:rPr>
          <w:szCs w:val="22"/>
        </w:rPr>
        <w:t>, including the IRFA, to the Chief Counsel for Advocacy of the Small Business Admi</w:t>
      </w:r>
      <w:r w:rsidRPr="0059512C">
        <w:rPr>
          <w:szCs w:val="22"/>
        </w:rPr>
        <w:t>nistration (SBA).</w:t>
      </w:r>
      <w:r>
        <w:rPr>
          <w:rStyle w:val="FootnoteReference"/>
          <w:spacing w:val="-2"/>
          <w:sz w:val="22"/>
        </w:rPr>
        <w:footnoteReference w:id="226"/>
      </w:r>
      <w:r w:rsidRPr="0059512C">
        <w:rPr>
          <w:szCs w:val="22"/>
        </w:rPr>
        <w:t xml:space="preserve">  In addition, the</w:t>
      </w:r>
      <w:r w:rsidRPr="0059512C">
        <w:rPr>
          <w:i/>
          <w:szCs w:val="22"/>
        </w:rPr>
        <w:t xml:space="preserve"> Notice</w:t>
      </w:r>
      <w:r w:rsidRPr="0059512C">
        <w:rPr>
          <w:szCs w:val="22"/>
        </w:rPr>
        <w:t xml:space="preserve"> and IRFA (or summaries thereof) will be published in the Federal Register.</w:t>
      </w:r>
      <w:r>
        <w:rPr>
          <w:rStyle w:val="FootnoteReference"/>
          <w:spacing w:val="-2"/>
          <w:sz w:val="22"/>
        </w:rPr>
        <w:footnoteReference w:id="227"/>
      </w:r>
      <w:r w:rsidRPr="0059512C">
        <w:rPr>
          <w:szCs w:val="22"/>
        </w:rPr>
        <w:t xml:space="preserve"> </w:t>
      </w:r>
    </w:p>
    <w:p w:rsidR="009667D7" w:rsidRPr="0059512C" w:rsidP="00CE4C9A">
      <w:pPr>
        <w:pStyle w:val="Heading2"/>
        <w:numPr>
          <w:ilvl w:val="1"/>
          <w:numId w:val="3"/>
        </w:numPr>
        <w:rPr>
          <w:szCs w:val="22"/>
        </w:rPr>
      </w:pPr>
      <w:bookmarkStart w:id="498" w:name="_Toc6326156"/>
      <w:bookmarkStart w:id="499" w:name="_Toc28005134"/>
      <w:bookmarkStart w:id="500" w:name="_Toc31288168"/>
      <w:bookmarkStart w:id="501" w:name="_Toc31980701"/>
      <w:bookmarkStart w:id="502" w:name="_Toc35268617"/>
      <w:bookmarkStart w:id="503" w:name="_Toc42256298"/>
      <w:bookmarkStart w:id="504" w:name="_Toc44581661"/>
      <w:r w:rsidRPr="0059512C">
        <w:rPr>
          <w:szCs w:val="22"/>
        </w:rPr>
        <w:t>Need for, and Objectives of, the Proposed Rules</w:t>
      </w:r>
      <w:bookmarkEnd w:id="498"/>
      <w:bookmarkEnd w:id="499"/>
      <w:bookmarkEnd w:id="500"/>
      <w:bookmarkEnd w:id="501"/>
      <w:bookmarkEnd w:id="502"/>
      <w:bookmarkEnd w:id="503"/>
      <w:bookmarkEnd w:id="504"/>
      <w:r w:rsidRPr="0059512C">
        <w:rPr>
          <w:szCs w:val="22"/>
        </w:rPr>
        <w:t xml:space="preserve">  </w:t>
      </w:r>
    </w:p>
    <w:p w:rsidR="003F0764" w:rsidRPr="003F0764" w:rsidP="00CE4C9A">
      <w:pPr>
        <w:pStyle w:val="ParaNum"/>
        <w:numPr>
          <w:ilvl w:val="0"/>
          <w:numId w:val="26"/>
        </w:numPr>
        <w:tabs>
          <w:tab w:val="clear" w:pos="1080"/>
          <w:tab w:val="num" w:pos="1440"/>
        </w:tabs>
        <w:rPr>
          <w:snapToGrid/>
          <w:kern w:val="0"/>
          <w:szCs w:val="22"/>
        </w:rPr>
      </w:pPr>
      <w:r>
        <w:t xml:space="preserve">The </w:t>
      </w:r>
      <w:r w:rsidRPr="003F0764">
        <w:rPr>
          <w:i/>
          <w:iCs/>
        </w:rPr>
        <w:t>Notice</w:t>
      </w:r>
      <w:r>
        <w:t xml:space="preserve"> seeks comment on new cost-based application fees, which will replace an </w:t>
      </w:r>
      <w:r>
        <w:t>outdated schedule of fees that was established by Congress over 30 years ago.  The RAY BAUM’S Act requires the Commission to establish fees for all</w:t>
      </w:r>
      <w:r w:rsidR="00E70D38">
        <w:t xml:space="preserve"> </w:t>
      </w:r>
      <w:r>
        <w:t xml:space="preserve">applications </w:t>
      </w:r>
      <w:r w:rsidR="00E70D38">
        <w:t xml:space="preserve">filed with the Commission </w:t>
      </w:r>
      <w:r>
        <w:t>based on the cost to process such applications.</w:t>
      </w:r>
      <w:r>
        <w:rPr>
          <w:rStyle w:val="FootnoteReference"/>
        </w:rPr>
        <w:footnoteReference w:id="228"/>
      </w:r>
      <w:r>
        <w:t>  The proposed fees,</w:t>
      </w:r>
      <w:r>
        <w:t xml:space="preserve"> which are rules, are needed to meet the statutory requirement. The objective of this rulemaking is to provide an opportunity to bring this set of fees into the 21</w:t>
      </w:r>
      <w:r w:rsidRPr="003F0764">
        <w:rPr>
          <w:vertAlign w:val="superscript"/>
        </w:rPr>
        <w:t>st</w:t>
      </w:r>
      <w:r>
        <w:t xml:space="preserve"> century by lowering fees to account for processing efficiencies where appropriate, adding </w:t>
      </w:r>
      <w:r>
        <w:t>new fees for applications that were implemented after the original fee schedule was adopted, and eliminating fees for applications that no longer exist.</w:t>
      </w:r>
      <w:r w:rsidRPr="003F0764">
        <w:rPr>
          <w:b/>
          <w:bCs/>
        </w:rPr>
        <w:t xml:space="preserve">  </w:t>
      </w:r>
      <w:r>
        <w:t>The proposed actions will further simplify and streamline an overly complex schedule of fees by propos</w:t>
      </w:r>
      <w:r>
        <w:t>ing significant fee consolidation in matters overseen by both the Wireless Telecommunications Bureau and the International Bureau.  We believe that these objectives and the  proposed rules are in the public interest and will benefit both large and small en</w:t>
      </w:r>
      <w:r>
        <w:t xml:space="preserve">tities.  </w:t>
      </w:r>
    </w:p>
    <w:p w:rsidR="009667D7" w:rsidRPr="00160549" w:rsidP="00CE4C9A">
      <w:pPr>
        <w:pStyle w:val="ParaNum"/>
        <w:numPr>
          <w:ilvl w:val="0"/>
          <w:numId w:val="26"/>
        </w:numPr>
        <w:tabs>
          <w:tab w:val="clear" w:pos="1080"/>
          <w:tab w:val="num" w:pos="1440"/>
        </w:tabs>
        <w:rPr>
          <w:sz w:val="20"/>
        </w:rPr>
      </w:pPr>
      <w:r>
        <w:t xml:space="preserve">The </w:t>
      </w:r>
      <w:r>
        <w:rPr>
          <w:i/>
          <w:iCs/>
        </w:rPr>
        <w:t>Notice</w:t>
      </w:r>
      <w:r>
        <w:t xml:space="preserve"> proposes a methodology to establish the direct costs of processing applications and, using such methodology, sets forth the Commission’s costs in processing applications in services, for the Wireless Telecommunications Bureau, Media Bu</w:t>
      </w:r>
      <w:r>
        <w:t xml:space="preserve">reau, Wireline Competition Bureau, Enforcement Bureau, International Bureau, Public Safety and Homeland Security Bureau, Office of Engineering and Technology, and Office of Economic Analysis.  The </w:t>
      </w:r>
      <w:r>
        <w:rPr>
          <w:i/>
          <w:iCs/>
        </w:rPr>
        <w:t>Notice</w:t>
      </w:r>
      <w:r>
        <w:t xml:space="preserve"> seeks comment on the calculation of costs, on elimin</w:t>
      </w:r>
      <w:r>
        <w:t>ating some application fees from the fee schedule, on consolidating some fees, and on new application fees.     </w:t>
      </w:r>
    </w:p>
    <w:p w:rsidR="009667D7" w:rsidRPr="0059512C" w:rsidP="00CE4C9A">
      <w:pPr>
        <w:pStyle w:val="Heading2"/>
        <w:numPr>
          <w:ilvl w:val="1"/>
          <w:numId w:val="3"/>
        </w:numPr>
        <w:rPr>
          <w:szCs w:val="22"/>
        </w:rPr>
      </w:pPr>
      <w:bookmarkStart w:id="505" w:name="_Toc6326157"/>
      <w:bookmarkStart w:id="506" w:name="_Toc28005135"/>
      <w:bookmarkStart w:id="507" w:name="_Toc31288169"/>
      <w:bookmarkStart w:id="508" w:name="_Toc31980702"/>
      <w:bookmarkStart w:id="509" w:name="_Toc35268618"/>
      <w:bookmarkStart w:id="510" w:name="_Toc42256299"/>
      <w:bookmarkStart w:id="511" w:name="_Toc44581662"/>
      <w:r w:rsidRPr="0059512C">
        <w:rPr>
          <w:szCs w:val="22"/>
        </w:rPr>
        <w:t>Legal Basis</w:t>
      </w:r>
      <w:bookmarkEnd w:id="505"/>
      <w:bookmarkEnd w:id="506"/>
      <w:bookmarkEnd w:id="507"/>
      <w:bookmarkEnd w:id="508"/>
      <w:bookmarkEnd w:id="509"/>
      <w:bookmarkEnd w:id="510"/>
      <w:bookmarkEnd w:id="511"/>
    </w:p>
    <w:p w:rsidR="009667D7" w:rsidRPr="0059512C" w:rsidP="00CE4C9A">
      <w:pPr>
        <w:pStyle w:val="ParaNum"/>
        <w:numPr>
          <w:ilvl w:val="0"/>
          <w:numId w:val="26"/>
        </w:numPr>
        <w:tabs>
          <w:tab w:val="clear" w:pos="1080"/>
          <w:tab w:val="num" w:pos="1440"/>
        </w:tabs>
        <w:rPr>
          <w:szCs w:val="22"/>
        </w:rPr>
      </w:pPr>
      <w:r w:rsidRPr="0059512C">
        <w:rPr>
          <w:szCs w:val="22"/>
        </w:rPr>
        <w:t xml:space="preserve">This action, </w:t>
      </w:r>
      <w:r w:rsidRPr="00CE4C9A">
        <w:t>including</w:t>
      </w:r>
      <w:r w:rsidRPr="0059512C">
        <w:rPr>
          <w:szCs w:val="22"/>
        </w:rPr>
        <w:t xml:space="preserve"> publication of proposed rules, is authorized under sections (4)(i) and (j), 8, and 303(r) of the Communications Act of 1934, as amended.</w:t>
      </w:r>
      <w:r>
        <w:rPr>
          <w:rStyle w:val="FootnoteReference"/>
          <w:spacing w:val="-2"/>
          <w:sz w:val="22"/>
        </w:rPr>
        <w:footnoteReference w:id="229"/>
      </w:r>
      <w:r w:rsidRPr="0059512C">
        <w:rPr>
          <w:szCs w:val="22"/>
        </w:rPr>
        <w:t xml:space="preserve"> </w:t>
      </w:r>
    </w:p>
    <w:p w:rsidR="009667D7" w:rsidRPr="0059512C" w:rsidP="00CE4C9A">
      <w:pPr>
        <w:pStyle w:val="Heading2"/>
        <w:numPr>
          <w:ilvl w:val="1"/>
          <w:numId w:val="3"/>
        </w:numPr>
        <w:rPr>
          <w:szCs w:val="22"/>
        </w:rPr>
      </w:pPr>
      <w:bookmarkStart w:id="512" w:name="_Toc6326158"/>
      <w:bookmarkStart w:id="513" w:name="_Toc28005136"/>
      <w:bookmarkStart w:id="514" w:name="_Toc31288170"/>
      <w:bookmarkStart w:id="515" w:name="_Toc31980703"/>
      <w:bookmarkStart w:id="516" w:name="_Toc35268619"/>
      <w:bookmarkStart w:id="517" w:name="_Toc42256300"/>
      <w:bookmarkStart w:id="518" w:name="_Toc44581663"/>
      <w:r w:rsidRPr="0059512C">
        <w:rPr>
          <w:szCs w:val="22"/>
        </w:rPr>
        <w:t>Description and Estimate of the Number of Small Entities to Which the Proposed Rules Will Apply</w:t>
      </w:r>
      <w:bookmarkEnd w:id="512"/>
      <w:bookmarkEnd w:id="513"/>
      <w:bookmarkEnd w:id="514"/>
      <w:bookmarkEnd w:id="515"/>
      <w:bookmarkEnd w:id="516"/>
      <w:bookmarkEnd w:id="517"/>
      <w:bookmarkEnd w:id="518"/>
    </w:p>
    <w:p w:rsidR="009667D7" w:rsidRPr="0059512C" w:rsidP="00CE4C9A">
      <w:pPr>
        <w:pStyle w:val="ParaNum"/>
        <w:numPr>
          <w:ilvl w:val="0"/>
          <w:numId w:val="26"/>
        </w:numPr>
        <w:tabs>
          <w:tab w:val="clear" w:pos="1080"/>
          <w:tab w:val="num" w:pos="1440"/>
        </w:tabs>
        <w:rPr>
          <w:szCs w:val="22"/>
        </w:rPr>
      </w:pPr>
      <w:r w:rsidRPr="0059512C">
        <w:rPr>
          <w:szCs w:val="22"/>
        </w:rPr>
        <w:t>The RFA directs age</w:t>
      </w:r>
      <w:r w:rsidRPr="0059512C">
        <w:rPr>
          <w:szCs w:val="22"/>
        </w:rPr>
        <w:t>ncies to provide a description of, and where feasible, an estimate of the number of small entities that may be affected by the proposed rules and policies, if adopted.</w:t>
      </w:r>
      <w:r>
        <w:rPr>
          <w:rStyle w:val="FootnoteReference"/>
          <w:spacing w:val="-2"/>
          <w:sz w:val="22"/>
        </w:rPr>
        <w:footnoteReference w:id="230"/>
      </w:r>
      <w:r w:rsidRPr="0059512C">
        <w:rPr>
          <w:szCs w:val="22"/>
        </w:rPr>
        <w:t xml:space="preserve">  The </w:t>
      </w:r>
      <w:r w:rsidRPr="0059512C">
        <w:rPr>
          <w:szCs w:val="22"/>
        </w:rPr>
        <w:t>RFA generally defines the term “small entity” as having the same meaning as the t</w:t>
      </w:r>
      <w:r w:rsidRPr="0059512C">
        <w:rPr>
          <w:szCs w:val="22"/>
        </w:rPr>
        <w:t>erms “small business,” “small organization,” and “small governmental jurisdiction.”</w:t>
      </w:r>
      <w:r>
        <w:rPr>
          <w:rStyle w:val="FootnoteReference"/>
          <w:spacing w:val="-2"/>
          <w:sz w:val="22"/>
        </w:rPr>
        <w:footnoteReference w:id="231"/>
      </w:r>
      <w:r w:rsidRPr="0059512C">
        <w:rPr>
          <w:szCs w:val="22"/>
        </w:rPr>
        <w:t xml:space="preserve">  In addition, the term “small business” has the same meaning as the term “small business concern” under the Small Business Act.</w:t>
      </w:r>
      <w:r>
        <w:rPr>
          <w:rStyle w:val="FootnoteReference"/>
          <w:spacing w:val="-2"/>
          <w:sz w:val="22"/>
        </w:rPr>
        <w:footnoteReference w:id="232"/>
      </w:r>
      <w:r w:rsidRPr="0059512C">
        <w:rPr>
          <w:szCs w:val="22"/>
        </w:rPr>
        <w:t xml:space="preserve">  A “small business concern” is one which</w:t>
      </w:r>
      <w:r w:rsidRPr="0059512C">
        <w:rPr>
          <w:szCs w:val="22"/>
        </w:rPr>
        <w:t>: (1) is independently owned and operated; (2) is not dominant in its field of operation; and (3) satisfies any additional criteria established by the SBA.</w:t>
      </w:r>
      <w:r>
        <w:rPr>
          <w:rStyle w:val="FootnoteReference"/>
          <w:spacing w:val="-2"/>
          <w:sz w:val="22"/>
        </w:rPr>
        <w:footnoteReference w:id="233"/>
      </w:r>
      <w:r w:rsidRPr="0059512C">
        <w:rPr>
          <w:szCs w:val="22"/>
        </w:rPr>
        <w:t xml:space="preserve"> </w:t>
      </w:r>
    </w:p>
    <w:p w:rsidR="009667D7" w:rsidRPr="0059512C" w:rsidP="00CE4C9A">
      <w:pPr>
        <w:pStyle w:val="ParaNum"/>
        <w:numPr>
          <w:ilvl w:val="0"/>
          <w:numId w:val="26"/>
        </w:numPr>
        <w:tabs>
          <w:tab w:val="clear" w:pos="1080"/>
          <w:tab w:val="num" w:pos="1440"/>
        </w:tabs>
        <w:rPr>
          <w:bCs/>
          <w:szCs w:val="22"/>
        </w:rPr>
      </w:pPr>
      <w:r w:rsidRPr="0059512C">
        <w:rPr>
          <w:b/>
          <w:szCs w:val="22"/>
        </w:rPr>
        <w:t>Small Businesses, Small Organizations, Small Governmental Jurisdictions.</w:t>
      </w:r>
      <w:r w:rsidRPr="0059512C">
        <w:rPr>
          <w:szCs w:val="22"/>
        </w:rPr>
        <w:t xml:space="preserve">  Our actions, over time, may affect small entities that are not easily categorized at present.  We therefore describe here, at the outset, three broad groups of small entities that could be directly affected herein.</w:t>
      </w:r>
      <w:r>
        <w:rPr>
          <w:rStyle w:val="FootnoteReference"/>
          <w:sz w:val="22"/>
        </w:rPr>
        <w:footnoteReference w:id="234"/>
      </w:r>
      <w:r w:rsidRPr="0059512C">
        <w:rPr>
          <w:szCs w:val="22"/>
        </w:rPr>
        <w:t xml:space="preserve">  First, while there are industry spec</w:t>
      </w:r>
      <w:r w:rsidRPr="0059512C">
        <w:rPr>
          <w:szCs w:val="22"/>
        </w:rPr>
        <w:t>ific size standards for small businesses that are used in the regulatory flexibility analysis, according to data from the SBA’s Office of Advocacy, in general a small business is an independent business having fewer than 500 employees.</w:t>
      </w:r>
      <w:r>
        <w:rPr>
          <w:rStyle w:val="FootnoteReference"/>
          <w:sz w:val="22"/>
        </w:rPr>
        <w:footnoteReference w:id="235"/>
      </w:r>
      <w:r w:rsidRPr="0059512C">
        <w:rPr>
          <w:szCs w:val="22"/>
        </w:rPr>
        <w:t xml:space="preserve">  These types of sm</w:t>
      </w:r>
      <w:r w:rsidRPr="0059512C">
        <w:rPr>
          <w:szCs w:val="22"/>
        </w:rPr>
        <w:t>all businesses represent 99.9% of all businesses in the United States which translates to 28.8 million businesses.</w:t>
      </w:r>
      <w:r>
        <w:rPr>
          <w:rStyle w:val="FootnoteReference"/>
          <w:sz w:val="22"/>
        </w:rPr>
        <w:footnoteReference w:id="236"/>
      </w:r>
      <w:r w:rsidRPr="0059512C">
        <w:rPr>
          <w:bCs/>
          <w:szCs w:val="22"/>
        </w:rPr>
        <w:t xml:space="preserve">  </w:t>
      </w:r>
    </w:p>
    <w:p w:rsidR="009667D7" w:rsidRPr="0059512C" w:rsidP="00CE4C9A">
      <w:pPr>
        <w:pStyle w:val="ParaNum"/>
        <w:numPr>
          <w:ilvl w:val="0"/>
          <w:numId w:val="26"/>
        </w:numPr>
        <w:tabs>
          <w:tab w:val="clear" w:pos="1080"/>
          <w:tab w:val="num" w:pos="1440"/>
        </w:tabs>
        <w:rPr>
          <w:szCs w:val="22"/>
        </w:rPr>
      </w:pPr>
      <w:r w:rsidRPr="0059512C">
        <w:rPr>
          <w:bCs/>
          <w:szCs w:val="22"/>
        </w:rPr>
        <w:t xml:space="preserve">Next, the type of small entity described as </w:t>
      </w:r>
      <w:r w:rsidRPr="0059512C">
        <w:rPr>
          <w:szCs w:val="22"/>
        </w:rPr>
        <w:t>a “small organization” is generally “any not-for-profit enterprise which is independently own</w:t>
      </w:r>
      <w:r w:rsidRPr="0059512C">
        <w:rPr>
          <w:szCs w:val="22"/>
        </w:rPr>
        <w:t>ed and operated and is not dominant in its field.”</w:t>
      </w:r>
      <w:r>
        <w:rPr>
          <w:rStyle w:val="FootnoteReference"/>
          <w:sz w:val="22"/>
        </w:rPr>
        <w:footnoteReference w:id="237"/>
      </w:r>
      <w:r w:rsidRPr="0059512C">
        <w:rPr>
          <w:szCs w:val="22"/>
        </w:rPr>
        <w:t xml:space="preserve">  Nationwide, as of August 2016, there were approximately 356,494 small organizations based on registration and tax data filed by nonprofits with the Internal Revenue Service (IRS).</w:t>
      </w:r>
      <w:r>
        <w:rPr>
          <w:rStyle w:val="FootnoteReference"/>
          <w:sz w:val="22"/>
        </w:rPr>
        <w:footnoteReference w:id="238"/>
      </w:r>
      <w:r w:rsidRPr="0059512C">
        <w:rPr>
          <w:szCs w:val="22"/>
        </w:rPr>
        <w:t xml:space="preserve">  </w:t>
      </w:r>
    </w:p>
    <w:p w:rsidR="009667D7" w:rsidRPr="0059512C" w:rsidP="00CE4C9A">
      <w:pPr>
        <w:pStyle w:val="ParaNum"/>
        <w:rPr>
          <w:szCs w:val="22"/>
        </w:rPr>
      </w:pPr>
      <w:r w:rsidRPr="0059512C">
        <w:rPr>
          <w:szCs w:val="22"/>
        </w:rPr>
        <w:t>Finally, the small</w:t>
      </w:r>
      <w:r w:rsidRPr="0059512C">
        <w:rPr>
          <w:szCs w:val="22"/>
        </w:rPr>
        <w:t xml:space="preserve"> entity described as a “small governmental jurisdiction” is defined generally as “governments of cities, counties, towns, townships, villages, school districts, or special districts, with a population of less than fifty thousand.”</w:t>
      </w:r>
      <w:r>
        <w:rPr>
          <w:rStyle w:val="FootnoteReference"/>
          <w:sz w:val="22"/>
        </w:rPr>
        <w:footnoteReference w:id="239"/>
      </w:r>
      <w:r w:rsidRPr="0059512C">
        <w:rPr>
          <w:szCs w:val="22"/>
        </w:rPr>
        <w:t xml:space="preserve">  U.S. Census Bureau dat</w:t>
      </w:r>
      <w:r w:rsidRPr="0059512C">
        <w:rPr>
          <w:szCs w:val="22"/>
        </w:rPr>
        <w:t>a from the 2012 Census of Governments</w:t>
      </w:r>
      <w:r>
        <w:rPr>
          <w:rStyle w:val="FootnoteReference"/>
          <w:sz w:val="22"/>
        </w:rPr>
        <w:footnoteReference w:id="240"/>
      </w:r>
      <w:r w:rsidRPr="0059512C">
        <w:rPr>
          <w:szCs w:val="22"/>
        </w:rPr>
        <w:t xml:space="preserve"> indicate that there were </w:t>
      </w:r>
      <w:r w:rsidRPr="0059512C">
        <w:rPr>
          <w:color w:val="000000"/>
          <w:szCs w:val="22"/>
        </w:rPr>
        <w:t xml:space="preserve">90,056 </w:t>
      </w:r>
      <w:r w:rsidRPr="0059512C">
        <w:rPr>
          <w:szCs w:val="22"/>
        </w:rPr>
        <w:t xml:space="preserve">local governmental jurisdictions consisting of general </w:t>
      </w:r>
      <w:r w:rsidRPr="0059512C">
        <w:rPr>
          <w:szCs w:val="22"/>
        </w:rPr>
        <w:t>purpose governments and special purpose governments in the United States.</w:t>
      </w:r>
      <w:r>
        <w:rPr>
          <w:rStyle w:val="FootnoteReference"/>
          <w:sz w:val="22"/>
        </w:rPr>
        <w:footnoteReference w:id="241"/>
      </w:r>
      <w:r w:rsidRPr="0059512C">
        <w:rPr>
          <w:szCs w:val="22"/>
        </w:rPr>
        <w:t xml:space="preserve">  Of this number there were 37, 132 General purpose go</w:t>
      </w:r>
      <w:r w:rsidRPr="0059512C">
        <w:rPr>
          <w:szCs w:val="22"/>
        </w:rPr>
        <w:t>vernments (county</w:t>
      </w:r>
      <w:r>
        <w:rPr>
          <w:rStyle w:val="FootnoteReference"/>
          <w:sz w:val="22"/>
        </w:rPr>
        <w:footnoteReference w:id="242"/>
      </w:r>
      <w:r w:rsidRPr="0059512C">
        <w:rPr>
          <w:szCs w:val="22"/>
        </w:rPr>
        <w:t>, municipal and town or township</w:t>
      </w:r>
      <w:r>
        <w:rPr>
          <w:rStyle w:val="FootnoteReference"/>
          <w:sz w:val="22"/>
        </w:rPr>
        <w:footnoteReference w:id="243"/>
      </w:r>
      <w:r w:rsidRPr="0059512C">
        <w:rPr>
          <w:szCs w:val="22"/>
        </w:rPr>
        <w:t>) with populations of less than 50,000 and 12,184 Special purpose governments (independent school districts</w:t>
      </w:r>
      <w:r>
        <w:rPr>
          <w:rStyle w:val="FootnoteReference"/>
          <w:sz w:val="22"/>
        </w:rPr>
        <w:footnoteReference w:id="244"/>
      </w:r>
      <w:r w:rsidRPr="0059512C">
        <w:rPr>
          <w:szCs w:val="22"/>
        </w:rPr>
        <w:t xml:space="preserve"> and special districts</w:t>
      </w:r>
      <w:r>
        <w:rPr>
          <w:rStyle w:val="FootnoteReference"/>
          <w:sz w:val="22"/>
        </w:rPr>
        <w:footnoteReference w:id="245"/>
      </w:r>
      <w:r w:rsidRPr="0059512C">
        <w:rPr>
          <w:szCs w:val="22"/>
        </w:rPr>
        <w:t>) with populations of less than 50,000.  The 2012 U.S. Census Bureau d</w:t>
      </w:r>
      <w:r w:rsidRPr="0059512C">
        <w:rPr>
          <w:szCs w:val="22"/>
        </w:rPr>
        <w:t>ata for most types of governments in the local government category show that the majority of these governments have populations of less than 50,000.</w:t>
      </w:r>
      <w:r>
        <w:rPr>
          <w:rStyle w:val="FootnoteReference"/>
          <w:sz w:val="22"/>
        </w:rPr>
        <w:footnoteReference w:id="246"/>
      </w:r>
      <w:r w:rsidRPr="0059512C">
        <w:rPr>
          <w:szCs w:val="22"/>
        </w:rPr>
        <w:t xml:space="preserve">  Based on this data we estimate that at least 49,316 local government jurisdictions fall in the category </w:t>
      </w:r>
      <w:r w:rsidRPr="0059512C">
        <w:rPr>
          <w:szCs w:val="22"/>
        </w:rPr>
        <w:t>of “small governmental jurisdictions.”</w:t>
      </w:r>
      <w:r>
        <w:rPr>
          <w:rStyle w:val="FootnoteReference"/>
          <w:sz w:val="22"/>
        </w:rPr>
        <w:footnoteReference w:id="247"/>
      </w:r>
      <w:r w:rsidRPr="0059512C">
        <w:rPr>
          <w:szCs w:val="22"/>
        </w:rPr>
        <w:t xml:space="preserve">  Governmental entities are, however, exempt from application fees.</w:t>
      </w:r>
      <w:r>
        <w:rPr>
          <w:rStyle w:val="FootnoteReference"/>
          <w:sz w:val="22"/>
        </w:rPr>
        <w:footnoteReference w:id="248"/>
      </w:r>
      <w:r w:rsidRPr="0059512C">
        <w:rPr>
          <w:szCs w:val="22"/>
        </w:rPr>
        <w:t xml:space="preserve">  </w:t>
      </w:r>
    </w:p>
    <w:p w:rsidR="009667D7" w:rsidRPr="0059512C" w:rsidP="00CE4C9A">
      <w:pPr>
        <w:pStyle w:val="ParaNum"/>
        <w:rPr>
          <w:szCs w:val="22"/>
        </w:rPr>
      </w:pPr>
      <w:r w:rsidRPr="0059512C">
        <w:rPr>
          <w:b/>
          <w:szCs w:val="22"/>
        </w:rPr>
        <w:t>Wired Telecommunications Carriers</w:t>
      </w:r>
      <w:r w:rsidRPr="0059512C">
        <w:rPr>
          <w:szCs w:val="22"/>
        </w:rPr>
        <w:t xml:space="preserve">.  The U.S. Census Bureau defines this industry as “establishments primarily engaged in operating and/or </w:t>
      </w:r>
      <w:r w:rsidRPr="0059512C">
        <w:rPr>
          <w:szCs w:val="22"/>
        </w:rPr>
        <w:t>providing access to transmission facilities and infrastructure that they own and/or lease for the transmission of voice, data, text, sound, and video using wired communications networks.  Transmission facilities may be based on a single technology or a com</w:t>
      </w:r>
      <w:r w:rsidRPr="0059512C">
        <w:rPr>
          <w:szCs w:val="22"/>
        </w:rPr>
        <w:t>bination of technologies.  Establishments in this industry use the wired telecommunications network facilities that they operate to provide a variety of services, such as wired telephony services, including VoIP services, wired (cable and IPTV) audio and v</w:t>
      </w:r>
      <w:r w:rsidRPr="0059512C">
        <w:rPr>
          <w:szCs w:val="22"/>
        </w:rPr>
        <w:t>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49"/>
      </w:r>
      <w:r w:rsidRPr="0059512C">
        <w:rPr>
          <w:szCs w:val="22"/>
        </w:rPr>
        <w:t xml:space="preserve">  The SBA has de</w:t>
      </w:r>
      <w:r w:rsidRPr="0059512C">
        <w:rPr>
          <w:szCs w:val="22"/>
        </w:rPr>
        <w:t xml:space="preserve">veloped a </w:t>
      </w:r>
      <w:r w:rsidRPr="0059512C">
        <w:rPr>
          <w:szCs w:val="22"/>
        </w:rPr>
        <w:t>small business size standard for Wired Telecommunications Carriers, which consists of all such companies having 1,500 or fewer employees.</w:t>
      </w:r>
      <w:r>
        <w:rPr>
          <w:rStyle w:val="FootnoteReference"/>
          <w:sz w:val="22"/>
        </w:rPr>
        <w:footnoteReference w:id="250"/>
      </w:r>
      <w:r w:rsidRPr="0059512C">
        <w:rPr>
          <w:szCs w:val="22"/>
        </w:rPr>
        <w:t xml:space="preserve">  U.S. Census Bureau data for 2012 show that there were 3,117 firms that operated that year.</w:t>
      </w:r>
      <w:r>
        <w:rPr>
          <w:rStyle w:val="FootnoteReference"/>
          <w:sz w:val="22"/>
        </w:rPr>
        <w:footnoteReference w:id="251"/>
      </w:r>
      <w:r w:rsidRPr="0059512C">
        <w:rPr>
          <w:szCs w:val="22"/>
        </w:rPr>
        <w:t xml:space="preserve">  Of this tot</w:t>
      </w:r>
      <w:r w:rsidRPr="0059512C">
        <w:rPr>
          <w:szCs w:val="22"/>
        </w:rPr>
        <w:t>al, 3,083 operated with fewer than 1,000 employees.</w:t>
      </w:r>
      <w:r>
        <w:rPr>
          <w:rStyle w:val="FootnoteReference"/>
          <w:sz w:val="22"/>
        </w:rPr>
        <w:footnoteReference w:id="252"/>
      </w:r>
      <w:r w:rsidRPr="0059512C">
        <w:rPr>
          <w:szCs w:val="22"/>
        </w:rPr>
        <w:t xml:space="preserve"> Thus, under this size standard, the majority of firms in this industry can be considered small.</w:t>
      </w:r>
    </w:p>
    <w:p w:rsidR="009667D7" w:rsidRPr="0059512C" w:rsidP="00CE4C9A">
      <w:pPr>
        <w:pStyle w:val="ParaNum"/>
        <w:rPr>
          <w:szCs w:val="22"/>
        </w:rPr>
      </w:pPr>
      <w:r w:rsidRPr="0059512C">
        <w:rPr>
          <w:b/>
          <w:szCs w:val="22"/>
        </w:rPr>
        <w:t>Local Exchange Carriers (LECs)</w:t>
      </w:r>
      <w:r w:rsidRPr="0059512C">
        <w:rPr>
          <w:szCs w:val="22"/>
        </w:rPr>
        <w:t>.  Neither the Commission nor the SBA has developed a size standard for smal</w:t>
      </w:r>
      <w:r w:rsidRPr="0059512C">
        <w:rPr>
          <w:szCs w:val="22"/>
        </w:rPr>
        <w:t>l businesses specifically applicable to local exchange services.  The closest applicable NAICS Code category is Wired Telecommunications Carriers.</w:t>
      </w:r>
      <w:r>
        <w:rPr>
          <w:rStyle w:val="FootnoteReference"/>
          <w:sz w:val="22"/>
        </w:rPr>
        <w:footnoteReference w:id="253"/>
      </w:r>
      <w:r w:rsidRPr="0059512C">
        <w:rPr>
          <w:szCs w:val="22"/>
        </w:rPr>
        <w:t xml:space="preserve">  Under the applicable SBA size standard, such a business is small if it has 1,500 or fewer employees.</w:t>
      </w:r>
      <w:r>
        <w:rPr>
          <w:rStyle w:val="FootnoteReference"/>
          <w:sz w:val="22"/>
        </w:rPr>
        <w:footnoteReference w:id="254"/>
      </w:r>
      <w:r w:rsidRPr="0059512C">
        <w:rPr>
          <w:szCs w:val="22"/>
        </w:rPr>
        <w:t xml:space="preserve">  U.</w:t>
      </w:r>
      <w:r w:rsidRPr="0059512C">
        <w:rPr>
          <w:szCs w:val="22"/>
        </w:rPr>
        <w:t>S. Census Bureau data for 2012 show that there were 3,117 firms that operated for the entire year.</w:t>
      </w:r>
      <w:r>
        <w:rPr>
          <w:rStyle w:val="FootnoteReference"/>
          <w:sz w:val="22"/>
        </w:rPr>
        <w:footnoteReference w:id="255"/>
      </w:r>
      <w:r w:rsidRPr="0059512C">
        <w:rPr>
          <w:szCs w:val="22"/>
        </w:rPr>
        <w:t xml:space="preserve">  Of that total, 3,083 operated with fewer than 1,000 employees.</w:t>
      </w:r>
      <w:r>
        <w:rPr>
          <w:vertAlign w:val="superscript"/>
        </w:rPr>
        <w:footnoteReference w:id="256"/>
      </w:r>
      <w:r w:rsidRPr="0059512C">
        <w:rPr>
          <w:szCs w:val="22"/>
        </w:rPr>
        <w:t xml:space="preserve">  Thus under this category and the associated size standard, the Commission estimates that the majority of local exchange carriers are small entities.</w:t>
      </w:r>
    </w:p>
    <w:p w:rsidR="009667D7" w:rsidRPr="0059512C" w:rsidP="00CE4C9A">
      <w:pPr>
        <w:pStyle w:val="ParaNum"/>
        <w:rPr>
          <w:szCs w:val="22"/>
        </w:rPr>
      </w:pPr>
      <w:r w:rsidRPr="0059512C">
        <w:rPr>
          <w:b/>
          <w:szCs w:val="22"/>
        </w:rPr>
        <w:t>Incumbent LECs</w:t>
      </w:r>
      <w:r w:rsidRPr="0059512C">
        <w:rPr>
          <w:szCs w:val="22"/>
        </w:rPr>
        <w:t>.  Neither the Commission nor the SBA has developed a small business size standard specific</w:t>
      </w:r>
      <w:r w:rsidRPr="0059512C">
        <w:rPr>
          <w:szCs w:val="22"/>
        </w:rPr>
        <w:t>ally for incumbent local exchange services.  The closest applicable NAICS Code category is Wired Telecommunications Carriers.</w:t>
      </w:r>
      <w:r>
        <w:rPr>
          <w:rStyle w:val="FootnoteReference"/>
          <w:sz w:val="22"/>
        </w:rPr>
        <w:footnoteReference w:id="257"/>
      </w:r>
      <w:r w:rsidRPr="0059512C">
        <w:rPr>
          <w:szCs w:val="22"/>
        </w:rPr>
        <w:t xml:space="preserve">  Under the applicable SBA size standard, such a business is small if it has 1,500 or fewer employees.</w:t>
      </w:r>
      <w:r>
        <w:rPr>
          <w:rStyle w:val="FootnoteReference"/>
          <w:sz w:val="22"/>
        </w:rPr>
        <w:footnoteReference w:id="258"/>
      </w:r>
      <w:r w:rsidRPr="0059512C">
        <w:rPr>
          <w:szCs w:val="22"/>
        </w:rPr>
        <w:t xml:space="preserve">  U.S. Census Bureau data</w:t>
      </w:r>
      <w:r w:rsidRPr="0059512C">
        <w:rPr>
          <w:szCs w:val="22"/>
        </w:rPr>
        <w:t xml:space="preserve"> for 2012 indicate that 3,117 firms operated the entire year.</w:t>
      </w:r>
      <w:r>
        <w:rPr>
          <w:rStyle w:val="FootnoteReference"/>
          <w:sz w:val="22"/>
        </w:rPr>
        <w:footnoteReference w:id="259"/>
      </w:r>
      <w:r w:rsidRPr="0059512C">
        <w:rPr>
          <w:szCs w:val="22"/>
        </w:rPr>
        <w:t xml:space="preserve">  Of this total, 3,083 operated with fewer than 1,000 employees.</w:t>
      </w:r>
      <w:r>
        <w:rPr>
          <w:rStyle w:val="FootnoteReference"/>
          <w:sz w:val="22"/>
        </w:rPr>
        <w:footnoteReference w:id="260"/>
      </w:r>
      <w:r w:rsidRPr="0059512C">
        <w:rPr>
          <w:szCs w:val="22"/>
        </w:rPr>
        <w:t xml:space="preserve">  Consequently, the Commission estimates that most providers of incumbent local exchange service are small businesses that may </w:t>
      </w:r>
      <w:r w:rsidRPr="0059512C">
        <w:rPr>
          <w:szCs w:val="22"/>
        </w:rPr>
        <w:t>be affected by our actions.  According to Commission data, one thousand three hundred and seven (1,307) Incumbent Local Exchange Carriers reported that they were incumbent local exchange service providers.</w:t>
      </w:r>
      <w:r>
        <w:rPr>
          <w:spacing w:val="-2"/>
          <w:szCs w:val="22"/>
          <w:vertAlign w:val="superscript"/>
        </w:rPr>
        <w:footnoteReference w:id="261"/>
      </w:r>
      <w:r w:rsidRPr="0059512C">
        <w:rPr>
          <w:szCs w:val="22"/>
        </w:rPr>
        <w:t xml:space="preserve">  Of this total, an estimated 1,006 have 1,500 or</w:t>
      </w:r>
      <w:r w:rsidRPr="0059512C">
        <w:rPr>
          <w:szCs w:val="22"/>
        </w:rPr>
        <w:t xml:space="preserve"> fewer employees.</w:t>
      </w:r>
      <w:r>
        <w:rPr>
          <w:spacing w:val="-2"/>
          <w:szCs w:val="22"/>
          <w:vertAlign w:val="superscript"/>
        </w:rPr>
        <w:footnoteReference w:id="262"/>
      </w:r>
      <w:r w:rsidRPr="0059512C">
        <w:rPr>
          <w:szCs w:val="22"/>
        </w:rPr>
        <w:t xml:space="preserve">  Thus, </w:t>
      </w:r>
      <w:r w:rsidRPr="0059512C">
        <w:rPr>
          <w:szCs w:val="22"/>
        </w:rPr>
        <w:t xml:space="preserve">using the SBA’s size standard the majority of incumbent LECs can be considered small entities.  </w:t>
      </w:r>
    </w:p>
    <w:p w:rsidR="009667D7" w:rsidRPr="0059512C" w:rsidP="00CE4C9A">
      <w:pPr>
        <w:pStyle w:val="ParaNum"/>
        <w:rPr>
          <w:szCs w:val="22"/>
        </w:rPr>
      </w:pPr>
      <w:r w:rsidRPr="0059512C">
        <w:rPr>
          <w:b/>
          <w:szCs w:val="22"/>
        </w:rPr>
        <w:t>Competitive Local Exchange Carriers (Competitive LECs), Competitive Access Providers (CAPs), Shared-Tenant Service Providers, and Ot</w:t>
      </w:r>
      <w:r w:rsidRPr="0059512C">
        <w:rPr>
          <w:b/>
          <w:szCs w:val="22"/>
        </w:rPr>
        <w:t>her Local Service Providers</w:t>
      </w:r>
      <w:r w:rsidRPr="0059512C">
        <w:rPr>
          <w:szCs w:val="22"/>
        </w:rPr>
        <w:t xml:space="preserve">.  Neither the Commission nor the SBA has developed a small business size standard specifically for these service providers.  The appropriate NAICS Code category is Wired Telecommunications Carriers and under that size standard, </w:t>
      </w:r>
      <w:r w:rsidRPr="0059512C">
        <w:rPr>
          <w:szCs w:val="22"/>
        </w:rPr>
        <w:t>such a business is small if it has 1,500 or fewer employees.</w:t>
      </w:r>
      <w:r>
        <w:rPr>
          <w:spacing w:val="-2"/>
          <w:szCs w:val="22"/>
          <w:vertAlign w:val="superscript"/>
        </w:rPr>
        <w:footnoteReference w:id="263"/>
      </w:r>
      <w:r w:rsidRPr="0059512C">
        <w:rPr>
          <w:szCs w:val="22"/>
          <w:vertAlign w:val="superscript"/>
        </w:rPr>
        <w:t xml:space="preserve"> </w:t>
      </w:r>
      <w:r w:rsidRPr="0059512C">
        <w:rPr>
          <w:szCs w:val="22"/>
        </w:rPr>
        <w:t xml:space="preserve">  U.S. Census Bureau data for 2012 indicate that 3,117 firms operated during that year.</w:t>
      </w:r>
      <w:r>
        <w:rPr>
          <w:rStyle w:val="FootnoteReference"/>
          <w:sz w:val="22"/>
        </w:rPr>
        <w:footnoteReference w:id="264"/>
      </w:r>
      <w:r w:rsidRPr="0059512C">
        <w:rPr>
          <w:szCs w:val="22"/>
        </w:rPr>
        <w:t xml:space="preserve">  Of that number, 3,083 operated with fewer than 1,000 employees.</w:t>
      </w:r>
      <w:r>
        <w:rPr>
          <w:szCs w:val="22"/>
          <w:vertAlign w:val="superscript"/>
        </w:rPr>
        <w:footnoteReference w:id="265"/>
      </w:r>
      <w:r w:rsidRPr="0059512C">
        <w:rPr>
          <w:szCs w:val="22"/>
        </w:rPr>
        <w:t xml:space="preserve">  Based on these data, the Commission</w:t>
      </w:r>
      <w:r w:rsidRPr="0059512C">
        <w:rPr>
          <w:szCs w:val="22"/>
        </w:rPr>
        <w:t xml:space="preserve"> concludes that the majority of Competitive LECS, CAPs, Shared-Tenant Service Providers, and Other Local Service Providers, are small entities.  According to Commission data, 1,442 carriers reported that they were engaged in the provision of either competi</w:t>
      </w:r>
      <w:r w:rsidRPr="0059512C">
        <w:rPr>
          <w:szCs w:val="22"/>
        </w:rPr>
        <w:t>tive local exchange services or competitive access provider services.</w:t>
      </w:r>
      <w:r>
        <w:rPr>
          <w:spacing w:val="-2"/>
          <w:szCs w:val="22"/>
          <w:vertAlign w:val="superscript"/>
        </w:rPr>
        <w:footnoteReference w:id="266"/>
      </w:r>
      <w:r w:rsidRPr="0059512C">
        <w:rPr>
          <w:szCs w:val="22"/>
        </w:rPr>
        <w:t xml:space="preserve">  Of these 1,442 carriers, an estimated 1,256 have 1,500 or fewer employees.</w:t>
      </w:r>
      <w:r>
        <w:rPr>
          <w:spacing w:val="-2"/>
          <w:szCs w:val="22"/>
          <w:vertAlign w:val="superscript"/>
        </w:rPr>
        <w:footnoteReference w:id="267"/>
      </w:r>
      <w:r w:rsidRPr="0059512C">
        <w:rPr>
          <w:szCs w:val="22"/>
        </w:rPr>
        <w:t xml:space="preserve">  In addition, 17 carriers have reported that they are Shared-Tenant Service Providers, and all 17 are esti</w:t>
      </w:r>
      <w:r w:rsidRPr="0059512C">
        <w:rPr>
          <w:szCs w:val="22"/>
        </w:rPr>
        <w:t>mated to have 1,500 or fewer employees.</w:t>
      </w:r>
      <w:r>
        <w:rPr>
          <w:spacing w:val="-2"/>
          <w:szCs w:val="22"/>
          <w:vertAlign w:val="superscript"/>
        </w:rPr>
        <w:footnoteReference w:id="268"/>
      </w:r>
      <w:r w:rsidRPr="0059512C">
        <w:rPr>
          <w:szCs w:val="22"/>
        </w:rPr>
        <w:t xml:space="preserve">  Also, 72 carriers have reported that they are Other Local Service Providers.</w:t>
      </w:r>
      <w:r>
        <w:rPr>
          <w:spacing w:val="-2"/>
          <w:szCs w:val="22"/>
          <w:vertAlign w:val="superscript"/>
        </w:rPr>
        <w:footnoteReference w:id="269"/>
      </w:r>
      <w:r w:rsidRPr="0059512C">
        <w:rPr>
          <w:szCs w:val="22"/>
          <w:vertAlign w:val="superscript"/>
        </w:rPr>
        <w:t xml:space="preserve"> </w:t>
      </w:r>
      <w:r w:rsidRPr="0059512C">
        <w:rPr>
          <w:szCs w:val="22"/>
        </w:rPr>
        <w:t xml:space="preserve">  Of this total, 70 have 1,500 or fewer employees.</w:t>
      </w:r>
      <w:r>
        <w:rPr>
          <w:spacing w:val="-2"/>
          <w:szCs w:val="22"/>
          <w:vertAlign w:val="superscript"/>
        </w:rPr>
        <w:footnoteReference w:id="270"/>
      </w:r>
      <w:r w:rsidRPr="0059512C">
        <w:rPr>
          <w:szCs w:val="22"/>
        </w:rPr>
        <w:t xml:space="preserve">  Consequently, based on internally researched FCC data, the Commission estimates that most providers of competitive local exchange service, competitive access providers, Shared-Tenant Service Providers, and Other Local Service Providers are small entities</w:t>
      </w:r>
      <w:r w:rsidRPr="0059512C">
        <w:rPr>
          <w:szCs w:val="22"/>
        </w:rPr>
        <w:t xml:space="preserve">. </w:t>
      </w:r>
    </w:p>
    <w:p w:rsidR="009667D7" w:rsidRPr="0059512C" w:rsidP="00CE4C9A">
      <w:pPr>
        <w:pStyle w:val="ParaNum"/>
        <w:rPr>
          <w:szCs w:val="22"/>
        </w:rPr>
      </w:pPr>
      <w:r w:rsidRPr="0059512C">
        <w:rPr>
          <w:b/>
          <w:szCs w:val="22"/>
        </w:rPr>
        <w:t>Interexchange Carriers (IXCs)</w:t>
      </w:r>
      <w:r w:rsidRPr="0059512C">
        <w:rPr>
          <w:szCs w:val="22"/>
        </w:rPr>
        <w:t>.  Neither the Commission nor the SBA has developed a small business size standard specifically for Interexchange Carriers.  The closest applicable NAICS Code category is Wired Telecommunications Carriers.</w:t>
      </w:r>
      <w:r>
        <w:rPr>
          <w:rStyle w:val="FootnoteReference"/>
          <w:sz w:val="22"/>
        </w:rPr>
        <w:footnoteReference w:id="271"/>
      </w:r>
      <w:r w:rsidRPr="0059512C">
        <w:rPr>
          <w:szCs w:val="22"/>
        </w:rPr>
        <w:t xml:space="preserve"> The applicable s</w:t>
      </w:r>
      <w:r w:rsidRPr="0059512C">
        <w:rPr>
          <w:szCs w:val="22"/>
        </w:rPr>
        <w:t xml:space="preserve">ize standard under SBA rules </w:t>
      </w:r>
      <w:bookmarkStart w:id="525" w:name="_Hlk23924288"/>
      <w:r w:rsidRPr="0059512C">
        <w:rPr>
          <w:szCs w:val="22"/>
        </w:rPr>
        <w:t>is that such a business is small if it has 1,500 or fewer employees.</w:t>
      </w:r>
      <w:r>
        <w:rPr>
          <w:spacing w:val="-2"/>
          <w:szCs w:val="22"/>
          <w:vertAlign w:val="superscript"/>
        </w:rPr>
        <w:footnoteReference w:id="272"/>
      </w:r>
      <w:r w:rsidRPr="0059512C">
        <w:rPr>
          <w:szCs w:val="22"/>
        </w:rPr>
        <w:t xml:space="preserve">  </w:t>
      </w:r>
      <w:bookmarkStart w:id="526" w:name="_Hlk23924389"/>
      <w:bookmarkStart w:id="527" w:name="_Hlk23924351"/>
      <w:bookmarkEnd w:id="525"/>
      <w:r w:rsidRPr="0059512C">
        <w:rPr>
          <w:szCs w:val="22"/>
        </w:rPr>
        <w:t>U.S. Census Bureau data for 2012 indicate that 3,117 firms operated for the entire year.</w:t>
      </w:r>
      <w:r>
        <w:rPr>
          <w:rStyle w:val="FootnoteReference"/>
          <w:sz w:val="22"/>
        </w:rPr>
        <w:footnoteReference w:id="273"/>
      </w:r>
      <w:r w:rsidRPr="0059512C">
        <w:rPr>
          <w:szCs w:val="22"/>
        </w:rPr>
        <w:t xml:space="preserve">  Of that number, 3,083 operated with fewer than 1,000 employees.</w:t>
      </w:r>
      <w:r>
        <w:rPr>
          <w:vertAlign w:val="superscript"/>
        </w:rPr>
        <w:footnoteReference w:id="274"/>
      </w:r>
      <w:r w:rsidRPr="0059512C">
        <w:rPr>
          <w:szCs w:val="22"/>
        </w:rPr>
        <w:t xml:space="preserve">  According to internally developed Commission data, 359 companies reported that their </w:t>
      </w:r>
      <w:r w:rsidRPr="0059512C">
        <w:rPr>
          <w:szCs w:val="22"/>
        </w:rPr>
        <w:t>primary telecommunications service activity was the provision of interexchange services.</w:t>
      </w:r>
      <w:r>
        <w:rPr>
          <w:spacing w:val="-2"/>
          <w:vertAlign w:val="superscript"/>
        </w:rPr>
        <w:footnoteReference w:id="275"/>
      </w:r>
      <w:r w:rsidRPr="0059512C">
        <w:rPr>
          <w:szCs w:val="22"/>
        </w:rPr>
        <w:t xml:space="preserve">  Of this total, an estimated 317 have 1,500 or fewer employees.</w:t>
      </w:r>
      <w:r>
        <w:rPr>
          <w:spacing w:val="-2"/>
          <w:vertAlign w:val="superscript"/>
        </w:rPr>
        <w:footnoteReference w:id="276"/>
      </w:r>
      <w:r w:rsidRPr="0059512C">
        <w:rPr>
          <w:szCs w:val="22"/>
        </w:rPr>
        <w:t xml:space="preserve">  Consequen</w:t>
      </w:r>
      <w:r w:rsidRPr="0059512C">
        <w:rPr>
          <w:szCs w:val="22"/>
        </w:rPr>
        <w:t>tly, the Commission estimates that the majority of interexchange service providers are small entities</w:t>
      </w:r>
      <w:bookmarkEnd w:id="526"/>
      <w:r w:rsidRPr="0059512C">
        <w:rPr>
          <w:szCs w:val="22"/>
        </w:rPr>
        <w:t>.</w:t>
      </w:r>
      <w:bookmarkEnd w:id="527"/>
      <w:r w:rsidRPr="0059512C">
        <w:rPr>
          <w:szCs w:val="22"/>
        </w:rPr>
        <w:t xml:space="preserve"> </w:t>
      </w:r>
    </w:p>
    <w:p w:rsidR="009667D7" w:rsidRPr="0059512C" w:rsidP="00CE4C9A">
      <w:pPr>
        <w:pStyle w:val="ParaNum"/>
        <w:rPr>
          <w:szCs w:val="22"/>
        </w:rPr>
      </w:pPr>
      <w:r w:rsidRPr="0059512C">
        <w:rPr>
          <w:b/>
          <w:szCs w:val="22"/>
        </w:rPr>
        <w:t>Prepaid Calling Card Providers.</w:t>
      </w:r>
      <w:r w:rsidRPr="0059512C">
        <w:rPr>
          <w:szCs w:val="22"/>
        </w:rPr>
        <w:t xml:space="preserve">  Neither the Commission nor the SBA has developed a small business size standard specifically for prepaid calling card p</w:t>
      </w:r>
      <w:r w:rsidRPr="0059512C">
        <w:rPr>
          <w:szCs w:val="22"/>
        </w:rPr>
        <w:t>roviders.  The appropriate NAICS code category for prepaid calling card providers is Telecommunications Resellers.  This industry comprises establishments engaged in purchasing access and network capacity from owners and operators of telecommunications net</w:t>
      </w:r>
      <w:r w:rsidRPr="0059512C">
        <w:rPr>
          <w:szCs w:val="22"/>
        </w:rPr>
        <w:t xml:space="preserve">works and reselling wired and wireless telecommunications services (except satellite) to businesses and households.  </w:t>
      </w:r>
      <w:r w:rsidRPr="0059512C">
        <w:rPr>
          <w:rFonts w:eastAsia="Calibri"/>
          <w:snapToGrid/>
          <w:szCs w:val="22"/>
        </w:rPr>
        <w:t xml:space="preserve">Establishments in this industry resell telecommunications; they do not operate transmission facilities and infrastructure.  Mobile virtual </w:t>
      </w:r>
      <w:r w:rsidRPr="0059512C">
        <w:rPr>
          <w:rFonts w:eastAsia="Calibri"/>
          <w:snapToGrid/>
          <w:szCs w:val="22"/>
        </w:rPr>
        <w:t>network operators (MVNOs) are included in this industry.</w:t>
      </w:r>
      <w:r>
        <w:rPr>
          <w:rStyle w:val="FootnoteReference"/>
          <w:rFonts w:eastAsia="Calibri"/>
          <w:sz w:val="22"/>
        </w:rPr>
        <w:footnoteReference w:id="277"/>
      </w:r>
      <w:r w:rsidRPr="0059512C">
        <w:rPr>
          <w:rFonts w:eastAsia="Calibri"/>
          <w:snapToGrid/>
          <w:szCs w:val="22"/>
        </w:rPr>
        <w:t xml:space="preserve">  The SBA has developed a small business size standard for the category of Telecommunications Resellers.</w:t>
      </w:r>
      <w:r>
        <w:rPr>
          <w:rStyle w:val="FootnoteReference"/>
          <w:rFonts w:eastAsia="Calibri"/>
          <w:sz w:val="22"/>
        </w:rPr>
        <w:footnoteReference w:id="278"/>
      </w:r>
      <w:r w:rsidRPr="0059512C">
        <w:rPr>
          <w:rFonts w:eastAsia="Calibri"/>
          <w:snapToGrid/>
          <w:szCs w:val="22"/>
        </w:rPr>
        <w:t xml:space="preserve">  Under that size standard, such a business is small if it has 1,500 or fewer employees.</w:t>
      </w:r>
      <w:r>
        <w:rPr>
          <w:rStyle w:val="FootnoteReference"/>
          <w:rFonts w:eastAsia="Calibri"/>
          <w:sz w:val="22"/>
        </w:rPr>
        <w:footnoteReference w:id="279"/>
      </w:r>
      <w:r w:rsidRPr="0059512C">
        <w:rPr>
          <w:rFonts w:eastAsia="Calibri"/>
          <w:snapToGrid/>
          <w:szCs w:val="22"/>
        </w:rPr>
        <w:t xml:space="preserve">  </w:t>
      </w:r>
      <w:r w:rsidRPr="0059512C">
        <w:rPr>
          <w:rFonts w:eastAsia="Calibri"/>
          <w:snapToGrid/>
          <w:szCs w:val="22"/>
        </w:rPr>
        <w:t>U.S. Census Bureau data for 2012 show that 1,341 firms provided resale services during that year.</w:t>
      </w:r>
      <w:r>
        <w:rPr>
          <w:rStyle w:val="FootnoteReference"/>
          <w:rFonts w:eastAsia="Calibri"/>
          <w:sz w:val="22"/>
        </w:rPr>
        <w:footnoteReference w:id="280"/>
      </w:r>
      <w:r w:rsidRPr="0059512C">
        <w:rPr>
          <w:rFonts w:eastAsia="Calibri"/>
          <w:snapToGrid/>
          <w:szCs w:val="22"/>
        </w:rPr>
        <w:t xml:space="preserve">  Of that number, 1,341 operated with fewer than 1,000 employees.</w:t>
      </w:r>
      <w:r>
        <w:rPr>
          <w:rStyle w:val="FootnoteReference"/>
          <w:rFonts w:eastAsia="Calibri"/>
          <w:sz w:val="22"/>
        </w:rPr>
        <w:footnoteReference w:id="281"/>
      </w:r>
      <w:r w:rsidRPr="0059512C">
        <w:rPr>
          <w:rFonts w:eastAsia="Calibri"/>
          <w:snapToGrid/>
          <w:szCs w:val="22"/>
        </w:rPr>
        <w:t xml:space="preserve">  Thus, under this category and the associated small business size standard, the majority of these resellers can be considered small entities.</w:t>
      </w:r>
      <w:r w:rsidRPr="0059512C">
        <w:rPr>
          <w:szCs w:val="22"/>
        </w:rPr>
        <w:t xml:space="preserve">  According to Commission data, 193 carriers have reported that they are engaged in the provision of prepaid calli</w:t>
      </w:r>
      <w:r w:rsidRPr="0059512C">
        <w:rPr>
          <w:szCs w:val="22"/>
        </w:rPr>
        <w:t>ng cards.</w:t>
      </w:r>
      <w:r>
        <w:rPr>
          <w:rStyle w:val="FootnoteReference"/>
          <w:spacing w:val="-2"/>
          <w:sz w:val="22"/>
        </w:rPr>
        <w:footnoteReference w:id="282"/>
      </w:r>
      <w:r w:rsidRPr="0059512C">
        <w:rPr>
          <w:szCs w:val="22"/>
        </w:rPr>
        <w:t xml:space="preserve">  All 193 carriers have 1,500 or fewer employees.</w:t>
      </w:r>
      <w:r>
        <w:rPr>
          <w:rStyle w:val="FootnoteReference"/>
          <w:spacing w:val="-2"/>
          <w:sz w:val="22"/>
        </w:rPr>
        <w:footnoteReference w:id="283"/>
      </w:r>
      <w:r w:rsidRPr="0059512C">
        <w:rPr>
          <w:szCs w:val="22"/>
        </w:rPr>
        <w:t xml:space="preserve">  Consequently, the Commission estimates that the majority of prepaid calling card providers are small.</w:t>
      </w:r>
    </w:p>
    <w:p w:rsidR="009667D7" w:rsidRPr="0059512C" w:rsidP="00CE4C9A">
      <w:pPr>
        <w:pStyle w:val="ParaNum"/>
        <w:rPr>
          <w:szCs w:val="22"/>
        </w:rPr>
      </w:pPr>
      <w:r w:rsidRPr="0059512C">
        <w:rPr>
          <w:b/>
          <w:szCs w:val="22"/>
        </w:rPr>
        <w:t>Local Resellers</w:t>
      </w:r>
      <w:r w:rsidRPr="0059512C">
        <w:rPr>
          <w:szCs w:val="22"/>
        </w:rPr>
        <w:t>.  The SBA has not developed a small business size standard specifically fo</w:t>
      </w:r>
      <w:r w:rsidRPr="0059512C">
        <w:rPr>
          <w:szCs w:val="22"/>
        </w:rPr>
        <w:t>r Local Resellers.  The SBA category of Telecommunications Resellers is the closest NAICs code category for local resellers.  The Telecommunications Resellers industry comprises establishments engaged in purchasing access and network capacity from owners a</w:t>
      </w:r>
      <w:r w:rsidRPr="0059512C">
        <w:rPr>
          <w:szCs w:val="22"/>
        </w:rPr>
        <w:t>nd operators of telecommunications networks and reselling wired and wireless telecommunications services (except satellite) to businesses and households.  Establishments in this industry resell telecommunications; they do not operate transmission facilitie</w:t>
      </w:r>
      <w:r w:rsidRPr="0059512C">
        <w:rPr>
          <w:szCs w:val="22"/>
        </w:rPr>
        <w:t>s and infrastructure.  Mobile virtual network operators (MVNOs) are included in this industry.</w:t>
      </w:r>
      <w:r>
        <w:rPr>
          <w:szCs w:val="22"/>
          <w:vertAlign w:val="superscript"/>
        </w:rPr>
        <w:footnoteReference w:id="284"/>
      </w:r>
      <w:r w:rsidRPr="0059512C">
        <w:rPr>
          <w:szCs w:val="22"/>
        </w:rPr>
        <w:t xml:space="preserve">  Under the SBA’s size standard, such a business is small if it has 1,500 or fewer employees.</w:t>
      </w:r>
      <w:r>
        <w:rPr>
          <w:szCs w:val="22"/>
          <w:vertAlign w:val="superscript"/>
        </w:rPr>
        <w:footnoteReference w:id="285"/>
      </w:r>
      <w:r w:rsidRPr="0059512C">
        <w:rPr>
          <w:szCs w:val="22"/>
        </w:rPr>
        <w:t xml:space="preserve">  </w:t>
      </w:r>
      <w:r w:rsidRPr="0059512C">
        <w:rPr>
          <w:szCs w:val="22"/>
        </w:rPr>
        <w:t>U.S. Census Bureau data from 2012 show that 1,341 firms provide</w:t>
      </w:r>
      <w:r w:rsidRPr="0059512C">
        <w:rPr>
          <w:szCs w:val="22"/>
        </w:rPr>
        <w:t>d resale services during that year.</w:t>
      </w:r>
      <w:r>
        <w:rPr>
          <w:rStyle w:val="FootnoteReference"/>
          <w:sz w:val="22"/>
        </w:rPr>
        <w:footnoteReference w:id="286"/>
      </w:r>
      <w:r w:rsidRPr="0059512C">
        <w:rPr>
          <w:szCs w:val="22"/>
        </w:rPr>
        <w:t xml:space="preserve">  Of that number, all operated with fewer than 1,000 employees.</w:t>
      </w:r>
      <w:r>
        <w:rPr>
          <w:szCs w:val="22"/>
          <w:vertAlign w:val="superscript"/>
        </w:rPr>
        <w:footnoteReference w:id="287"/>
      </w:r>
      <w:r w:rsidRPr="0059512C">
        <w:rPr>
          <w:szCs w:val="22"/>
        </w:rPr>
        <w:t xml:space="preserve">  Thus, under this category and the associated small business size standard, the majority of these resellers can be considered small entities.  According </w:t>
      </w:r>
      <w:r w:rsidRPr="0059512C">
        <w:rPr>
          <w:szCs w:val="22"/>
        </w:rPr>
        <w:t>to Commission data, 213 carriers have reported that they are engaged in the provision of local resale services.</w:t>
      </w:r>
      <w:r>
        <w:rPr>
          <w:szCs w:val="22"/>
          <w:vertAlign w:val="superscript"/>
        </w:rPr>
        <w:footnoteReference w:id="288"/>
      </w:r>
      <w:r w:rsidRPr="0059512C">
        <w:rPr>
          <w:szCs w:val="22"/>
        </w:rPr>
        <w:t xml:space="preserve">  Of these, an estimated 211 have 1,500 or fewer employees and two have more than 1,500 employees.</w:t>
      </w:r>
      <w:r>
        <w:rPr>
          <w:szCs w:val="22"/>
          <w:vertAlign w:val="superscript"/>
        </w:rPr>
        <w:footnoteReference w:id="289"/>
      </w:r>
      <w:r w:rsidRPr="0059512C">
        <w:rPr>
          <w:szCs w:val="22"/>
        </w:rPr>
        <w:t xml:space="preserve">  Consequently, the Commission estimates th</w:t>
      </w:r>
      <w:r w:rsidRPr="0059512C">
        <w:rPr>
          <w:szCs w:val="22"/>
        </w:rPr>
        <w:t xml:space="preserve">at the majority of local resellers are small entities. </w:t>
      </w:r>
    </w:p>
    <w:p w:rsidR="009667D7" w:rsidRPr="0059512C" w:rsidP="00CE4C9A">
      <w:pPr>
        <w:pStyle w:val="ParaNum"/>
        <w:rPr>
          <w:szCs w:val="22"/>
        </w:rPr>
      </w:pPr>
      <w:r w:rsidRPr="0059512C">
        <w:rPr>
          <w:b/>
          <w:szCs w:val="22"/>
        </w:rPr>
        <w:t>Toll Resellers</w:t>
      </w:r>
      <w:r w:rsidRPr="0059512C">
        <w:rPr>
          <w:szCs w:val="22"/>
        </w:rPr>
        <w:t xml:space="preserve">.  The Commission has not developed a definition for Toll Resellers.  The closest NAICS Code Category is Telecommunications Resellers.  The Telecommunications Resellers industry </w:t>
      </w:r>
      <w:r w:rsidRPr="0059512C">
        <w:rPr>
          <w:szCs w:val="22"/>
        </w:rPr>
        <w:t>comprises establishments engaged in purchasing access and network capacity from owners and operators of telecommunications networks and reselling wired and wireless telecommunications services (except satellite) to businesses and households.  Establishment</w:t>
      </w:r>
      <w:r w:rsidRPr="0059512C">
        <w:rPr>
          <w:szCs w:val="22"/>
        </w:rPr>
        <w:t>s in this industry resell telecommunications; they do not operate transmission facilities and infrastructure.  MVNOs are included in this industry.</w:t>
      </w:r>
      <w:r>
        <w:rPr>
          <w:szCs w:val="22"/>
          <w:vertAlign w:val="superscript"/>
        </w:rPr>
        <w:footnoteReference w:id="290"/>
      </w:r>
      <w:r w:rsidRPr="0059512C">
        <w:rPr>
          <w:szCs w:val="22"/>
        </w:rPr>
        <w:t xml:space="preserve">  The SBA has developed a small business size standard for the category of Telecommunications Resellers.</w:t>
      </w:r>
      <w:r>
        <w:rPr>
          <w:szCs w:val="22"/>
          <w:vertAlign w:val="superscript"/>
        </w:rPr>
        <w:footnoteReference w:id="291"/>
      </w:r>
      <w:r w:rsidRPr="0059512C">
        <w:rPr>
          <w:szCs w:val="22"/>
        </w:rPr>
        <w:t xml:space="preserve"> </w:t>
      </w:r>
      <w:r w:rsidRPr="0059512C">
        <w:rPr>
          <w:szCs w:val="22"/>
        </w:rPr>
        <w:t xml:space="preserve"> Under that size standard, such a business is small if it has 1,500 or fewer employees.</w:t>
      </w:r>
      <w:r>
        <w:rPr>
          <w:szCs w:val="22"/>
          <w:vertAlign w:val="superscript"/>
        </w:rPr>
        <w:footnoteReference w:id="292"/>
      </w:r>
      <w:r w:rsidRPr="0059512C">
        <w:rPr>
          <w:szCs w:val="22"/>
        </w:rPr>
        <w:t xml:space="preserve">  2012 Census Bureau data show that 1,341 firms provided resale services during that year.</w:t>
      </w:r>
      <w:r>
        <w:rPr>
          <w:rStyle w:val="FootnoteReference"/>
          <w:sz w:val="22"/>
        </w:rPr>
        <w:footnoteReference w:id="293"/>
      </w:r>
      <w:r w:rsidRPr="0059512C">
        <w:rPr>
          <w:szCs w:val="22"/>
        </w:rPr>
        <w:t xml:space="preserve">  Of that number, 1,341 operated with fewer than 1,000 employees.</w:t>
      </w:r>
      <w:r>
        <w:rPr>
          <w:szCs w:val="22"/>
          <w:vertAlign w:val="superscript"/>
        </w:rPr>
        <w:footnoteReference w:id="294"/>
      </w:r>
      <w:r w:rsidRPr="0059512C">
        <w:rPr>
          <w:szCs w:val="22"/>
        </w:rPr>
        <w:t xml:space="preserve">  Thus, </w:t>
      </w:r>
      <w:r w:rsidRPr="0059512C">
        <w:rPr>
          <w:szCs w:val="22"/>
        </w:rPr>
        <w:t>under this category and the associated small business size standard, the majority of these resellers can be considered small entities.  According to Commission data, 881 carriers have reported that they are engaged in the provision of toll resale services.</w:t>
      </w:r>
      <w:r>
        <w:rPr>
          <w:szCs w:val="22"/>
          <w:vertAlign w:val="superscript"/>
        </w:rPr>
        <w:footnoteReference w:id="295"/>
      </w:r>
      <w:r w:rsidRPr="0059512C">
        <w:rPr>
          <w:szCs w:val="22"/>
        </w:rPr>
        <w:t xml:space="preserve">  Of this total, an estimated 857 have 1,500 or fewer employees.</w:t>
      </w:r>
      <w:r>
        <w:rPr>
          <w:szCs w:val="22"/>
          <w:vertAlign w:val="superscript"/>
        </w:rPr>
        <w:footnoteReference w:id="296"/>
      </w:r>
      <w:r w:rsidRPr="0059512C">
        <w:rPr>
          <w:szCs w:val="22"/>
        </w:rPr>
        <w:t xml:space="preserve">  Consequently, the Commission estimates that the majority of toll resellers are small entities. The closest NAICS Code Category is Telecommunications Resellers.  The Telecommunications Re</w:t>
      </w:r>
      <w:r w:rsidRPr="0059512C">
        <w:rPr>
          <w:szCs w:val="22"/>
        </w:rPr>
        <w:t>sellers industry comprises establishments engaged in purchasing access and network capacity from owners and operators of telecommunications networks and reselling wired and wireless telecommunications services (except satellite) to businesses and household</w:t>
      </w:r>
      <w:r w:rsidRPr="0059512C">
        <w:rPr>
          <w:szCs w:val="22"/>
        </w:rPr>
        <w:t xml:space="preserve">s.  Establishments in this industry resell telecommunications; they </w:t>
      </w:r>
      <w:r w:rsidRPr="0059512C">
        <w:rPr>
          <w:szCs w:val="22"/>
        </w:rPr>
        <w:t>do not operate transmission facilities and infrastructure.  MVNOs are included in this industry.</w:t>
      </w:r>
      <w:r>
        <w:rPr>
          <w:szCs w:val="22"/>
          <w:vertAlign w:val="superscript"/>
        </w:rPr>
        <w:footnoteReference w:id="297"/>
      </w:r>
      <w:r w:rsidRPr="0059512C">
        <w:rPr>
          <w:szCs w:val="22"/>
        </w:rPr>
        <w:t xml:space="preserve">  The SBA has developed a small business size standard for the category of Telecommunicati</w:t>
      </w:r>
      <w:r w:rsidRPr="0059512C">
        <w:rPr>
          <w:szCs w:val="22"/>
        </w:rPr>
        <w:t>ons Resellers.</w:t>
      </w:r>
      <w:r>
        <w:rPr>
          <w:szCs w:val="22"/>
          <w:vertAlign w:val="superscript"/>
        </w:rPr>
        <w:footnoteReference w:id="298"/>
      </w:r>
      <w:r w:rsidRPr="0059512C">
        <w:rPr>
          <w:szCs w:val="22"/>
        </w:rPr>
        <w:t xml:space="preserve">  Under that size standard, such a business is small if it has 1,500 or fewer employees.</w:t>
      </w:r>
      <w:r>
        <w:rPr>
          <w:szCs w:val="22"/>
          <w:vertAlign w:val="superscript"/>
        </w:rPr>
        <w:footnoteReference w:id="299"/>
      </w:r>
      <w:r w:rsidRPr="0059512C">
        <w:rPr>
          <w:szCs w:val="22"/>
        </w:rPr>
        <w:t xml:space="preserve">  2012 Census Bureau data show that 1,341 firms provided resale services during that year.</w:t>
      </w:r>
      <w:r>
        <w:rPr>
          <w:rStyle w:val="FootnoteReference"/>
          <w:sz w:val="22"/>
        </w:rPr>
        <w:footnoteReference w:id="300"/>
      </w:r>
      <w:r w:rsidRPr="0059512C">
        <w:rPr>
          <w:szCs w:val="22"/>
        </w:rPr>
        <w:t xml:space="preserve">  Of that number, 1,341 operated with fewer than 1,000 emp</w:t>
      </w:r>
      <w:r w:rsidRPr="0059512C">
        <w:rPr>
          <w:szCs w:val="22"/>
        </w:rPr>
        <w:t>loyees.</w:t>
      </w:r>
      <w:r>
        <w:rPr>
          <w:szCs w:val="22"/>
          <w:vertAlign w:val="superscript"/>
        </w:rPr>
        <w:footnoteReference w:id="301"/>
      </w:r>
      <w:r w:rsidRPr="0059512C">
        <w:rPr>
          <w:szCs w:val="22"/>
        </w:rPr>
        <w:t xml:space="preserve">  Thus, under this category and the associated small business size standard, the majority of these resellers can be considered small entities.  According to Commission data, 881 carriers have reported that they are engaged in the provision of toll</w:t>
      </w:r>
      <w:r w:rsidRPr="0059512C">
        <w:rPr>
          <w:szCs w:val="22"/>
        </w:rPr>
        <w:t xml:space="preserve"> resale services.</w:t>
      </w:r>
      <w:r>
        <w:rPr>
          <w:szCs w:val="22"/>
          <w:vertAlign w:val="superscript"/>
        </w:rPr>
        <w:footnoteReference w:id="302"/>
      </w:r>
      <w:r w:rsidRPr="0059512C">
        <w:rPr>
          <w:szCs w:val="22"/>
        </w:rPr>
        <w:t xml:space="preserve">  Of this total, an estimated 857 have 1,500 or fewer employees.</w:t>
      </w:r>
      <w:r>
        <w:rPr>
          <w:szCs w:val="22"/>
          <w:vertAlign w:val="superscript"/>
        </w:rPr>
        <w:footnoteReference w:id="303"/>
      </w:r>
      <w:r w:rsidRPr="0059512C">
        <w:rPr>
          <w:szCs w:val="22"/>
        </w:rPr>
        <w:t xml:space="preserve">  Consequently, the Commission estimates that the majority of toll resellers are small entities.</w:t>
      </w:r>
    </w:p>
    <w:p w:rsidR="009667D7" w:rsidRPr="0059512C" w:rsidP="00CE4C9A">
      <w:pPr>
        <w:pStyle w:val="ParaNum"/>
        <w:rPr>
          <w:szCs w:val="22"/>
        </w:rPr>
      </w:pPr>
      <w:r w:rsidRPr="0059512C">
        <w:rPr>
          <w:b/>
          <w:szCs w:val="22"/>
        </w:rPr>
        <w:t>Other Toll Carriers</w:t>
      </w:r>
      <w:r w:rsidRPr="0059512C">
        <w:rPr>
          <w:szCs w:val="22"/>
        </w:rPr>
        <w:t>.  Neither the Commission nor the SBA has developed a s</w:t>
      </w:r>
      <w:r w:rsidRPr="0059512C">
        <w:rPr>
          <w:szCs w:val="22"/>
        </w:rPr>
        <w:t xml:space="preserve">ize standard for small businesses specifically applicable to Other Toll Carriers.  This category includes toll carriers that do not fall within the categories of interexchange carriers, operator service providers, prepaid calling card providers, satellite </w:t>
      </w:r>
      <w:r w:rsidRPr="0059512C">
        <w:rPr>
          <w:szCs w:val="22"/>
        </w:rPr>
        <w:t>service carriers, or toll resellers.  The closest applicable NAICS code category is for Wired Telecommunications Carriers, as defined in paragraph 6 of this IRFA.  Under that size standard, such a business is small if it has 1,500 or fewer employees.</w:t>
      </w:r>
      <w:r>
        <w:rPr>
          <w:rStyle w:val="FootnoteReference"/>
          <w:sz w:val="22"/>
        </w:rPr>
        <w:footnoteReference w:id="304"/>
      </w:r>
      <w:r w:rsidRPr="0059512C">
        <w:rPr>
          <w:szCs w:val="22"/>
        </w:rPr>
        <w:t xml:space="preserve">  U.</w:t>
      </w:r>
      <w:r w:rsidRPr="0059512C">
        <w:rPr>
          <w:szCs w:val="22"/>
        </w:rPr>
        <w:t>S. Census Bureau data for 2012 show that there were 3,117 firms that operated that year.</w:t>
      </w:r>
      <w:r>
        <w:rPr>
          <w:rStyle w:val="FootnoteReference"/>
          <w:sz w:val="22"/>
        </w:rPr>
        <w:footnoteReference w:id="305"/>
      </w:r>
      <w:r w:rsidRPr="0059512C">
        <w:rPr>
          <w:szCs w:val="22"/>
        </w:rPr>
        <w:t xml:space="preserve">  Of this total, 3,083 operated with fewer than 1,000 employees.</w:t>
      </w:r>
      <w:r>
        <w:rPr>
          <w:rStyle w:val="FootnoteReference"/>
          <w:sz w:val="22"/>
        </w:rPr>
        <w:footnoteReference w:id="306"/>
      </w:r>
      <w:r w:rsidRPr="0059512C">
        <w:rPr>
          <w:szCs w:val="22"/>
        </w:rPr>
        <w:t xml:space="preserve">  Thus, under this size standard, the majority of firms in this industry can be considered small.  According to Commission data, 284 companies reported that their primary telecommunications service activity was the provision of other toll carriage.</w:t>
      </w:r>
      <w:r>
        <w:rPr>
          <w:rStyle w:val="FootnoteReference"/>
          <w:spacing w:val="-2"/>
          <w:sz w:val="22"/>
        </w:rPr>
        <w:footnoteReference w:id="307"/>
      </w:r>
      <w:r w:rsidRPr="0059512C">
        <w:rPr>
          <w:szCs w:val="22"/>
        </w:rPr>
        <w:t xml:space="preserve">  Of t</w:t>
      </w:r>
      <w:r w:rsidRPr="0059512C">
        <w:rPr>
          <w:szCs w:val="22"/>
        </w:rPr>
        <w:t>hese, an estimated 279 have 1,500 or fewer employees.</w:t>
      </w:r>
      <w:r>
        <w:rPr>
          <w:rStyle w:val="FootnoteReference"/>
          <w:spacing w:val="-2"/>
          <w:sz w:val="22"/>
        </w:rPr>
        <w:footnoteReference w:id="308"/>
      </w:r>
      <w:r w:rsidRPr="0059512C">
        <w:rPr>
          <w:szCs w:val="22"/>
        </w:rPr>
        <w:t xml:space="preserve">  Consequently, the Commission estimates that most Other Toll Carriers are small entities.</w:t>
      </w:r>
    </w:p>
    <w:p w:rsidR="009667D7" w:rsidRPr="0059512C" w:rsidP="00CE4C9A">
      <w:pPr>
        <w:pStyle w:val="ParaNum"/>
        <w:rPr>
          <w:szCs w:val="22"/>
        </w:rPr>
      </w:pPr>
      <w:r w:rsidRPr="0059512C">
        <w:rPr>
          <w:b/>
          <w:szCs w:val="22"/>
        </w:rPr>
        <w:t>Wireless Telecommunications Carriers (except Satellite)</w:t>
      </w:r>
      <w:r w:rsidRPr="0059512C">
        <w:rPr>
          <w:szCs w:val="22"/>
        </w:rPr>
        <w:t>.  This industry comprises establishments engaged in op</w:t>
      </w:r>
      <w:r w:rsidRPr="0059512C">
        <w:rPr>
          <w:szCs w:val="22"/>
        </w:rPr>
        <w:t>erating and maintaining switching and transmission facilities to provide communications via the airwaves.  Establishments in this industry have spectrum licenses and provide services using that spectrum, such as cellular services, paging services, wireless</w:t>
      </w:r>
      <w:r w:rsidRPr="0059512C">
        <w:rPr>
          <w:szCs w:val="22"/>
        </w:rPr>
        <w:t xml:space="preserve"> internet access, and </w:t>
      </w:r>
      <w:r w:rsidRPr="0059512C">
        <w:rPr>
          <w:szCs w:val="22"/>
        </w:rPr>
        <w:t>wireless video services.</w:t>
      </w:r>
      <w:r>
        <w:rPr>
          <w:rStyle w:val="FootnoteReference"/>
          <w:sz w:val="22"/>
        </w:rPr>
        <w:footnoteReference w:id="309"/>
      </w:r>
      <w:r w:rsidRPr="0059512C">
        <w:rPr>
          <w:szCs w:val="22"/>
        </w:rPr>
        <w:t xml:space="preserve">  The appropriate size standard under SBA rules is that such a business is small if it has 1,500 or fewer employees.</w:t>
      </w:r>
      <w:r>
        <w:rPr>
          <w:rStyle w:val="FootnoteReference"/>
          <w:sz w:val="22"/>
        </w:rPr>
        <w:footnoteReference w:id="310"/>
      </w:r>
      <w:r w:rsidRPr="0059512C">
        <w:rPr>
          <w:szCs w:val="22"/>
        </w:rPr>
        <w:t xml:space="preserve">  For this industry, U.S. Census Bureau data for 2012 show that there were 967 firms that </w:t>
      </w:r>
      <w:r w:rsidRPr="0059512C">
        <w:rPr>
          <w:szCs w:val="22"/>
        </w:rPr>
        <w:t>operated for the entire year.</w:t>
      </w:r>
      <w:r>
        <w:rPr>
          <w:rStyle w:val="FootnoteReference"/>
          <w:sz w:val="22"/>
        </w:rPr>
        <w:footnoteReference w:id="311"/>
      </w:r>
      <w:r w:rsidRPr="0059512C">
        <w:rPr>
          <w:szCs w:val="22"/>
        </w:rPr>
        <w:t xml:space="preserve">  Of this total, 955 firms had employment of 999 or fewer employees and 12 had employment of 1000 employees or more.</w:t>
      </w:r>
      <w:r>
        <w:rPr>
          <w:rStyle w:val="FootnoteReference"/>
          <w:sz w:val="22"/>
        </w:rPr>
        <w:footnoteReference w:id="312"/>
      </w:r>
      <w:r w:rsidRPr="0059512C">
        <w:rPr>
          <w:szCs w:val="22"/>
        </w:rPr>
        <w:t xml:space="preserve">  Thus under this category and the associated size standard, the Commission estimates that the majority of </w:t>
      </w:r>
      <w:r w:rsidRPr="0059512C">
        <w:rPr>
          <w:szCs w:val="22"/>
        </w:rPr>
        <w:t>wireless telecommunications carriers (except satellite) are small entities.</w:t>
      </w:r>
    </w:p>
    <w:p w:rsidR="009667D7" w:rsidRPr="0059512C" w:rsidP="00CE4C9A">
      <w:pPr>
        <w:pStyle w:val="ParaNum"/>
        <w:rPr>
          <w:szCs w:val="22"/>
        </w:rPr>
      </w:pPr>
      <w:r w:rsidRPr="0059512C">
        <w:rPr>
          <w:b/>
          <w:szCs w:val="22"/>
        </w:rPr>
        <w:t>Television Broadcasting</w:t>
      </w:r>
      <w:r w:rsidRPr="0059512C">
        <w:rPr>
          <w:szCs w:val="22"/>
        </w:rPr>
        <w:t>.  This Economic Census category “comprises establishments primarily engaged in broadcasting images together with sound.”</w:t>
      </w:r>
      <w:r>
        <w:rPr>
          <w:rStyle w:val="FootnoteReference"/>
          <w:sz w:val="22"/>
        </w:rPr>
        <w:footnoteReference w:id="313"/>
      </w:r>
      <w:r w:rsidRPr="0059512C">
        <w:rPr>
          <w:szCs w:val="22"/>
        </w:rPr>
        <w:t xml:space="preserve">  These establishments operate tel</w:t>
      </w:r>
      <w:r w:rsidRPr="0059512C">
        <w:rPr>
          <w:szCs w:val="22"/>
        </w:rPr>
        <w:t>evision broadcast studios and facilities for the programming and transmission of programs to the public.</w:t>
      </w:r>
      <w:r>
        <w:rPr>
          <w:rStyle w:val="FootnoteReference"/>
          <w:sz w:val="22"/>
        </w:rPr>
        <w:footnoteReference w:id="314"/>
      </w:r>
      <w:r w:rsidRPr="0059512C">
        <w:rPr>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w:t>
      </w:r>
      <w:r w:rsidRPr="0059512C">
        <w:rPr>
          <w:szCs w:val="22"/>
        </w:rPr>
        <w:t>d network, or from external sources.  The SBA has created the following small business size standard for such businesses: those having $38.5 million or less in annual receipts.</w:t>
      </w:r>
      <w:r>
        <w:rPr>
          <w:rStyle w:val="FootnoteReference"/>
          <w:sz w:val="22"/>
        </w:rPr>
        <w:footnoteReference w:id="315"/>
      </w:r>
      <w:r w:rsidRPr="0059512C">
        <w:rPr>
          <w:szCs w:val="22"/>
        </w:rPr>
        <w:t xml:space="preserve">  The 2012 Economic Census reports that 751 firms in this category operated in</w:t>
      </w:r>
      <w:r w:rsidRPr="0059512C">
        <w:rPr>
          <w:szCs w:val="22"/>
        </w:rPr>
        <w:t xml:space="preserve"> that year.</w:t>
      </w:r>
      <w:r>
        <w:rPr>
          <w:rStyle w:val="FootnoteReference"/>
          <w:sz w:val="22"/>
        </w:rPr>
        <w:footnoteReference w:id="316"/>
      </w:r>
      <w:r w:rsidRPr="0059512C">
        <w:rPr>
          <w:szCs w:val="22"/>
        </w:rPr>
        <w:t xml:space="preserve">  Of that number, 656 had annual receipts of $25,000,000 or less.</w:t>
      </w:r>
      <w:r>
        <w:rPr>
          <w:rStyle w:val="FootnoteReference"/>
          <w:sz w:val="22"/>
        </w:rPr>
        <w:footnoteReference w:id="317"/>
      </w:r>
      <w:r w:rsidRPr="0059512C">
        <w:rPr>
          <w:szCs w:val="22"/>
        </w:rPr>
        <w:t xml:space="preserve">  Based on this data we therefore estimate that the majority of commercial television broadcasters are small entities under the applicable SBA size standard. </w:t>
      </w:r>
    </w:p>
    <w:p w:rsidR="009667D7" w:rsidRPr="0059512C" w:rsidP="00CE4C9A">
      <w:pPr>
        <w:pStyle w:val="ParaNum"/>
        <w:rPr>
          <w:szCs w:val="22"/>
        </w:rPr>
      </w:pPr>
      <w:r w:rsidRPr="0059512C">
        <w:rPr>
          <w:szCs w:val="22"/>
        </w:rPr>
        <w:t>The Commission ha</w:t>
      </w:r>
      <w:r w:rsidRPr="0059512C">
        <w:rPr>
          <w:szCs w:val="22"/>
        </w:rPr>
        <w:t>s estimated the number of licensed commercial television stations to be 1,377.</w:t>
      </w:r>
      <w:r>
        <w:rPr>
          <w:rStyle w:val="FootnoteReference"/>
          <w:sz w:val="22"/>
        </w:rPr>
        <w:footnoteReference w:id="318"/>
      </w:r>
      <w:r w:rsidRPr="0059512C">
        <w:rPr>
          <w:szCs w:val="22"/>
        </w:rPr>
        <w:t xml:space="preserve">  Of this total, 1,258 stations (or about 91</w:t>
      </w:r>
      <w:r w:rsidR="00E9694A">
        <w:rPr>
          <w:szCs w:val="22"/>
        </w:rPr>
        <w:t>%</w:t>
      </w:r>
      <w:r w:rsidRPr="0059512C">
        <w:rPr>
          <w:szCs w:val="22"/>
        </w:rPr>
        <w:t>) had revenues of $38.5 million or less, according to Commission staff review of the BIA Kelsey Inc. Media Access Pro Television Da</w:t>
      </w:r>
      <w:r w:rsidRPr="0059512C">
        <w:rPr>
          <w:szCs w:val="22"/>
        </w:rPr>
        <w:t>tabase (BIA) on November 16, 2017, and therefore these licensees qualify as small entities under the SBA definition.  In addition, the Commission has estimated the number of licensed noncommercial educational television stations to be 384.</w:t>
      </w:r>
      <w:r>
        <w:rPr>
          <w:rStyle w:val="FootnoteReference"/>
          <w:sz w:val="22"/>
        </w:rPr>
        <w:footnoteReference w:id="319"/>
      </w:r>
      <w:r w:rsidRPr="0059512C">
        <w:rPr>
          <w:szCs w:val="22"/>
        </w:rPr>
        <w:t xml:space="preserve">  Notwithstandi</w:t>
      </w:r>
      <w:r w:rsidRPr="0059512C">
        <w:rPr>
          <w:szCs w:val="22"/>
        </w:rPr>
        <w:t>ng, the Commission does not compile and otherwise does not have access to information on the revenue of</w:t>
      </w:r>
      <w:r w:rsidRPr="00250779" w:rsidR="00250779">
        <w:t xml:space="preserve"> </w:t>
      </w:r>
      <w:r w:rsidRPr="0060706A" w:rsidR="00250779">
        <w:t>noncommercial educational broadcast services</w:t>
      </w:r>
      <w:r w:rsidRPr="0059512C">
        <w:rPr>
          <w:szCs w:val="22"/>
        </w:rPr>
        <w:t xml:space="preserve"> stations that would permit it to determine how many such stations would qualify as small entities.  There a</w:t>
      </w:r>
      <w:r w:rsidRPr="0059512C">
        <w:rPr>
          <w:szCs w:val="22"/>
        </w:rPr>
        <w:t>re also 2,300 low power television stations, including Class A stations (LPTV) and 3,681 TV translator stations.</w:t>
      </w:r>
      <w:r>
        <w:rPr>
          <w:vertAlign w:val="superscript"/>
        </w:rPr>
        <w:footnoteReference w:id="320"/>
      </w:r>
      <w:r w:rsidRPr="0059512C">
        <w:rPr>
          <w:szCs w:val="22"/>
        </w:rPr>
        <w:t xml:space="preserve">  Given </w:t>
      </w:r>
      <w:r w:rsidRPr="0059512C">
        <w:rPr>
          <w:szCs w:val="22"/>
        </w:rPr>
        <w:t xml:space="preserve">the nature of these services, we will presume that all of these entities qualify as small entities under the above SBA small business </w:t>
      </w:r>
      <w:r w:rsidRPr="0059512C">
        <w:rPr>
          <w:szCs w:val="22"/>
        </w:rPr>
        <w:t xml:space="preserve">size standard.  </w:t>
      </w:r>
    </w:p>
    <w:p w:rsidR="009667D7" w:rsidRPr="0059512C" w:rsidP="00CE4C9A">
      <w:pPr>
        <w:pStyle w:val="ParaNum"/>
        <w:rPr>
          <w:szCs w:val="22"/>
        </w:rPr>
      </w:pPr>
      <w:r w:rsidRPr="0059512C">
        <w:rPr>
          <w:szCs w:val="22"/>
        </w:rPr>
        <w:t>We note, however, that in assessing whether a business concern qualifies as “small” under the above definition, business (control) affiliations</w:t>
      </w:r>
      <w:r>
        <w:rPr>
          <w:rStyle w:val="FootnoteReference"/>
          <w:sz w:val="22"/>
        </w:rPr>
        <w:footnoteReference w:id="321"/>
      </w:r>
      <w:r w:rsidRPr="0059512C">
        <w:rPr>
          <w:szCs w:val="22"/>
        </w:rPr>
        <w:t xml:space="preserve"> must be included. Our estimate, therefore likely overstates the number of small entities that</w:t>
      </w:r>
      <w:r w:rsidRPr="0059512C">
        <w:rPr>
          <w:szCs w:val="22"/>
        </w:rPr>
        <w:t xml:space="preserve"> might be affected by our action, because the revenue figure on which it is based does not include or aggregate revenues from affiliated companies. In addition, another element of the definition of “small business” requires that an entity not be dominant i</w:t>
      </w:r>
      <w:r w:rsidRPr="0059512C">
        <w:rPr>
          <w:szCs w:val="22"/>
        </w:rPr>
        <w:t>n its field of operation. We are unable at this time to define or quantify the criteria that would establish whether a specific television broadcast station is dominant in its field of operation. Accordingly, the estimate of small businesses to which rules</w:t>
      </w:r>
      <w:r w:rsidRPr="0059512C">
        <w:rPr>
          <w:szCs w:val="22"/>
        </w:rPr>
        <w:t xml:space="preserve"> may apply does not exclude any television station from the definition of a small business on this basis and is therefore possibly over-inclusive.  Also, as noted above, an additional element of the definition of “small business” is that the entity must be</w:t>
      </w:r>
      <w:r w:rsidRPr="0059512C">
        <w:rPr>
          <w:szCs w:val="22"/>
        </w:rPr>
        <w:t xml:space="preserve"> independently owned and operated.  The Commission notes that it is difficult at times to assess these criteria in the context of media entities and its estimates of small businesses to which they apply may be over-inclusive to this extent.</w:t>
      </w:r>
    </w:p>
    <w:p w:rsidR="009667D7" w:rsidRPr="0059512C" w:rsidP="00CE4C9A">
      <w:pPr>
        <w:pStyle w:val="ParaNum"/>
        <w:rPr>
          <w:szCs w:val="22"/>
        </w:rPr>
      </w:pPr>
      <w:r w:rsidRPr="0059512C">
        <w:rPr>
          <w:b/>
          <w:szCs w:val="22"/>
        </w:rPr>
        <w:t>Radio Stations</w:t>
      </w:r>
      <w:r w:rsidRPr="0059512C">
        <w:rPr>
          <w:szCs w:val="22"/>
        </w:rPr>
        <w:t>.</w:t>
      </w:r>
      <w:r w:rsidRPr="0059512C">
        <w:rPr>
          <w:szCs w:val="22"/>
        </w:rPr>
        <w:t xml:space="preserve">  This Economic</w:t>
      </w:r>
      <w:r w:rsidRPr="0059512C">
        <w:rPr>
          <w:snapToGrid/>
          <w:kern w:val="0"/>
          <w:szCs w:val="22"/>
        </w:rPr>
        <w:t xml:space="preserve"> Census category “comprises establishments primarily engaged in broadcasting aural programs by radio to the public.  </w:t>
      </w:r>
      <w:r w:rsidRPr="0059512C">
        <w:rPr>
          <w:szCs w:val="22"/>
        </w:rPr>
        <w:t>Programming may originate in their own studio, from an affiliated network, or from external sources.”</w:t>
      </w:r>
      <w:r>
        <w:rPr>
          <w:vertAlign w:val="superscript"/>
        </w:rPr>
        <w:footnoteReference w:id="322"/>
      </w:r>
      <w:r w:rsidRPr="0059512C">
        <w:rPr>
          <w:szCs w:val="22"/>
        </w:rPr>
        <w:t xml:space="preserve"> </w:t>
      </w:r>
      <w:r w:rsidRPr="0059512C">
        <w:rPr>
          <w:snapToGrid/>
          <w:kern w:val="0"/>
          <w:szCs w:val="22"/>
        </w:rPr>
        <w:t xml:space="preserve">  The SBA has establ</w:t>
      </w:r>
      <w:r w:rsidRPr="0059512C">
        <w:rPr>
          <w:snapToGrid/>
          <w:kern w:val="0"/>
          <w:szCs w:val="22"/>
        </w:rPr>
        <w:t>ished a small business size standard for this category as firms having $38.5 million or less in annual receipts.</w:t>
      </w:r>
      <w:r>
        <w:rPr>
          <w:snapToGrid/>
          <w:kern w:val="0"/>
          <w:szCs w:val="22"/>
          <w:vertAlign w:val="superscript"/>
        </w:rPr>
        <w:footnoteReference w:id="323"/>
      </w:r>
      <w:r w:rsidRPr="0059512C">
        <w:rPr>
          <w:snapToGrid/>
          <w:kern w:val="0"/>
          <w:szCs w:val="22"/>
        </w:rPr>
        <w:t xml:space="preserve">  Economic Census data for </w:t>
      </w:r>
      <w:r w:rsidRPr="00CE4C9A">
        <w:rPr>
          <w:szCs w:val="22"/>
        </w:rPr>
        <w:t>2012</w:t>
      </w:r>
      <w:r w:rsidRPr="0059512C">
        <w:rPr>
          <w:snapToGrid/>
          <w:kern w:val="0"/>
          <w:szCs w:val="22"/>
        </w:rPr>
        <w:t xml:space="preserve"> show that 2,849 radio station firms operated during that year.</w:t>
      </w:r>
      <w:r>
        <w:rPr>
          <w:snapToGrid/>
          <w:kern w:val="0"/>
          <w:szCs w:val="22"/>
          <w:vertAlign w:val="superscript"/>
        </w:rPr>
        <w:footnoteReference w:id="324"/>
      </w:r>
      <w:r w:rsidRPr="0059512C">
        <w:rPr>
          <w:snapToGrid/>
          <w:kern w:val="0"/>
          <w:szCs w:val="22"/>
        </w:rPr>
        <w:t xml:space="preserve">  Of that number, 2,806 firms operated with an</w:t>
      </w:r>
      <w:r w:rsidRPr="0059512C">
        <w:rPr>
          <w:snapToGrid/>
          <w:kern w:val="0"/>
          <w:szCs w:val="22"/>
        </w:rPr>
        <w:t xml:space="preserve">nual receipts of less than $25 million per year, </w:t>
      </w:r>
      <w:r w:rsidRPr="0059512C">
        <w:rPr>
          <w:szCs w:val="22"/>
        </w:rPr>
        <w:t>17 with annual receipts between $25 million and $49,999,999 million and 26 with annual receipts of $50 million or more.</w:t>
      </w:r>
      <w:r>
        <w:rPr>
          <w:vertAlign w:val="superscript"/>
        </w:rPr>
        <w:footnoteReference w:id="325"/>
      </w:r>
      <w:r w:rsidRPr="0059512C">
        <w:rPr>
          <w:szCs w:val="22"/>
        </w:rPr>
        <w:t xml:space="preserve"> </w:t>
      </w:r>
      <w:r w:rsidRPr="0059512C">
        <w:rPr>
          <w:snapToGrid/>
          <w:kern w:val="0"/>
          <w:szCs w:val="22"/>
        </w:rPr>
        <w:t xml:space="preserve">  Therefore, based on the SBA’s size standard the majority of such entities are small</w:t>
      </w:r>
      <w:r w:rsidRPr="0059512C">
        <w:rPr>
          <w:snapToGrid/>
          <w:kern w:val="0"/>
          <w:szCs w:val="22"/>
        </w:rPr>
        <w:t xml:space="preserve"> entities. </w:t>
      </w:r>
    </w:p>
    <w:p w:rsidR="009667D7" w:rsidRPr="0060706A" w:rsidP="00CE4C9A">
      <w:pPr>
        <w:pStyle w:val="ParaNum"/>
        <w:rPr>
          <w:rStyle w:val="documentbody1"/>
          <w:rFonts w:ascii="Times New Roman" w:hAnsi="Times New Roman"/>
          <w:sz w:val="22"/>
        </w:rPr>
      </w:pPr>
      <w:r w:rsidRPr="0059512C">
        <w:rPr>
          <w:szCs w:val="22"/>
        </w:rPr>
        <w:t xml:space="preserve">According to Commission staff review of the BIA/Kelsey, LLC’s Media Access Pro Radio Database as of January 2018, </w:t>
      </w:r>
      <w:r w:rsidRPr="0059512C">
        <w:rPr>
          <w:snapToGrid/>
          <w:kern w:val="0"/>
          <w:szCs w:val="22"/>
        </w:rPr>
        <w:t>about 11,261 (or about 99.9</w:t>
      </w:r>
      <w:r w:rsidR="00E9694A">
        <w:rPr>
          <w:snapToGrid/>
          <w:kern w:val="0"/>
          <w:szCs w:val="22"/>
        </w:rPr>
        <w:t>%</w:t>
      </w:r>
      <w:r w:rsidRPr="0059512C">
        <w:rPr>
          <w:snapToGrid/>
          <w:kern w:val="0"/>
          <w:szCs w:val="22"/>
        </w:rPr>
        <w:t xml:space="preserve">) of 11,383 commercial radio stations had revenues of $38.5 million or less </w:t>
      </w:r>
      <w:r w:rsidRPr="0059512C">
        <w:rPr>
          <w:szCs w:val="22"/>
        </w:rPr>
        <w:t xml:space="preserve">and thus qualify as small </w:t>
      </w:r>
      <w:r w:rsidRPr="0059512C">
        <w:rPr>
          <w:szCs w:val="22"/>
        </w:rPr>
        <w:t>entities under the SBA definition.</w:t>
      </w:r>
      <w:r>
        <w:rPr>
          <w:rStyle w:val="FootnoteReference"/>
          <w:sz w:val="22"/>
        </w:rPr>
        <w:footnoteReference w:id="326"/>
      </w:r>
      <w:r w:rsidRPr="0059512C">
        <w:rPr>
          <w:szCs w:val="22"/>
        </w:rPr>
        <w:t xml:space="preserve"> </w:t>
      </w:r>
      <w:r w:rsidRPr="0059512C">
        <w:rPr>
          <w:snapToGrid/>
          <w:kern w:val="0"/>
          <w:szCs w:val="22"/>
        </w:rPr>
        <w:t xml:space="preserve">The Commission has estimated the number of licensed commercial AM radio stations to be 4,633 stations and the number of commercial FM radio stations to be 6,738, for a total </w:t>
      </w:r>
      <w:r w:rsidRPr="0059512C">
        <w:rPr>
          <w:snapToGrid/>
          <w:szCs w:val="22"/>
        </w:rPr>
        <w:t>number</w:t>
      </w:r>
      <w:r w:rsidRPr="0059512C">
        <w:rPr>
          <w:snapToGrid/>
          <w:kern w:val="0"/>
          <w:szCs w:val="22"/>
        </w:rPr>
        <w:t xml:space="preserve"> of 11,371.</w:t>
      </w:r>
      <w:r>
        <w:rPr>
          <w:snapToGrid/>
          <w:kern w:val="0"/>
          <w:szCs w:val="22"/>
          <w:vertAlign w:val="superscript"/>
        </w:rPr>
        <w:footnoteReference w:id="327"/>
      </w:r>
      <w:r w:rsidRPr="0059512C">
        <w:rPr>
          <w:snapToGrid/>
          <w:kern w:val="0"/>
          <w:szCs w:val="22"/>
        </w:rPr>
        <w:t xml:space="preserve">  We note the Commission has also estimated the number of </w:t>
      </w:r>
      <w:r w:rsidRPr="0059512C">
        <w:rPr>
          <w:szCs w:val="22"/>
        </w:rPr>
        <w:t xml:space="preserve">licensed noncommercial </w:t>
      </w:r>
      <w:r w:rsidRPr="0059512C">
        <w:rPr>
          <w:snapToGrid/>
          <w:kern w:val="0"/>
          <w:szCs w:val="22"/>
        </w:rPr>
        <w:t>FM radio stations to be 4,128.</w:t>
      </w:r>
      <w:r>
        <w:rPr>
          <w:snapToGrid/>
          <w:kern w:val="0"/>
          <w:szCs w:val="22"/>
          <w:vertAlign w:val="superscript"/>
        </w:rPr>
        <w:footnoteReference w:id="328"/>
      </w:r>
      <w:r w:rsidRPr="0059512C">
        <w:rPr>
          <w:snapToGrid/>
          <w:kern w:val="0"/>
          <w:szCs w:val="22"/>
        </w:rPr>
        <w:t xml:space="preserve">  Nevertheless, t</w:t>
      </w:r>
      <w:r w:rsidRPr="0059512C">
        <w:rPr>
          <w:szCs w:val="22"/>
        </w:rPr>
        <w:t xml:space="preserve">he Commission does not compile and otherwise does not have access to information on the revenue of </w:t>
      </w:r>
      <w:r w:rsidRPr="0060706A" w:rsidR="00250779">
        <w:t xml:space="preserve">noncommercial </w:t>
      </w:r>
      <w:r w:rsidRPr="0059512C">
        <w:rPr>
          <w:szCs w:val="22"/>
        </w:rPr>
        <w:t>stations that</w:t>
      </w:r>
      <w:r w:rsidRPr="0059512C">
        <w:rPr>
          <w:szCs w:val="22"/>
        </w:rPr>
        <w:t xml:space="preserve"> would permit it to determine how many such stations would qualify as small entities.</w:t>
      </w:r>
      <w:r w:rsidRPr="0059512C">
        <w:rPr>
          <w:snapToGrid/>
          <w:kern w:val="0"/>
          <w:szCs w:val="22"/>
        </w:rPr>
        <w:t xml:space="preserve"> </w:t>
      </w:r>
      <w:r w:rsidRPr="0059512C">
        <w:rPr>
          <w:szCs w:val="22"/>
        </w:rPr>
        <w:t>We also note, that in assessing whether a business entity qualifies as small under the above definition, business control affiliations must be included.</w:t>
      </w:r>
      <w:r>
        <w:rPr>
          <w:rStyle w:val="FootnoteReference"/>
          <w:sz w:val="22"/>
        </w:rPr>
        <w:footnoteReference w:id="329"/>
      </w:r>
      <w:r w:rsidRPr="0059512C">
        <w:rPr>
          <w:szCs w:val="22"/>
        </w:rPr>
        <w:t xml:space="preserve">  The Commission</w:t>
      </w:r>
      <w:r w:rsidRPr="0059512C">
        <w:rPr>
          <w:szCs w:val="22"/>
        </w:rPr>
        <w:t xml:space="preserve">’s estimate </w:t>
      </w:r>
      <w:r w:rsidRPr="0059512C">
        <w:rPr>
          <w:szCs w:val="22"/>
        </w:rPr>
        <w:t>therefore likely overstates the number of small entities that might be affected by its action, because the revenue figure on which it is based does not include or aggregate revenues from affiliated companies.  In addition, to be determined a “s</w:t>
      </w:r>
      <w:r w:rsidRPr="0059512C">
        <w:rPr>
          <w:szCs w:val="22"/>
        </w:rPr>
        <w:t>mall business,” an entity may not be dominant in its field of operation.</w:t>
      </w:r>
      <w:r>
        <w:rPr>
          <w:szCs w:val="22"/>
          <w:vertAlign w:val="superscript"/>
        </w:rPr>
        <w:footnoteReference w:id="330"/>
      </w:r>
      <w:r w:rsidRPr="0059512C">
        <w:rPr>
          <w:szCs w:val="22"/>
        </w:rPr>
        <w:t xml:space="preserve"> We further note, that it is difficult at times to assess these criteria in the context of media entities, and the estimate of small businesses to which these rules may apply does no</w:t>
      </w:r>
      <w:r w:rsidRPr="0059512C">
        <w:rPr>
          <w:szCs w:val="22"/>
        </w:rPr>
        <w:t>t exclude any radio station from the definition of a small business on these basis, thus our estimate of small businesses may therefore be over-inclusive.  Also, as noted above, an additional element of the definition of “small business” is that the entity</w:t>
      </w:r>
      <w:r w:rsidRPr="0059512C">
        <w:rPr>
          <w:szCs w:val="22"/>
        </w:rPr>
        <w:t xml:space="preserve"> must be independently owned and operated.  The Commission notes that it is difficult at times to assess these criteria in the context of media entities and the estimates of small businesses to which they apply may be over-inclusive to this extent.</w:t>
      </w:r>
      <w:r w:rsidRPr="0060706A">
        <w:rPr>
          <w:rStyle w:val="documentbody1"/>
          <w:rFonts w:ascii="Times New Roman" w:hAnsi="Times New Roman"/>
          <w:color w:val="000000"/>
          <w:sz w:val="22"/>
        </w:rPr>
        <w:t xml:space="preserve"> </w:t>
      </w:r>
    </w:p>
    <w:p w:rsidR="009667D7" w:rsidRPr="0059512C" w:rsidP="00CE4C9A">
      <w:pPr>
        <w:pStyle w:val="ParaNum"/>
        <w:rPr>
          <w:szCs w:val="22"/>
        </w:rPr>
      </w:pPr>
      <w:r w:rsidRPr="0059512C">
        <w:rPr>
          <w:b/>
          <w:szCs w:val="22"/>
        </w:rPr>
        <w:t xml:space="preserve">Cable </w:t>
      </w:r>
      <w:r w:rsidRPr="0059512C">
        <w:rPr>
          <w:b/>
          <w:szCs w:val="22"/>
        </w:rPr>
        <w:t>Companies and Systems (Rate Regulation)</w:t>
      </w:r>
      <w:r w:rsidRPr="0059512C">
        <w:rPr>
          <w:szCs w:val="22"/>
        </w:rPr>
        <w:t xml:space="preserve">.  The Commission has developed its own small business size standards for the purpose of cable rate regulation.  Under the Commission’s rules, a “small cable </w:t>
      </w:r>
      <w:r w:rsidRPr="00CE4C9A">
        <w:rPr>
          <w:snapToGrid/>
          <w:kern w:val="0"/>
          <w:szCs w:val="22"/>
        </w:rPr>
        <w:t>company</w:t>
      </w:r>
      <w:r w:rsidRPr="0059512C">
        <w:rPr>
          <w:szCs w:val="22"/>
        </w:rPr>
        <w:t>” is one serving 400,000 or fewer subscribers nation</w:t>
      </w:r>
      <w:r w:rsidRPr="0059512C">
        <w:rPr>
          <w:szCs w:val="22"/>
        </w:rPr>
        <w:t>wide.</w:t>
      </w:r>
      <w:r>
        <w:rPr>
          <w:vertAlign w:val="superscript"/>
        </w:rPr>
        <w:footnoteReference w:id="331"/>
      </w:r>
      <w:r w:rsidRPr="0059512C">
        <w:rPr>
          <w:szCs w:val="22"/>
        </w:rPr>
        <w:t xml:space="preserve">  Industry data indicate that there are 4,600 active cable systems in the United States.</w:t>
      </w:r>
      <w:bookmarkStart w:id="530" w:name="_Ref24452997"/>
      <w:r>
        <w:rPr>
          <w:vertAlign w:val="superscript"/>
        </w:rPr>
        <w:footnoteReference w:id="332"/>
      </w:r>
      <w:bookmarkEnd w:id="530"/>
      <w:r w:rsidRPr="0059512C">
        <w:rPr>
          <w:szCs w:val="22"/>
        </w:rPr>
        <w:t xml:space="preserve">  Of this total, all but seven cable operators nationwide are small under the 400,000-subscriber size standard.</w:t>
      </w:r>
      <w:r>
        <w:rPr>
          <w:vertAlign w:val="superscript"/>
        </w:rPr>
        <w:footnoteReference w:id="333"/>
      </w:r>
      <w:r w:rsidRPr="0059512C">
        <w:rPr>
          <w:szCs w:val="22"/>
        </w:rPr>
        <w:t xml:space="preserve">  In addition, under the Commission’s rate reg</w:t>
      </w:r>
      <w:r w:rsidRPr="0059512C">
        <w:rPr>
          <w:szCs w:val="22"/>
        </w:rPr>
        <w:t>ulation rules, a “small system” is a cable system serving 15,000 or fewer subscribers.</w:t>
      </w:r>
      <w:r>
        <w:rPr>
          <w:vertAlign w:val="superscript"/>
        </w:rPr>
        <w:footnoteReference w:id="334"/>
      </w:r>
      <w:r w:rsidRPr="0059512C">
        <w:rPr>
          <w:szCs w:val="22"/>
        </w:rPr>
        <w:t xml:space="preserve">  </w:t>
      </w:r>
      <w:bookmarkStart w:id="531" w:name="_Hlk24059287"/>
      <w:r w:rsidRPr="0059512C">
        <w:rPr>
          <w:szCs w:val="22"/>
        </w:rPr>
        <w:t>Commission records show 4,600 cable systems nationwide.</w:t>
      </w:r>
      <w:r>
        <w:rPr>
          <w:vertAlign w:val="superscript"/>
        </w:rPr>
        <w:footnoteReference w:id="335"/>
      </w:r>
      <w:r w:rsidRPr="0059512C">
        <w:rPr>
          <w:szCs w:val="22"/>
        </w:rPr>
        <w:t xml:space="preserve">  Of this total, 3,900 cable systems have fewer than 15,000 subscribers, and 700 systems have 15,000 or more </w:t>
      </w:r>
      <w:r w:rsidRPr="0059512C">
        <w:rPr>
          <w:szCs w:val="22"/>
        </w:rPr>
        <w:t>subscribers, based on the same records.</w:t>
      </w:r>
      <w:r>
        <w:rPr>
          <w:vertAlign w:val="superscript"/>
        </w:rPr>
        <w:footnoteReference w:id="336"/>
      </w:r>
      <w:r w:rsidRPr="0059512C">
        <w:rPr>
          <w:szCs w:val="22"/>
        </w:rPr>
        <w:t xml:space="preserve">  Thus, under this standard as well, we estimate that most cable systems are small entities.</w:t>
      </w:r>
    </w:p>
    <w:bookmarkEnd w:id="531"/>
    <w:p w:rsidR="009667D7" w:rsidRPr="0059512C" w:rsidP="00CE4C9A">
      <w:pPr>
        <w:pStyle w:val="ParaNum"/>
        <w:rPr>
          <w:szCs w:val="22"/>
        </w:rPr>
      </w:pPr>
      <w:r w:rsidRPr="0059512C">
        <w:rPr>
          <w:b/>
          <w:szCs w:val="22"/>
        </w:rPr>
        <w:t>Cable System Operators (Telecom Act Standard)</w:t>
      </w:r>
      <w:r w:rsidRPr="0059512C">
        <w:rPr>
          <w:szCs w:val="22"/>
        </w:rPr>
        <w:t>.  The Communications Act of 1934, as amended also contains a size standard f</w:t>
      </w:r>
      <w:r w:rsidRPr="0059512C">
        <w:rPr>
          <w:szCs w:val="22"/>
        </w:rPr>
        <w:t xml:space="preserve">or small cable system operators, which is “a cable operator that, directly or through an affiliate, serves in the aggregate fewer than one percent of all subscribers in the United States and is not affiliated with any entity or entities whose gross annual </w:t>
      </w:r>
      <w:r w:rsidRPr="0059512C">
        <w:rPr>
          <w:szCs w:val="22"/>
        </w:rPr>
        <w:t>revenues in the aggregate exceed $250,000,000.”</w:t>
      </w:r>
      <w:r>
        <w:rPr>
          <w:szCs w:val="22"/>
          <w:vertAlign w:val="superscript"/>
        </w:rPr>
        <w:footnoteReference w:id="337"/>
      </w:r>
      <w:r w:rsidRPr="0059512C">
        <w:rPr>
          <w:szCs w:val="22"/>
        </w:rPr>
        <w:t xml:space="preserve">  As </w:t>
      </w:r>
      <w:r w:rsidRPr="00CE4C9A">
        <w:rPr>
          <w:snapToGrid/>
          <w:kern w:val="0"/>
          <w:szCs w:val="22"/>
        </w:rPr>
        <w:t>of</w:t>
      </w:r>
      <w:r w:rsidRPr="0059512C">
        <w:rPr>
          <w:szCs w:val="22"/>
        </w:rPr>
        <w:t xml:space="preserve"> 2018, there were approximately 50,504,624 cable video subscribers in the United States.</w:t>
      </w:r>
      <w:r>
        <w:rPr>
          <w:vertAlign w:val="superscript"/>
        </w:rPr>
        <w:footnoteReference w:id="338"/>
      </w:r>
      <w:r w:rsidRPr="0059512C">
        <w:rPr>
          <w:szCs w:val="22"/>
        </w:rPr>
        <w:t xml:space="preserve">  Accordingly, an operator serving fewer than 505,046 subscribers shall be deemed a small operator if its annu</w:t>
      </w:r>
      <w:r w:rsidRPr="0059512C">
        <w:rPr>
          <w:szCs w:val="22"/>
        </w:rPr>
        <w:t>al revenues, when combined with the total annual revenues of all its affiliates, do not exceed $250 million in the aggregate.</w:t>
      </w:r>
      <w:r>
        <w:rPr>
          <w:szCs w:val="22"/>
          <w:vertAlign w:val="superscript"/>
        </w:rPr>
        <w:footnoteReference w:id="339"/>
      </w:r>
      <w:r w:rsidRPr="0059512C">
        <w:rPr>
          <w:szCs w:val="22"/>
        </w:rPr>
        <w:t xml:space="preserve">  Based on available data, we find that all but six incumbent cable operators are small entities under this size standard.</w:t>
      </w:r>
      <w:r>
        <w:rPr>
          <w:szCs w:val="22"/>
          <w:vertAlign w:val="superscript"/>
        </w:rPr>
        <w:footnoteReference w:id="340"/>
      </w:r>
      <w:r w:rsidRPr="0059512C">
        <w:rPr>
          <w:szCs w:val="22"/>
        </w:rPr>
        <w:t xml:space="preserve">  We note that the Commission neither requests nor collects information on whether cable system operators are affiliated with entities whose </w:t>
      </w:r>
      <w:r w:rsidRPr="0059512C">
        <w:rPr>
          <w:szCs w:val="22"/>
        </w:rPr>
        <w:t>gross annual revenues exceed $250 million.</w:t>
      </w:r>
      <w:r>
        <w:rPr>
          <w:vertAlign w:val="superscript"/>
        </w:rPr>
        <w:footnoteReference w:id="341"/>
      </w:r>
      <w:r w:rsidRPr="0059512C">
        <w:rPr>
          <w:szCs w:val="22"/>
        </w:rPr>
        <w:t xml:space="preserve">  Therefore we are unable at this time to estimate with greater precisi</w:t>
      </w:r>
      <w:r w:rsidRPr="0059512C">
        <w:rPr>
          <w:szCs w:val="22"/>
        </w:rPr>
        <w:t xml:space="preserve">on the number of cable system operators that would qualify as small </w:t>
      </w:r>
      <w:bookmarkStart w:id="532" w:name="_Hlk24057491"/>
      <w:r w:rsidRPr="0059512C">
        <w:rPr>
          <w:szCs w:val="22"/>
        </w:rPr>
        <w:t>cable operators under the definition in the Communications Act</w:t>
      </w:r>
      <w:bookmarkEnd w:id="532"/>
      <w:r w:rsidRPr="0059512C">
        <w:rPr>
          <w:szCs w:val="22"/>
        </w:rPr>
        <w:t>.</w:t>
      </w:r>
    </w:p>
    <w:p w:rsidR="009667D7" w:rsidRPr="0059512C" w:rsidP="00CE4C9A">
      <w:pPr>
        <w:pStyle w:val="ParaNum"/>
        <w:rPr>
          <w:szCs w:val="22"/>
        </w:rPr>
      </w:pPr>
      <w:r w:rsidRPr="0059512C">
        <w:rPr>
          <w:b/>
          <w:szCs w:val="22"/>
        </w:rPr>
        <w:t>Direct Broadcast Satellite (DBS) Service</w:t>
      </w:r>
      <w:r w:rsidRPr="0059512C">
        <w:rPr>
          <w:szCs w:val="22"/>
        </w:rPr>
        <w:t xml:space="preserve">.  DBS service is a nationally distributed subscription service that delivers video </w:t>
      </w:r>
      <w:r w:rsidRPr="0059512C">
        <w:rPr>
          <w:szCs w:val="22"/>
        </w:rPr>
        <w:t>and audio programming via satellite to a small parabolic “dish” antenna at the subscriber’s location.  DBS is included in SBA’s economic census category “Wired Telecommunications Carriers.”</w:t>
      </w:r>
      <w:r>
        <w:rPr>
          <w:rStyle w:val="FootnoteReference"/>
          <w:sz w:val="22"/>
        </w:rPr>
        <w:footnoteReference w:id="342"/>
      </w:r>
      <w:r w:rsidRPr="0059512C">
        <w:rPr>
          <w:szCs w:val="22"/>
        </w:rPr>
        <w:t xml:space="preserve">  The Wired Telecommunications Carriers industry comprises establ</w:t>
      </w:r>
      <w:r w:rsidRPr="0059512C">
        <w:rPr>
          <w:szCs w:val="22"/>
        </w:rPr>
        <w:t>ishments primarily engaged in operating and/or providing access to transmission facilities and infrastructure that they own and/or lease for the transmission of voice, data, text, sound, and video using wired telecommunications networks.</w:t>
      </w:r>
      <w:r>
        <w:rPr>
          <w:rStyle w:val="FootnoteReference"/>
          <w:sz w:val="22"/>
        </w:rPr>
        <w:footnoteReference w:id="343"/>
      </w:r>
      <w:r w:rsidRPr="0059512C">
        <w:rPr>
          <w:szCs w:val="22"/>
        </w:rPr>
        <w:t xml:space="preserve">  </w:t>
      </w:r>
      <w:r w:rsidRPr="00CE4C9A">
        <w:rPr>
          <w:snapToGrid/>
          <w:kern w:val="0"/>
          <w:szCs w:val="22"/>
        </w:rPr>
        <w:t>Transmission</w:t>
      </w:r>
      <w:r w:rsidRPr="0059512C">
        <w:rPr>
          <w:szCs w:val="22"/>
        </w:rPr>
        <w:t xml:space="preserve"> fa</w:t>
      </w:r>
      <w:r w:rsidRPr="0059512C">
        <w:rPr>
          <w:szCs w:val="22"/>
        </w:rPr>
        <w:t>cilities may be based on a single technology or combination of technologies.  Establishments in this industry use the wired telecommunications network facilities that they operate to provide a variety of services, such as wired telephony services, includin</w:t>
      </w:r>
      <w:r w:rsidRPr="0059512C">
        <w:rPr>
          <w:szCs w:val="22"/>
        </w:rPr>
        <w:t>g VoIP services, wired (cable) audio and video programming distribution; and wired broadband internet services.</w:t>
      </w:r>
      <w:r>
        <w:rPr>
          <w:rStyle w:val="FootnoteReference"/>
          <w:sz w:val="22"/>
        </w:rPr>
        <w:footnoteReference w:id="344"/>
      </w:r>
      <w:r w:rsidRPr="0059512C">
        <w:rPr>
          <w:szCs w:val="22"/>
        </w:rPr>
        <w:t xml:space="preserve">  By exception, establishments providing satellite television distribution services using facilities and infrastructure that they operate are i</w:t>
      </w:r>
      <w:r w:rsidRPr="0059512C">
        <w:rPr>
          <w:szCs w:val="22"/>
        </w:rPr>
        <w:t>ncluded in this industry.</w:t>
      </w:r>
      <w:r>
        <w:rPr>
          <w:vertAlign w:val="superscript"/>
        </w:rPr>
        <w:footnoteReference w:id="345"/>
      </w:r>
      <w:r w:rsidRPr="0059512C">
        <w:rPr>
          <w:szCs w:val="22"/>
        </w:rPr>
        <w:t xml:space="preserve">  The SBA determines that a wireline business is small if it has fewer than 1,500 employees.</w:t>
      </w:r>
      <w:r>
        <w:rPr>
          <w:vertAlign w:val="superscript"/>
        </w:rPr>
        <w:footnoteReference w:id="346"/>
      </w:r>
      <w:r w:rsidRPr="0059512C">
        <w:rPr>
          <w:szCs w:val="22"/>
        </w:rPr>
        <w:t xml:space="preserve">  U.S.  Census Bureau data for 2012 indicates that 3,117 wireline companies were operational during that year.</w:t>
      </w:r>
      <w:r>
        <w:rPr>
          <w:rStyle w:val="FootnoteReference"/>
          <w:sz w:val="22"/>
        </w:rPr>
        <w:footnoteReference w:id="347"/>
      </w:r>
      <w:r w:rsidRPr="0059512C">
        <w:rPr>
          <w:szCs w:val="22"/>
        </w:rPr>
        <w:t xml:space="preserve">  Of that number, 3,083</w:t>
      </w:r>
      <w:r w:rsidRPr="0059512C">
        <w:rPr>
          <w:szCs w:val="22"/>
        </w:rPr>
        <w:t xml:space="preserve"> operated with fewer than 1,000 employees.</w:t>
      </w:r>
      <w:r>
        <w:rPr>
          <w:vertAlign w:val="superscript"/>
        </w:rPr>
        <w:footnoteReference w:id="348"/>
      </w:r>
      <w:r w:rsidRPr="0059512C">
        <w:rPr>
          <w:szCs w:val="22"/>
        </w:rPr>
        <w:t xml:space="preserve">  Based on that data, we conclude that the majority of wireline firms are small under the applicable SBA standard.  Currently, however, only two entities provide DBS service, which requires a great deal of capita</w:t>
      </w:r>
      <w:r w:rsidRPr="0059512C">
        <w:rPr>
          <w:szCs w:val="22"/>
        </w:rPr>
        <w:t>l for operation: DIRECTV (owned by AT&amp;T) and DISH Network.</w:t>
      </w:r>
      <w:r>
        <w:rPr>
          <w:vertAlign w:val="superscript"/>
        </w:rPr>
        <w:footnoteReference w:id="349"/>
      </w:r>
      <w:r w:rsidRPr="0059512C">
        <w:rPr>
          <w:szCs w:val="22"/>
        </w:rPr>
        <w:t xml:space="preserve">  DIRECTV and DISH Network each report annual revenues that are in excess of the threshold for a small business.  Accordingly, we must conclude that internally developed FCC data are persuasive th</w:t>
      </w:r>
      <w:r w:rsidRPr="0059512C">
        <w:rPr>
          <w:szCs w:val="22"/>
        </w:rPr>
        <w:t>at, in general, DBS service is provided only by large firms.</w:t>
      </w:r>
    </w:p>
    <w:p w:rsidR="009667D7" w:rsidRPr="0059512C" w:rsidP="00CE4C9A">
      <w:pPr>
        <w:pStyle w:val="ParaNum"/>
        <w:rPr>
          <w:szCs w:val="22"/>
        </w:rPr>
      </w:pPr>
      <w:r w:rsidRPr="0059512C">
        <w:rPr>
          <w:b/>
          <w:szCs w:val="22"/>
        </w:rPr>
        <w:t>All Other Telecommunications</w:t>
      </w:r>
      <w:r w:rsidRPr="0059512C">
        <w:rPr>
          <w:szCs w:val="22"/>
        </w:rPr>
        <w:t xml:space="preserve">.  The </w:t>
      </w:r>
      <w:r w:rsidRPr="0059512C">
        <w:rPr>
          <w:b/>
          <w:szCs w:val="22"/>
        </w:rPr>
        <w:t>“</w:t>
      </w:r>
      <w:r w:rsidRPr="0059512C">
        <w:rPr>
          <w:szCs w:val="22"/>
        </w:rPr>
        <w:t>All Other Telecommunications” category is comprised of establishments primarily engaged in providing specialized telecommunications services, such as satellite</w:t>
      </w:r>
      <w:r w:rsidRPr="0059512C">
        <w:rPr>
          <w:szCs w:val="22"/>
        </w:rPr>
        <w:t xml:space="preserve"> tracking, communications telemetry, and radar station operation.</w:t>
      </w:r>
      <w:r>
        <w:rPr>
          <w:rStyle w:val="FootnoteReference"/>
          <w:sz w:val="22"/>
        </w:rPr>
        <w:footnoteReference w:id="350"/>
      </w:r>
      <w:r w:rsidRPr="0059512C">
        <w:rPr>
          <w:szCs w:val="22"/>
        </w:rPr>
        <w:t xml:space="preserve">  This industry also </w:t>
      </w:r>
      <w:r w:rsidRPr="0059512C">
        <w:rPr>
          <w:szCs w:val="22"/>
        </w:rPr>
        <w:t xml:space="preserve">includes establishments primarily engaged in providing satellite terminal stations and associated facilities connected with one or more terrestrial systems and capable </w:t>
      </w:r>
      <w:r w:rsidRPr="0059512C">
        <w:rPr>
          <w:szCs w:val="22"/>
        </w:rPr>
        <w:t>of transmitting telecommunications to, and receiving telecommunications from, satellite systems.</w:t>
      </w:r>
      <w:r>
        <w:rPr>
          <w:rStyle w:val="FootnoteReference"/>
          <w:sz w:val="22"/>
        </w:rPr>
        <w:footnoteReference w:id="351"/>
      </w:r>
      <w:r w:rsidRPr="0059512C">
        <w:rPr>
          <w:szCs w:val="22"/>
        </w:rPr>
        <w:t xml:space="preserve">  Establishments providing Internet services or voice over Internet protocol (VoIP) services via client-supplied telecommunications connections are also included in this industry.</w:t>
      </w:r>
      <w:r>
        <w:rPr>
          <w:vertAlign w:val="superscript"/>
        </w:rPr>
        <w:footnoteReference w:id="352"/>
      </w:r>
      <w:r w:rsidRPr="0059512C">
        <w:rPr>
          <w:szCs w:val="22"/>
        </w:rPr>
        <w:t xml:space="preserve">  The SBA has developed a small business size standard for All Other Teleco</w:t>
      </w:r>
      <w:r w:rsidRPr="0059512C">
        <w:rPr>
          <w:szCs w:val="22"/>
        </w:rPr>
        <w:t>mmunications, which consists of all such firms with annual receipts of $35 million or less.</w:t>
      </w:r>
      <w:r>
        <w:rPr>
          <w:vertAlign w:val="superscript"/>
        </w:rPr>
        <w:footnoteReference w:id="353"/>
      </w:r>
      <w:r w:rsidRPr="0059512C">
        <w:rPr>
          <w:szCs w:val="22"/>
        </w:rPr>
        <w:t xml:space="preserve">  For this category, U.S. Census Bureau data for 2012 shows that there were 1,442 firms that operated for the entire year.</w:t>
      </w:r>
      <w:r>
        <w:rPr>
          <w:rStyle w:val="FootnoteReference"/>
          <w:sz w:val="22"/>
        </w:rPr>
        <w:footnoteReference w:id="354"/>
      </w:r>
      <w:r w:rsidRPr="0059512C">
        <w:rPr>
          <w:szCs w:val="22"/>
        </w:rPr>
        <w:t xml:space="preserve">  Of those firms, a total of 1,400 had </w:t>
      </w:r>
      <w:r w:rsidRPr="0059512C">
        <w:rPr>
          <w:szCs w:val="22"/>
        </w:rPr>
        <w:t>annual receipts less than $25 million and 15 firms had annual receipts of $25 million to $49, 999,999.</w:t>
      </w:r>
      <w:r>
        <w:rPr>
          <w:vertAlign w:val="superscript"/>
        </w:rPr>
        <w:footnoteReference w:id="355"/>
      </w:r>
      <w:r w:rsidRPr="0059512C">
        <w:rPr>
          <w:szCs w:val="22"/>
        </w:rPr>
        <w:t xml:space="preserve">  Thus, the Commission estimates that the majority of “All Other Telecommunications” firms potentially affected by our action can be considered small. </w:t>
      </w:r>
    </w:p>
    <w:p w:rsidR="009667D7" w:rsidRPr="0059512C" w:rsidP="00CE4C9A">
      <w:pPr>
        <w:pStyle w:val="ParaNum"/>
        <w:rPr>
          <w:szCs w:val="22"/>
        </w:rPr>
      </w:pPr>
      <w:r w:rsidRPr="0059512C">
        <w:rPr>
          <w:b/>
          <w:szCs w:val="22"/>
        </w:rPr>
        <w:t>RespOrgs</w:t>
      </w:r>
      <w:r w:rsidRPr="0059512C">
        <w:rPr>
          <w:szCs w:val="22"/>
        </w:rPr>
        <w:t>.</w:t>
      </w:r>
      <w:r w:rsidRPr="0059512C">
        <w:rPr>
          <w:b/>
          <w:szCs w:val="22"/>
        </w:rPr>
        <w:t xml:space="preserve">  </w:t>
      </w:r>
      <w:r w:rsidRPr="0059512C">
        <w:rPr>
          <w:szCs w:val="22"/>
        </w:rPr>
        <w:t>Responsible Organizations, or RespOrgs, are entities chosen by toll free subscribers to manage and administer the appropriate records in the toll free Service Management System for the toll free subscriber.</w:t>
      </w:r>
      <w:r>
        <w:rPr>
          <w:rStyle w:val="FootnoteReference"/>
          <w:sz w:val="22"/>
        </w:rPr>
        <w:footnoteReference w:id="356"/>
      </w:r>
      <w:r w:rsidRPr="0059512C">
        <w:rPr>
          <w:szCs w:val="22"/>
        </w:rPr>
        <w:t xml:space="preserve">  Although RespOrgs are often wirelin</w:t>
      </w:r>
      <w:r w:rsidRPr="0059512C">
        <w:rPr>
          <w:szCs w:val="22"/>
        </w:rPr>
        <w:t>e carriers, they can also include non-carrier entities.  Therefore, in the definition herein of RespOrgs, two categories are presented, i.e., Carrier RespOrgs and Non-Carrier RespOrgs.</w:t>
      </w:r>
    </w:p>
    <w:p w:rsidR="009667D7" w:rsidRPr="0059512C" w:rsidP="00CE4C9A">
      <w:pPr>
        <w:pStyle w:val="ParaNum"/>
        <w:rPr>
          <w:szCs w:val="22"/>
        </w:rPr>
      </w:pPr>
      <w:r w:rsidRPr="0059512C">
        <w:rPr>
          <w:b/>
          <w:szCs w:val="22"/>
        </w:rPr>
        <w:t>Carrier RespOrgs</w:t>
      </w:r>
      <w:r w:rsidRPr="0059512C">
        <w:rPr>
          <w:szCs w:val="22"/>
        </w:rPr>
        <w:t xml:space="preserve">. Neither the Commission, the U.S. Census, nor the SBA </w:t>
      </w:r>
      <w:r w:rsidRPr="0059512C">
        <w:rPr>
          <w:szCs w:val="22"/>
        </w:rPr>
        <w:t>have developed a definition for Carrier RespOrgs.  Accordingly, the Commission believes that the closest NAICS code-based definitional categories for Carrier RespOrgs are Wired Telecommunications Carriers,</w:t>
      </w:r>
      <w:r>
        <w:rPr>
          <w:rStyle w:val="FootnoteReference"/>
          <w:sz w:val="22"/>
        </w:rPr>
        <w:footnoteReference w:id="357"/>
      </w:r>
      <w:r w:rsidRPr="0059512C">
        <w:rPr>
          <w:szCs w:val="22"/>
        </w:rPr>
        <w:t xml:space="preserve"> and Wireless Telecommunications Carriers (except</w:t>
      </w:r>
      <w:r w:rsidRPr="0059512C">
        <w:rPr>
          <w:szCs w:val="22"/>
        </w:rPr>
        <w:t xml:space="preserve"> satellite).</w:t>
      </w:r>
      <w:r>
        <w:rPr>
          <w:rStyle w:val="FootnoteReference"/>
          <w:sz w:val="22"/>
        </w:rPr>
        <w:footnoteReference w:id="358"/>
      </w:r>
      <w:r w:rsidRPr="0059512C">
        <w:rPr>
          <w:szCs w:val="22"/>
        </w:rPr>
        <w:t xml:space="preserve"> </w:t>
      </w:r>
    </w:p>
    <w:p w:rsidR="009667D7" w:rsidRPr="0059512C" w:rsidP="00CE4C9A">
      <w:pPr>
        <w:pStyle w:val="ParaNum"/>
        <w:rPr>
          <w:szCs w:val="22"/>
        </w:rPr>
      </w:pPr>
      <w:r w:rsidRPr="0059512C">
        <w:rPr>
          <w:szCs w:val="22"/>
        </w:rPr>
        <w:t xml:space="preserve">The U.S. Census Bureau defines </w:t>
      </w:r>
      <w:r w:rsidRPr="0059512C">
        <w:rPr>
          <w:b/>
          <w:szCs w:val="22"/>
        </w:rPr>
        <w:t>Wired Telecommunications Carriers</w:t>
      </w:r>
      <w:r w:rsidRPr="0059512C">
        <w:rPr>
          <w:szCs w:val="22"/>
        </w:rPr>
        <w:t xml:space="preserve"> as “establishments primarily engaged in operating and/or providing access to transmission facilities and infrastructure that they own and/or lease for the transmission of voic</w:t>
      </w:r>
      <w:r w:rsidRPr="0059512C">
        <w:rPr>
          <w:szCs w:val="22"/>
        </w:rPr>
        <w:t>e, data, text, sound, and video using wired communications networks.  Transmission facilities may be based on a single technology or a combination of technologies.  Establishments in this industry use the wired telecommunications network facilities that th</w:t>
      </w:r>
      <w:r w:rsidRPr="0059512C">
        <w:rPr>
          <w:szCs w:val="22"/>
        </w:rPr>
        <w:t>ey operate to provide a variety of services, such as wired telephony services, including VoIP services, wired (cable) audio and video programming distribution, and wired broadband internet services.  By exception, establishments providing satellite televis</w:t>
      </w:r>
      <w:r w:rsidRPr="0059512C">
        <w:rPr>
          <w:szCs w:val="22"/>
        </w:rPr>
        <w:t>ion distribution services using facilities and infrastructure that they operate are included in this industry.”</w:t>
      </w:r>
      <w:r>
        <w:rPr>
          <w:vertAlign w:val="superscript"/>
        </w:rPr>
        <w:footnoteReference w:id="359"/>
      </w:r>
      <w:r w:rsidRPr="0059512C">
        <w:rPr>
          <w:szCs w:val="22"/>
        </w:rPr>
        <w:t xml:space="preserve">  The SBA has developed a small business size standard for Wired Telecommunications Carriers, which consists of all such companies having 1,500</w:t>
      </w:r>
      <w:r w:rsidRPr="0059512C">
        <w:rPr>
          <w:szCs w:val="22"/>
        </w:rPr>
        <w:t xml:space="preserve"> or fewer employees.</w:t>
      </w:r>
      <w:r>
        <w:rPr>
          <w:rStyle w:val="FootnoteReference"/>
          <w:sz w:val="22"/>
        </w:rPr>
        <w:footnoteReference w:id="360"/>
      </w:r>
      <w:r w:rsidRPr="0059512C">
        <w:rPr>
          <w:szCs w:val="22"/>
        </w:rPr>
        <w:t xml:space="preserve">  U.S. Census Bureau data for 2012 show that there were 3,117 firms </w:t>
      </w:r>
      <w:r w:rsidRPr="0059512C">
        <w:rPr>
          <w:szCs w:val="22"/>
        </w:rPr>
        <w:t>that operated that year.</w:t>
      </w:r>
      <w:r>
        <w:rPr>
          <w:rStyle w:val="FootnoteReference"/>
          <w:sz w:val="22"/>
        </w:rPr>
        <w:footnoteReference w:id="361"/>
      </w:r>
      <w:r w:rsidRPr="0059512C">
        <w:rPr>
          <w:szCs w:val="22"/>
        </w:rPr>
        <w:t xml:space="preserve">  Of this total, 3,083 operated with fewer than 1,000 employees.</w:t>
      </w:r>
      <w:r>
        <w:rPr>
          <w:rStyle w:val="FootnoteReference"/>
          <w:sz w:val="22"/>
        </w:rPr>
        <w:footnoteReference w:id="362"/>
      </w:r>
      <w:r w:rsidRPr="0059512C">
        <w:rPr>
          <w:szCs w:val="22"/>
        </w:rPr>
        <w:t xml:space="preserve"> Based on that data, we conclude that the majority of Carrier RespOrgs that operated with wireline-based technology are small.</w:t>
      </w:r>
    </w:p>
    <w:p w:rsidR="009667D7" w:rsidRPr="0059512C" w:rsidP="00CE4C9A">
      <w:pPr>
        <w:pStyle w:val="ParaNum"/>
        <w:rPr>
          <w:szCs w:val="22"/>
        </w:rPr>
      </w:pPr>
      <w:r w:rsidRPr="0059512C">
        <w:rPr>
          <w:szCs w:val="22"/>
        </w:rPr>
        <w:t xml:space="preserve">The U.S. Census Bureau defines </w:t>
      </w:r>
      <w:r w:rsidRPr="0059512C">
        <w:rPr>
          <w:b/>
          <w:szCs w:val="22"/>
        </w:rPr>
        <w:t>Wireless Telecommunications Carriers (except satellite</w:t>
      </w:r>
      <w:r w:rsidRPr="0059512C">
        <w:rPr>
          <w:szCs w:val="22"/>
        </w:rPr>
        <w:t>) as establishments engaged in operating and</w:t>
      </w:r>
      <w:r w:rsidRPr="0059512C">
        <w:rPr>
          <w:szCs w:val="22"/>
        </w:rPr>
        <w:t xml:space="preserve"> maintaining switching and transmission facilities to provide communications via the airwaves, such as cellular services, paging services, wireless internet access, and wireless video services.</w:t>
      </w:r>
      <w:r>
        <w:rPr>
          <w:rStyle w:val="FootnoteReference"/>
          <w:sz w:val="22"/>
        </w:rPr>
        <w:footnoteReference w:id="363"/>
      </w:r>
      <w:r w:rsidRPr="0059512C">
        <w:rPr>
          <w:szCs w:val="22"/>
        </w:rPr>
        <w:t xml:space="preserve">  The appropriate size standard under SBA rules is that such </w:t>
      </w:r>
      <w:r w:rsidRPr="0059512C">
        <w:rPr>
          <w:szCs w:val="22"/>
        </w:rPr>
        <w:t>a business is small if it has 1,500 or fewer employees.</w:t>
      </w:r>
      <w:r>
        <w:rPr>
          <w:rStyle w:val="FootnoteReference"/>
          <w:sz w:val="22"/>
        </w:rPr>
        <w:footnoteReference w:id="364"/>
      </w:r>
      <w:r w:rsidRPr="0059512C">
        <w:rPr>
          <w:szCs w:val="22"/>
        </w:rPr>
        <w:t xml:space="preserve">  Census data for 2012 show that 967 Wireless Telecommunications Carriers operated in that year.  Of that number, 955 operated with less than 1,000 employees.</w:t>
      </w:r>
      <w:r>
        <w:rPr>
          <w:rStyle w:val="FootnoteReference"/>
          <w:sz w:val="22"/>
        </w:rPr>
        <w:footnoteReference w:id="365"/>
      </w:r>
      <w:r w:rsidRPr="0059512C">
        <w:rPr>
          <w:szCs w:val="22"/>
        </w:rPr>
        <w:t xml:space="preserve">  Based on that data, we conclude that </w:t>
      </w:r>
      <w:r w:rsidRPr="0059512C">
        <w:rPr>
          <w:szCs w:val="22"/>
        </w:rPr>
        <w:t>the majority of Carrier RespOrgs that operated with wireless-based technology are small.</w:t>
      </w:r>
    </w:p>
    <w:p w:rsidR="009667D7" w:rsidRPr="0059512C" w:rsidP="00CE4C9A">
      <w:pPr>
        <w:pStyle w:val="ParaNum"/>
        <w:rPr>
          <w:szCs w:val="22"/>
        </w:rPr>
      </w:pPr>
      <w:r w:rsidRPr="0059512C">
        <w:rPr>
          <w:b/>
          <w:szCs w:val="22"/>
        </w:rPr>
        <w:t>Non-Carrier RespOrgs</w:t>
      </w:r>
      <w:r w:rsidRPr="0059512C">
        <w:rPr>
          <w:szCs w:val="22"/>
        </w:rPr>
        <w:t xml:space="preserve">. </w:t>
      </w:r>
      <w:r w:rsidRPr="0059512C">
        <w:rPr>
          <w:b/>
          <w:szCs w:val="22"/>
        </w:rPr>
        <w:t xml:space="preserve"> </w:t>
      </w:r>
      <w:r w:rsidRPr="0059512C">
        <w:rPr>
          <w:szCs w:val="22"/>
        </w:rPr>
        <w:t xml:space="preserve">Neither the Commission, the U.S. Census, nor the SBA have developed a definition of Non-Carrier RespOrgs.  Accordingly, the Commission believes </w:t>
      </w:r>
      <w:r w:rsidRPr="0059512C">
        <w:rPr>
          <w:szCs w:val="22"/>
        </w:rPr>
        <w:t>that the closest NAICS code-based definitional categories for Non-Carrier RespOrgs are “Other Services Related to Advertising”</w:t>
      </w:r>
      <w:r>
        <w:rPr>
          <w:rStyle w:val="FootnoteReference"/>
          <w:sz w:val="22"/>
        </w:rPr>
        <w:footnoteReference w:id="366"/>
      </w:r>
      <w:r w:rsidRPr="0059512C">
        <w:rPr>
          <w:szCs w:val="22"/>
        </w:rPr>
        <w:t xml:space="preserve"> and “Other Management Consulting Services.”</w:t>
      </w:r>
      <w:r>
        <w:rPr>
          <w:rStyle w:val="FootnoteReference"/>
          <w:sz w:val="22"/>
        </w:rPr>
        <w:footnoteReference w:id="367"/>
      </w:r>
    </w:p>
    <w:p w:rsidR="009667D7" w:rsidRPr="0059512C" w:rsidP="00CE4C9A">
      <w:pPr>
        <w:pStyle w:val="ParaNum"/>
        <w:widowControl/>
        <w:rPr>
          <w:szCs w:val="22"/>
        </w:rPr>
      </w:pPr>
      <w:r w:rsidRPr="0059512C">
        <w:rPr>
          <w:szCs w:val="22"/>
        </w:rPr>
        <w:t xml:space="preserve">The U.S. Census defines </w:t>
      </w:r>
      <w:r w:rsidRPr="0059512C">
        <w:rPr>
          <w:b/>
          <w:szCs w:val="22"/>
        </w:rPr>
        <w:t xml:space="preserve">Other Services Related to Advertising </w:t>
      </w:r>
      <w:r w:rsidRPr="0059512C">
        <w:rPr>
          <w:szCs w:val="22"/>
        </w:rPr>
        <w:t>as comprising estab</w:t>
      </w:r>
      <w:r w:rsidRPr="0059512C">
        <w:rPr>
          <w:szCs w:val="22"/>
        </w:rPr>
        <w:t>lishments primarily engaged in providing advertising services (except advertising agency services, public relations agency services, media buying agency services, media representative services, display advertising services, direct mail advertising services</w:t>
      </w:r>
      <w:r w:rsidRPr="0059512C">
        <w:rPr>
          <w:szCs w:val="22"/>
        </w:rPr>
        <w:t>, advertising material distribution services, and marketing consulting services).</w:t>
      </w:r>
      <w:r>
        <w:rPr>
          <w:rStyle w:val="FootnoteReference"/>
          <w:sz w:val="22"/>
        </w:rPr>
        <w:footnoteReference w:id="368"/>
      </w:r>
      <w:r w:rsidRPr="0059512C">
        <w:rPr>
          <w:szCs w:val="22"/>
        </w:rPr>
        <w:t xml:space="preserve">  The SBA has established a size standard for this industry as annual receipts of $15 million dollars or less.</w:t>
      </w:r>
      <w:r>
        <w:rPr>
          <w:rStyle w:val="FootnoteReference"/>
          <w:sz w:val="22"/>
        </w:rPr>
        <w:footnoteReference w:id="369"/>
      </w:r>
      <w:r w:rsidRPr="0059512C">
        <w:rPr>
          <w:szCs w:val="22"/>
        </w:rPr>
        <w:t xml:space="preserve">  Census data for 2012 show that 5,804 firms operated in this</w:t>
      </w:r>
      <w:r w:rsidRPr="0059512C">
        <w:rPr>
          <w:szCs w:val="22"/>
        </w:rPr>
        <w:t xml:space="preserve"> industry for the entire year.  Of that number, 5,612 operated with annual receipts of less than $10 million.</w:t>
      </w:r>
      <w:r>
        <w:rPr>
          <w:rStyle w:val="FootnoteReference"/>
          <w:sz w:val="22"/>
        </w:rPr>
        <w:footnoteReference w:id="370"/>
      </w:r>
      <w:r w:rsidRPr="0059512C">
        <w:rPr>
          <w:szCs w:val="22"/>
        </w:rPr>
        <w:t xml:space="preserve">  Based on that data we conclude that the majority of Non-Carrier RespOrgs who provide toll-free number (TFN)-related advertising services are sm</w:t>
      </w:r>
      <w:r w:rsidRPr="0059512C">
        <w:rPr>
          <w:szCs w:val="22"/>
        </w:rPr>
        <w:t>all.</w:t>
      </w:r>
    </w:p>
    <w:p w:rsidR="009667D7" w:rsidRPr="0059512C" w:rsidP="00CE4C9A">
      <w:pPr>
        <w:pStyle w:val="ParaNum"/>
        <w:widowControl/>
        <w:rPr>
          <w:szCs w:val="22"/>
        </w:rPr>
      </w:pPr>
      <w:r w:rsidRPr="0059512C">
        <w:rPr>
          <w:szCs w:val="22"/>
        </w:rPr>
        <w:t xml:space="preserve">The U.S. Census defines </w:t>
      </w:r>
      <w:r w:rsidRPr="0059512C">
        <w:rPr>
          <w:b/>
          <w:szCs w:val="22"/>
        </w:rPr>
        <w:t xml:space="preserve">Other Management Consulting Services </w:t>
      </w:r>
      <w:r w:rsidRPr="0059512C">
        <w:rPr>
          <w:szCs w:val="22"/>
        </w:rPr>
        <w:t>as establishments primarily engaged in providing management consulting services (except administrative and general management consulting; human resources consulting; marketing consulting; or</w:t>
      </w:r>
      <w:r w:rsidRPr="0059512C">
        <w:rPr>
          <w:szCs w:val="22"/>
        </w:rPr>
        <w:t xml:space="preserve"> process, physical distribution, and logistics consulting).  Establishments providing telecommunications or utilities </w:t>
      </w:r>
      <w:r w:rsidRPr="0059512C">
        <w:rPr>
          <w:szCs w:val="22"/>
        </w:rPr>
        <w:t>management consulting services are included in this industry.</w:t>
      </w:r>
      <w:r>
        <w:rPr>
          <w:rStyle w:val="FootnoteReference"/>
          <w:sz w:val="22"/>
        </w:rPr>
        <w:footnoteReference w:id="371"/>
      </w:r>
      <w:r w:rsidRPr="0059512C">
        <w:rPr>
          <w:szCs w:val="22"/>
        </w:rPr>
        <w:t xml:space="preserve">  The SBA has established a size standard for this industry of $15 million </w:t>
      </w:r>
      <w:r w:rsidRPr="0059512C">
        <w:rPr>
          <w:szCs w:val="22"/>
        </w:rPr>
        <w:t>dollars or less.</w:t>
      </w:r>
      <w:r>
        <w:rPr>
          <w:rStyle w:val="FootnoteReference"/>
          <w:sz w:val="22"/>
        </w:rPr>
        <w:footnoteReference w:id="372"/>
      </w:r>
      <w:r w:rsidRPr="0059512C">
        <w:rPr>
          <w:szCs w:val="22"/>
        </w:rPr>
        <w:t xml:space="preserve">  Census data for 2012 show that 3,683 firms operated in this industry for that entire year.  Of that number, 3,632 operated with less than $10 million in annual receipts.</w:t>
      </w:r>
      <w:r>
        <w:rPr>
          <w:rStyle w:val="FootnoteReference"/>
          <w:sz w:val="22"/>
        </w:rPr>
        <w:footnoteReference w:id="373"/>
      </w:r>
      <w:r w:rsidRPr="0059512C">
        <w:rPr>
          <w:szCs w:val="22"/>
        </w:rPr>
        <w:t xml:space="preserve">  Based on this data, we conclude that a majority of non-carrier RespOrgs who provi</w:t>
      </w:r>
      <w:r w:rsidRPr="0059512C">
        <w:rPr>
          <w:szCs w:val="22"/>
        </w:rPr>
        <w:t>de TFN-related management consulting services are small.</w:t>
      </w:r>
      <w:r>
        <w:rPr>
          <w:rStyle w:val="FootnoteReference"/>
          <w:sz w:val="22"/>
        </w:rPr>
        <w:footnoteReference w:id="374"/>
      </w:r>
    </w:p>
    <w:p w:rsidR="009667D7" w:rsidRPr="0059512C" w:rsidP="00CE4C9A">
      <w:pPr>
        <w:pStyle w:val="ParaNum"/>
        <w:widowControl/>
        <w:rPr>
          <w:szCs w:val="22"/>
        </w:rPr>
      </w:pPr>
      <w:r w:rsidRPr="0059512C">
        <w:rPr>
          <w:szCs w:val="22"/>
        </w:rPr>
        <w:t>In addition to the data contained in the four (see above) U.S. Census NAICS code categories that provide definitions of what services and functions the Carrier and Non-Carrier RespOrgs provide, Som</w:t>
      </w:r>
      <w:r w:rsidRPr="0059512C">
        <w:rPr>
          <w:szCs w:val="22"/>
        </w:rPr>
        <w:t xml:space="preserve">os, the trade association that monitors RespOrg activities, compiled data showing that as of July 1, 2016 there were 23 RespOrgs operational in Canada and 436 RespOrgs operational in the United States, for a total of 459 RespOrgs currently registered with </w:t>
      </w:r>
      <w:r w:rsidRPr="0059512C">
        <w:rPr>
          <w:szCs w:val="22"/>
        </w:rPr>
        <w:t>Somos.</w:t>
      </w:r>
    </w:p>
    <w:p w:rsidR="009667D7" w:rsidRPr="0059512C" w:rsidP="00CE4C9A">
      <w:pPr>
        <w:pStyle w:val="Heading2"/>
        <w:numPr>
          <w:ilvl w:val="1"/>
          <w:numId w:val="3"/>
        </w:numPr>
        <w:rPr>
          <w:szCs w:val="22"/>
        </w:rPr>
      </w:pPr>
      <w:bookmarkStart w:id="533" w:name="_Toc6326159"/>
      <w:bookmarkStart w:id="534" w:name="_Toc28005137"/>
      <w:bookmarkStart w:id="535" w:name="_Toc31288171"/>
      <w:bookmarkStart w:id="536" w:name="_Toc31980704"/>
      <w:bookmarkStart w:id="537" w:name="_Toc35268620"/>
      <w:bookmarkStart w:id="538" w:name="_Toc42256301"/>
      <w:bookmarkStart w:id="539" w:name="_Toc44581664"/>
      <w:r w:rsidRPr="0059512C">
        <w:rPr>
          <w:szCs w:val="22"/>
        </w:rPr>
        <w:t>Description of Projected Reporting, Recordkeeping and Other Compliance Requirements</w:t>
      </w:r>
      <w:bookmarkEnd w:id="533"/>
      <w:r w:rsidRPr="0059512C">
        <w:rPr>
          <w:szCs w:val="22"/>
        </w:rPr>
        <w:t xml:space="preserve"> for Small Entities</w:t>
      </w:r>
      <w:bookmarkEnd w:id="534"/>
      <w:bookmarkEnd w:id="535"/>
      <w:bookmarkEnd w:id="536"/>
      <w:bookmarkEnd w:id="537"/>
      <w:bookmarkEnd w:id="538"/>
      <w:bookmarkEnd w:id="539"/>
    </w:p>
    <w:p w:rsidR="009667D7" w:rsidRPr="0059512C" w:rsidP="00CE4C9A">
      <w:pPr>
        <w:pStyle w:val="ParaNum"/>
        <w:widowControl/>
        <w:rPr>
          <w:szCs w:val="22"/>
        </w:rPr>
      </w:pPr>
      <w:r w:rsidRPr="0059512C">
        <w:rPr>
          <w:szCs w:val="22"/>
        </w:rPr>
        <w:t>This</w:t>
      </w:r>
      <w:r w:rsidRPr="0059512C">
        <w:rPr>
          <w:i/>
          <w:szCs w:val="22"/>
        </w:rPr>
        <w:t xml:space="preserve"> Notice</w:t>
      </w:r>
      <w:r w:rsidRPr="0059512C">
        <w:rPr>
          <w:szCs w:val="22"/>
        </w:rPr>
        <w:t xml:space="preserve"> does not propose any changes to the Commission’s current information collection, reporting, recordkeeping, or compliance requirements.</w:t>
      </w:r>
      <w:r w:rsidRPr="0059512C">
        <w:rPr>
          <w:szCs w:val="22"/>
        </w:rPr>
        <w:t xml:space="preserve">   Licensees, including small entities, will be required to pay application fees after such fees are adopted.</w:t>
      </w:r>
    </w:p>
    <w:p w:rsidR="009667D7" w:rsidRPr="0059512C" w:rsidP="00CE4C9A">
      <w:pPr>
        <w:pStyle w:val="Heading2"/>
        <w:numPr>
          <w:ilvl w:val="1"/>
          <w:numId w:val="3"/>
        </w:numPr>
        <w:rPr>
          <w:szCs w:val="22"/>
        </w:rPr>
      </w:pPr>
      <w:bookmarkStart w:id="540" w:name="_Toc6326160"/>
      <w:bookmarkStart w:id="541" w:name="_Toc28005138"/>
      <w:bookmarkStart w:id="542" w:name="_Toc31288172"/>
      <w:bookmarkStart w:id="543" w:name="_Toc31980705"/>
      <w:bookmarkStart w:id="544" w:name="_Toc35268621"/>
      <w:bookmarkStart w:id="545" w:name="_Toc42256302"/>
      <w:bookmarkStart w:id="546" w:name="_Toc44581665"/>
      <w:r w:rsidRPr="0059512C">
        <w:rPr>
          <w:szCs w:val="22"/>
        </w:rPr>
        <w:t>Steps Taken to Minimize Significant Economic Impact on Small Entities, and Significant Alternatives Considered</w:t>
      </w:r>
      <w:bookmarkEnd w:id="540"/>
      <w:bookmarkEnd w:id="541"/>
      <w:bookmarkEnd w:id="542"/>
      <w:bookmarkEnd w:id="543"/>
      <w:bookmarkEnd w:id="544"/>
      <w:bookmarkEnd w:id="545"/>
      <w:bookmarkEnd w:id="546"/>
    </w:p>
    <w:p w:rsidR="009667D7" w:rsidRPr="0059512C" w:rsidP="00CE4C9A">
      <w:pPr>
        <w:pStyle w:val="ParaNum"/>
        <w:widowControl/>
        <w:rPr>
          <w:szCs w:val="22"/>
        </w:rPr>
      </w:pPr>
      <w:r w:rsidRPr="0059512C">
        <w:rPr>
          <w:szCs w:val="22"/>
        </w:rPr>
        <w:t>The RFA requires an agency to descr</w:t>
      </w:r>
      <w:r w:rsidRPr="0059512C">
        <w:rPr>
          <w:szCs w:val="22"/>
        </w:rPr>
        <w:t xml:space="preserve">ibe any significant alternatives that it has considered in reaching its approach, which may include the following four alternatives, among others: (1) the establishment of differing compliance or reporting requirements or timetables that take into account </w:t>
      </w:r>
      <w:r w:rsidRPr="0059512C">
        <w:rPr>
          <w:szCs w:val="22"/>
        </w:rPr>
        <w:t>the resources available to small entities; (2) the clarification, consolidation, or simplification of compliance or reporting requirements under the rule for small entities; (3) the use of performance, rather than design, standards; and (4) an exemption fr</w:t>
      </w:r>
      <w:r w:rsidRPr="0059512C">
        <w:rPr>
          <w:szCs w:val="22"/>
        </w:rPr>
        <w:t>om coverage of the rule, or any part thereof, for small entities.</w:t>
      </w:r>
      <w:r>
        <w:rPr>
          <w:rStyle w:val="FootnoteReference"/>
          <w:spacing w:val="-2"/>
          <w:sz w:val="22"/>
        </w:rPr>
        <w:footnoteReference w:id="375"/>
      </w:r>
      <w:r w:rsidRPr="0059512C">
        <w:rPr>
          <w:szCs w:val="22"/>
        </w:rPr>
        <w:t xml:space="preserve">  </w:t>
      </w:r>
    </w:p>
    <w:p w:rsidR="009667D7" w:rsidRPr="0059512C" w:rsidP="00CE4C9A">
      <w:pPr>
        <w:pStyle w:val="ParaNum"/>
        <w:widowControl/>
        <w:rPr>
          <w:szCs w:val="22"/>
        </w:rPr>
      </w:pPr>
      <w:r w:rsidRPr="0059512C">
        <w:rPr>
          <w:szCs w:val="22"/>
        </w:rPr>
        <w:t xml:space="preserve">This </w:t>
      </w:r>
      <w:r w:rsidRPr="0059512C">
        <w:rPr>
          <w:i/>
          <w:szCs w:val="22"/>
        </w:rPr>
        <w:t>Notice</w:t>
      </w:r>
      <w:r w:rsidRPr="0059512C">
        <w:rPr>
          <w:szCs w:val="22"/>
        </w:rPr>
        <w:t xml:space="preserve"> seeks comment on new application fees and consolidating or deleting some existing application fees.  The fees proposed in the </w:t>
      </w:r>
      <w:r w:rsidRPr="0059512C">
        <w:rPr>
          <w:i/>
          <w:szCs w:val="22"/>
        </w:rPr>
        <w:t xml:space="preserve">Notice </w:t>
      </w:r>
      <w:r w:rsidRPr="0059512C">
        <w:rPr>
          <w:szCs w:val="22"/>
        </w:rPr>
        <w:t>are based on the Commission’s costs in pr</w:t>
      </w:r>
      <w:r w:rsidRPr="0059512C">
        <w:rPr>
          <w:szCs w:val="22"/>
        </w:rPr>
        <w:t>ocessing the applications.  This is now required under section 8 of the Communications Act.</w:t>
      </w:r>
      <w:r>
        <w:rPr>
          <w:rStyle w:val="FootnoteReference"/>
          <w:sz w:val="22"/>
        </w:rPr>
        <w:footnoteReference w:id="376"/>
      </w:r>
      <w:r w:rsidRPr="0059512C">
        <w:rPr>
          <w:szCs w:val="22"/>
        </w:rPr>
        <w:t xml:space="preserve">  In many instances, the proposed fees are much lower than current fees.  In some cases, the proposed fees are similar to current fees or slightly higher.  There a</w:t>
      </w:r>
      <w:r w:rsidRPr="0059512C">
        <w:rPr>
          <w:szCs w:val="22"/>
        </w:rPr>
        <w:t xml:space="preserve">re some new fees proposed for applications that previously had no fees.  The Commission is required to base the fees on costs, but commenters may propose different calculations of cost that would result in lower fees. </w:t>
      </w:r>
    </w:p>
    <w:p w:rsidR="009667D7" w:rsidRPr="0059512C" w:rsidP="00CE4C9A">
      <w:pPr>
        <w:pStyle w:val="Heading2"/>
        <w:numPr>
          <w:ilvl w:val="1"/>
          <w:numId w:val="3"/>
        </w:numPr>
        <w:rPr>
          <w:szCs w:val="22"/>
        </w:rPr>
      </w:pPr>
      <w:bookmarkStart w:id="547" w:name="_Toc6326161"/>
      <w:bookmarkStart w:id="548" w:name="_Toc28005139"/>
      <w:bookmarkStart w:id="549" w:name="_Toc31288173"/>
      <w:bookmarkStart w:id="550" w:name="_Toc31980706"/>
      <w:bookmarkStart w:id="551" w:name="_Toc35268622"/>
      <w:bookmarkStart w:id="552" w:name="_Toc42256303"/>
      <w:bookmarkStart w:id="553" w:name="_Toc44581666"/>
      <w:r w:rsidRPr="0059512C">
        <w:rPr>
          <w:szCs w:val="22"/>
        </w:rPr>
        <w:t xml:space="preserve">Federal Rules that May </w:t>
      </w:r>
      <w:r w:rsidRPr="0059512C">
        <w:rPr>
          <w:szCs w:val="22"/>
        </w:rPr>
        <w:t>Duplicate, Overlap, or Conflict with the Proposed Rules</w:t>
      </w:r>
      <w:bookmarkEnd w:id="547"/>
      <w:bookmarkEnd w:id="548"/>
      <w:bookmarkEnd w:id="549"/>
      <w:bookmarkEnd w:id="550"/>
      <w:bookmarkEnd w:id="551"/>
      <w:bookmarkEnd w:id="552"/>
      <w:bookmarkEnd w:id="553"/>
    </w:p>
    <w:p w:rsidR="0015089A" w:rsidP="009667D7">
      <w:pPr>
        <w:rPr>
          <w:szCs w:val="22"/>
        </w:rPr>
      </w:pPr>
      <w:r w:rsidRPr="0059512C">
        <w:rPr>
          <w:szCs w:val="22"/>
        </w:rPr>
        <w:t>None</w:t>
      </w:r>
      <w:r w:rsidR="00B22E35">
        <w:rPr>
          <w:szCs w:val="22"/>
        </w:rPr>
        <w:t>.</w:t>
      </w:r>
    </w:p>
    <w:p w:rsidR="0015089A">
      <w:pPr>
        <w:widowControl/>
        <w:rPr>
          <w:szCs w:val="22"/>
        </w:rPr>
      </w:pPr>
      <w:r>
        <w:rPr>
          <w:szCs w:val="22"/>
        </w:rPr>
        <w:br w:type="page"/>
      </w:r>
    </w:p>
    <w:p w:rsidR="009667D7" w:rsidRPr="0059512C" w:rsidP="009667D7">
      <w:pPr>
        <w:rPr>
          <w:szCs w:val="22"/>
        </w:rPr>
      </w:pPr>
    </w:p>
    <w:p w:rsidR="007621A8" w:rsidRPr="0059512C" w:rsidP="007621A8">
      <w:pPr>
        <w:tabs>
          <w:tab w:val="left" w:pos="3629"/>
        </w:tabs>
        <w:jc w:val="center"/>
        <w:rPr>
          <w:b/>
          <w:szCs w:val="22"/>
        </w:rPr>
      </w:pPr>
      <w:r w:rsidRPr="0059512C">
        <w:rPr>
          <w:b/>
          <w:szCs w:val="22"/>
        </w:rPr>
        <w:t xml:space="preserve">APPENDIX </w:t>
      </w:r>
      <w:r w:rsidR="00DF4269">
        <w:rPr>
          <w:b/>
          <w:szCs w:val="22"/>
        </w:rPr>
        <w:t>C</w:t>
      </w:r>
    </w:p>
    <w:p w:rsidR="007621A8" w:rsidRPr="0059512C" w:rsidP="007621A8">
      <w:pPr>
        <w:tabs>
          <w:tab w:val="left" w:pos="3629"/>
        </w:tabs>
        <w:jc w:val="center"/>
        <w:rPr>
          <w:b/>
          <w:szCs w:val="22"/>
        </w:rPr>
      </w:pPr>
    </w:p>
    <w:p w:rsidR="007621A8" w:rsidRPr="0059512C" w:rsidP="007621A8">
      <w:pPr>
        <w:tabs>
          <w:tab w:val="left" w:pos="3629"/>
        </w:tabs>
        <w:jc w:val="center"/>
        <w:rPr>
          <w:b/>
          <w:szCs w:val="22"/>
        </w:rPr>
      </w:pPr>
      <w:r w:rsidRPr="0059512C">
        <w:rPr>
          <w:b/>
          <w:szCs w:val="22"/>
        </w:rPr>
        <w:t>Wireless Radio Service Code Reference Table</w:t>
      </w:r>
      <w:r w:rsidRPr="0059512C" w:rsidR="00574124">
        <w:rPr>
          <w:b/>
          <w:szCs w:val="22"/>
        </w:rPr>
        <w:t xml:space="preserve"> (codes in use today)</w:t>
      </w:r>
    </w:p>
    <w:p w:rsidR="007621A8" w:rsidRPr="0059512C" w:rsidP="007621A8">
      <w:pPr>
        <w:pStyle w:val="ParaNum"/>
        <w:numPr>
          <w:ilvl w:val="0"/>
          <w:numId w:val="0"/>
        </w:numPr>
        <w:ind w:left="720"/>
        <w:rPr>
          <w:szCs w:val="22"/>
        </w:rPr>
      </w:pPr>
    </w:p>
    <w:tbl>
      <w:tblPr>
        <w:tblStyle w:val="TableGrid"/>
        <w:tblW w:w="0" w:type="auto"/>
        <w:tblLook w:val="04A0"/>
      </w:tblPr>
      <w:tblGrid>
        <w:gridCol w:w="1195"/>
        <w:gridCol w:w="6398"/>
        <w:gridCol w:w="1757"/>
      </w:tblGrid>
      <w:tr w:rsidTr="00B04898">
        <w:tblPrEx>
          <w:tblW w:w="0" w:type="auto"/>
          <w:tblLook w:val="04A0"/>
        </w:tblPrEx>
        <w:tc>
          <w:tcPr>
            <w:tcW w:w="1195" w:type="dxa"/>
            <w:shd w:val="clear" w:color="auto" w:fill="262626" w:themeFill="text1" w:themeFillTint="D9"/>
          </w:tcPr>
          <w:p w:rsidR="007621A8" w:rsidRPr="0059512C" w:rsidP="00B04898">
            <w:pPr>
              <w:jc w:val="center"/>
              <w:rPr>
                <w:b/>
                <w:color w:val="FFFFFF" w:themeColor="background1"/>
                <w:szCs w:val="22"/>
              </w:rPr>
            </w:pPr>
            <w:r w:rsidRPr="0059512C">
              <w:rPr>
                <w:b/>
                <w:color w:val="FFFFFF" w:themeColor="background1"/>
                <w:szCs w:val="22"/>
              </w:rPr>
              <w:t>RADIO SERVICE CODE</w:t>
            </w:r>
          </w:p>
        </w:tc>
        <w:tc>
          <w:tcPr>
            <w:tcW w:w="6398" w:type="dxa"/>
            <w:shd w:val="clear" w:color="auto" w:fill="262626" w:themeFill="text1" w:themeFillTint="D9"/>
          </w:tcPr>
          <w:p w:rsidR="007621A8" w:rsidRPr="0059512C" w:rsidP="00B04898">
            <w:pPr>
              <w:jc w:val="center"/>
              <w:rPr>
                <w:b/>
                <w:color w:val="FFFFFF" w:themeColor="background1"/>
                <w:szCs w:val="22"/>
              </w:rPr>
            </w:pPr>
            <w:r w:rsidRPr="0059512C">
              <w:rPr>
                <w:b/>
                <w:color w:val="FFFFFF" w:themeColor="background1"/>
                <w:szCs w:val="22"/>
              </w:rPr>
              <w:t>SERVICE DESCRIPTION</w:t>
            </w:r>
          </w:p>
        </w:tc>
        <w:tc>
          <w:tcPr>
            <w:tcW w:w="1757" w:type="dxa"/>
            <w:shd w:val="clear" w:color="auto" w:fill="262626" w:themeFill="text1" w:themeFillTint="D9"/>
          </w:tcPr>
          <w:p w:rsidR="007621A8" w:rsidRPr="0059512C" w:rsidP="00B04898">
            <w:pPr>
              <w:jc w:val="center"/>
              <w:rPr>
                <w:b/>
                <w:color w:val="FFFFFF" w:themeColor="background1"/>
                <w:szCs w:val="22"/>
              </w:rPr>
            </w:pPr>
            <w:r w:rsidRPr="0059512C">
              <w:rPr>
                <w:b/>
                <w:color w:val="FFFFFF" w:themeColor="background1"/>
                <w:szCs w:val="22"/>
              </w:rPr>
              <w:t>APPLICATION FEES UNDER CURRENT RULES</w:t>
            </w:r>
          </w:p>
        </w:tc>
      </w:tr>
      <w:tr w:rsidTr="00B04898">
        <w:tblPrEx>
          <w:tblW w:w="0" w:type="auto"/>
          <w:tblLook w:val="04A0"/>
        </w:tblPrEx>
        <w:tc>
          <w:tcPr>
            <w:tcW w:w="9350" w:type="dxa"/>
            <w:gridSpan w:val="3"/>
            <w:shd w:val="clear" w:color="auto" w:fill="BFBFBF" w:themeFill="background1" w:themeFillShade="BF"/>
          </w:tcPr>
          <w:p w:rsidR="007621A8" w:rsidRPr="0059512C" w:rsidP="00B04898">
            <w:pPr>
              <w:jc w:val="center"/>
              <w:rPr>
                <w:szCs w:val="22"/>
              </w:rPr>
            </w:pPr>
            <w:r w:rsidRPr="0059512C">
              <w:rPr>
                <w:szCs w:val="22"/>
              </w:rPr>
              <w:t>PERSONAL RADIOS SERVICES</w:t>
            </w:r>
          </w:p>
        </w:tc>
      </w:tr>
      <w:tr w:rsidTr="00B04898">
        <w:tblPrEx>
          <w:tblW w:w="0" w:type="auto"/>
          <w:tblLook w:val="04A0"/>
        </w:tblPrEx>
        <w:tc>
          <w:tcPr>
            <w:tcW w:w="1195" w:type="dxa"/>
          </w:tcPr>
          <w:p w:rsidR="00362715" w:rsidRPr="00B7491E" w:rsidP="00473E48">
            <w:pPr>
              <w:rPr>
                <w:color w:val="000000"/>
                <w:szCs w:val="22"/>
              </w:rPr>
            </w:pPr>
            <w:r>
              <w:rPr>
                <w:color w:val="000000"/>
                <w:szCs w:val="22"/>
              </w:rPr>
              <w:t>HA</w:t>
            </w:r>
          </w:p>
        </w:tc>
        <w:tc>
          <w:tcPr>
            <w:tcW w:w="6398" w:type="dxa"/>
          </w:tcPr>
          <w:p w:rsidR="00362715" w:rsidRPr="00B7491E" w:rsidP="00473E48">
            <w:pPr>
              <w:rPr>
                <w:color w:val="000000"/>
                <w:szCs w:val="22"/>
              </w:rPr>
            </w:pPr>
            <w:r>
              <w:rPr>
                <w:color w:val="000000"/>
                <w:szCs w:val="22"/>
              </w:rPr>
              <w:t>Amateur</w:t>
            </w:r>
          </w:p>
        </w:tc>
        <w:tc>
          <w:tcPr>
            <w:tcW w:w="1757" w:type="dxa"/>
          </w:tcPr>
          <w:p w:rsidR="00362715" w:rsidRPr="0059512C" w:rsidP="00473E48">
            <w:pPr>
              <w:jc w:val="center"/>
              <w:rPr>
                <w:szCs w:val="22"/>
              </w:rPr>
            </w:pPr>
            <w:r>
              <w:rPr>
                <w:szCs w:val="22"/>
              </w:rPr>
              <w:t>NO</w:t>
            </w:r>
          </w:p>
        </w:tc>
      </w:tr>
      <w:tr w:rsidTr="00B04898">
        <w:tblPrEx>
          <w:tblW w:w="0" w:type="auto"/>
          <w:tblLook w:val="04A0"/>
        </w:tblPrEx>
        <w:tc>
          <w:tcPr>
            <w:tcW w:w="1195" w:type="dxa"/>
          </w:tcPr>
          <w:p w:rsidR="00362715" w:rsidRPr="00B7491E" w:rsidP="00473E48">
            <w:pPr>
              <w:rPr>
                <w:color w:val="000000"/>
                <w:szCs w:val="22"/>
              </w:rPr>
            </w:pPr>
            <w:r>
              <w:rPr>
                <w:color w:val="000000"/>
                <w:szCs w:val="22"/>
              </w:rPr>
              <w:t>HV</w:t>
            </w:r>
          </w:p>
        </w:tc>
        <w:tc>
          <w:tcPr>
            <w:tcW w:w="6398" w:type="dxa"/>
          </w:tcPr>
          <w:p w:rsidR="00362715" w:rsidRPr="00B7491E" w:rsidP="00473E48">
            <w:pPr>
              <w:rPr>
                <w:color w:val="000000"/>
                <w:szCs w:val="22"/>
              </w:rPr>
            </w:pPr>
            <w:r>
              <w:rPr>
                <w:color w:val="000000"/>
                <w:szCs w:val="22"/>
              </w:rPr>
              <w:t>Vanity</w:t>
            </w:r>
          </w:p>
        </w:tc>
        <w:tc>
          <w:tcPr>
            <w:tcW w:w="1757" w:type="dxa"/>
          </w:tcPr>
          <w:p w:rsidR="00362715" w:rsidRPr="0059512C" w:rsidP="00473E48">
            <w:pPr>
              <w:jc w:val="center"/>
              <w:rPr>
                <w:szCs w:val="22"/>
              </w:rPr>
            </w:pPr>
            <w:r>
              <w:rPr>
                <w:szCs w:val="22"/>
              </w:rPr>
              <w:t>NO</w:t>
            </w:r>
          </w:p>
        </w:tc>
      </w:tr>
      <w:tr w:rsidTr="00B04898">
        <w:tblPrEx>
          <w:tblW w:w="0" w:type="auto"/>
          <w:tblLook w:val="04A0"/>
        </w:tblPrEx>
        <w:tc>
          <w:tcPr>
            <w:tcW w:w="1195" w:type="dxa"/>
          </w:tcPr>
          <w:p w:rsidR="00473E48" w:rsidRPr="00B7491E" w:rsidP="00473E48">
            <w:pPr>
              <w:rPr>
                <w:color w:val="000000"/>
                <w:szCs w:val="22"/>
              </w:rPr>
            </w:pPr>
            <w:r w:rsidRPr="00B7491E">
              <w:rPr>
                <w:color w:val="000000"/>
                <w:szCs w:val="22"/>
              </w:rPr>
              <w:t>AC</w:t>
            </w:r>
          </w:p>
        </w:tc>
        <w:tc>
          <w:tcPr>
            <w:tcW w:w="6398" w:type="dxa"/>
          </w:tcPr>
          <w:p w:rsidR="00473E48" w:rsidRPr="00B7491E" w:rsidP="00473E48">
            <w:pPr>
              <w:rPr>
                <w:color w:val="000000"/>
                <w:szCs w:val="22"/>
              </w:rPr>
            </w:pPr>
            <w:r w:rsidRPr="00B7491E">
              <w:rPr>
                <w:color w:val="000000"/>
                <w:szCs w:val="22"/>
              </w:rPr>
              <w:t>Aircraft</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CM</w:t>
            </w:r>
          </w:p>
        </w:tc>
        <w:tc>
          <w:tcPr>
            <w:tcW w:w="6398" w:type="dxa"/>
          </w:tcPr>
          <w:p w:rsidR="00473E48" w:rsidRPr="0059512C" w:rsidP="00473E48">
            <w:pPr>
              <w:rPr>
                <w:szCs w:val="22"/>
              </w:rPr>
            </w:pPr>
            <w:r w:rsidRPr="0059512C">
              <w:rPr>
                <w:color w:val="000000"/>
                <w:szCs w:val="22"/>
              </w:rPr>
              <w:t>Commercial Operator</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RR</w:t>
            </w:r>
          </w:p>
        </w:tc>
        <w:tc>
          <w:tcPr>
            <w:tcW w:w="6398" w:type="dxa"/>
          </w:tcPr>
          <w:p w:rsidR="00473E48" w:rsidRPr="0059512C" w:rsidP="00473E48">
            <w:pPr>
              <w:rPr>
                <w:szCs w:val="22"/>
              </w:rPr>
            </w:pPr>
            <w:r w:rsidRPr="0059512C">
              <w:rPr>
                <w:color w:val="000000"/>
                <w:szCs w:val="22"/>
              </w:rPr>
              <w:t>Restricted Operator</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SA</w:t>
            </w:r>
          </w:p>
        </w:tc>
        <w:tc>
          <w:tcPr>
            <w:tcW w:w="6398" w:type="dxa"/>
          </w:tcPr>
          <w:p w:rsidR="00473E48" w:rsidRPr="0059512C" w:rsidP="00473E48">
            <w:pPr>
              <w:rPr>
                <w:szCs w:val="22"/>
              </w:rPr>
            </w:pPr>
            <w:r w:rsidRPr="0059512C">
              <w:rPr>
                <w:color w:val="000000"/>
                <w:szCs w:val="22"/>
              </w:rPr>
              <w:t>Ship Recreational or Voluntarily Equipped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SB</w:t>
            </w:r>
          </w:p>
        </w:tc>
        <w:tc>
          <w:tcPr>
            <w:tcW w:w="6398" w:type="dxa"/>
          </w:tcPr>
          <w:p w:rsidR="00473E48" w:rsidRPr="0059512C" w:rsidP="00473E48">
            <w:pPr>
              <w:rPr>
                <w:szCs w:val="22"/>
              </w:rPr>
            </w:pPr>
            <w:r w:rsidRPr="0059512C">
              <w:rPr>
                <w:color w:val="000000"/>
                <w:szCs w:val="22"/>
              </w:rPr>
              <w:t>Ship Compulsory Equipped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SE</w:t>
            </w:r>
          </w:p>
        </w:tc>
        <w:tc>
          <w:tcPr>
            <w:tcW w:w="6398" w:type="dxa"/>
          </w:tcPr>
          <w:p w:rsidR="00473E48" w:rsidRPr="0059512C" w:rsidP="00473E48">
            <w:pPr>
              <w:rPr>
                <w:szCs w:val="22"/>
              </w:rPr>
            </w:pPr>
            <w:r w:rsidRPr="0059512C">
              <w:rPr>
                <w:color w:val="000000"/>
                <w:szCs w:val="22"/>
              </w:rPr>
              <w:t>Ship Exemption</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ZA</w:t>
            </w:r>
          </w:p>
        </w:tc>
        <w:tc>
          <w:tcPr>
            <w:tcW w:w="6398" w:type="dxa"/>
          </w:tcPr>
          <w:p w:rsidR="00473E48" w:rsidRPr="0059512C" w:rsidP="00473E48">
            <w:pPr>
              <w:rPr>
                <w:szCs w:val="22"/>
              </w:rPr>
            </w:pPr>
            <w:r w:rsidRPr="0059512C">
              <w:rPr>
                <w:color w:val="000000"/>
                <w:szCs w:val="22"/>
              </w:rPr>
              <w:t>General Mobile Radio Services (GMRS)</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9350" w:type="dxa"/>
            <w:gridSpan w:val="3"/>
          </w:tcPr>
          <w:p w:rsidR="00473E48" w:rsidRPr="0059512C" w:rsidP="00473E48">
            <w:pPr>
              <w:rPr>
                <w:szCs w:val="22"/>
              </w:rPr>
            </w:pPr>
          </w:p>
        </w:tc>
      </w:tr>
      <w:tr w:rsidTr="00B04898">
        <w:tblPrEx>
          <w:tblW w:w="0" w:type="auto"/>
          <w:tblLook w:val="04A0"/>
        </w:tblPrEx>
        <w:tc>
          <w:tcPr>
            <w:tcW w:w="9350" w:type="dxa"/>
            <w:gridSpan w:val="3"/>
            <w:shd w:val="clear" w:color="auto" w:fill="BFBFBF" w:themeFill="background1" w:themeFillShade="BF"/>
          </w:tcPr>
          <w:p w:rsidR="00473E48" w:rsidRPr="0059512C" w:rsidP="00473E48">
            <w:pPr>
              <w:jc w:val="center"/>
              <w:rPr>
                <w:szCs w:val="22"/>
              </w:rPr>
            </w:pPr>
            <w:r w:rsidRPr="0059512C">
              <w:rPr>
                <w:szCs w:val="22"/>
              </w:rPr>
              <w:t>GEOGRAPHIC RADIO SERVICES</w:t>
            </w:r>
          </w:p>
        </w:tc>
      </w:tr>
      <w:tr w:rsidTr="00B04898">
        <w:tblPrEx>
          <w:tblW w:w="0" w:type="auto"/>
          <w:tblLook w:val="04A0"/>
        </w:tblPrEx>
        <w:tc>
          <w:tcPr>
            <w:tcW w:w="1195" w:type="dxa"/>
          </w:tcPr>
          <w:p w:rsidR="00473E48" w:rsidRPr="0059512C" w:rsidP="00473E48">
            <w:pPr>
              <w:rPr>
                <w:color w:val="000000"/>
                <w:szCs w:val="22"/>
              </w:rPr>
            </w:pPr>
            <w:r w:rsidRPr="0059512C">
              <w:rPr>
                <w:color w:val="000000"/>
                <w:szCs w:val="22"/>
              </w:rPr>
              <w:t>AD</w:t>
            </w:r>
          </w:p>
        </w:tc>
        <w:tc>
          <w:tcPr>
            <w:tcW w:w="6398" w:type="dxa"/>
          </w:tcPr>
          <w:p w:rsidR="00473E48" w:rsidRPr="0059512C" w:rsidP="00473E48">
            <w:pPr>
              <w:rPr>
                <w:color w:val="000000"/>
                <w:szCs w:val="22"/>
              </w:rPr>
            </w:pPr>
            <w:r w:rsidRPr="0059512C">
              <w:rPr>
                <w:color w:val="000000"/>
                <w:szCs w:val="22"/>
              </w:rPr>
              <w:t>AWS-4</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color w:val="000000"/>
                <w:szCs w:val="22"/>
              </w:rPr>
            </w:pPr>
            <w:r w:rsidRPr="0059512C">
              <w:rPr>
                <w:color w:val="000000"/>
                <w:szCs w:val="22"/>
              </w:rPr>
              <w:t>AH</w:t>
            </w:r>
          </w:p>
        </w:tc>
        <w:tc>
          <w:tcPr>
            <w:tcW w:w="6398" w:type="dxa"/>
          </w:tcPr>
          <w:p w:rsidR="00473E48" w:rsidRPr="0059512C" w:rsidP="00473E48">
            <w:pPr>
              <w:rPr>
                <w:color w:val="000000"/>
                <w:szCs w:val="22"/>
              </w:rPr>
            </w:pPr>
            <w:r w:rsidRPr="0059512C">
              <w:rPr>
                <w:color w:val="000000"/>
                <w:szCs w:val="22"/>
              </w:rPr>
              <w:t>AWS-H Block</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color w:val="000000"/>
                <w:szCs w:val="22"/>
              </w:rPr>
            </w:pPr>
            <w:r w:rsidRPr="0059512C">
              <w:rPr>
                <w:color w:val="000000"/>
                <w:szCs w:val="22"/>
              </w:rPr>
              <w:t>AT</w:t>
            </w:r>
          </w:p>
        </w:tc>
        <w:tc>
          <w:tcPr>
            <w:tcW w:w="6398" w:type="dxa"/>
          </w:tcPr>
          <w:p w:rsidR="00473E48" w:rsidRPr="0059512C" w:rsidP="00473E48">
            <w:pPr>
              <w:rPr>
                <w:color w:val="000000"/>
                <w:szCs w:val="22"/>
              </w:rPr>
            </w:pPr>
            <w:r w:rsidRPr="0059512C">
              <w:rPr>
                <w:color w:val="000000"/>
                <w:szCs w:val="22"/>
              </w:rPr>
              <w:t>AWS-3</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AW</w:t>
            </w:r>
          </w:p>
        </w:tc>
        <w:tc>
          <w:tcPr>
            <w:tcW w:w="6398" w:type="dxa"/>
          </w:tcPr>
          <w:p w:rsidR="00473E48" w:rsidRPr="0059512C" w:rsidP="00473E48">
            <w:pPr>
              <w:rPr>
                <w:szCs w:val="22"/>
              </w:rPr>
            </w:pPr>
            <w:r w:rsidRPr="0059512C">
              <w:rPr>
                <w:color w:val="000000"/>
                <w:szCs w:val="22"/>
              </w:rPr>
              <w:t>AWS, 1710-1755/2110-2155 MHz Bands</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BA</w:t>
            </w:r>
          </w:p>
        </w:tc>
        <w:tc>
          <w:tcPr>
            <w:tcW w:w="6398" w:type="dxa"/>
          </w:tcPr>
          <w:p w:rsidR="00473E48" w:rsidRPr="0059512C" w:rsidP="00473E48">
            <w:pPr>
              <w:rPr>
                <w:szCs w:val="22"/>
              </w:rPr>
            </w:pPr>
            <w:r w:rsidRPr="0059512C">
              <w:rPr>
                <w:color w:val="000000"/>
                <w:szCs w:val="22"/>
              </w:rPr>
              <w:t>1390-1392 MHz Band, Market Area</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BB</w:t>
            </w:r>
          </w:p>
        </w:tc>
        <w:tc>
          <w:tcPr>
            <w:tcW w:w="6398" w:type="dxa"/>
          </w:tcPr>
          <w:p w:rsidR="00473E48" w:rsidRPr="0059512C" w:rsidP="00473E48">
            <w:pPr>
              <w:rPr>
                <w:szCs w:val="22"/>
              </w:rPr>
            </w:pPr>
            <w:r w:rsidRPr="0059512C">
              <w:rPr>
                <w:color w:val="000000"/>
                <w:szCs w:val="22"/>
              </w:rPr>
              <w:t>1392-1395 and 1432-1435 MHz Bands, Market Area</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BC</w:t>
            </w:r>
          </w:p>
        </w:tc>
        <w:tc>
          <w:tcPr>
            <w:tcW w:w="6398" w:type="dxa"/>
          </w:tcPr>
          <w:p w:rsidR="00473E48" w:rsidRPr="0059512C" w:rsidP="00473E48">
            <w:pPr>
              <w:rPr>
                <w:szCs w:val="22"/>
              </w:rPr>
            </w:pPr>
            <w:r w:rsidRPr="0059512C">
              <w:rPr>
                <w:color w:val="000000"/>
                <w:szCs w:val="22"/>
              </w:rPr>
              <w:t>1670-1675 MHz Band, Market Area</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BR</w:t>
            </w:r>
          </w:p>
        </w:tc>
        <w:tc>
          <w:tcPr>
            <w:tcW w:w="6398" w:type="dxa"/>
          </w:tcPr>
          <w:p w:rsidR="00473E48" w:rsidRPr="0059512C" w:rsidP="00473E48">
            <w:pPr>
              <w:rPr>
                <w:szCs w:val="22"/>
              </w:rPr>
            </w:pPr>
            <w:r w:rsidRPr="0059512C">
              <w:rPr>
                <w:color w:val="000000"/>
                <w:szCs w:val="22"/>
              </w:rPr>
              <w:t>Broadband Radio Service</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color w:val="000000"/>
                <w:szCs w:val="22"/>
              </w:rPr>
            </w:pPr>
            <w:r w:rsidRPr="0059512C">
              <w:rPr>
                <w:color w:val="000000"/>
                <w:szCs w:val="22"/>
              </w:rPr>
              <w:t>CJ</w:t>
            </w:r>
          </w:p>
        </w:tc>
        <w:tc>
          <w:tcPr>
            <w:tcW w:w="6398" w:type="dxa"/>
          </w:tcPr>
          <w:p w:rsidR="00473E48" w:rsidRPr="0059512C" w:rsidP="00473E48">
            <w:pPr>
              <w:rPr>
                <w:color w:val="000000"/>
                <w:szCs w:val="22"/>
              </w:rPr>
            </w:pPr>
            <w:r w:rsidRPr="0059512C">
              <w:rPr>
                <w:color w:val="000000"/>
                <w:szCs w:val="22"/>
              </w:rPr>
              <w:t>Commercial Aviation Air-Ground (800 MHz)</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CN</w:t>
            </w:r>
          </w:p>
        </w:tc>
        <w:tc>
          <w:tcPr>
            <w:tcW w:w="6398" w:type="dxa"/>
          </w:tcPr>
          <w:p w:rsidR="00473E48" w:rsidRPr="0059512C" w:rsidP="00473E48">
            <w:pPr>
              <w:rPr>
                <w:szCs w:val="22"/>
              </w:rPr>
            </w:pPr>
            <w:r w:rsidRPr="0059512C">
              <w:rPr>
                <w:color w:val="000000"/>
                <w:szCs w:val="22"/>
              </w:rPr>
              <w:t>PCS Narrowband</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CP</w:t>
            </w:r>
          </w:p>
        </w:tc>
        <w:tc>
          <w:tcPr>
            <w:tcW w:w="6398" w:type="dxa"/>
          </w:tcPr>
          <w:p w:rsidR="00473E48" w:rsidRPr="0059512C" w:rsidP="00473E48">
            <w:pPr>
              <w:rPr>
                <w:szCs w:val="22"/>
              </w:rPr>
            </w:pPr>
            <w:r w:rsidRPr="0059512C">
              <w:rPr>
                <w:color w:val="000000"/>
                <w:szCs w:val="22"/>
              </w:rPr>
              <w:t>Part 22 VHF/UHF Paging (excluding 931 MHz)</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CW</w:t>
            </w:r>
          </w:p>
        </w:tc>
        <w:tc>
          <w:tcPr>
            <w:tcW w:w="6398" w:type="dxa"/>
          </w:tcPr>
          <w:p w:rsidR="00473E48" w:rsidRPr="0059512C" w:rsidP="00473E48">
            <w:pPr>
              <w:rPr>
                <w:szCs w:val="22"/>
              </w:rPr>
            </w:pPr>
            <w:r w:rsidRPr="0059512C">
              <w:rPr>
                <w:color w:val="000000"/>
                <w:szCs w:val="22"/>
              </w:rPr>
              <w:t>PCS Broadband</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CY</w:t>
            </w:r>
          </w:p>
        </w:tc>
        <w:tc>
          <w:tcPr>
            <w:tcW w:w="6398" w:type="dxa"/>
          </w:tcPr>
          <w:p w:rsidR="00473E48" w:rsidRPr="0059512C" w:rsidP="00473E48">
            <w:pPr>
              <w:rPr>
                <w:szCs w:val="22"/>
              </w:rPr>
            </w:pPr>
            <w:r w:rsidRPr="0059512C">
              <w:rPr>
                <w:color w:val="000000"/>
                <w:szCs w:val="22"/>
              </w:rPr>
              <w:t>1910-1915/1990-1995 MHz Bands, Market Area</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CZ</w:t>
            </w:r>
          </w:p>
        </w:tc>
        <w:tc>
          <w:tcPr>
            <w:tcW w:w="6398" w:type="dxa"/>
          </w:tcPr>
          <w:p w:rsidR="00473E48" w:rsidRPr="0059512C" w:rsidP="00473E48">
            <w:pPr>
              <w:rPr>
                <w:szCs w:val="22"/>
              </w:rPr>
            </w:pPr>
            <w:r w:rsidRPr="0059512C">
              <w:rPr>
                <w:color w:val="000000"/>
                <w:szCs w:val="22"/>
              </w:rPr>
              <w:t xml:space="preserve">Paging and </w:t>
            </w:r>
            <w:r w:rsidRPr="0059512C">
              <w:rPr>
                <w:color w:val="000000"/>
                <w:szCs w:val="22"/>
              </w:rPr>
              <w:t>Radiotelephone, Auctioned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B7491E" w:rsidP="00473E48">
            <w:pPr>
              <w:rPr>
                <w:szCs w:val="22"/>
              </w:rPr>
            </w:pPr>
            <w:r w:rsidRPr="00B7491E">
              <w:rPr>
                <w:color w:val="000000"/>
                <w:szCs w:val="22"/>
              </w:rPr>
              <w:t>DV</w:t>
            </w:r>
          </w:p>
        </w:tc>
        <w:tc>
          <w:tcPr>
            <w:tcW w:w="6398" w:type="dxa"/>
          </w:tcPr>
          <w:p w:rsidR="00473E48" w:rsidRPr="00B7491E" w:rsidP="00473E48">
            <w:pPr>
              <w:rPr>
                <w:szCs w:val="22"/>
              </w:rPr>
            </w:pPr>
            <w:r w:rsidRPr="00B7491E">
              <w:rPr>
                <w:color w:val="000000"/>
                <w:szCs w:val="22"/>
              </w:rPr>
              <w:t>Multichannel Video Distribution and Data Service</w:t>
            </w:r>
          </w:p>
        </w:tc>
        <w:tc>
          <w:tcPr>
            <w:tcW w:w="1757" w:type="dxa"/>
          </w:tcPr>
          <w:p w:rsidR="00473E48" w:rsidRPr="00B7491E" w:rsidP="00473E48">
            <w:pPr>
              <w:jc w:val="center"/>
              <w:rPr>
                <w:szCs w:val="22"/>
              </w:rPr>
            </w:pPr>
            <w:r w:rsidRPr="00B7491E">
              <w:rPr>
                <w:szCs w:val="22"/>
              </w:rPr>
              <w:t>NO</w:t>
            </w:r>
          </w:p>
        </w:tc>
      </w:tr>
      <w:tr w:rsidTr="00B04898">
        <w:tblPrEx>
          <w:tblW w:w="0" w:type="auto"/>
          <w:tblLook w:val="04A0"/>
        </w:tblPrEx>
        <w:tc>
          <w:tcPr>
            <w:tcW w:w="1195" w:type="dxa"/>
          </w:tcPr>
          <w:p w:rsidR="00362715" w:rsidRPr="00B7491E" w:rsidP="00473E48">
            <w:pPr>
              <w:rPr>
                <w:color w:val="000000"/>
                <w:szCs w:val="22"/>
              </w:rPr>
            </w:pPr>
            <w:r>
              <w:rPr>
                <w:color w:val="000000"/>
                <w:szCs w:val="22"/>
              </w:rPr>
              <w:t>ED</w:t>
            </w:r>
          </w:p>
        </w:tc>
        <w:tc>
          <w:tcPr>
            <w:tcW w:w="6398" w:type="dxa"/>
          </w:tcPr>
          <w:p w:rsidR="00362715" w:rsidRPr="00B7491E" w:rsidP="00473E48">
            <w:pPr>
              <w:rPr>
                <w:color w:val="000000"/>
                <w:szCs w:val="22"/>
              </w:rPr>
            </w:pPr>
            <w:r>
              <w:rPr>
                <w:color w:val="000000"/>
                <w:szCs w:val="22"/>
              </w:rPr>
              <w:t>Educational Broadband Service (currently fee exempt)</w:t>
            </w:r>
          </w:p>
        </w:tc>
        <w:tc>
          <w:tcPr>
            <w:tcW w:w="1757" w:type="dxa"/>
          </w:tcPr>
          <w:p w:rsidR="00362715" w:rsidRPr="00B7491E" w:rsidP="00473E48">
            <w:pPr>
              <w:jc w:val="center"/>
              <w:rPr>
                <w:szCs w:val="22"/>
              </w:rPr>
            </w:pPr>
            <w:r>
              <w:rPr>
                <w:szCs w:val="22"/>
              </w:rPr>
              <w:t>NO</w:t>
            </w:r>
          </w:p>
        </w:tc>
      </w:tr>
      <w:tr w:rsidTr="00B04898">
        <w:tblPrEx>
          <w:tblW w:w="0" w:type="auto"/>
          <w:tblLook w:val="04A0"/>
        </w:tblPrEx>
        <w:tc>
          <w:tcPr>
            <w:tcW w:w="1195" w:type="dxa"/>
          </w:tcPr>
          <w:p w:rsidR="00473E48" w:rsidRPr="00B7491E" w:rsidP="00473E48">
            <w:pPr>
              <w:rPr>
                <w:szCs w:val="22"/>
              </w:rPr>
            </w:pPr>
            <w:r w:rsidRPr="00B7491E">
              <w:rPr>
                <w:color w:val="000000"/>
                <w:szCs w:val="22"/>
              </w:rPr>
              <w:t>GC</w:t>
            </w:r>
          </w:p>
        </w:tc>
        <w:tc>
          <w:tcPr>
            <w:tcW w:w="6398" w:type="dxa"/>
          </w:tcPr>
          <w:p w:rsidR="00473E48" w:rsidRPr="00B7491E" w:rsidP="00473E48">
            <w:pPr>
              <w:rPr>
                <w:szCs w:val="22"/>
              </w:rPr>
            </w:pPr>
            <w:r w:rsidRPr="00B7491E">
              <w:rPr>
                <w:color w:val="000000"/>
                <w:szCs w:val="22"/>
              </w:rPr>
              <w:t>929-931 MHz Bands, Auctioned</w:t>
            </w:r>
          </w:p>
        </w:tc>
        <w:tc>
          <w:tcPr>
            <w:tcW w:w="1757" w:type="dxa"/>
          </w:tcPr>
          <w:p w:rsidR="00473E48" w:rsidRPr="00B7491E" w:rsidP="00473E48">
            <w:pPr>
              <w:jc w:val="center"/>
              <w:rPr>
                <w:szCs w:val="22"/>
              </w:rPr>
            </w:pPr>
            <w:r w:rsidRPr="00B7491E">
              <w:rPr>
                <w:szCs w:val="22"/>
              </w:rPr>
              <w:t>NO</w:t>
            </w:r>
          </w:p>
        </w:tc>
      </w:tr>
      <w:tr w:rsidTr="00B04898">
        <w:tblPrEx>
          <w:tblW w:w="0" w:type="auto"/>
          <w:tblLook w:val="04A0"/>
        </w:tblPrEx>
        <w:tc>
          <w:tcPr>
            <w:tcW w:w="1195" w:type="dxa"/>
          </w:tcPr>
          <w:p w:rsidR="00473E48" w:rsidRPr="00B7491E" w:rsidP="00473E48">
            <w:pPr>
              <w:rPr>
                <w:szCs w:val="22"/>
              </w:rPr>
            </w:pPr>
            <w:r w:rsidRPr="00B7491E">
              <w:rPr>
                <w:color w:val="000000"/>
                <w:szCs w:val="22"/>
              </w:rPr>
              <w:t>LD</w:t>
            </w:r>
          </w:p>
        </w:tc>
        <w:tc>
          <w:tcPr>
            <w:tcW w:w="6398" w:type="dxa"/>
          </w:tcPr>
          <w:p w:rsidR="00473E48" w:rsidRPr="00B7491E" w:rsidP="00473E48">
            <w:pPr>
              <w:rPr>
                <w:szCs w:val="22"/>
              </w:rPr>
            </w:pPr>
            <w:r w:rsidRPr="00B7491E">
              <w:rPr>
                <w:color w:val="000000"/>
                <w:szCs w:val="22"/>
              </w:rPr>
              <w:t>Local Multipoint Distribution Service</w:t>
            </w:r>
          </w:p>
        </w:tc>
        <w:tc>
          <w:tcPr>
            <w:tcW w:w="1757" w:type="dxa"/>
          </w:tcPr>
          <w:p w:rsidR="00473E48" w:rsidRPr="00B7491E" w:rsidP="00473E48">
            <w:pPr>
              <w:jc w:val="center"/>
              <w:rPr>
                <w:szCs w:val="22"/>
              </w:rPr>
            </w:pPr>
            <w:r w:rsidRPr="00B7491E">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LS</w:t>
            </w:r>
          </w:p>
        </w:tc>
        <w:tc>
          <w:tcPr>
            <w:tcW w:w="6398" w:type="dxa"/>
          </w:tcPr>
          <w:tbl>
            <w:tblPr>
              <w:tblW w:w="0" w:type="auto"/>
              <w:tblCellSpacing w:w="0" w:type="dxa"/>
              <w:tblCellMar>
                <w:top w:w="45" w:type="dxa"/>
                <w:left w:w="45" w:type="dxa"/>
                <w:bottom w:w="45" w:type="dxa"/>
                <w:right w:w="45" w:type="dxa"/>
              </w:tblCellMar>
              <w:tblLook w:val="04A0"/>
            </w:tblPr>
            <w:tblGrid>
              <w:gridCol w:w="5595"/>
            </w:tblGrid>
            <w:tr w:rsidTr="00B04898">
              <w:tblPrEx>
                <w:tblW w:w="0" w:type="auto"/>
                <w:tblCellSpacing w:w="0" w:type="dxa"/>
                <w:tblCellMar>
                  <w:top w:w="45" w:type="dxa"/>
                  <w:left w:w="45" w:type="dxa"/>
                  <w:bottom w:w="45" w:type="dxa"/>
                  <w:right w:w="45" w:type="dxa"/>
                </w:tblCellMar>
                <w:tblLook w:val="04A0"/>
              </w:tblPrEx>
              <w:trPr>
                <w:tblCellSpacing w:w="0" w:type="dxa"/>
              </w:trPr>
              <w:tc>
                <w:tcPr>
                  <w:tcW w:w="5595" w:type="dxa"/>
                  <w:vAlign w:val="center"/>
                  <w:hideMark/>
                </w:tcPr>
                <w:p w:rsidR="00473E48" w:rsidRPr="0059512C" w:rsidP="00473E48">
                  <w:pPr>
                    <w:rPr>
                      <w:szCs w:val="22"/>
                    </w:rPr>
                  </w:pPr>
                  <w:r w:rsidRPr="0059512C">
                    <w:rPr>
                      <w:szCs w:val="22"/>
                    </w:rPr>
                    <w:t xml:space="preserve">Location and </w:t>
                  </w:r>
                  <w:r w:rsidRPr="0059512C">
                    <w:rPr>
                      <w:szCs w:val="22"/>
                    </w:rPr>
                    <w:t>Monitoring Service, Multilateration (LMS)</w:t>
                  </w:r>
                </w:p>
              </w:tc>
            </w:tr>
          </w:tbl>
          <w:p w:rsidR="00473E48" w:rsidRPr="0059512C" w:rsidP="00473E48">
            <w:pPr>
              <w:rPr>
                <w:szCs w:val="22"/>
              </w:rPr>
            </w:pP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MS</w:t>
            </w:r>
          </w:p>
        </w:tc>
        <w:tc>
          <w:tcPr>
            <w:tcW w:w="6398" w:type="dxa"/>
          </w:tcPr>
          <w:p w:rsidR="00473E48" w:rsidRPr="0059512C" w:rsidP="00473E48">
            <w:pPr>
              <w:rPr>
                <w:szCs w:val="22"/>
              </w:rPr>
            </w:pPr>
            <w:r w:rsidRPr="0059512C">
              <w:rPr>
                <w:color w:val="000000"/>
                <w:szCs w:val="22"/>
              </w:rPr>
              <w:t>Multiple Address Service, Auctioned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PC</w:t>
            </w:r>
          </w:p>
        </w:tc>
        <w:tc>
          <w:tcPr>
            <w:tcW w:w="6398" w:type="dxa"/>
          </w:tcPr>
          <w:p w:rsidR="00473E48" w:rsidRPr="0059512C" w:rsidP="00473E48">
            <w:pPr>
              <w:rPr>
                <w:szCs w:val="22"/>
              </w:rPr>
            </w:pPr>
            <w:r w:rsidRPr="0059512C">
              <w:rPr>
                <w:color w:val="000000"/>
                <w:szCs w:val="22"/>
              </w:rPr>
              <w:t>Public Coast Stations, Auctioned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color w:val="000000"/>
                <w:szCs w:val="22"/>
              </w:rPr>
            </w:pPr>
            <w:r w:rsidRPr="0059512C">
              <w:rPr>
                <w:color w:val="000000"/>
                <w:szCs w:val="22"/>
              </w:rPr>
              <w:t>PL</w:t>
            </w:r>
          </w:p>
        </w:tc>
        <w:tc>
          <w:tcPr>
            <w:tcW w:w="6398" w:type="dxa"/>
          </w:tcPr>
          <w:p w:rsidR="00473E48" w:rsidRPr="0059512C" w:rsidP="00473E48">
            <w:pPr>
              <w:rPr>
                <w:color w:val="000000"/>
                <w:szCs w:val="22"/>
              </w:rPr>
            </w:pPr>
            <w:r w:rsidRPr="0059512C">
              <w:rPr>
                <w:color w:val="000000"/>
                <w:szCs w:val="22"/>
              </w:rPr>
              <w:t>3.5 GHz, Auctioned</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QA</w:t>
            </w:r>
          </w:p>
        </w:tc>
        <w:tc>
          <w:tcPr>
            <w:tcW w:w="6398" w:type="dxa"/>
          </w:tcPr>
          <w:p w:rsidR="00473E48" w:rsidRPr="0059512C" w:rsidP="00473E48">
            <w:pPr>
              <w:rPr>
                <w:szCs w:val="22"/>
              </w:rPr>
            </w:pPr>
            <w:r w:rsidRPr="0059512C">
              <w:rPr>
                <w:color w:val="000000"/>
                <w:szCs w:val="22"/>
              </w:rPr>
              <w:t>220-222 MHz Band, Auctioned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color w:val="000000"/>
                <w:szCs w:val="22"/>
              </w:rPr>
            </w:pPr>
            <w:r w:rsidRPr="0059512C">
              <w:rPr>
                <w:color w:val="000000"/>
                <w:szCs w:val="22"/>
              </w:rPr>
              <w:t>TC</w:t>
            </w:r>
          </w:p>
        </w:tc>
        <w:tc>
          <w:tcPr>
            <w:tcW w:w="6398" w:type="dxa"/>
          </w:tcPr>
          <w:p w:rsidR="00473E48" w:rsidRPr="0059512C" w:rsidP="00473E48">
            <w:pPr>
              <w:rPr>
                <w:color w:val="000000"/>
                <w:szCs w:val="22"/>
              </w:rPr>
            </w:pPr>
            <w:r w:rsidRPr="0059512C">
              <w:rPr>
                <w:color w:val="000000"/>
                <w:szCs w:val="22"/>
              </w:rPr>
              <w:t>MSS ATC Leasing</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TN</w:t>
            </w:r>
          </w:p>
        </w:tc>
        <w:tc>
          <w:tcPr>
            <w:tcW w:w="6398" w:type="dxa"/>
          </w:tcPr>
          <w:p w:rsidR="00473E48" w:rsidRPr="0059512C" w:rsidP="00473E48">
            <w:pPr>
              <w:rPr>
                <w:szCs w:val="22"/>
              </w:rPr>
            </w:pPr>
            <w:r w:rsidRPr="0059512C">
              <w:rPr>
                <w:color w:val="000000"/>
                <w:szCs w:val="22"/>
              </w:rPr>
              <w:t>39 GHz, Auctioned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TZ</w:t>
            </w:r>
          </w:p>
        </w:tc>
        <w:tc>
          <w:tcPr>
            <w:tcW w:w="6398" w:type="dxa"/>
          </w:tcPr>
          <w:p w:rsidR="00473E48" w:rsidRPr="0059512C" w:rsidP="00473E48">
            <w:pPr>
              <w:rPr>
                <w:szCs w:val="22"/>
              </w:rPr>
            </w:pPr>
            <w:r w:rsidRPr="0059512C">
              <w:rPr>
                <w:color w:val="000000"/>
                <w:szCs w:val="22"/>
              </w:rPr>
              <w:t xml:space="preserve">24 </w:t>
            </w:r>
            <w:r w:rsidRPr="0059512C">
              <w:rPr>
                <w:color w:val="000000"/>
                <w:szCs w:val="22"/>
              </w:rPr>
              <w:t>GHz Service</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color w:val="000000"/>
                <w:szCs w:val="22"/>
              </w:rPr>
            </w:pPr>
            <w:r w:rsidRPr="0059512C">
              <w:rPr>
                <w:color w:val="000000"/>
                <w:szCs w:val="22"/>
              </w:rPr>
              <w:t>UU</w:t>
            </w:r>
          </w:p>
        </w:tc>
        <w:tc>
          <w:tcPr>
            <w:tcW w:w="6398" w:type="dxa"/>
          </w:tcPr>
          <w:p w:rsidR="00473E48" w:rsidRPr="0059512C" w:rsidP="00473E48">
            <w:pPr>
              <w:rPr>
                <w:color w:val="000000"/>
                <w:szCs w:val="22"/>
              </w:rPr>
            </w:pPr>
            <w:r w:rsidRPr="0059512C">
              <w:rPr>
                <w:color w:val="000000"/>
                <w:szCs w:val="22"/>
              </w:rPr>
              <w:t>Upper Microwave Flexible Use Service</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WS</w:t>
            </w:r>
          </w:p>
        </w:tc>
        <w:tc>
          <w:tcPr>
            <w:tcW w:w="6398" w:type="dxa"/>
          </w:tcPr>
          <w:p w:rsidR="00473E48" w:rsidRPr="0059512C" w:rsidP="00473E48">
            <w:pPr>
              <w:rPr>
                <w:szCs w:val="22"/>
              </w:rPr>
            </w:pPr>
            <w:r w:rsidRPr="0059512C">
              <w:rPr>
                <w:color w:val="000000"/>
                <w:szCs w:val="22"/>
              </w:rPr>
              <w:t>Wireless Communications Service</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color w:val="000000"/>
                <w:szCs w:val="22"/>
              </w:rPr>
            </w:pPr>
            <w:r w:rsidRPr="0059512C">
              <w:rPr>
                <w:color w:val="000000"/>
                <w:szCs w:val="22"/>
              </w:rPr>
              <w:t>WT</w:t>
            </w:r>
          </w:p>
        </w:tc>
        <w:tc>
          <w:tcPr>
            <w:tcW w:w="6398" w:type="dxa"/>
          </w:tcPr>
          <w:p w:rsidR="00473E48" w:rsidRPr="0059512C" w:rsidP="00473E48">
            <w:pPr>
              <w:rPr>
                <w:color w:val="000000"/>
                <w:szCs w:val="22"/>
              </w:rPr>
            </w:pPr>
            <w:r w:rsidRPr="0059512C">
              <w:rPr>
                <w:color w:val="000000"/>
                <w:szCs w:val="22"/>
              </w:rPr>
              <w:t>600 MHz Band</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WU</w:t>
            </w:r>
          </w:p>
        </w:tc>
        <w:tc>
          <w:tcPr>
            <w:tcW w:w="6398" w:type="dxa"/>
          </w:tcPr>
          <w:p w:rsidR="00473E48" w:rsidRPr="0059512C" w:rsidP="00473E48">
            <w:pPr>
              <w:rPr>
                <w:szCs w:val="22"/>
              </w:rPr>
            </w:pPr>
            <w:r w:rsidRPr="0059512C">
              <w:rPr>
                <w:color w:val="000000"/>
                <w:szCs w:val="22"/>
              </w:rPr>
              <w:t>700 MHz Upper Band (Block C)</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WX</w:t>
            </w:r>
          </w:p>
        </w:tc>
        <w:tc>
          <w:tcPr>
            <w:tcW w:w="6398" w:type="dxa"/>
          </w:tcPr>
          <w:p w:rsidR="00473E48" w:rsidRPr="0059512C" w:rsidP="00473E48">
            <w:pPr>
              <w:rPr>
                <w:szCs w:val="22"/>
              </w:rPr>
            </w:pPr>
            <w:r w:rsidRPr="0059512C">
              <w:rPr>
                <w:color w:val="000000"/>
                <w:szCs w:val="22"/>
              </w:rPr>
              <w:t>700 MHz Guard Band</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WY</w:t>
            </w:r>
          </w:p>
        </w:tc>
        <w:tc>
          <w:tcPr>
            <w:tcW w:w="6398" w:type="dxa"/>
          </w:tcPr>
          <w:p w:rsidR="00473E48" w:rsidRPr="0059512C" w:rsidP="00473E48">
            <w:pPr>
              <w:rPr>
                <w:szCs w:val="22"/>
              </w:rPr>
            </w:pPr>
            <w:r w:rsidRPr="0059512C">
              <w:rPr>
                <w:color w:val="000000"/>
                <w:szCs w:val="22"/>
              </w:rPr>
              <w:t>700 MHz Lower Band (Blocks A, B, E)</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WZ</w:t>
            </w:r>
          </w:p>
        </w:tc>
        <w:tc>
          <w:tcPr>
            <w:tcW w:w="6398" w:type="dxa"/>
          </w:tcPr>
          <w:p w:rsidR="00473E48" w:rsidRPr="0059512C" w:rsidP="00473E48">
            <w:pPr>
              <w:rPr>
                <w:szCs w:val="22"/>
              </w:rPr>
            </w:pPr>
            <w:r w:rsidRPr="0059512C">
              <w:rPr>
                <w:color w:val="000000"/>
                <w:szCs w:val="22"/>
              </w:rPr>
              <w:t xml:space="preserve">700 MHz Lower Band </w:t>
            </w:r>
            <w:r w:rsidRPr="0059512C">
              <w:rPr>
                <w:color w:val="000000"/>
                <w:szCs w:val="22"/>
              </w:rPr>
              <w:t>(Blocks C,D)</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1195" w:type="dxa"/>
          </w:tcPr>
          <w:p w:rsidR="00473E48" w:rsidRPr="0059512C" w:rsidP="00473E48">
            <w:pPr>
              <w:rPr>
                <w:szCs w:val="22"/>
              </w:rPr>
            </w:pPr>
            <w:r w:rsidRPr="0059512C">
              <w:rPr>
                <w:color w:val="000000"/>
                <w:szCs w:val="22"/>
              </w:rPr>
              <w:t>YC</w:t>
            </w:r>
          </w:p>
        </w:tc>
        <w:tc>
          <w:tcPr>
            <w:tcW w:w="6398" w:type="dxa"/>
          </w:tcPr>
          <w:p w:rsidR="00473E48" w:rsidRPr="0059512C" w:rsidP="00473E48">
            <w:pPr>
              <w:rPr>
                <w:szCs w:val="22"/>
              </w:rPr>
            </w:pPr>
            <w:r w:rsidRPr="0059512C">
              <w:rPr>
                <w:color w:val="000000"/>
                <w:szCs w:val="22"/>
              </w:rPr>
              <w:t>SMR, 806-821/851-866 MHz, Auctioned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YD</w:t>
            </w:r>
          </w:p>
        </w:tc>
        <w:tc>
          <w:tcPr>
            <w:tcW w:w="6398" w:type="dxa"/>
          </w:tcPr>
          <w:p w:rsidR="00473E48" w:rsidRPr="0059512C" w:rsidP="00473E48">
            <w:pPr>
              <w:rPr>
                <w:szCs w:val="22"/>
              </w:rPr>
            </w:pPr>
            <w:r w:rsidRPr="0059512C">
              <w:rPr>
                <w:color w:val="000000"/>
                <w:szCs w:val="22"/>
              </w:rPr>
              <w:t>SMR, 896-901/935-940 MHz, Auctioned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YH</w:t>
            </w:r>
          </w:p>
        </w:tc>
        <w:tc>
          <w:tcPr>
            <w:tcW w:w="6398" w:type="dxa"/>
          </w:tcPr>
          <w:p w:rsidR="00473E48" w:rsidRPr="0059512C" w:rsidP="00473E48">
            <w:pPr>
              <w:rPr>
                <w:szCs w:val="22"/>
              </w:rPr>
            </w:pPr>
            <w:r w:rsidRPr="0059512C">
              <w:rPr>
                <w:color w:val="000000"/>
                <w:szCs w:val="22"/>
              </w:rPr>
              <w:t>SMR, 806-821/851-866 MHz, Auctioned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ZV</w:t>
            </w:r>
          </w:p>
        </w:tc>
        <w:tc>
          <w:tcPr>
            <w:tcW w:w="6398" w:type="dxa"/>
          </w:tcPr>
          <w:p w:rsidR="00473E48" w:rsidRPr="0059512C" w:rsidP="00473E48">
            <w:pPr>
              <w:rPr>
                <w:szCs w:val="22"/>
              </w:rPr>
            </w:pPr>
            <w:r w:rsidRPr="0059512C">
              <w:rPr>
                <w:color w:val="000000"/>
                <w:szCs w:val="22"/>
              </w:rPr>
              <w:t>218-219 MHz</w:t>
            </w:r>
          </w:p>
        </w:tc>
        <w:tc>
          <w:tcPr>
            <w:tcW w:w="1757" w:type="dxa"/>
          </w:tcPr>
          <w:p w:rsidR="00473E48" w:rsidRPr="0059512C" w:rsidP="00473E48">
            <w:pPr>
              <w:jc w:val="center"/>
              <w:rPr>
                <w:szCs w:val="22"/>
              </w:rPr>
            </w:pPr>
            <w:r w:rsidRPr="0059512C">
              <w:rPr>
                <w:szCs w:val="22"/>
              </w:rPr>
              <w:t>NO</w:t>
            </w:r>
          </w:p>
        </w:tc>
      </w:tr>
      <w:tr w:rsidTr="00B04898">
        <w:tblPrEx>
          <w:tblW w:w="0" w:type="auto"/>
          <w:tblLook w:val="04A0"/>
        </w:tblPrEx>
        <w:tc>
          <w:tcPr>
            <w:tcW w:w="9350" w:type="dxa"/>
            <w:gridSpan w:val="3"/>
          </w:tcPr>
          <w:p w:rsidR="00473E48" w:rsidRPr="0059512C" w:rsidP="00473E48">
            <w:pPr>
              <w:rPr>
                <w:szCs w:val="22"/>
              </w:rPr>
            </w:pPr>
          </w:p>
        </w:tc>
      </w:tr>
      <w:tr w:rsidTr="00B04898">
        <w:tblPrEx>
          <w:tblW w:w="0" w:type="auto"/>
          <w:tblLook w:val="04A0"/>
        </w:tblPrEx>
        <w:tc>
          <w:tcPr>
            <w:tcW w:w="9350" w:type="dxa"/>
            <w:gridSpan w:val="3"/>
            <w:shd w:val="clear" w:color="auto" w:fill="BFBFBF" w:themeFill="background1" w:themeFillShade="BF"/>
          </w:tcPr>
          <w:p w:rsidR="00473E48" w:rsidRPr="0059512C" w:rsidP="00473E48">
            <w:pPr>
              <w:jc w:val="center"/>
              <w:rPr>
                <w:szCs w:val="22"/>
              </w:rPr>
            </w:pPr>
            <w:r w:rsidRPr="0059512C">
              <w:rPr>
                <w:szCs w:val="22"/>
              </w:rPr>
              <w:t>SITE-BASED RADIO SERVICES</w:t>
            </w:r>
          </w:p>
        </w:tc>
      </w:tr>
      <w:tr w:rsidTr="00B04898">
        <w:tblPrEx>
          <w:tblW w:w="0" w:type="auto"/>
          <w:tblLook w:val="04A0"/>
        </w:tblPrEx>
        <w:tc>
          <w:tcPr>
            <w:tcW w:w="1195" w:type="dxa"/>
          </w:tcPr>
          <w:p w:rsidR="00473E48" w:rsidRPr="0059512C" w:rsidP="00473E48">
            <w:pPr>
              <w:rPr>
                <w:szCs w:val="22"/>
              </w:rPr>
            </w:pPr>
            <w:r w:rsidRPr="0059512C">
              <w:rPr>
                <w:color w:val="000000"/>
                <w:szCs w:val="22"/>
              </w:rPr>
              <w:t>AA</w:t>
            </w:r>
          </w:p>
        </w:tc>
        <w:tc>
          <w:tcPr>
            <w:tcW w:w="6398" w:type="dxa"/>
          </w:tcPr>
          <w:p w:rsidR="00473E48" w:rsidRPr="0059512C" w:rsidP="00473E48">
            <w:pPr>
              <w:rPr>
                <w:szCs w:val="22"/>
              </w:rPr>
            </w:pPr>
            <w:r w:rsidRPr="0059512C">
              <w:rPr>
                <w:color w:val="000000"/>
                <w:szCs w:val="22"/>
              </w:rPr>
              <w:t>Aviation Auxiliary Group</w:t>
            </w:r>
          </w:p>
        </w:tc>
        <w:tc>
          <w:tcPr>
            <w:tcW w:w="1757" w:type="dxa"/>
          </w:tcPr>
          <w:p w:rsidR="00473E48" w:rsidRPr="0059512C" w:rsidP="000C4120">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AB</w:t>
            </w:r>
          </w:p>
        </w:tc>
        <w:tc>
          <w:tcPr>
            <w:tcW w:w="6398" w:type="dxa"/>
          </w:tcPr>
          <w:p w:rsidR="00473E48" w:rsidRPr="0059512C" w:rsidP="00473E48">
            <w:pPr>
              <w:rPr>
                <w:szCs w:val="22"/>
              </w:rPr>
            </w:pPr>
            <w:r w:rsidRPr="0059512C">
              <w:rPr>
                <w:color w:val="000000"/>
                <w:szCs w:val="22"/>
              </w:rPr>
              <w:t xml:space="preserve">Aural </w:t>
            </w:r>
            <w:r w:rsidRPr="0059512C">
              <w:rPr>
                <w:color w:val="000000"/>
                <w:szCs w:val="22"/>
              </w:rPr>
              <w:t>Microwave Booster</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AF</w:t>
            </w:r>
          </w:p>
        </w:tc>
        <w:tc>
          <w:tcPr>
            <w:tcW w:w="6398" w:type="dxa"/>
          </w:tcPr>
          <w:p w:rsidR="00473E48" w:rsidRPr="0059512C" w:rsidP="00473E48">
            <w:pPr>
              <w:rPr>
                <w:szCs w:val="22"/>
              </w:rPr>
            </w:pPr>
            <w:r w:rsidRPr="0059512C">
              <w:rPr>
                <w:color w:val="000000"/>
                <w:szCs w:val="22"/>
              </w:rPr>
              <w:t>Aeronautical and Fixed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AI</w:t>
            </w:r>
          </w:p>
        </w:tc>
        <w:tc>
          <w:tcPr>
            <w:tcW w:w="6398" w:type="dxa"/>
          </w:tcPr>
          <w:p w:rsidR="00473E48" w:rsidRPr="0059512C" w:rsidP="00473E48">
            <w:pPr>
              <w:rPr>
                <w:szCs w:val="22"/>
              </w:rPr>
            </w:pPr>
            <w:r w:rsidRPr="0059512C">
              <w:rPr>
                <w:color w:val="000000"/>
                <w:szCs w:val="22"/>
              </w:rPr>
              <w:t>Aural Intercity Relay</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AR</w:t>
            </w:r>
          </w:p>
        </w:tc>
        <w:tc>
          <w:tcPr>
            <w:tcW w:w="6398" w:type="dxa"/>
          </w:tcPr>
          <w:p w:rsidR="00473E48" w:rsidRPr="0059512C" w:rsidP="00473E48">
            <w:pPr>
              <w:rPr>
                <w:szCs w:val="22"/>
              </w:rPr>
            </w:pPr>
            <w:r w:rsidRPr="0059512C">
              <w:rPr>
                <w:color w:val="000000"/>
                <w:szCs w:val="22"/>
              </w:rPr>
              <w:t>Aviation Radionavigation</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AS</w:t>
            </w:r>
          </w:p>
        </w:tc>
        <w:tc>
          <w:tcPr>
            <w:tcW w:w="6398" w:type="dxa"/>
          </w:tcPr>
          <w:p w:rsidR="00473E48" w:rsidRPr="0059512C" w:rsidP="00473E48">
            <w:pPr>
              <w:rPr>
                <w:szCs w:val="22"/>
              </w:rPr>
            </w:pPr>
            <w:r w:rsidRPr="0059512C">
              <w:rPr>
                <w:color w:val="000000"/>
                <w:szCs w:val="22"/>
              </w:rPr>
              <w:t>Aural Studio Transmitter Link</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CA</w:t>
            </w:r>
          </w:p>
        </w:tc>
        <w:tc>
          <w:tcPr>
            <w:tcW w:w="6398" w:type="dxa"/>
          </w:tcPr>
          <w:p w:rsidR="00473E48" w:rsidRPr="0059512C" w:rsidP="00473E48">
            <w:pPr>
              <w:rPr>
                <w:szCs w:val="22"/>
              </w:rPr>
            </w:pPr>
            <w:r w:rsidRPr="0059512C">
              <w:rPr>
                <w:color w:val="000000"/>
                <w:szCs w:val="22"/>
              </w:rPr>
              <w:t>Commercial Air-Ground Radiotelephone</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CB</w:t>
            </w:r>
          </w:p>
        </w:tc>
        <w:tc>
          <w:tcPr>
            <w:tcW w:w="6398" w:type="dxa"/>
          </w:tcPr>
          <w:p w:rsidR="00473E48" w:rsidRPr="0059512C" w:rsidP="00473E48">
            <w:pPr>
              <w:rPr>
                <w:szCs w:val="22"/>
              </w:rPr>
            </w:pPr>
            <w:r w:rsidRPr="0059512C">
              <w:rPr>
                <w:color w:val="000000"/>
                <w:szCs w:val="22"/>
              </w:rPr>
              <w:t>BETRS</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CD</w:t>
            </w:r>
          </w:p>
        </w:tc>
        <w:tc>
          <w:tcPr>
            <w:tcW w:w="6398" w:type="dxa"/>
          </w:tcPr>
          <w:p w:rsidR="00473E48" w:rsidRPr="0059512C" w:rsidP="00473E48">
            <w:pPr>
              <w:rPr>
                <w:szCs w:val="22"/>
              </w:rPr>
            </w:pPr>
            <w:r w:rsidRPr="0059512C">
              <w:rPr>
                <w:color w:val="000000"/>
                <w:szCs w:val="22"/>
              </w:rPr>
              <w:t>Paging and Radiotelephone</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CE</w:t>
            </w:r>
          </w:p>
        </w:tc>
        <w:tc>
          <w:tcPr>
            <w:tcW w:w="6398" w:type="dxa"/>
          </w:tcPr>
          <w:p w:rsidR="00473E48" w:rsidRPr="0059512C" w:rsidP="00473E48">
            <w:pPr>
              <w:rPr>
                <w:szCs w:val="22"/>
              </w:rPr>
            </w:pPr>
            <w:r w:rsidRPr="0059512C">
              <w:rPr>
                <w:color w:val="000000"/>
                <w:szCs w:val="22"/>
              </w:rPr>
              <w:t>Digital Electronic Message Service (Common Carrier)</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CF</w:t>
            </w:r>
          </w:p>
        </w:tc>
        <w:tc>
          <w:tcPr>
            <w:tcW w:w="6398" w:type="dxa"/>
          </w:tcPr>
          <w:p w:rsidR="00473E48" w:rsidRPr="0059512C" w:rsidP="00473E48">
            <w:pPr>
              <w:rPr>
                <w:szCs w:val="22"/>
              </w:rPr>
            </w:pPr>
            <w:r w:rsidRPr="0059512C">
              <w:rPr>
                <w:color w:val="000000"/>
                <w:szCs w:val="22"/>
              </w:rPr>
              <w:t>Common Carrier Fixed Point-to-Point Microwave</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CG</w:t>
            </w:r>
          </w:p>
        </w:tc>
        <w:tc>
          <w:tcPr>
            <w:tcW w:w="6398" w:type="dxa"/>
          </w:tcPr>
          <w:p w:rsidR="00473E48" w:rsidRPr="0059512C" w:rsidP="00473E48">
            <w:pPr>
              <w:rPr>
                <w:szCs w:val="22"/>
              </w:rPr>
            </w:pPr>
            <w:r w:rsidRPr="0059512C">
              <w:rPr>
                <w:color w:val="000000"/>
                <w:szCs w:val="22"/>
              </w:rPr>
              <w:t>General Aviation Air-ground Radiotelephone</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CJ</w:t>
            </w:r>
          </w:p>
        </w:tc>
        <w:tc>
          <w:tcPr>
            <w:tcW w:w="6398" w:type="dxa"/>
          </w:tcPr>
          <w:p w:rsidR="00473E48" w:rsidRPr="0059512C" w:rsidP="00473E48">
            <w:pPr>
              <w:rPr>
                <w:szCs w:val="22"/>
              </w:rPr>
            </w:pPr>
            <w:r w:rsidRPr="0059512C">
              <w:rPr>
                <w:color w:val="000000"/>
                <w:szCs w:val="22"/>
              </w:rPr>
              <w:t>Commercial Aviation Air-ground Radiotelephone</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CL</w:t>
            </w:r>
          </w:p>
        </w:tc>
        <w:tc>
          <w:tcPr>
            <w:tcW w:w="6398" w:type="dxa"/>
          </w:tcPr>
          <w:p w:rsidR="00473E48" w:rsidRPr="0059512C" w:rsidP="00473E48">
            <w:pPr>
              <w:rPr>
                <w:szCs w:val="22"/>
              </w:rPr>
            </w:pPr>
            <w:r w:rsidRPr="0059512C">
              <w:rPr>
                <w:color w:val="000000"/>
                <w:szCs w:val="22"/>
              </w:rPr>
              <w:t>Cellular</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CO</w:t>
            </w:r>
          </w:p>
        </w:tc>
        <w:tc>
          <w:tcPr>
            <w:tcW w:w="6398" w:type="dxa"/>
          </w:tcPr>
          <w:p w:rsidR="00473E48" w:rsidRPr="0059512C" w:rsidP="00473E48">
            <w:pPr>
              <w:rPr>
                <w:szCs w:val="22"/>
              </w:rPr>
            </w:pPr>
            <w:r w:rsidRPr="0059512C">
              <w:rPr>
                <w:color w:val="000000"/>
                <w:szCs w:val="22"/>
              </w:rPr>
              <w:t xml:space="preserve">Offshore </w:t>
            </w:r>
            <w:r w:rsidRPr="0059512C">
              <w:rPr>
                <w:color w:val="000000"/>
                <w:szCs w:val="22"/>
              </w:rPr>
              <w:t>Radiotelephone</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CR</w:t>
            </w:r>
          </w:p>
        </w:tc>
        <w:tc>
          <w:tcPr>
            <w:tcW w:w="6398" w:type="dxa"/>
          </w:tcPr>
          <w:p w:rsidR="00473E48" w:rsidRPr="0059512C" w:rsidP="00473E48">
            <w:pPr>
              <w:rPr>
                <w:szCs w:val="22"/>
              </w:rPr>
            </w:pPr>
            <w:r w:rsidRPr="0059512C">
              <w:rPr>
                <w:color w:val="000000"/>
                <w:szCs w:val="22"/>
              </w:rPr>
              <w:t>Rural Radiotelephone</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CT</w:t>
            </w:r>
          </w:p>
        </w:tc>
        <w:tc>
          <w:tcPr>
            <w:tcW w:w="6398" w:type="dxa"/>
          </w:tcPr>
          <w:p w:rsidR="00473E48" w:rsidRPr="0059512C" w:rsidP="00473E48">
            <w:pPr>
              <w:rPr>
                <w:szCs w:val="22"/>
              </w:rPr>
            </w:pPr>
            <w:r w:rsidRPr="0059512C">
              <w:rPr>
                <w:color w:val="000000"/>
                <w:szCs w:val="22"/>
              </w:rPr>
              <w:t>Local Television Transmission</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GB</w:t>
            </w:r>
          </w:p>
        </w:tc>
        <w:tc>
          <w:tcPr>
            <w:tcW w:w="6398" w:type="dxa"/>
          </w:tcPr>
          <w:p w:rsidR="00473E48" w:rsidRPr="0059512C" w:rsidP="00473E48">
            <w:pPr>
              <w:rPr>
                <w:szCs w:val="22"/>
              </w:rPr>
            </w:pPr>
            <w:r w:rsidRPr="0059512C">
              <w:rPr>
                <w:color w:val="000000"/>
                <w:szCs w:val="22"/>
              </w:rPr>
              <w:t>Business, 806-821/851-866 MHz, Conventional</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GI</w:t>
            </w:r>
          </w:p>
        </w:tc>
        <w:tc>
          <w:tcPr>
            <w:tcW w:w="6398" w:type="dxa"/>
          </w:tcPr>
          <w:p w:rsidR="00473E48" w:rsidRPr="0059512C" w:rsidP="00473E48">
            <w:pPr>
              <w:rPr>
                <w:szCs w:val="22"/>
              </w:rPr>
            </w:pPr>
            <w:r w:rsidRPr="0059512C">
              <w:rPr>
                <w:color w:val="000000"/>
                <w:szCs w:val="22"/>
              </w:rPr>
              <w:t>Other Indust/Land Transp, 896-901/935-940 MHz, Conv.</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F62CC6" w:rsidRPr="0059512C" w:rsidP="00F62CC6">
            <w:pPr>
              <w:rPr>
                <w:color w:val="000000"/>
                <w:szCs w:val="22"/>
              </w:rPr>
            </w:pPr>
            <w:r w:rsidRPr="0059512C">
              <w:rPr>
                <w:color w:val="000000"/>
                <w:szCs w:val="22"/>
              </w:rPr>
              <w:t>GJ</w:t>
            </w:r>
          </w:p>
        </w:tc>
        <w:tc>
          <w:tcPr>
            <w:tcW w:w="6398" w:type="dxa"/>
          </w:tcPr>
          <w:p w:rsidR="00F62CC6" w:rsidRPr="0059512C" w:rsidP="00F62CC6">
            <w:pPr>
              <w:rPr>
                <w:color w:val="000000"/>
                <w:szCs w:val="22"/>
              </w:rPr>
            </w:pPr>
            <w:r w:rsidRPr="0059512C">
              <w:rPr>
                <w:color w:val="000000"/>
                <w:szCs w:val="22"/>
              </w:rPr>
              <w:t>800 MHz Conventional B/ILT</w:t>
            </w:r>
          </w:p>
        </w:tc>
        <w:tc>
          <w:tcPr>
            <w:tcW w:w="1757" w:type="dxa"/>
          </w:tcPr>
          <w:p w:rsidR="00F62CC6" w:rsidRPr="0059512C" w:rsidP="00F62CC6">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GL</w:t>
            </w:r>
          </w:p>
        </w:tc>
        <w:tc>
          <w:tcPr>
            <w:tcW w:w="6398" w:type="dxa"/>
          </w:tcPr>
          <w:p w:rsidR="00473E48" w:rsidRPr="0059512C" w:rsidP="00473E48">
            <w:pPr>
              <w:rPr>
                <w:szCs w:val="22"/>
              </w:rPr>
            </w:pPr>
            <w:r w:rsidRPr="0059512C">
              <w:rPr>
                <w:color w:val="000000"/>
                <w:szCs w:val="22"/>
              </w:rPr>
              <w:t xml:space="preserve">900 MHz </w:t>
            </w:r>
            <w:r w:rsidRPr="0059512C">
              <w:rPr>
                <w:color w:val="000000"/>
                <w:szCs w:val="22"/>
              </w:rPr>
              <w:t>Convention</w:t>
            </w:r>
            <w:r w:rsidR="000B41BE">
              <w:rPr>
                <w:color w:val="000000"/>
                <w:szCs w:val="22"/>
              </w:rPr>
              <w:t>al</w:t>
            </w:r>
            <w:r w:rsidRPr="0059512C">
              <w:rPr>
                <w:color w:val="000000"/>
                <w:szCs w:val="22"/>
              </w:rPr>
              <w:t xml:space="preserve"> SMR (SMR, Site-Specific)</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GM</w:t>
            </w:r>
          </w:p>
        </w:tc>
        <w:tc>
          <w:tcPr>
            <w:tcW w:w="6398" w:type="dxa"/>
          </w:tcPr>
          <w:p w:rsidR="00473E48" w:rsidRPr="0059512C" w:rsidP="00473E48">
            <w:pPr>
              <w:rPr>
                <w:szCs w:val="22"/>
              </w:rPr>
            </w:pPr>
            <w:r w:rsidRPr="0059512C">
              <w:rPr>
                <w:color w:val="000000"/>
                <w:szCs w:val="22"/>
              </w:rPr>
              <w:t>800 MHz Convention</w:t>
            </w:r>
            <w:r w:rsidR="000B41BE">
              <w:rPr>
                <w:color w:val="000000"/>
                <w:szCs w:val="22"/>
              </w:rPr>
              <w:t>al</w:t>
            </w:r>
            <w:r w:rsidRPr="0059512C">
              <w:rPr>
                <w:color w:val="000000"/>
                <w:szCs w:val="22"/>
              </w:rPr>
              <w:t xml:space="preserve"> SMR (SMR, Site-Specific)</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GO</w:t>
            </w:r>
          </w:p>
        </w:tc>
        <w:tc>
          <w:tcPr>
            <w:tcW w:w="6398" w:type="dxa"/>
          </w:tcPr>
          <w:p w:rsidR="00473E48" w:rsidRPr="0059512C" w:rsidP="00473E48">
            <w:pPr>
              <w:rPr>
                <w:szCs w:val="22"/>
              </w:rPr>
            </w:pPr>
            <w:r w:rsidRPr="0059512C">
              <w:rPr>
                <w:color w:val="000000"/>
                <w:szCs w:val="22"/>
              </w:rPr>
              <w:t>Other Indust/Land Transp, 806-821/851-866 MHz, Conv.</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GR</w:t>
            </w:r>
          </w:p>
        </w:tc>
        <w:tc>
          <w:tcPr>
            <w:tcW w:w="6398" w:type="dxa"/>
          </w:tcPr>
          <w:p w:rsidR="00473E48" w:rsidRPr="0059512C" w:rsidP="00473E48">
            <w:pPr>
              <w:rPr>
                <w:szCs w:val="22"/>
              </w:rPr>
            </w:pPr>
            <w:r w:rsidRPr="0059512C">
              <w:rPr>
                <w:color w:val="000000"/>
                <w:szCs w:val="22"/>
              </w:rPr>
              <w:t>SMR, 896-901/935-940 MHz, Conventional</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GS</w:t>
            </w:r>
          </w:p>
        </w:tc>
        <w:tc>
          <w:tcPr>
            <w:tcW w:w="6398" w:type="dxa"/>
          </w:tcPr>
          <w:p w:rsidR="00473E48" w:rsidRPr="0059512C" w:rsidP="00473E48">
            <w:pPr>
              <w:rPr>
                <w:szCs w:val="22"/>
              </w:rPr>
            </w:pPr>
            <w:r w:rsidRPr="0059512C">
              <w:rPr>
                <w:color w:val="000000"/>
                <w:szCs w:val="22"/>
              </w:rPr>
              <w:t>Private Carrier Paging, 929-930 MHz</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GU</w:t>
            </w:r>
          </w:p>
        </w:tc>
        <w:tc>
          <w:tcPr>
            <w:tcW w:w="6398" w:type="dxa"/>
          </w:tcPr>
          <w:p w:rsidR="00473E48" w:rsidRPr="0059512C" w:rsidP="00473E48">
            <w:pPr>
              <w:rPr>
                <w:szCs w:val="22"/>
              </w:rPr>
            </w:pPr>
            <w:r w:rsidRPr="0059512C">
              <w:rPr>
                <w:color w:val="000000"/>
                <w:szCs w:val="22"/>
              </w:rPr>
              <w:t>Business, 896-901/935-940 MHz, Conventional</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GX</w:t>
            </w:r>
          </w:p>
        </w:tc>
        <w:tc>
          <w:tcPr>
            <w:tcW w:w="6398" w:type="dxa"/>
          </w:tcPr>
          <w:p w:rsidR="00473E48" w:rsidRPr="0059512C" w:rsidP="00473E48">
            <w:pPr>
              <w:rPr>
                <w:szCs w:val="22"/>
              </w:rPr>
            </w:pPr>
            <w:r w:rsidRPr="0059512C">
              <w:rPr>
                <w:color w:val="000000"/>
                <w:szCs w:val="22"/>
              </w:rPr>
              <w:t>SMR, 806-821/851-866 MHz, Conventional</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IG</w:t>
            </w:r>
          </w:p>
        </w:tc>
        <w:tc>
          <w:tcPr>
            <w:tcW w:w="6398" w:type="dxa"/>
          </w:tcPr>
          <w:p w:rsidR="00473E48" w:rsidRPr="0059512C" w:rsidP="00473E48">
            <w:pPr>
              <w:rPr>
                <w:szCs w:val="22"/>
              </w:rPr>
            </w:pPr>
            <w:r w:rsidRPr="0059512C">
              <w:rPr>
                <w:color w:val="000000"/>
                <w:szCs w:val="22"/>
              </w:rPr>
              <w:t>Industrial/Business Pool, Conventional</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IK</w:t>
            </w:r>
          </w:p>
        </w:tc>
        <w:tc>
          <w:tcPr>
            <w:tcW w:w="6398" w:type="dxa"/>
          </w:tcPr>
          <w:p w:rsidR="00473E48" w:rsidRPr="0059512C" w:rsidP="00473E48">
            <w:pPr>
              <w:rPr>
                <w:szCs w:val="22"/>
              </w:rPr>
            </w:pPr>
            <w:r w:rsidRPr="0059512C">
              <w:rPr>
                <w:color w:val="000000"/>
                <w:szCs w:val="22"/>
              </w:rPr>
              <w:t>Industrial/Business Pool, Commercial, Conventional</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LN</w:t>
            </w:r>
          </w:p>
        </w:tc>
        <w:tc>
          <w:tcPr>
            <w:tcW w:w="6398" w:type="dxa"/>
          </w:tcPr>
          <w:p w:rsidR="00473E48" w:rsidRPr="0059512C" w:rsidP="00473E48">
            <w:pPr>
              <w:rPr>
                <w:szCs w:val="22"/>
              </w:rPr>
            </w:pPr>
            <w:r w:rsidRPr="0059512C">
              <w:rPr>
                <w:color w:val="000000"/>
                <w:szCs w:val="22"/>
              </w:rPr>
              <w:t xml:space="preserve">902-928 MHz Location Narrowband </w:t>
            </w:r>
            <w:r w:rsidRPr="0059512C">
              <w:rPr>
                <w:color w:val="000000"/>
                <w:szCs w:val="22"/>
              </w:rPr>
              <w:t>(non-multilateration)</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LP</w:t>
            </w:r>
          </w:p>
        </w:tc>
        <w:tc>
          <w:tcPr>
            <w:tcW w:w="6398" w:type="dxa"/>
          </w:tcPr>
          <w:p w:rsidR="00473E48" w:rsidRPr="0059512C" w:rsidP="00473E48">
            <w:pPr>
              <w:rPr>
                <w:szCs w:val="22"/>
              </w:rPr>
            </w:pPr>
            <w:r w:rsidRPr="0059512C">
              <w:rPr>
                <w:color w:val="000000"/>
                <w:szCs w:val="22"/>
              </w:rPr>
              <w:t>Broadcast Auxiliary Low Power</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LV</w:t>
            </w:r>
          </w:p>
        </w:tc>
        <w:tc>
          <w:tcPr>
            <w:tcW w:w="6398" w:type="dxa"/>
          </w:tcPr>
          <w:p w:rsidR="00473E48" w:rsidRPr="0059512C" w:rsidP="00473E48">
            <w:pPr>
              <w:rPr>
                <w:szCs w:val="22"/>
              </w:rPr>
            </w:pPr>
            <w:r w:rsidRPr="0059512C">
              <w:rPr>
                <w:color w:val="000000"/>
                <w:szCs w:val="22"/>
              </w:rPr>
              <w:t>Low Power Wireless Assist Video Devices</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LW</w:t>
            </w:r>
          </w:p>
        </w:tc>
        <w:tc>
          <w:tcPr>
            <w:tcW w:w="6398" w:type="dxa"/>
          </w:tcPr>
          <w:p w:rsidR="00473E48" w:rsidRPr="0059512C" w:rsidP="00473E48">
            <w:pPr>
              <w:rPr>
                <w:szCs w:val="22"/>
              </w:rPr>
            </w:pPr>
            <w:r w:rsidRPr="0059512C">
              <w:rPr>
                <w:color w:val="000000"/>
                <w:szCs w:val="22"/>
              </w:rPr>
              <w:t>902-928 MHz Location Wideband (Grandfathered AVM)</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MA</w:t>
            </w:r>
          </w:p>
        </w:tc>
        <w:tc>
          <w:tcPr>
            <w:tcW w:w="6398" w:type="dxa"/>
          </w:tcPr>
          <w:p w:rsidR="00473E48" w:rsidRPr="0059512C" w:rsidP="00473E48">
            <w:pPr>
              <w:rPr>
                <w:szCs w:val="22"/>
              </w:rPr>
            </w:pPr>
            <w:r w:rsidRPr="0059512C">
              <w:rPr>
                <w:color w:val="000000"/>
                <w:szCs w:val="22"/>
              </w:rPr>
              <w:t>Marine Auxiliary Group</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MC</w:t>
            </w:r>
          </w:p>
        </w:tc>
        <w:tc>
          <w:tcPr>
            <w:tcW w:w="6398" w:type="dxa"/>
          </w:tcPr>
          <w:p w:rsidR="00473E48" w:rsidRPr="0059512C" w:rsidP="00473E48">
            <w:pPr>
              <w:rPr>
                <w:szCs w:val="22"/>
              </w:rPr>
            </w:pPr>
            <w:r w:rsidRPr="0059512C">
              <w:rPr>
                <w:color w:val="000000"/>
                <w:szCs w:val="22"/>
              </w:rPr>
              <w:t>Coastal Group</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color w:val="000000"/>
                <w:szCs w:val="22"/>
              </w:rPr>
            </w:pPr>
            <w:r w:rsidRPr="0059512C">
              <w:rPr>
                <w:color w:val="000000"/>
                <w:szCs w:val="22"/>
              </w:rPr>
              <w:t>MG</w:t>
            </w:r>
          </w:p>
        </w:tc>
        <w:tc>
          <w:tcPr>
            <w:tcW w:w="6398" w:type="dxa"/>
          </w:tcPr>
          <w:p w:rsidR="00473E48" w:rsidRPr="0059512C" w:rsidP="00473E48">
            <w:pPr>
              <w:rPr>
                <w:color w:val="000000"/>
                <w:szCs w:val="22"/>
              </w:rPr>
            </w:pPr>
            <w:r w:rsidRPr="0059512C">
              <w:rPr>
                <w:color w:val="000000"/>
                <w:szCs w:val="22"/>
              </w:rPr>
              <w:t xml:space="preserve">Microwave </w:t>
            </w:r>
            <w:r w:rsidRPr="0059512C">
              <w:rPr>
                <w:color w:val="000000"/>
                <w:szCs w:val="22"/>
              </w:rPr>
              <w:t>Industrial/Business Pool</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MK</w:t>
            </w:r>
          </w:p>
        </w:tc>
        <w:tc>
          <w:tcPr>
            <w:tcW w:w="6398" w:type="dxa"/>
          </w:tcPr>
          <w:p w:rsidR="00473E48" w:rsidRPr="0059512C" w:rsidP="00473E48">
            <w:pPr>
              <w:rPr>
                <w:szCs w:val="22"/>
              </w:rPr>
            </w:pPr>
            <w:r w:rsidRPr="0059512C">
              <w:rPr>
                <w:color w:val="000000"/>
                <w:szCs w:val="22"/>
              </w:rPr>
              <w:t>Alaska Group</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MM</w:t>
            </w:r>
          </w:p>
        </w:tc>
        <w:tc>
          <w:tcPr>
            <w:tcW w:w="6398" w:type="dxa"/>
          </w:tcPr>
          <w:p w:rsidR="00473E48" w:rsidRPr="0059512C" w:rsidP="00473E48">
            <w:pPr>
              <w:rPr>
                <w:szCs w:val="22"/>
              </w:rPr>
            </w:pPr>
            <w:r w:rsidRPr="0059512C">
              <w:rPr>
                <w:color w:val="000000"/>
                <w:szCs w:val="22"/>
              </w:rPr>
              <w:t>Millimeter Wave 70-80-90 GHz</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MR</w:t>
            </w:r>
          </w:p>
        </w:tc>
        <w:tc>
          <w:tcPr>
            <w:tcW w:w="6398" w:type="dxa"/>
          </w:tcPr>
          <w:p w:rsidR="00473E48" w:rsidRPr="0059512C" w:rsidP="00473E48">
            <w:pPr>
              <w:rPr>
                <w:szCs w:val="22"/>
              </w:rPr>
            </w:pPr>
            <w:r w:rsidRPr="0059512C">
              <w:rPr>
                <w:color w:val="000000"/>
                <w:szCs w:val="22"/>
              </w:rPr>
              <w:t>Marine Radiolocation Land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NC</w:t>
            </w:r>
          </w:p>
        </w:tc>
        <w:tc>
          <w:tcPr>
            <w:tcW w:w="6398" w:type="dxa"/>
          </w:tcPr>
          <w:p w:rsidR="00473E48" w:rsidRPr="0059512C" w:rsidP="00473E48">
            <w:pPr>
              <w:rPr>
                <w:szCs w:val="22"/>
              </w:rPr>
            </w:pPr>
            <w:r w:rsidRPr="0059512C">
              <w:rPr>
                <w:color w:val="000000"/>
                <w:szCs w:val="22"/>
              </w:rPr>
              <w:t>Nationwide Commercial 5 Channel, 220 MHz</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NN</w:t>
            </w:r>
          </w:p>
        </w:tc>
        <w:tc>
          <w:tcPr>
            <w:tcW w:w="6398" w:type="dxa"/>
          </w:tcPr>
          <w:p w:rsidR="00473E48" w:rsidRPr="0059512C" w:rsidP="00473E48">
            <w:pPr>
              <w:rPr>
                <w:szCs w:val="22"/>
              </w:rPr>
            </w:pPr>
            <w:r w:rsidRPr="0059512C">
              <w:rPr>
                <w:color w:val="000000"/>
                <w:szCs w:val="22"/>
              </w:rPr>
              <w:t>3650 – 3700 MHz</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PE</w:t>
            </w:r>
          </w:p>
        </w:tc>
        <w:tc>
          <w:tcPr>
            <w:tcW w:w="6398" w:type="dxa"/>
          </w:tcPr>
          <w:p w:rsidR="00473E48" w:rsidRPr="0059512C" w:rsidP="00473E48">
            <w:pPr>
              <w:rPr>
                <w:szCs w:val="22"/>
              </w:rPr>
            </w:pPr>
            <w:r w:rsidRPr="0059512C">
              <w:rPr>
                <w:color w:val="000000"/>
                <w:szCs w:val="22"/>
              </w:rPr>
              <w:t xml:space="preserve">Digital Electronic Message Service (Private </w:t>
            </w:r>
            <w:r w:rsidRPr="0059512C">
              <w:rPr>
                <w:color w:val="000000"/>
                <w:szCs w:val="22"/>
              </w:rPr>
              <w:t>Operational Fixed)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QD</w:t>
            </w:r>
          </w:p>
        </w:tc>
        <w:tc>
          <w:tcPr>
            <w:tcW w:w="6398" w:type="dxa"/>
          </w:tcPr>
          <w:p w:rsidR="00473E48" w:rsidRPr="0059512C" w:rsidP="00473E48">
            <w:pPr>
              <w:rPr>
                <w:szCs w:val="22"/>
              </w:rPr>
            </w:pPr>
            <w:r w:rsidRPr="0059512C">
              <w:rPr>
                <w:color w:val="000000"/>
                <w:szCs w:val="22"/>
              </w:rPr>
              <w:t>Non-Nationwide Data, 220 MHz</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QO</w:t>
            </w:r>
          </w:p>
        </w:tc>
        <w:tc>
          <w:tcPr>
            <w:tcW w:w="6398" w:type="dxa"/>
          </w:tcPr>
          <w:p w:rsidR="00473E48" w:rsidRPr="0059512C" w:rsidP="00473E48">
            <w:pPr>
              <w:rPr>
                <w:szCs w:val="22"/>
              </w:rPr>
            </w:pPr>
            <w:r w:rsidRPr="0059512C">
              <w:rPr>
                <w:color w:val="000000"/>
                <w:szCs w:val="22"/>
              </w:rPr>
              <w:t>Non-Nationwide Other, 220 MHz</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QQ</w:t>
            </w:r>
          </w:p>
        </w:tc>
        <w:tc>
          <w:tcPr>
            <w:tcW w:w="6398" w:type="dxa"/>
          </w:tcPr>
          <w:p w:rsidR="00473E48" w:rsidRPr="0059512C" w:rsidP="00473E48">
            <w:pPr>
              <w:rPr>
                <w:szCs w:val="22"/>
              </w:rPr>
            </w:pPr>
            <w:r w:rsidRPr="0059512C">
              <w:rPr>
                <w:color w:val="000000"/>
                <w:szCs w:val="22"/>
              </w:rPr>
              <w:t>Intelligent Transportation Service (Non-Public Safety)</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QT</w:t>
            </w:r>
          </w:p>
        </w:tc>
        <w:tc>
          <w:tcPr>
            <w:tcW w:w="6398" w:type="dxa"/>
          </w:tcPr>
          <w:p w:rsidR="00473E48" w:rsidRPr="0059512C" w:rsidP="00473E48">
            <w:pPr>
              <w:rPr>
                <w:szCs w:val="22"/>
              </w:rPr>
            </w:pPr>
            <w:r w:rsidRPr="0059512C">
              <w:rPr>
                <w:color w:val="000000"/>
                <w:szCs w:val="22"/>
              </w:rPr>
              <w:t>Non-Nationwide 5 Channel Trunked, 220 MHz</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RP</w:t>
            </w:r>
          </w:p>
        </w:tc>
        <w:tc>
          <w:tcPr>
            <w:tcW w:w="6398" w:type="dxa"/>
          </w:tcPr>
          <w:p w:rsidR="00473E48" w:rsidRPr="0059512C" w:rsidP="00473E48">
            <w:pPr>
              <w:rPr>
                <w:szCs w:val="22"/>
              </w:rPr>
            </w:pPr>
            <w:r w:rsidRPr="0059512C">
              <w:rPr>
                <w:color w:val="000000"/>
                <w:szCs w:val="22"/>
              </w:rPr>
              <w:t>Broadcast Auxiliary Remote Pickup</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RS</w:t>
            </w:r>
          </w:p>
        </w:tc>
        <w:tc>
          <w:tcPr>
            <w:tcW w:w="6398" w:type="dxa"/>
          </w:tcPr>
          <w:p w:rsidR="00473E48" w:rsidRPr="0059512C" w:rsidP="00473E48">
            <w:pPr>
              <w:rPr>
                <w:szCs w:val="22"/>
              </w:rPr>
            </w:pPr>
            <w:r w:rsidRPr="0059512C">
              <w:rPr>
                <w:color w:val="000000"/>
                <w:szCs w:val="22"/>
              </w:rPr>
              <w:t>Land Mobile Radiolocation</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TB</w:t>
            </w:r>
          </w:p>
        </w:tc>
        <w:tc>
          <w:tcPr>
            <w:tcW w:w="6398" w:type="dxa"/>
          </w:tcPr>
          <w:p w:rsidR="00473E48" w:rsidRPr="0059512C" w:rsidP="00473E48">
            <w:pPr>
              <w:rPr>
                <w:szCs w:val="22"/>
              </w:rPr>
            </w:pPr>
            <w:r w:rsidRPr="0059512C">
              <w:rPr>
                <w:color w:val="000000"/>
                <w:szCs w:val="22"/>
              </w:rPr>
              <w:t>TV Microwave Booster</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TI</w:t>
            </w:r>
          </w:p>
        </w:tc>
        <w:tc>
          <w:tcPr>
            <w:tcW w:w="6398" w:type="dxa"/>
          </w:tcPr>
          <w:p w:rsidR="00473E48" w:rsidRPr="0059512C" w:rsidP="00473E48">
            <w:pPr>
              <w:rPr>
                <w:szCs w:val="22"/>
              </w:rPr>
            </w:pPr>
            <w:r w:rsidRPr="0059512C">
              <w:rPr>
                <w:color w:val="000000"/>
                <w:szCs w:val="22"/>
              </w:rPr>
              <w:t>TV Intercity Relay</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TP</w:t>
            </w:r>
          </w:p>
        </w:tc>
        <w:tc>
          <w:tcPr>
            <w:tcW w:w="6398" w:type="dxa"/>
          </w:tcPr>
          <w:p w:rsidR="00473E48" w:rsidRPr="0059512C" w:rsidP="00473E48">
            <w:pPr>
              <w:rPr>
                <w:szCs w:val="22"/>
              </w:rPr>
            </w:pPr>
            <w:r w:rsidRPr="0059512C">
              <w:rPr>
                <w:color w:val="000000"/>
                <w:szCs w:val="22"/>
              </w:rPr>
              <w:t>TV Pickup</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TS</w:t>
            </w:r>
          </w:p>
        </w:tc>
        <w:tc>
          <w:tcPr>
            <w:tcW w:w="6398" w:type="dxa"/>
          </w:tcPr>
          <w:p w:rsidR="00473E48" w:rsidRPr="0059512C" w:rsidP="00473E48">
            <w:pPr>
              <w:rPr>
                <w:szCs w:val="22"/>
              </w:rPr>
            </w:pPr>
            <w:r w:rsidRPr="0059512C">
              <w:rPr>
                <w:color w:val="000000"/>
                <w:szCs w:val="22"/>
              </w:rPr>
              <w:t>TV Studio Transmitter Link</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TT</w:t>
            </w:r>
          </w:p>
        </w:tc>
        <w:tc>
          <w:tcPr>
            <w:tcW w:w="6398" w:type="dxa"/>
          </w:tcPr>
          <w:p w:rsidR="00473E48" w:rsidRPr="0059512C" w:rsidP="00473E48">
            <w:pPr>
              <w:rPr>
                <w:szCs w:val="22"/>
              </w:rPr>
            </w:pPr>
            <w:r w:rsidRPr="0059512C">
              <w:rPr>
                <w:color w:val="000000"/>
                <w:szCs w:val="22"/>
              </w:rPr>
              <w:t>TV Translator Relay</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WA</w:t>
            </w:r>
          </w:p>
        </w:tc>
        <w:tc>
          <w:tcPr>
            <w:tcW w:w="6398" w:type="dxa"/>
          </w:tcPr>
          <w:p w:rsidR="00473E48" w:rsidRPr="0059512C" w:rsidP="00473E48">
            <w:pPr>
              <w:rPr>
                <w:szCs w:val="22"/>
              </w:rPr>
            </w:pPr>
            <w:r w:rsidRPr="0059512C">
              <w:rPr>
                <w:color w:val="000000"/>
                <w:szCs w:val="22"/>
              </w:rPr>
              <w:t>Microwave Aviation</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WM</w:t>
            </w:r>
          </w:p>
        </w:tc>
        <w:tc>
          <w:tcPr>
            <w:tcW w:w="6398" w:type="dxa"/>
          </w:tcPr>
          <w:p w:rsidR="00473E48" w:rsidRPr="0059512C" w:rsidP="00473E48">
            <w:pPr>
              <w:rPr>
                <w:szCs w:val="22"/>
              </w:rPr>
            </w:pPr>
            <w:r w:rsidRPr="0059512C">
              <w:rPr>
                <w:color w:val="000000"/>
                <w:szCs w:val="22"/>
              </w:rPr>
              <w:t>Microwave Marine</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WR</w:t>
            </w:r>
          </w:p>
        </w:tc>
        <w:tc>
          <w:tcPr>
            <w:tcW w:w="6398" w:type="dxa"/>
          </w:tcPr>
          <w:p w:rsidR="00473E48" w:rsidRPr="0059512C" w:rsidP="00473E48">
            <w:pPr>
              <w:rPr>
                <w:szCs w:val="22"/>
              </w:rPr>
            </w:pPr>
            <w:r w:rsidRPr="0059512C">
              <w:rPr>
                <w:color w:val="000000"/>
                <w:szCs w:val="22"/>
              </w:rPr>
              <w:t xml:space="preserve">Microwave </w:t>
            </w:r>
            <w:r w:rsidRPr="0059512C">
              <w:rPr>
                <w:color w:val="000000"/>
                <w:szCs w:val="22"/>
              </w:rPr>
              <w:t>Radiolocation</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YB</w:t>
            </w:r>
          </w:p>
        </w:tc>
        <w:tc>
          <w:tcPr>
            <w:tcW w:w="6398" w:type="dxa"/>
          </w:tcPr>
          <w:p w:rsidR="00473E48" w:rsidRPr="0059512C" w:rsidP="00473E48">
            <w:pPr>
              <w:rPr>
                <w:szCs w:val="22"/>
              </w:rPr>
            </w:pPr>
            <w:r w:rsidRPr="0059512C">
              <w:rPr>
                <w:color w:val="000000"/>
                <w:szCs w:val="22"/>
              </w:rPr>
              <w:t>Business, 806-821/851-866 MHz, Trunked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YG</w:t>
            </w:r>
          </w:p>
        </w:tc>
        <w:tc>
          <w:tcPr>
            <w:tcW w:w="6398" w:type="dxa"/>
          </w:tcPr>
          <w:p w:rsidR="00473E48" w:rsidRPr="0059512C" w:rsidP="00473E48">
            <w:pPr>
              <w:rPr>
                <w:szCs w:val="22"/>
              </w:rPr>
            </w:pPr>
            <w:r w:rsidRPr="0059512C">
              <w:rPr>
                <w:color w:val="000000"/>
                <w:szCs w:val="22"/>
              </w:rPr>
              <w:t>Industrial/Business Pool, Trunked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YI</w:t>
            </w:r>
          </w:p>
        </w:tc>
        <w:tc>
          <w:tcPr>
            <w:tcW w:w="6398" w:type="dxa"/>
          </w:tcPr>
          <w:p w:rsidR="00473E48" w:rsidRPr="0059512C" w:rsidP="00473E48">
            <w:pPr>
              <w:rPr>
                <w:szCs w:val="22"/>
              </w:rPr>
            </w:pPr>
            <w:r w:rsidRPr="0059512C">
              <w:rPr>
                <w:color w:val="000000"/>
                <w:szCs w:val="22"/>
              </w:rPr>
              <w:t>Industrial/Business Pool, Trunked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YJ</w:t>
            </w:r>
          </w:p>
        </w:tc>
        <w:tc>
          <w:tcPr>
            <w:tcW w:w="6398" w:type="dxa"/>
          </w:tcPr>
          <w:p w:rsidR="00473E48" w:rsidRPr="0059512C" w:rsidP="00473E48">
            <w:pPr>
              <w:rPr>
                <w:szCs w:val="22"/>
              </w:rPr>
            </w:pPr>
            <w:r w:rsidRPr="0059512C">
              <w:rPr>
                <w:color w:val="000000"/>
                <w:szCs w:val="22"/>
              </w:rPr>
              <w:t>Business/Industrial/Land Trans, 809-824/854-869 MHz, Trunked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YK</w:t>
            </w:r>
          </w:p>
        </w:tc>
        <w:tc>
          <w:tcPr>
            <w:tcW w:w="6398" w:type="dxa"/>
          </w:tcPr>
          <w:p w:rsidR="00473E48" w:rsidRPr="0059512C" w:rsidP="00473E48">
            <w:pPr>
              <w:rPr>
                <w:szCs w:val="22"/>
              </w:rPr>
            </w:pPr>
            <w:r w:rsidRPr="0059512C">
              <w:rPr>
                <w:color w:val="000000"/>
                <w:szCs w:val="22"/>
              </w:rPr>
              <w:t>Industrial/Business Pool - Commercial, Trunked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F62CC6" w:rsidRPr="0059512C" w:rsidP="00F62CC6">
            <w:pPr>
              <w:rPr>
                <w:color w:val="000000"/>
                <w:szCs w:val="22"/>
              </w:rPr>
            </w:pPr>
            <w:r w:rsidRPr="0059512C">
              <w:rPr>
                <w:color w:val="000000"/>
                <w:szCs w:val="22"/>
              </w:rPr>
              <w:t>YL</w:t>
            </w:r>
          </w:p>
        </w:tc>
        <w:tc>
          <w:tcPr>
            <w:tcW w:w="6398" w:type="dxa"/>
          </w:tcPr>
          <w:p w:rsidR="00F62CC6" w:rsidRPr="0059512C" w:rsidP="00F62CC6">
            <w:pPr>
              <w:rPr>
                <w:color w:val="000000"/>
                <w:szCs w:val="22"/>
              </w:rPr>
            </w:pPr>
            <w:r w:rsidRPr="0059512C">
              <w:rPr>
                <w:color w:val="000000"/>
                <w:szCs w:val="22"/>
              </w:rPr>
              <w:t>900 MHz Trunked SMR</w:t>
            </w:r>
          </w:p>
        </w:tc>
        <w:tc>
          <w:tcPr>
            <w:tcW w:w="1757" w:type="dxa"/>
          </w:tcPr>
          <w:p w:rsidR="00F62CC6" w:rsidRPr="0059512C" w:rsidP="00F62CC6">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YM</w:t>
            </w:r>
          </w:p>
        </w:tc>
        <w:tc>
          <w:tcPr>
            <w:tcW w:w="6398" w:type="dxa"/>
          </w:tcPr>
          <w:p w:rsidR="00473E48" w:rsidRPr="0059512C" w:rsidP="00473E48">
            <w:pPr>
              <w:rPr>
                <w:szCs w:val="22"/>
              </w:rPr>
            </w:pPr>
            <w:r w:rsidRPr="0059512C">
              <w:rPr>
                <w:color w:val="000000"/>
                <w:szCs w:val="22"/>
              </w:rPr>
              <w:t>800 MHz Trunked SMR (SMR, Site-Specific)</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YO</w:t>
            </w:r>
          </w:p>
        </w:tc>
        <w:tc>
          <w:tcPr>
            <w:tcW w:w="6398" w:type="dxa"/>
          </w:tcPr>
          <w:p w:rsidR="00473E48" w:rsidRPr="0059512C" w:rsidP="00473E48">
            <w:pPr>
              <w:rPr>
                <w:szCs w:val="22"/>
              </w:rPr>
            </w:pPr>
            <w:r w:rsidRPr="0059512C">
              <w:rPr>
                <w:color w:val="000000"/>
                <w:szCs w:val="22"/>
              </w:rPr>
              <w:t>Other Indust/Land Transp. 806-821/851-866 MHz, Trunked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YS</w:t>
            </w:r>
          </w:p>
        </w:tc>
        <w:tc>
          <w:tcPr>
            <w:tcW w:w="6398" w:type="dxa"/>
          </w:tcPr>
          <w:p w:rsidR="00473E48" w:rsidRPr="0059512C" w:rsidP="00473E48">
            <w:pPr>
              <w:rPr>
                <w:szCs w:val="22"/>
              </w:rPr>
            </w:pPr>
            <w:r w:rsidRPr="0059512C">
              <w:rPr>
                <w:color w:val="000000"/>
                <w:szCs w:val="22"/>
              </w:rPr>
              <w:t>SMR, 896-901/935-940 MHz, Trunked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YU</w:t>
            </w:r>
          </w:p>
        </w:tc>
        <w:tc>
          <w:tcPr>
            <w:tcW w:w="6398" w:type="dxa"/>
          </w:tcPr>
          <w:p w:rsidR="00473E48" w:rsidRPr="0059512C" w:rsidP="00473E48">
            <w:pPr>
              <w:rPr>
                <w:szCs w:val="22"/>
              </w:rPr>
            </w:pPr>
            <w:r w:rsidRPr="0059512C">
              <w:rPr>
                <w:color w:val="000000"/>
                <w:szCs w:val="22"/>
              </w:rPr>
              <w:t xml:space="preserve">Business, </w:t>
            </w:r>
            <w:r w:rsidRPr="0059512C">
              <w:rPr>
                <w:color w:val="000000"/>
                <w:szCs w:val="22"/>
              </w:rPr>
              <w:t>896-901/935-940 MHz, Trunked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1195" w:type="dxa"/>
          </w:tcPr>
          <w:p w:rsidR="00473E48" w:rsidRPr="0059512C" w:rsidP="00473E48">
            <w:pPr>
              <w:rPr>
                <w:szCs w:val="22"/>
              </w:rPr>
            </w:pPr>
            <w:r w:rsidRPr="0059512C">
              <w:rPr>
                <w:color w:val="000000"/>
                <w:szCs w:val="22"/>
              </w:rPr>
              <w:t>YX</w:t>
            </w:r>
          </w:p>
        </w:tc>
        <w:tc>
          <w:tcPr>
            <w:tcW w:w="6398" w:type="dxa"/>
          </w:tcPr>
          <w:p w:rsidR="00473E48" w:rsidRPr="0059512C" w:rsidP="00473E48">
            <w:pPr>
              <w:rPr>
                <w:szCs w:val="22"/>
              </w:rPr>
            </w:pPr>
            <w:r w:rsidRPr="0059512C">
              <w:rPr>
                <w:color w:val="000000"/>
                <w:szCs w:val="22"/>
              </w:rPr>
              <w:t>SMR, 806-821/851-866 MHz, Trunked</w:t>
            </w:r>
          </w:p>
        </w:tc>
        <w:tc>
          <w:tcPr>
            <w:tcW w:w="1757" w:type="dxa"/>
          </w:tcPr>
          <w:p w:rsidR="00473E48" w:rsidRPr="0059512C" w:rsidP="00473E48">
            <w:pPr>
              <w:jc w:val="center"/>
              <w:rPr>
                <w:szCs w:val="22"/>
              </w:rPr>
            </w:pPr>
            <w:r w:rsidRPr="0059512C">
              <w:rPr>
                <w:szCs w:val="22"/>
              </w:rPr>
              <w:t>YES</w:t>
            </w:r>
          </w:p>
        </w:tc>
      </w:tr>
      <w:tr w:rsidTr="00B04898">
        <w:tblPrEx>
          <w:tblW w:w="0" w:type="auto"/>
          <w:tblLook w:val="04A0"/>
        </w:tblPrEx>
        <w:tc>
          <w:tcPr>
            <w:tcW w:w="9350" w:type="dxa"/>
            <w:gridSpan w:val="3"/>
          </w:tcPr>
          <w:p w:rsidR="00473E48" w:rsidRPr="0059512C" w:rsidP="00473E48">
            <w:pPr>
              <w:rPr>
                <w:szCs w:val="22"/>
              </w:rPr>
            </w:pPr>
          </w:p>
        </w:tc>
      </w:tr>
    </w:tbl>
    <w:p w:rsidR="000C1D23" w:rsidRPr="0059512C">
      <w:pPr>
        <w:widowControl/>
        <w:rPr>
          <w:b/>
          <w:szCs w:val="22"/>
        </w:rPr>
      </w:pPr>
    </w:p>
    <w:p w:rsidR="00F80CB1" w:rsidP="00CE4C9A">
      <w:pPr>
        <w:widowControl/>
        <w:rPr>
          <w:b/>
          <w:szCs w:val="22"/>
        </w:rPr>
      </w:pPr>
      <w:r>
        <w:rPr>
          <w:b/>
          <w:szCs w:val="22"/>
        </w:rPr>
        <w:br w:type="page"/>
      </w:r>
    </w:p>
    <w:p w:rsidR="001853C6" w:rsidRPr="001853C6" w:rsidP="001853C6">
      <w:pPr>
        <w:contextualSpacing/>
        <w:jc w:val="center"/>
        <w:rPr>
          <w:b/>
          <w:bCs/>
          <w:szCs w:val="22"/>
        </w:rPr>
      </w:pPr>
      <w:bookmarkStart w:id="554" w:name="_Hlk49248970"/>
      <w:r w:rsidRPr="001853C6">
        <w:rPr>
          <w:b/>
          <w:bCs/>
          <w:szCs w:val="22"/>
        </w:rPr>
        <w:t>STATEMENT OF</w:t>
      </w:r>
      <w:r w:rsidRPr="001853C6">
        <w:rPr>
          <w:b/>
          <w:bCs/>
          <w:szCs w:val="22"/>
        </w:rPr>
        <w:br/>
        <w:t>CHAIRMAN AJIT PAI</w:t>
      </w:r>
    </w:p>
    <w:p w:rsidR="001853C6" w:rsidRPr="001853C6" w:rsidP="001853C6">
      <w:pPr>
        <w:contextualSpacing/>
        <w:jc w:val="center"/>
        <w:rPr>
          <w:b/>
          <w:bCs/>
          <w:szCs w:val="22"/>
        </w:rPr>
      </w:pPr>
    </w:p>
    <w:p w:rsidR="001853C6" w:rsidRPr="001853C6" w:rsidP="001853C6">
      <w:pPr>
        <w:pStyle w:val="NoSpacing"/>
        <w:spacing w:after="240"/>
        <w:ind w:left="720" w:hanging="720"/>
        <w:rPr>
          <w:rFonts w:cs="Times New Roman"/>
          <w:spacing w:val="-2"/>
          <w:sz w:val="22"/>
        </w:rPr>
      </w:pPr>
      <w:r w:rsidRPr="001853C6">
        <w:rPr>
          <w:rFonts w:cs="Times New Roman"/>
          <w:sz w:val="22"/>
        </w:rPr>
        <w:t>Re:</w:t>
      </w:r>
      <w:r w:rsidRPr="001853C6">
        <w:rPr>
          <w:rFonts w:cs="Times New Roman"/>
          <w:sz w:val="22"/>
        </w:rPr>
        <w:tab/>
      </w:r>
      <w:r w:rsidRPr="001853C6">
        <w:rPr>
          <w:rFonts w:cs="Times New Roman"/>
          <w:i/>
          <w:iCs/>
          <w:spacing w:val="-2"/>
          <w:sz w:val="22"/>
        </w:rPr>
        <w:t>Amendment of the Schedule of Application Fees Set Forth in Sections 1.1102 through 1.1109 of the Commission’s Rules</w:t>
      </w:r>
      <w:r w:rsidRPr="001853C6">
        <w:rPr>
          <w:rFonts w:cs="Times New Roman"/>
          <w:spacing w:val="-2"/>
          <w:sz w:val="22"/>
        </w:rPr>
        <w:t>.</w:t>
      </w:r>
    </w:p>
    <w:p w:rsidR="001853C6" w:rsidRPr="001853C6" w:rsidP="001853C6">
      <w:pPr>
        <w:pStyle w:val="NoSpacing"/>
        <w:spacing w:after="120"/>
        <w:ind w:firstLine="720"/>
        <w:rPr>
          <w:rFonts w:cs="Times New Roman"/>
          <w:sz w:val="22"/>
        </w:rPr>
      </w:pPr>
      <w:r w:rsidRPr="001853C6">
        <w:rPr>
          <w:rFonts w:cs="Times New Roman"/>
          <w:spacing w:val="-2"/>
          <w:sz w:val="22"/>
        </w:rPr>
        <w:t>For the first time in more than 30 years, the Commission is proposing to update its framework for assessing and collecting application fees.  Congress recently granted us that authority in the RAY BAUM’S Act, but it limited our discretion in setting such f</w:t>
      </w:r>
      <w:r w:rsidRPr="001853C6">
        <w:rPr>
          <w:rFonts w:cs="Times New Roman"/>
          <w:spacing w:val="-2"/>
          <w:sz w:val="22"/>
        </w:rPr>
        <w:t xml:space="preserve">ees—we must impose fees on all “applications,” and we must set those fees at a level which allows us to “recover the </w:t>
      </w:r>
      <w:r w:rsidRPr="001853C6">
        <w:rPr>
          <w:rFonts w:cs="Times New Roman"/>
          <w:sz w:val="22"/>
        </w:rPr>
        <w:t>costs of the Commission to process applications.”  The Commission proposes to interpret those provisions in a manner as friendly to consume</w:t>
      </w:r>
      <w:r w:rsidRPr="001853C6">
        <w:rPr>
          <w:rFonts w:cs="Times New Roman"/>
          <w:sz w:val="22"/>
        </w:rPr>
        <w:t xml:space="preserve">rs and applicants as permissible under the law.  </w:t>
      </w:r>
    </w:p>
    <w:p w:rsidR="001853C6" w:rsidRPr="001853C6" w:rsidP="001853C6">
      <w:pPr>
        <w:pStyle w:val="NoSpacing"/>
        <w:spacing w:after="120"/>
        <w:ind w:firstLine="720"/>
        <w:rPr>
          <w:rFonts w:cs="Times New Roman"/>
          <w:spacing w:val="-2"/>
          <w:sz w:val="22"/>
        </w:rPr>
      </w:pPr>
      <w:r w:rsidRPr="001853C6">
        <w:rPr>
          <w:rFonts w:cs="Times New Roman"/>
          <w:spacing w:val="-2"/>
          <w:sz w:val="22"/>
        </w:rPr>
        <w:t>One might think that a pro-consumer approach consistent with the law would garner unanimous support.  Sigh.</w:t>
      </w:r>
    </w:p>
    <w:p w:rsidR="001853C6" w:rsidRPr="001853C6" w:rsidP="001853C6">
      <w:pPr>
        <w:pStyle w:val="NoSpacing"/>
        <w:spacing w:after="120"/>
        <w:ind w:firstLine="720"/>
        <w:rPr>
          <w:rFonts w:cs="Times New Roman"/>
          <w:spacing w:val="-2"/>
          <w:sz w:val="22"/>
        </w:rPr>
      </w:pPr>
      <w:r w:rsidRPr="001853C6">
        <w:rPr>
          <w:rFonts w:cs="Times New Roman"/>
          <w:spacing w:val="-2"/>
          <w:sz w:val="22"/>
        </w:rPr>
        <w:t>One of my colleague</w:t>
      </w:r>
      <w:r w:rsidR="009149D1">
        <w:rPr>
          <w:rFonts w:cs="Times New Roman"/>
          <w:spacing w:val="-2"/>
          <w:sz w:val="22"/>
        </w:rPr>
        <w:t>s</w:t>
      </w:r>
      <w:r w:rsidRPr="001853C6">
        <w:rPr>
          <w:rFonts w:cs="Times New Roman"/>
          <w:spacing w:val="-2"/>
          <w:sz w:val="22"/>
        </w:rPr>
        <w:t xml:space="preserve"> dissents because of a purported concern that the Notice is “proposing to more</w:t>
      </w:r>
      <w:r w:rsidRPr="001853C6">
        <w:rPr>
          <w:rFonts w:cs="Times New Roman"/>
          <w:spacing w:val="-2"/>
          <w:sz w:val="22"/>
        </w:rPr>
        <w:t xml:space="preserve"> than double the cost of a filing” a formal complaint, claiming that such a proposal would impact “consumers.”  This is absurd.  </w:t>
      </w:r>
    </w:p>
    <w:p w:rsidR="001853C6" w:rsidRPr="001853C6" w:rsidP="001853C6">
      <w:pPr>
        <w:pStyle w:val="NoSpacing"/>
        <w:spacing w:after="120"/>
        <w:ind w:firstLine="720"/>
        <w:rPr>
          <w:rFonts w:cs="Times New Roman"/>
          <w:spacing w:val="-2"/>
          <w:sz w:val="22"/>
        </w:rPr>
      </w:pPr>
      <w:r w:rsidRPr="001853C6">
        <w:rPr>
          <w:rFonts w:cs="Times New Roman"/>
          <w:i/>
          <w:iCs/>
          <w:spacing w:val="-2"/>
          <w:sz w:val="22"/>
        </w:rPr>
        <w:t>First</w:t>
      </w:r>
      <w:r w:rsidRPr="001853C6">
        <w:rPr>
          <w:rFonts w:cs="Times New Roman"/>
          <w:spacing w:val="-2"/>
          <w:sz w:val="22"/>
        </w:rPr>
        <w:t>, the argument that this proposal would harm consumers is factually wrong.  That’s because the formal complaint process (</w:t>
      </w:r>
      <w:r w:rsidRPr="001853C6">
        <w:rPr>
          <w:rFonts w:cs="Times New Roman"/>
          <w:spacing w:val="-2"/>
          <w:sz w:val="22"/>
        </w:rPr>
        <w:t>which imposes a trial-like process to adjudicate a dispute) isn’t designed for or used by consumers.  The number of formal complaints filed by consumers in 2019?  Zero.  And so far in 2020?  Zero.  In contrast, consumers rely on our informal complaint proc</w:t>
      </w:r>
      <w:r w:rsidRPr="001853C6">
        <w:rPr>
          <w:rFonts w:cs="Times New Roman"/>
          <w:spacing w:val="-2"/>
          <w:sz w:val="22"/>
        </w:rPr>
        <w:t xml:space="preserve">ess—300,000 in 2019 and 174,000 so far in 2020—which successfully resolves many problems without hassle.  And what’s the fee we propose for such </w:t>
      </w:r>
      <w:r w:rsidRPr="001853C6">
        <w:rPr>
          <w:rFonts w:cs="Times New Roman"/>
          <w:i/>
          <w:iCs/>
          <w:spacing w:val="-2"/>
          <w:sz w:val="22"/>
        </w:rPr>
        <w:t>actual</w:t>
      </w:r>
      <w:r w:rsidRPr="001853C6">
        <w:rPr>
          <w:rFonts w:cs="Times New Roman"/>
          <w:spacing w:val="-2"/>
          <w:sz w:val="22"/>
        </w:rPr>
        <w:t xml:space="preserve"> consumer complaints?  Zero (specifically, </w:t>
      </w:r>
      <w:r w:rsidRPr="001853C6">
        <w:rPr>
          <w:rFonts w:cs="Times New Roman"/>
          <w:sz w:val="22"/>
        </w:rPr>
        <w:t xml:space="preserve">we propose to find that “informal consumer complaints are not </w:t>
      </w:r>
      <w:r w:rsidRPr="001853C6">
        <w:rPr>
          <w:rFonts w:cs="Times New Roman"/>
          <w:sz w:val="22"/>
        </w:rPr>
        <w:t xml:space="preserve">applications”).  In other words, in the real world, </w:t>
      </w:r>
      <w:r w:rsidRPr="001853C6">
        <w:rPr>
          <w:rFonts w:cs="Times New Roman"/>
          <w:spacing w:val="-2"/>
          <w:sz w:val="22"/>
        </w:rPr>
        <w:t xml:space="preserve">there is literally no impact of this formal complaint fee on consumers.  </w:t>
      </w:r>
    </w:p>
    <w:p w:rsidR="001853C6" w:rsidRPr="001853C6" w:rsidP="001853C6">
      <w:pPr>
        <w:pStyle w:val="NoSpacing"/>
        <w:spacing w:after="120"/>
        <w:ind w:firstLine="720"/>
        <w:rPr>
          <w:rFonts w:cs="Times New Roman"/>
          <w:sz w:val="22"/>
        </w:rPr>
      </w:pPr>
      <w:r w:rsidRPr="001853C6">
        <w:rPr>
          <w:rFonts w:cs="Times New Roman"/>
          <w:i/>
          <w:iCs/>
          <w:spacing w:val="-2"/>
          <w:sz w:val="22"/>
        </w:rPr>
        <w:t>Second</w:t>
      </w:r>
      <w:r w:rsidRPr="001853C6">
        <w:rPr>
          <w:rFonts w:cs="Times New Roman"/>
          <w:spacing w:val="-2"/>
          <w:sz w:val="22"/>
        </w:rPr>
        <w:t>, the argument that we should not adjust this application fee demonstrates contempt for the law.  After all, “this undertaki</w:t>
      </w:r>
      <w:r w:rsidRPr="001853C6">
        <w:rPr>
          <w:rFonts w:cs="Times New Roman"/>
          <w:spacing w:val="-2"/>
          <w:sz w:val="22"/>
        </w:rPr>
        <w:t>ng is compelled by statute.”  And it was Congress that mandated how we calculate those fees.</w:t>
      </w:r>
      <w:r w:rsidRPr="001853C6">
        <w:rPr>
          <w:rFonts w:cs="Times New Roman"/>
          <w:sz w:val="22"/>
        </w:rPr>
        <w:t xml:space="preserve">  Indeed, we propose</w:t>
      </w:r>
      <w:r w:rsidRPr="001853C6">
        <w:rPr>
          <w:rFonts w:cs="Times New Roman"/>
          <w:spacing w:val="-2"/>
          <w:sz w:val="22"/>
        </w:rPr>
        <w:t xml:space="preserve"> to exercise the little discretion we have </w:t>
      </w:r>
      <w:r w:rsidRPr="001853C6">
        <w:rPr>
          <w:rFonts w:cs="Times New Roman"/>
          <w:sz w:val="22"/>
        </w:rPr>
        <w:t xml:space="preserve">to limit the “costs” we consider to only “direct costs,” resulting in a lower fee to applicants than </w:t>
      </w:r>
      <w:r w:rsidRPr="001853C6">
        <w:rPr>
          <w:rFonts w:cs="Times New Roman"/>
          <w:sz w:val="22"/>
        </w:rPr>
        <w:t>the alternatives.  So how, then, does the dissent suggest that we calculate a new application fee for formal complaints?  Here’s my colleague’s solution: _____________.</w:t>
      </w:r>
    </w:p>
    <w:p w:rsidR="001853C6" w:rsidRPr="001853C6" w:rsidP="001853C6">
      <w:pPr>
        <w:pStyle w:val="NoSpacing"/>
        <w:spacing w:after="120"/>
        <w:ind w:firstLine="720"/>
        <w:rPr>
          <w:rFonts w:cs="Times New Roman"/>
          <w:sz w:val="22"/>
        </w:rPr>
      </w:pPr>
      <w:r w:rsidRPr="001853C6">
        <w:rPr>
          <w:rFonts w:cs="Times New Roman"/>
          <w:i/>
          <w:iCs/>
          <w:sz w:val="22"/>
        </w:rPr>
        <w:t>Third and finally</w:t>
      </w:r>
      <w:r w:rsidRPr="001853C6">
        <w:rPr>
          <w:rFonts w:cs="Times New Roman"/>
          <w:sz w:val="22"/>
        </w:rPr>
        <w:t>, a few words on process.  The Commission has a long tradition of bipa</w:t>
      </w:r>
      <w:r w:rsidRPr="001853C6">
        <w:rPr>
          <w:rFonts w:cs="Times New Roman"/>
          <w:sz w:val="22"/>
        </w:rPr>
        <w:t>rtisan collaboration, and so my office has repeatedly agreed to amend items (especially Notices of Proposed Rulemaking) at the request of other offices.  But there’s a catch.  To accommodate a Commissioner’s concerns, our staff must know about those concer</w:t>
      </w:r>
      <w:r w:rsidRPr="001853C6">
        <w:rPr>
          <w:rFonts w:cs="Times New Roman"/>
          <w:sz w:val="22"/>
        </w:rPr>
        <w:t xml:space="preserve">ns </w:t>
      </w:r>
      <w:r w:rsidRPr="001853C6">
        <w:rPr>
          <w:rFonts w:cs="Times New Roman"/>
          <w:i/>
          <w:iCs/>
          <w:sz w:val="22"/>
        </w:rPr>
        <w:t>before the item is voted</w:t>
      </w:r>
      <w:r w:rsidRPr="001853C6">
        <w:rPr>
          <w:rFonts w:cs="Times New Roman"/>
          <w:sz w:val="22"/>
        </w:rPr>
        <w:t>.  And yet, on July 2, when the Office of the Managing Director circulated this item, my colleague did not say a thing, much less request any edits.  Nor on July 3.  Nor on July 4 (with a pass for fireworks, of course).  Nor on J</w:t>
      </w:r>
      <w:r w:rsidRPr="001853C6">
        <w:rPr>
          <w:rFonts w:cs="Times New Roman"/>
          <w:sz w:val="22"/>
        </w:rPr>
        <w:t>uly 5.  Nor on July 6.  Nor on July 7.  Nor on July 8.  Nor on July 9.  Nor on July 10.  Nor on July 11.  Nor on July 12.  Nor on July 13.  Nor on July 14.  Nor on July 15.  Nor on July 16.  Nor on July 17.  Nor on July 18.  Nor on July 19.  Nor on July 20</w:t>
      </w:r>
      <w:r w:rsidRPr="001853C6">
        <w:rPr>
          <w:rFonts w:cs="Times New Roman"/>
          <w:sz w:val="22"/>
        </w:rPr>
        <w:t xml:space="preserve">.  Nor on July 21.  Nor on July 22.  Nor on July 23.  Nor on July 24.  Nor on July 25.  Nor on July 26.  Nor on July 27.  Nor on July 28.  Nor on July 29.  Nor on July 30.  Nor on July 31, when staff briefed her office.  Nor on August 1.  Nor on August 2. </w:t>
      </w:r>
      <w:r w:rsidRPr="001853C6">
        <w:rPr>
          <w:rFonts w:cs="Times New Roman"/>
          <w:sz w:val="22"/>
        </w:rPr>
        <w:t xml:space="preserve"> Nor on August 3.  Nor on August 4.  Nor on August 5, when her office requested additional time to vote.  Nor on August 6.  Nor on August 7.  Nor on August 8.  Nor on August 9.  Nor on August 10.  Nor on August 11.  Nor even on August 12, when her office i</w:t>
      </w:r>
      <w:r w:rsidRPr="001853C6">
        <w:rPr>
          <w:rFonts w:cs="Times New Roman"/>
          <w:sz w:val="22"/>
        </w:rPr>
        <w:t xml:space="preserve">ndicated in our voting system that she would be dissenting in part.  Nor on August 13.  Nor on August 14.  Nor on August 15.  Nor on August 16.  Nor on August 17.  Nor on August 18.  Nor on August 19.  Nor on August 20.  No, despite repeated requests from </w:t>
      </w:r>
      <w:r w:rsidRPr="001853C6">
        <w:rPr>
          <w:rFonts w:cs="Times New Roman"/>
          <w:sz w:val="22"/>
        </w:rPr>
        <w:t xml:space="preserve">my office and FCC staff for feedback throughout the seven-plus weeks of this process, the first we learned about the purported concern was on August 21—through the dissenting statement and well after the votes were cast.  </w:t>
      </w:r>
    </w:p>
    <w:p w:rsidR="001853C6" w:rsidRPr="001853C6" w:rsidP="001853C6">
      <w:pPr>
        <w:pStyle w:val="NoSpacing"/>
        <w:spacing w:after="120"/>
        <w:ind w:firstLine="720"/>
        <w:rPr>
          <w:rFonts w:cs="Times New Roman"/>
          <w:sz w:val="22"/>
        </w:rPr>
      </w:pPr>
      <w:r w:rsidRPr="001853C6">
        <w:rPr>
          <w:rFonts w:cs="Times New Roman"/>
          <w:sz w:val="22"/>
        </w:rPr>
        <w:t>If my colleague actually believed</w:t>
      </w:r>
      <w:r w:rsidRPr="001853C6">
        <w:rPr>
          <w:rFonts w:cs="Times New Roman"/>
          <w:sz w:val="22"/>
        </w:rPr>
        <w:t xml:space="preserve"> the hyperbolic claims set forth in her statement yet made no effort to change the Notice for the better, there’s a word that comes to mind: shameful.  But of course that’s not what’s going on here.  This is just another attempt to make “blatantly false” c</w:t>
      </w:r>
      <w:r w:rsidRPr="001853C6">
        <w:rPr>
          <w:rFonts w:cs="Times New Roman"/>
          <w:sz w:val="22"/>
        </w:rPr>
        <w:t>laims for political purposes.</w:t>
      </w:r>
    </w:p>
    <w:p w:rsidR="001853C6" w:rsidRPr="001853C6" w:rsidP="001853C6">
      <w:pPr>
        <w:pStyle w:val="NoSpacing"/>
        <w:spacing w:after="120"/>
        <w:ind w:firstLine="720"/>
        <w:rPr>
          <w:rFonts w:cs="Times New Roman"/>
          <w:sz w:val="22"/>
        </w:rPr>
      </w:pPr>
      <w:r w:rsidRPr="001853C6">
        <w:rPr>
          <w:rFonts w:cs="Times New Roman"/>
          <w:sz w:val="22"/>
        </w:rPr>
        <w:t>In any case, going forward, my staff and I will continue to search for ways to address issues that are never raised with us and that we’re thus unaware of, given this recurring issue.</w:t>
      </w:r>
      <w:bookmarkEnd w:id="554"/>
    </w:p>
    <w:p w:rsidR="001853C6" w:rsidRPr="001853C6" w:rsidP="00F80CB1">
      <w:pPr>
        <w:contextualSpacing/>
        <w:jc w:val="center"/>
        <w:rPr>
          <w:b/>
          <w:bCs/>
          <w:szCs w:val="22"/>
        </w:rPr>
      </w:pPr>
    </w:p>
    <w:p w:rsidR="001853C6" w:rsidRPr="001853C6" w:rsidP="00F80CB1">
      <w:pPr>
        <w:contextualSpacing/>
        <w:jc w:val="center"/>
        <w:rPr>
          <w:b/>
          <w:bCs/>
          <w:szCs w:val="22"/>
        </w:rPr>
      </w:pPr>
    </w:p>
    <w:p w:rsidR="001853C6" w:rsidRPr="001853C6" w:rsidP="00F80CB1">
      <w:pPr>
        <w:contextualSpacing/>
        <w:jc w:val="center"/>
        <w:rPr>
          <w:b/>
          <w:bCs/>
          <w:szCs w:val="22"/>
        </w:rPr>
      </w:pPr>
    </w:p>
    <w:p w:rsidR="001853C6" w:rsidRPr="001853C6" w:rsidP="00CE4C9A">
      <w:pPr>
        <w:widowControl/>
        <w:rPr>
          <w:b/>
          <w:bCs/>
          <w:szCs w:val="22"/>
        </w:rPr>
      </w:pPr>
      <w:r>
        <w:rPr>
          <w:b/>
          <w:bCs/>
          <w:szCs w:val="22"/>
        </w:rPr>
        <w:br w:type="page"/>
      </w:r>
    </w:p>
    <w:p w:rsidR="00F80CB1" w:rsidRPr="001853C6" w:rsidP="00F80CB1">
      <w:pPr>
        <w:contextualSpacing/>
        <w:jc w:val="center"/>
        <w:rPr>
          <w:b/>
          <w:bCs/>
          <w:szCs w:val="22"/>
        </w:rPr>
      </w:pPr>
      <w:r w:rsidRPr="001853C6">
        <w:rPr>
          <w:b/>
          <w:bCs/>
          <w:szCs w:val="22"/>
        </w:rPr>
        <w:t>STATEMENT OF</w:t>
      </w:r>
      <w:r w:rsidRPr="001853C6">
        <w:rPr>
          <w:b/>
          <w:bCs/>
          <w:szCs w:val="22"/>
        </w:rPr>
        <w:br/>
        <w:t>COMMISSIONER JESSICA ROS</w:t>
      </w:r>
      <w:r w:rsidRPr="001853C6">
        <w:rPr>
          <w:b/>
          <w:bCs/>
          <w:szCs w:val="22"/>
        </w:rPr>
        <w:t>ENWORCEL,</w:t>
      </w:r>
    </w:p>
    <w:p w:rsidR="00F80CB1" w:rsidRPr="001853C6" w:rsidP="00F80CB1">
      <w:pPr>
        <w:contextualSpacing/>
        <w:jc w:val="center"/>
        <w:rPr>
          <w:b/>
          <w:bCs/>
          <w:szCs w:val="22"/>
        </w:rPr>
      </w:pPr>
      <w:r w:rsidRPr="001853C6">
        <w:rPr>
          <w:b/>
          <w:bCs/>
          <w:szCs w:val="22"/>
        </w:rPr>
        <w:t>APPROVING IN PART, DISSENTING IN PART</w:t>
      </w:r>
    </w:p>
    <w:p w:rsidR="00F80CB1" w:rsidRPr="001853C6" w:rsidP="00F80CB1">
      <w:pPr>
        <w:contextualSpacing/>
        <w:jc w:val="center"/>
        <w:rPr>
          <w:b/>
          <w:bCs/>
          <w:szCs w:val="22"/>
        </w:rPr>
      </w:pPr>
    </w:p>
    <w:p w:rsidR="00F80CB1" w:rsidRPr="001853C6" w:rsidP="00F80CB1">
      <w:pPr>
        <w:pStyle w:val="NoSpacing"/>
        <w:ind w:left="720" w:hanging="720"/>
        <w:rPr>
          <w:rFonts w:cs="Times New Roman"/>
          <w:spacing w:val="-2"/>
          <w:sz w:val="22"/>
        </w:rPr>
      </w:pPr>
      <w:r w:rsidRPr="001853C6">
        <w:rPr>
          <w:rFonts w:cs="Times New Roman"/>
          <w:sz w:val="22"/>
        </w:rPr>
        <w:t>Re:</w:t>
      </w:r>
      <w:r w:rsidRPr="001853C6">
        <w:rPr>
          <w:rFonts w:cs="Times New Roman"/>
          <w:sz w:val="22"/>
        </w:rPr>
        <w:tab/>
      </w:r>
      <w:r w:rsidRPr="001853C6">
        <w:rPr>
          <w:rFonts w:cs="Times New Roman"/>
          <w:i/>
          <w:iCs/>
          <w:spacing w:val="-2"/>
          <w:sz w:val="22"/>
        </w:rPr>
        <w:t>Amendment of the Schedule of Application Fees Set Forth in Sections 1.1102 through 1.1109 of the Commission’s Rules</w:t>
      </w:r>
      <w:r w:rsidRPr="001853C6">
        <w:rPr>
          <w:rFonts w:cs="Times New Roman"/>
          <w:spacing w:val="-2"/>
          <w:sz w:val="22"/>
        </w:rPr>
        <w:t>, Notice of Proposed Rulemaking</w:t>
      </w:r>
    </w:p>
    <w:p w:rsidR="00F80CB1" w:rsidRPr="001853C6" w:rsidP="00F80CB1">
      <w:pPr>
        <w:pStyle w:val="NoSpacing"/>
        <w:ind w:left="720" w:hanging="720"/>
        <w:rPr>
          <w:rFonts w:cs="Times New Roman"/>
          <w:spacing w:val="-2"/>
          <w:sz w:val="22"/>
        </w:rPr>
      </w:pPr>
    </w:p>
    <w:p w:rsidR="00F80CB1" w:rsidRPr="001853C6" w:rsidP="00F80CB1">
      <w:pPr>
        <w:pStyle w:val="NoSpacing"/>
        <w:rPr>
          <w:rFonts w:cs="Times New Roman"/>
          <w:spacing w:val="-2"/>
          <w:sz w:val="22"/>
        </w:rPr>
      </w:pPr>
      <w:r w:rsidRPr="001853C6">
        <w:rPr>
          <w:rFonts w:cs="Times New Roman"/>
          <w:spacing w:val="-2"/>
          <w:sz w:val="22"/>
        </w:rPr>
        <w:tab/>
        <w:t xml:space="preserve">In the RAY BAUM’s Act Congress sought to </w:t>
      </w:r>
      <w:r w:rsidRPr="001853C6">
        <w:rPr>
          <w:rFonts w:cs="Times New Roman"/>
          <w:spacing w:val="-2"/>
          <w:sz w:val="22"/>
        </w:rPr>
        <w:t>modernize the fee structure for services performed by the Federal Communications Commission.  It did so by deleting outdated statutory language in our existing fee framework and directing the agency to update its application fees to better reflect the curr</w:t>
      </w:r>
      <w:r w:rsidRPr="001853C6">
        <w:rPr>
          <w:rFonts w:cs="Times New Roman"/>
          <w:spacing w:val="-2"/>
          <w:sz w:val="22"/>
        </w:rPr>
        <w:t>ent state of communications services.  This rulemaking gets the updating process going by seeking comment on specific proposals to revamp the agency’s application fee structure.</w:t>
      </w:r>
    </w:p>
    <w:p w:rsidR="00F80CB1" w:rsidRPr="001853C6" w:rsidP="00F80CB1">
      <w:pPr>
        <w:pStyle w:val="NoSpacing"/>
        <w:rPr>
          <w:rFonts w:cs="Times New Roman"/>
          <w:spacing w:val="-2"/>
          <w:sz w:val="22"/>
        </w:rPr>
      </w:pPr>
    </w:p>
    <w:p w:rsidR="00F80CB1" w:rsidRPr="001853C6" w:rsidP="00F80CB1">
      <w:pPr>
        <w:pStyle w:val="NoSpacing"/>
        <w:rPr>
          <w:rFonts w:cs="Times New Roman"/>
          <w:spacing w:val="-2"/>
          <w:sz w:val="22"/>
        </w:rPr>
      </w:pPr>
      <w:r w:rsidRPr="001853C6">
        <w:rPr>
          <w:rFonts w:cs="Times New Roman"/>
          <w:spacing w:val="-2"/>
          <w:sz w:val="22"/>
        </w:rPr>
        <w:tab/>
        <w:t xml:space="preserve">I broadly support this effort.  After all, this undertaking is </w:t>
      </w:r>
      <w:r w:rsidRPr="001853C6">
        <w:rPr>
          <w:rFonts w:cs="Times New Roman"/>
          <w:spacing w:val="-2"/>
          <w:sz w:val="22"/>
        </w:rPr>
        <w:t>compelled by statute.  Moreover, it thoughtfully proposes streamlining our schedule of application fees, consolidating the eight separate categories of fees presently in our rules into five functional categories.  In addition, it clearly states that its go</w:t>
      </w:r>
      <w:r w:rsidRPr="001853C6">
        <w:rPr>
          <w:rFonts w:cs="Times New Roman"/>
          <w:spacing w:val="-2"/>
          <w:sz w:val="22"/>
        </w:rPr>
        <w:t>als in doing so are to ensure any new fee structure is administrable, sustainable—and fair.</w:t>
      </w:r>
    </w:p>
    <w:p w:rsidR="00F80CB1" w:rsidRPr="001853C6" w:rsidP="00F80CB1">
      <w:pPr>
        <w:pStyle w:val="NoSpacing"/>
        <w:rPr>
          <w:rFonts w:cs="Times New Roman"/>
          <w:spacing w:val="-2"/>
          <w:sz w:val="22"/>
        </w:rPr>
      </w:pPr>
    </w:p>
    <w:p w:rsidR="00F80CB1" w:rsidRPr="001853C6" w:rsidP="00F80CB1">
      <w:pPr>
        <w:pStyle w:val="NoSpacing"/>
        <w:rPr>
          <w:rFonts w:cs="Times New Roman"/>
          <w:spacing w:val="-2"/>
          <w:sz w:val="22"/>
        </w:rPr>
      </w:pPr>
      <w:r w:rsidRPr="001853C6">
        <w:rPr>
          <w:rFonts w:cs="Times New Roman"/>
          <w:spacing w:val="-2"/>
          <w:sz w:val="22"/>
        </w:rPr>
        <w:tab/>
        <w:t xml:space="preserve">But in one respect this proposal is definitely not fair.  Not even close.  At a time when a public health emergency has crashed our economy, with unemployment at </w:t>
      </w:r>
      <w:r w:rsidRPr="001853C6">
        <w:rPr>
          <w:rFonts w:cs="Times New Roman"/>
          <w:spacing w:val="-2"/>
          <w:sz w:val="22"/>
        </w:rPr>
        <w:t>record-high levels, and with so many now compelled to go online for so much of modern life, the FCC proposes a dramatic increase in the cost of filing a formal consumer complaint.  This is crazy.  It shows a wild disregard for the financial insecurity of s</w:t>
      </w:r>
      <w:r w:rsidRPr="001853C6">
        <w:rPr>
          <w:rFonts w:cs="Times New Roman"/>
          <w:spacing w:val="-2"/>
          <w:sz w:val="22"/>
        </w:rPr>
        <w:t>o many households.  By proposing to more than double the cost of a filing—from $235 to $540—the agency is demonstrating contempt for consumers looking to us for assistance when they have disputes related to their communications bills, difficulties securing</w:t>
      </w:r>
      <w:r w:rsidRPr="001853C6">
        <w:rPr>
          <w:rFonts w:cs="Times New Roman"/>
          <w:spacing w:val="-2"/>
          <w:sz w:val="22"/>
        </w:rPr>
        <w:t xml:space="preserve"> service, or problems with their providers.  Worse, it is deterring them from seeking our help in the first place.  This is shameful.  In this respect, I dissent.</w:t>
      </w:r>
    </w:p>
    <w:p w:rsidR="00F80CB1" w:rsidRPr="001853C6" w:rsidP="00F80CB1">
      <w:pPr>
        <w:pStyle w:val="NoSpacing"/>
        <w:rPr>
          <w:rFonts w:cs="Times New Roman"/>
          <w:spacing w:val="-2"/>
          <w:sz w:val="22"/>
        </w:rPr>
      </w:pPr>
    </w:p>
    <w:p w:rsidR="00F80CB1" w:rsidRPr="001853C6" w:rsidP="00F80CB1">
      <w:pPr>
        <w:pStyle w:val="NoSpacing"/>
        <w:rPr>
          <w:rFonts w:cs="Times New Roman"/>
          <w:sz w:val="22"/>
        </w:rPr>
      </w:pPr>
      <w:r w:rsidRPr="001853C6">
        <w:rPr>
          <w:rFonts w:cs="Times New Roman"/>
          <w:sz w:val="22"/>
        </w:rPr>
        <w:t xml:space="preserve"> </w:t>
      </w:r>
    </w:p>
    <w:bookmarkEnd w:id="0"/>
    <w:p w:rsidR="00F80CB1" w:rsidRPr="0059512C" w:rsidP="00F364EF">
      <w:pPr>
        <w:pStyle w:val="ParaNum"/>
        <w:numPr>
          <w:ilvl w:val="0"/>
          <w:numId w:val="0"/>
        </w:numPr>
        <w:ind w:firstLine="720"/>
        <w:rPr>
          <w:b/>
          <w:szCs w:val="22"/>
        </w:rPr>
      </w:pPr>
    </w:p>
    <w:sectPr w:rsidSect="0015089A">
      <w:footerReference w:type="first" r:id="rId3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Condensed">
    <w:panose1 w:val="00000000000000000000"/>
    <w:charset w:val="00"/>
    <w:family w:val="swiss"/>
    <w:notTrueType/>
    <w:pitch w:val="variable"/>
    <w:sig w:usb0="00000003" w:usb1="00000000" w:usb2="00000000" w:usb3="00000000" w:csb0="00000001" w:csb1="00000000"/>
  </w:font>
  <w:font w:name="Helvetica Condensed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Times New Roman Italic">
    <w:panose1 w:val="0202050305040509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21B" w:rsidP="0055614C">
    <w:pPr>
      <w:pStyle w:val="Footer"/>
      <w:framePr w:wrap="around" w:vAnchor="text" w:hAnchor="margin" w:xAlign="center" w:y="1"/>
    </w:pPr>
    <w:r>
      <w:fldChar w:fldCharType="begin"/>
    </w:r>
    <w:r>
      <w:instrText xml:space="preserve">PAGE  </w:instrText>
    </w:r>
    <w:r>
      <w:fldChar w:fldCharType="separate"/>
    </w:r>
    <w:r>
      <w:fldChar w:fldCharType="end"/>
    </w:r>
  </w:p>
  <w:p w:rsidR="002E2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21B" w:rsidP="0055614C">
    <w:pPr>
      <w:pStyle w:val="Footer"/>
      <w:framePr w:wrap="around" w:vAnchor="text" w:hAnchor="margin" w:xAlign="center" w:y="1"/>
    </w:pPr>
    <w:r>
      <w:fldChar w:fldCharType="begin"/>
    </w:r>
    <w:r>
      <w:instrText xml:space="preserve">PAGE  </w:instrText>
    </w:r>
    <w:r>
      <w:fldChar w:fldCharType="separate"/>
    </w:r>
    <w:r>
      <w:rPr>
        <w:noProof/>
      </w:rPr>
      <w:t>28</w:t>
    </w:r>
    <w:r>
      <w:fldChar w:fldCharType="end"/>
    </w:r>
  </w:p>
  <w:p w:rsidR="002E221B">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21B">
    <w:pPr>
      <w:pStyle w:val="Footer"/>
      <w:tabs>
        <w:tab w:val="clear" w:pos="8640"/>
      </w:tabs>
    </w:pPr>
    <w:r>
      <w:t>Non public</w:t>
    </w:r>
  </w:p>
  <w:p w:rsidR="002E221B">
    <w:pPr>
      <w:pStyle w:val="Footer"/>
      <w:tabs>
        <w:tab w:val="clear" w:pos="8640"/>
      </w:tabs>
    </w:pPr>
    <w:r>
      <w:t>For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221B">
      <w:r>
        <w:separator/>
      </w:r>
    </w:p>
  </w:footnote>
  <w:footnote w:type="continuationSeparator" w:id="1">
    <w:p w:rsidR="002E221B" w:rsidP="00C721AC">
      <w:pPr>
        <w:spacing w:before="120"/>
        <w:rPr>
          <w:sz w:val="20"/>
        </w:rPr>
      </w:pPr>
      <w:r>
        <w:rPr>
          <w:sz w:val="20"/>
        </w:rPr>
        <w:t xml:space="preserve">(Continued from previous page)  </w:t>
      </w:r>
      <w:r>
        <w:rPr>
          <w:sz w:val="20"/>
        </w:rPr>
        <w:separator/>
      </w:r>
    </w:p>
  </w:footnote>
  <w:footnote w:type="continuationNotice" w:id="2">
    <w:p w:rsidR="002E221B" w:rsidP="00C721AC">
      <w:pPr>
        <w:jc w:val="right"/>
        <w:rPr>
          <w:sz w:val="20"/>
        </w:rPr>
      </w:pPr>
      <w:r>
        <w:rPr>
          <w:sz w:val="20"/>
        </w:rPr>
        <w:t>(continued….)</w:t>
      </w:r>
    </w:p>
  </w:footnote>
  <w:footnote w:id="3">
    <w:p w:rsidR="002E221B" w:rsidRPr="00661179" w:rsidP="00BB6F6B">
      <w:pPr>
        <w:pStyle w:val="FootnoteText"/>
      </w:pPr>
      <w:r w:rsidRPr="00661179">
        <w:rPr>
          <w:rStyle w:val="FootnoteReference"/>
        </w:rPr>
        <w:footnoteRef/>
      </w:r>
      <w:r w:rsidRPr="00661179">
        <w:t xml:space="preserve"> T</w:t>
      </w:r>
      <w:r w:rsidRPr="00661179">
        <w:t>he Repack Airwaves Yielding Better Access for Users of Modern Services Act of 2018, or the RAY BAUM’S Act of 2018, amended sections 8 and 9 and added section 9A to the Communications Act of 1934, as amended (Communications Act or Act) and provided that suc</w:t>
      </w:r>
      <w:r w:rsidRPr="00661179">
        <w:t>h provisions would become effective on October 1, 2018.  Consolidated Appropriations Act, 2018, Pub. L. No. 115-141, 132 Stat. 1084, Division P – RAY BAUM’S Act of 2018, Title I, § 103 (2018).  Congress provided, however, that application fees in effect pr</w:t>
      </w:r>
      <w:r w:rsidRPr="00661179">
        <w:t xml:space="preserve">ior to the effective date of the new section 8 would remain in effect until the Commission adjusts or amends such fee.  RAY BAUM’S Act of 2018, Title I, § 103(d) (uncodified provisions entitled Transitional Rules). </w:t>
      </w:r>
    </w:p>
  </w:footnote>
  <w:footnote w:id="4">
    <w:p w:rsidR="002E221B" w:rsidRPr="00661179" w:rsidP="00BB6F6B">
      <w:pPr>
        <w:pStyle w:val="FootnoteText"/>
      </w:pPr>
      <w:r w:rsidRPr="00661179">
        <w:rPr>
          <w:rStyle w:val="FootnoteReference"/>
        </w:rPr>
        <w:footnoteRef/>
      </w:r>
      <w:r w:rsidRPr="00661179">
        <w:t xml:space="preserve"> Consolidated Omnibus Budget Reconcilia</w:t>
      </w:r>
      <w:r w:rsidRPr="00661179">
        <w:t xml:space="preserve">tion Act of 1985, Pub. L. No. 99-272, §§ 5002(e) and (f), 100 Stat. 82, 118-121 (1986).  Before that, the Commission had worked to establish application fees, but encountered various challenges to its implementation.  </w:t>
      </w:r>
      <w:r w:rsidRPr="00661179">
        <w:rPr>
          <w:i/>
        </w:rPr>
        <w:t>See</w:t>
      </w:r>
      <w:r w:rsidRPr="00661179">
        <w:t xml:space="preserve"> </w:t>
      </w:r>
      <w:r w:rsidRPr="00661179">
        <w:rPr>
          <w:i/>
          <w:iCs/>
        </w:rPr>
        <w:t xml:space="preserve">Establishment of a Fee Collection </w:t>
      </w:r>
      <w:r w:rsidRPr="00661179">
        <w:rPr>
          <w:i/>
          <w:iCs/>
        </w:rPr>
        <w:t>Program to Implement the Provisions of the Consolidated Omnibus Budget Reconciliation Act of 1985</w:t>
      </w:r>
      <w:r w:rsidRPr="00661179">
        <w:t xml:space="preserve">, </w:t>
      </w:r>
      <w:r w:rsidRPr="00661179">
        <w:rPr>
          <w:iCs/>
        </w:rPr>
        <w:t>Notice of Proposed Rulemaking</w:t>
      </w:r>
      <w:r w:rsidRPr="00661179">
        <w:t xml:space="preserve">, 51 Fed. Reg. 25792, paras. 9-20 (July 16, 1986) (brief history of the FCC’s application fee program). </w:t>
      </w:r>
    </w:p>
  </w:footnote>
  <w:footnote w:id="5">
    <w:p w:rsidR="002E221B" w:rsidRPr="00661179" w:rsidP="00D50FBD">
      <w:pPr>
        <w:pStyle w:val="FootnoteText"/>
      </w:pPr>
      <w:r w:rsidRPr="00661179">
        <w:rPr>
          <w:rStyle w:val="FootnoteReference"/>
        </w:rPr>
        <w:footnoteRef/>
      </w:r>
      <w:r w:rsidRPr="00661179">
        <w:t xml:space="preserve"> 47 U.S.C. § 158;</w:t>
      </w:r>
      <w:r w:rsidRPr="00B13758">
        <w:rPr>
          <w:i/>
        </w:rPr>
        <w:t xml:space="preserve"> Requests for Refunds of Application Fees Paid by Winning Bidders in Media Services Auctions</w:t>
      </w:r>
      <w:r w:rsidRPr="00B13758">
        <w:t xml:space="preserve">, Memorandum Opinion and Order, 32 FCC Rcd 6222 (2017) (explaining the history of </w:t>
      </w:r>
      <w:r w:rsidRPr="00661179">
        <w:t>section</w:t>
      </w:r>
      <w:r w:rsidRPr="00B13758">
        <w:t xml:space="preserve"> 8) (</w:t>
      </w:r>
      <w:r w:rsidRPr="00B13758">
        <w:rPr>
          <w:i/>
        </w:rPr>
        <w:t>2017 Fee Refund Denial Order</w:t>
      </w:r>
      <w:r w:rsidRPr="00B13758">
        <w:t>).</w:t>
      </w:r>
    </w:p>
  </w:footnote>
  <w:footnote w:id="6">
    <w:p w:rsidR="002E221B" w:rsidRPr="00661179" w:rsidP="00BB6F6B">
      <w:pPr>
        <w:pStyle w:val="FootnoteText"/>
      </w:pPr>
      <w:r w:rsidRPr="00661179">
        <w:rPr>
          <w:rStyle w:val="FootnoteReference"/>
        </w:rPr>
        <w:footnoteRef/>
      </w:r>
      <w:r w:rsidRPr="00661179">
        <w:t xml:space="preserve"> </w:t>
      </w:r>
      <w:r w:rsidRPr="00661179">
        <w:rPr>
          <w:i/>
          <w:iCs/>
        </w:rPr>
        <w:t>Establishment of a F</w:t>
      </w:r>
      <w:r w:rsidRPr="00661179">
        <w:rPr>
          <w:i/>
          <w:iCs/>
        </w:rPr>
        <w:t>ee Collection Program to Implement the Provisions of the Consolidated Omnibus Budget Reconciliation Act of 1985</w:t>
      </w:r>
      <w:r w:rsidRPr="00661179">
        <w:t xml:space="preserve">, </w:t>
      </w:r>
      <w:r w:rsidRPr="00661179">
        <w:rPr>
          <w:iCs/>
        </w:rPr>
        <w:t>Report and Order</w:t>
      </w:r>
      <w:r w:rsidRPr="00661179">
        <w:t>, 2 FCC Rcd 947 (1987) (</w:t>
      </w:r>
      <w:r w:rsidRPr="00661179">
        <w:rPr>
          <w:i/>
        </w:rPr>
        <w:t>1987 Fees Order</w:t>
      </w:r>
      <w:r w:rsidRPr="00661179">
        <w:t xml:space="preserve">); </w:t>
      </w:r>
      <w:r w:rsidRPr="00661179">
        <w:rPr>
          <w:i/>
          <w:iCs/>
        </w:rPr>
        <w:t>Supplemental Order on the Establishment of a Fee Collection Program</w:t>
      </w:r>
      <w:r w:rsidRPr="00661179">
        <w:t>, 2 FCC Rcd 1882 (</w:t>
      </w:r>
      <w:r w:rsidRPr="00661179">
        <w:t xml:space="preserve">1987); </w:t>
      </w:r>
      <w:r w:rsidRPr="00661179">
        <w:rPr>
          <w:i/>
          <w:iCs/>
        </w:rPr>
        <w:t>reconsideration granted in part</w:t>
      </w:r>
      <w:r w:rsidRPr="00661179">
        <w:t>, Memorandum Opinion and Order (</w:t>
      </w:r>
      <w:r w:rsidRPr="00661179">
        <w:rPr>
          <w:i/>
          <w:iCs/>
        </w:rPr>
        <w:t>1988 Fee Reconsideration Order</w:t>
      </w:r>
      <w:r w:rsidRPr="00661179">
        <w:t>), 3 FCC Rcd 5987 (1988).</w:t>
      </w:r>
    </w:p>
  </w:footnote>
  <w:footnote w:id="7">
    <w:p w:rsidR="002E221B" w:rsidRPr="00661179" w:rsidP="00BB6F6B">
      <w:pPr>
        <w:pStyle w:val="FootnoteText"/>
      </w:pPr>
      <w:r w:rsidRPr="00661179">
        <w:rPr>
          <w:rStyle w:val="FootnoteReference"/>
        </w:rPr>
        <w:footnoteRef/>
      </w:r>
      <w:r w:rsidRPr="00661179">
        <w:t xml:space="preserve"> Similarly, under the new section 8(b)(1) of the Act, the Commission is required to review application fees in every even-numbered year and adjust the fees to reflect increases or decreases in the Consumer Price Index, and round to the nearest $5 increment</w:t>
      </w:r>
      <w:r w:rsidRPr="00661179">
        <w:t>. 47 U.S.C. § 158(b)(1).</w:t>
      </w:r>
    </w:p>
  </w:footnote>
  <w:footnote w:id="8">
    <w:p w:rsidR="002E221B" w:rsidRPr="00661179" w:rsidP="00BB6F6B">
      <w:pPr>
        <w:pStyle w:val="FootnoteText"/>
        <w:rPr>
          <w:iCs/>
        </w:rPr>
      </w:pPr>
      <w:r w:rsidRPr="00661179">
        <w:rPr>
          <w:rStyle w:val="FootnoteReference"/>
        </w:rPr>
        <w:footnoteRef/>
      </w:r>
      <w:r w:rsidRPr="00661179">
        <w:t xml:space="preserve"> </w:t>
      </w:r>
      <w:r w:rsidRPr="00661179">
        <w:rPr>
          <w:iCs/>
        </w:rPr>
        <w:t xml:space="preserve">The Commission stated that  “[t]he Schedule of Charges created statutory fees that could only be changed in accordance with the statute or through the passage of new legislation.”  </w:t>
      </w:r>
      <w:r w:rsidRPr="00661179">
        <w:rPr>
          <w:i/>
        </w:rPr>
        <w:t>1987 Fees Order</w:t>
      </w:r>
      <w:r w:rsidRPr="00661179">
        <w:rPr>
          <w:iCs/>
        </w:rPr>
        <w:t>, 2 FCC Rcd at 948, para. 8.</w:t>
      </w:r>
    </w:p>
  </w:footnote>
  <w:footnote w:id="9">
    <w:p w:rsidR="002E221B" w:rsidRPr="00661179" w:rsidP="00BB6F6B">
      <w:pPr>
        <w:pStyle w:val="FootnoteText"/>
      </w:pPr>
      <w:r w:rsidRPr="00661179">
        <w:rPr>
          <w:rStyle w:val="FootnoteReference"/>
        </w:rPr>
        <w:footnoteRef/>
      </w:r>
      <w:r w:rsidRPr="00661179">
        <w:t xml:space="preserve"> </w:t>
      </w:r>
      <w:r w:rsidRPr="00661179">
        <w:rPr>
          <w:i/>
        </w:rPr>
        <w:t>19</w:t>
      </w:r>
      <w:r w:rsidRPr="00661179">
        <w:rPr>
          <w:i/>
        </w:rPr>
        <w:t>87 Fees Order</w:t>
      </w:r>
      <w:r w:rsidRPr="00661179">
        <w:t>, 2 FCC Rcd at 948-49, para.10 (explaining why the Commission was not considering any of the comments that were filed seeking changes in the amounts of the fees or challenging the relationship of fees to processing costs).</w:t>
      </w:r>
    </w:p>
  </w:footnote>
  <w:footnote w:id="10">
    <w:p w:rsidR="002E221B" w:rsidRPr="00661179">
      <w:pPr>
        <w:pStyle w:val="FootnoteText"/>
      </w:pPr>
      <w:r w:rsidRPr="00661179">
        <w:rPr>
          <w:rStyle w:val="FootnoteReference"/>
        </w:rPr>
        <w:footnoteRef/>
      </w:r>
      <w:r w:rsidRPr="00661179">
        <w:t xml:space="preserve"> </w:t>
      </w:r>
      <w:r w:rsidRPr="00661179">
        <w:rPr>
          <w:i/>
          <w:iCs/>
        </w:rPr>
        <w:t>COBRA-85 NPRM</w:t>
      </w:r>
      <w:r w:rsidRPr="00661179">
        <w:t xml:space="preserve">, 51 </w:t>
      </w:r>
      <w:r w:rsidRPr="00661179">
        <w:t>Fed. Reg. 25792, footnote 81 (“By its failure to establish a specific fee, the statutory Schedule of Charges exempts whole categories of radio services, … Fees for services not discussed in the Schedule of Charges will come only through future explicit app</w:t>
      </w:r>
      <w:r w:rsidRPr="00661179">
        <w:t>roval by the Congress.”); Requests for Refunds of Application Fees Paid by Winning Bidders in Media Services Auctions, Memorandum Opinion and Order, 32 FCC Rcd 6222, 6223, para. 3 (2017) (</w:t>
      </w:r>
      <w:r w:rsidRPr="00661179">
        <w:rPr>
          <w:i/>
          <w:iCs/>
        </w:rPr>
        <w:t>2017 Fee Refund Denial Order</w:t>
      </w:r>
      <w:r w:rsidRPr="00661179">
        <w:t>) (noting that “[f]or most services that</w:t>
      </w:r>
      <w:r w:rsidRPr="00661179">
        <w:t xml:space="preserve"> did not exist in 1985, there are no statutory application fees because Congress has not amended Section 8 to add fees for those services.”).  </w:t>
      </w:r>
    </w:p>
  </w:footnote>
  <w:footnote w:id="11">
    <w:p w:rsidR="002E221B" w:rsidRPr="00661179" w:rsidP="006414D0">
      <w:pPr>
        <w:pStyle w:val="FootnoteText"/>
      </w:pPr>
      <w:r w:rsidRPr="00661179">
        <w:rPr>
          <w:rStyle w:val="FootnoteReference"/>
        </w:rPr>
        <w:footnoteRef/>
      </w:r>
      <w:r w:rsidRPr="00661179">
        <w:t xml:space="preserve"> </w:t>
      </w:r>
      <w:r w:rsidRPr="00B13758">
        <w:t>In the Omnibus Budget Reconciliation Act of 1989, Pub L. No. 101-239 (1989), Congress changed fee rates, inclu</w:t>
      </w:r>
      <w:r w:rsidRPr="00B13758">
        <w:t xml:space="preserve">ded an exemption for nonprofit entities licensed for certain services, and added new fee categories for other types of services.  </w:t>
      </w:r>
      <w:r w:rsidRPr="00B13758">
        <w:rPr>
          <w:i/>
        </w:rPr>
        <w:t>Establishment of a Fee Collection Program to Implement the Provisions of the Omnibus Budget Reconciliation Act of 1989</w:t>
      </w:r>
      <w:r w:rsidRPr="00B13758">
        <w:t xml:space="preserve">, </w:t>
      </w:r>
      <w:r w:rsidRPr="00B13758">
        <w:rPr>
          <w:shd w:val="clear" w:color="auto" w:fill="FFFFFF"/>
        </w:rPr>
        <w:t>Memora</w:t>
      </w:r>
      <w:r w:rsidRPr="00B13758">
        <w:rPr>
          <w:shd w:val="clear" w:color="auto" w:fill="FFFFFF"/>
        </w:rPr>
        <w:t xml:space="preserve">ndum Opinion and Order, </w:t>
      </w:r>
      <w:r w:rsidRPr="00B13758">
        <w:t xml:space="preserve">5 FCC Rcd 3558 (1990); </w:t>
      </w:r>
      <w:r w:rsidRPr="00B13758">
        <w:rPr>
          <w:shd w:val="clear" w:color="auto" w:fill="FFFFFF"/>
        </w:rPr>
        <w:t>Memorandum Opinion and Order, 6 FCC Rcd 5919 (1991).</w:t>
      </w:r>
      <w:r w:rsidRPr="00B13758">
        <w:t xml:space="preserve">  In order to allow the Commission to implement such changes without a notice and comment rulemaking, Congress included in the record complete definitions of</w:t>
      </w:r>
      <w:r w:rsidRPr="00B13758">
        <w:t xml:space="preserve"> all categories of applications.  </w:t>
      </w:r>
      <w:r w:rsidRPr="00B13758">
        <w:rPr>
          <w:i/>
        </w:rPr>
        <w:t>Establishment of a Fee Collection Program to Implement the Provisions of the Consolidated Omnibus Budget Reconciliation Act of 1989,</w:t>
      </w:r>
      <w:r w:rsidRPr="00B13758">
        <w:t xml:space="preserve"> 5 FCC Rcd 3558, para. 37 (1990) (noting that the fees are described in detail in the Cong</w:t>
      </w:r>
      <w:r w:rsidRPr="00B13758">
        <w:t>ressional Record for November 21, 1989, H9610-16).  In 1992, Congress added fees for different types of Low-Earth Orbit Satellite Systems filings.  Telecommunications Authorization Act of 1992, Pub. L. No. 102–538, 106 Stat 353 (1992) (adding a satellite f</w:t>
      </w:r>
      <w:r w:rsidRPr="00B13758">
        <w:t xml:space="preserve">ee and also changing the fee for inspection of vessels under the Great Lakes Agreement); </w:t>
      </w:r>
      <w:r w:rsidRPr="00B13758">
        <w:rPr>
          <w:i/>
        </w:rPr>
        <w:t>Revised Fees Established pursuant to the Telecommunications Authorization Act of 1992</w:t>
      </w:r>
      <w:r w:rsidRPr="00B13758">
        <w:t>, Order, 8 FCC Rcd 903 (1993).  In 1993, Congress made conforming amendments to se</w:t>
      </w:r>
      <w:r w:rsidRPr="00B13758">
        <w:t>ction 8 in light of the adoption of the Commission’s regulatory fee authority codified in section 9 of the Communications Act.  Omnibus Budget Reconciliation Act of 1993,  Pub. L. No. 103–66, Title VI, § 6003(a)(2) (striking “charges” and inserting “applic</w:t>
      </w:r>
      <w:r w:rsidRPr="00B13758">
        <w:t xml:space="preserve">ation fees” instead and striking “schedule of charges” and inserting “schedule of application fees” instead).  And in 1994, Congress added a fee category related to </w:t>
      </w:r>
      <w:r w:rsidRPr="00661179">
        <w:t>Communications Assistance for Law Enforcement Act</w:t>
      </w:r>
      <w:r w:rsidRPr="00B13758">
        <w:t xml:space="preserve"> and made word substitutions.   </w:t>
      </w:r>
      <w:r w:rsidRPr="00661179">
        <w:t>Communicat</w:t>
      </w:r>
      <w:r w:rsidRPr="00661179">
        <w:t>ions Assistance for Law Enforcement</w:t>
      </w:r>
      <w:r w:rsidRPr="00B13758">
        <w:t>, Sections 302 (new fee category) and 303 (technical amendments).</w:t>
      </w:r>
      <w:r w:rsidRPr="00661179">
        <w:t xml:space="preserve"> </w:t>
      </w:r>
    </w:p>
  </w:footnote>
  <w:footnote w:id="12">
    <w:p w:rsidR="002E221B" w:rsidRPr="00661179" w:rsidP="00BB6F6B">
      <w:pPr>
        <w:pStyle w:val="FootnoteText"/>
      </w:pPr>
      <w:r w:rsidRPr="00661179">
        <w:rPr>
          <w:rStyle w:val="FootnoteReference"/>
        </w:rPr>
        <w:footnoteRef/>
      </w:r>
      <w:r w:rsidRPr="00661179">
        <w:t xml:space="preserve"> </w:t>
      </w:r>
      <w:r w:rsidRPr="00661179">
        <w:rPr>
          <w:i/>
          <w:iCs/>
        </w:rPr>
        <w:t>Requests for Refunds of Application Fees Paid by Winning Bidders in Media Services Auctions</w:t>
      </w:r>
      <w:r w:rsidRPr="00661179">
        <w:t xml:space="preserve">, </w:t>
      </w:r>
      <w:r w:rsidRPr="00661179">
        <w:rPr>
          <w:iCs/>
        </w:rPr>
        <w:t>Memorandum Opinion and Order</w:t>
      </w:r>
      <w:r w:rsidRPr="00661179">
        <w:t xml:space="preserve">, 32 FCC Rcd 6222, 6223, para. </w:t>
      </w:r>
      <w:r w:rsidRPr="00661179">
        <w:t>3 (2017) (</w:t>
      </w:r>
      <w:r w:rsidRPr="00661179">
        <w:rPr>
          <w:i/>
        </w:rPr>
        <w:t>2017 Fee Refund Denial Order</w:t>
      </w:r>
      <w:r w:rsidRPr="00661179">
        <w:t xml:space="preserve">) (noting that ‘[f]or most services that did not exist in 1985, there are no statutory application fees because Congress has not amended Section 8 to add fees for those services.”).  </w:t>
      </w:r>
    </w:p>
  </w:footnote>
  <w:footnote w:id="13">
    <w:p w:rsidR="002E221B" w:rsidRPr="00661179" w:rsidP="001A6271">
      <w:pPr>
        <w:pStyle w:val="FootnoteText"/>
      </w:pPr>
      <w:r w:rsidRPr="00661179">
        <w:rPr>
          <w:rStyle w:val="FootnoteReference"/>
        </w:rPr>
        <w:footnoteRef/>
      </w:r>
      <w:r w:rsidRPr="00661179">
        <w:t xml:space="preserve"> Under former section 8(d)(1) app</w:t>
      </w:r>
      <w:r w:rsidRPr="00661179">
        <w:t>licable prior to the adoption of the RAY BAUM’S Act, Congress directed that the application fees “established under this section shall not be applicable (A) to governmental entities and nonprofit entities licensed in the following radio services: Local Gov</w:t>
      </w:r>
      <w:r w:rsidRPr="00661179">
        <w:t>ernment, Police, Fire, Highway Maintenance, Forestry-Conservation, Public Safety, and Special Emergency Radio, or (B) to governmental entities licensed in other services.”  Under the RAY BAUM’s Act the application fees are not applicable to “</w:t>
      </w:r>
      <w:r w:rsidRPr="00661179">
        <w:rPr>
          <w:rFonts w:ascii="inherit" w:hAnsi="inherit"/>
          <w:bCs/>
          <w:bdr w:val="none" w:sz="0" w:space="0" w:color="auto" w:frame="1"/>
        </w:rPr>
        <w:t>(A)</w:t>
      </w:r>
      <w:r w:rsidRPr="00661179">
        <w:rPr>
          <w:rFonts w:ascii="inherit" w:hAnsi="inherit"/>
        </w:rPr>
        <w:t xml:space="preserve"> a governme</w:t>
      </w:r>
      <w:r w:rsidRPr="00661179">
        <w:rPr>
          <w:rFonts w:ascii="inherit" w:hAnsi="inherit"/>
        </w:rPr>
        <w:t xml:space="preserve">ntal entity; </w:t>
      </w:r>
      <w:r w:rsidRPr="00661179">
        <w:rPr>
          <w:rFonts w:ascii="inherit" w:hAnsi="inherit"/>
          <w:bCs/>
          <w:bdr w:val="none" w:sz="0" w:space="0" w:color="auto" w:frame="1"/>
        </w:rPr>
        <w:t>(B)</w:t>
      </w:r>
      <w:r w:rsidRPr="00661179">
        <w:rPr>
          <w:rFonts w:ascii="inherit" w:hAnsi="inherit"/>
        </w:rPr>
        <w:t xml:space="preserve"> a nonprofit entity licensed in the Local Government, Police, </w:t>
      </w:r>
      <w:r w:rsidRPr="00661179">
        <w:t xml:space="preserve">Fire, Highway Maintenance, Forestry-Conservation, Public Safety, or Special Emergency Radio radio services; or </w:t>
      </w:r>
      <w:r w:rsidRPr="00661179">
        <w:rPr>
          <w:bCs/>
          <w:bdr w:val="none" w:sz="0" w:space="0" w:color="auto" w:frame="1"/>
        </w:rPr>
        <w:t>(C)</w:t>
      </w:r>
      <w:r w:rsidRPr="00661179">
        <w:t xml:space="preserve"> a noncommercial radio station or noncommercial television stati</w:t>
      </w:r>
      <w:r w:rsidRPr="00661179">
        <w:t>on.</w:t>
      </w:r>
      <w:r w:rsidRPr="00661179">
        <w:rPr>
          <w:rFonts w:hint="eastAsia"/>
        </w:rPr>
        <w:t>”</w:t>
      </w:r>
      <w:r w:rsidRPr="00661179">
        <w:rPr>
          <w:rFonts w:ascii="inherit" w:hAnsi="inherit"/>
        </w:rPr>
        <w:t xml:space="preserve">  Congress</w:t>
      </w:r>
      <w:r w:rsidRPr="00661179">
        <w:rPr>
          <w:rFonts w:ascii="inherit" w:hAnsi="inherit" w:hint="eastAsia"/>
        </w:rPr>
        <w:t>’</w:t>
      </w:r>
      <w:r w:rsidRPr="00661179">
        <w:rPr>
          <w:rFonts w:ascii="inherit" w:hAnsi="inherit"/>
        </w:rPr>
        <w:t>s addition of noncommercial stations to the list of exempt entities in the RAY BAUM</w:t>
      </w:r>
      <w:r w:rsidRPr="00661179">
        <w:rPr>
          <w:rFonts w:ascii="inherit" w:hAnsi="inherit" w:hint="eastAsia"/>
        </w:rPr>
        <w:t>’</w:t>
      </w:r>
      <w:r w:rsidRPr="00661179">
        <w:rPr>
          <w:rFonts w:ascii="inherit" w:hAnsi="inherit"/>
        </w:rPr>
        <w:t xml:space="preserve">s Act was a statutory codification of a Commission rule that was, in turn, based on the legislative history of </w:t>
      </w:r>
      <w:r w:rsidRPr="00661179">
        <w:t xml:space="preserve">COBRA-85.  </w:t>
      </w:r>
      <w:r w:rsidRPr="00661179">
        <w:rPr>
          <w:i/>
        </w:rPr>
        <w:t>COBRA-85 NPRM</w:t>
      </w:r>
      <w:r w:rsidRPr="00661179">
        <w:t>, 1986 WL 292181, para. 54.</w:t>
      </w:r>
    </w:p>
  </w:footnote>
  <w:footnote w:id="14">
    <w:p w:rsidR="002E221B" w:rsidRPr="00661179" w:rsidP="0060706A">
      <w:pPr>
        <w:pStyle w:val="FootnoteText"/>
      </w:pPr>
      <w:r w:rsidRPr="00661179">
        <w:rPr>
          <w:rStyle w:val="FootnoteReference"/>
        </w:rPr>
        <w:footnoteRef/>
      </w:r>
      <w:r w:rsidRPr="00B13758">
        <w:t xml:space="preserve"> </w:t>
      </w:r>
      <w:r w:rsidRPr="00B13758">
        <w:rPr>
          <w:i/>
        </w:rPr>
        <w:t>Establishment of a Fee Collection Program to Implement the Provisions of the Consolidated O</w:t>
      </w:r>
      <w:r w:rsidRPr="00B13758">
        <w:rPr>
          <w:i/>
        </w:rPr>
        <w:t>mnibus Budget Reconciliation Act of 1995,</w:t>
      </w:r>
      <w:r w:rsidRPr="00B13758">
        <w:t xml:space="preserve"> </w:t>
      </w:r>
      <w:r w:rsidRPr="00B13758">
        <w:rPr>
          <w:i/>
        </w:rPr>
        <w:t>Memorandum Opinion and Order</w:t>
      </w:r>
      <w:r w:rsidRPr="00B13758">
        <w:t>, 3 FCC Rcd 5987, 5988, paras.</w:t>
      </w:r>
      <w:r>
        <w:t xml:space="preserve"> </w:t>
      </w:r>
      <w:r w:rsidRPr="00B13758">
        <w:t xml:space="preserve">13-20 (1988).  The exemptions to Section 8 fees, and the procedures for establishing the exemption, are listed in </w:t>
      </w:r>
      <w:r>
        <w:t>s</w:t>
      </w:r>
      <w:r w:rsidRPr="00B13758">
        <w:t>ection 1.1116.  47 CFR § 1.1116.</w:t>
      </w:r>
      <w:r w:rsidRPr="00661179">
        <w:t xml:space="preserve"> </w:t>
      </w:r>
    </w:p>
  </w:footnote>
  <w:footnote w:id="15">
    <w:p w:rsidR="002E221B" w:rsidRPr="00661179" w:rsidP="0060706A">
      <w:pPr>
        <w:pStyle w:val="FootnoteText"/>
      </w:pPr>
      <w:r w:rsidRPr="00661179">
        <w:rPr>
          <w:rStyle w:val="FootnoteReference"/>
        </w:rPr>
        <w:footnoteRef/>
      </w:r>
      <w:r w:rsidRPr="00B13758">
        <w:t xml:space="preserve"> The </w:t>
      </w:r>
      <w:r w:rsidRPr="00B13758">
        <w:t xml:space="preserve">legislative history may be found in the Conference Report to accompany H.R. 3128, House of Representatives Report No. 99-453 (1985) (1985 Conference Report).  The 1985 Conference Report indicates that “non-commercial radio and television stations will not </w:t>
      </w:r>
      <w:r w:rsidRPr="00B13758">
        <w:t xml:space="preserve">be subject to any of the fees listed in this schedule.” 1985 Conference Report at 423; 425, 426. 47 CFR </w:t>
      </w:r>
      <w:bookmarkStart w:id="44" w:name="_Hlk42056666"/>
      <w:r w:rsidRPr="00B13758">
        <w:t>§</w:t>
      </w:r>
      <w:bookmarkEnd w:id="44"/>
      <w:r w:rsidRPr="00B13758">
        <w:t xml:space="preserve"> 1.1116.  Moreover, the legislative history to the 1989 amendments to </w:t>
      </w:r>
      <w:r>
        <w:t>s</w:t>
      </w:r>
      <w:r w:rsidRPr="00B13758">
        <w:t xml:space="preserve">ection 8 reaffirmed the point.  Conference Report to accompany H.R. 3299, House </w:t>
      </w:r>
      <w:r w:rsidRPr="00B13758">
        <w:t>of Representative report No. 101–386 (1989) (“Non-commercial broadcasters were excluded from the initial Schedule of Charges passed in 1985. The House recedes to the Senate position and agrees to continue to exclude non-commercial broadcasters from the Sch</w:t>
      </w:r>
      <w:r w:rsidRPr="00B13758">
        <w:t>edule of Charges.”).</w:t>
      </w:r>
    </w:p>
  </w:footnote>
  <w:footnote w:id="16">
    <w:p w:rsidR="002E221B" w:rsidRPr="00661179" w:rsidP="001A6271">
      <w:pPr>
        <w:shd w:val="clear" w:color="auto" w:fill="FFFFFF"/>
        <w:textAlignment w:val="baseline"/>
        <w:rPr>
          <w:color w:val="3D3D3D"/>
          <w:sz w:val="20"/>
        </w:rPr>
      </w:pPr>
      <w:r w:rsidRPr="00661179">
        <w:rPr>
          <w:rStyle w:val="FootnoteReference"/>
        </w:rPr>
        <w:footnoteRef/>
      </w:r>
      <w:r w:rsidRPr="00B13758">
        <w:rPr>
          <w:sz w:val="20"/>
        </w:rPr>
        <w:t xml:space="preserve"> </w:t>
      </w:r>
      <w:r w:rsidRPr="00661179">
        <w:rPr>
          <w:i/>
          <w:iCs/>
          <w:sz w:val="20"/>
        </w:rPr>
        <w:t>See</w:t>
      </w:r>
      <w:r w:rsidRPr="00661179">
        <w:rPr>
          <w:sz w:val="20"/>
        </w:rPr>
        <w:t xml:space="preserve"> </w:t>
      </w:r>
      <w:r w:rsidRPr="00661179">
        <w:rPr>
          <w:i/>
          <w:iCs/>
          <w:sz w:val="20"/>
        </w:rPr>
        <w:t>Amendment of Parts 1, 21, 73, 74 and 1010 of the Commission’s Rules to Facilitate the Provision of Fixed and Mobile Broadband Access, Educational and Other Advanced Services in the 2150-2162 and 2500-2690 MHz Bands</w:t>
      </w:r>
      <w:r w:rsidRPr="00661179">
        <w:rPr>
          <w:sz w:val="20"/>
        </w:rPr>
        <w:t>, Notice of Pro</w:t>
      </w:r>
      <w:r w:rsidRPr="00661179">
        <w:rPr>
          <w:sz w:val="20"/>
        </w:rPr>
        <w:t>posed Rulemaking, 33 FCC Rcd 4687, para. 3 (2018) (explaining that EBS licenses are “generally are held by state government agencies, universities and university systems, public community and technical colleges, private universities and colleges, public el</w:t>
      </w:r>
      <w:r w:rsidRPr="00661179">
        <w:rPr>
          <w:sz w:val="20"/>
        </w:rPr>
        <w:t xml:space="preserve">ementary and secondary school districts, private schools (including Catholic school systems and other religious schools), public television and radio stations, hospitals and hospital associations, and other non-profit educational entities.”). </w:t>
      </w:r>
    </w:p>
  </w:footnote>
  <w:footnote w:id="17">
    <w:p w:rsidR="002E221B" w:rsidRPr="00661179" w:rsidP="00BB6F6B">
      <w:pPr>
        <w:pStyle w:val="FootnoteText"/>
      </w:pPr>
      <w:r w:rsidRPr="00661179">
        <w:rPr>
          <w:rStyle w:val="FootnoteReference"/>
        </w:rPr>
        <w:footnoteRef/>
      </w:r>
      <w:r w:rsidRPr="00661179">
        <w:t xml:space="preserve"> 47 U.S.C. </w:t>
      </w:r>
      <w:r w:rsidRPr="00661179">
        <w:t>§ 158(d)(2).</w:t>
      </w:r>
    </w:p>
  </w:footnote>
  <w:footnote w:id="18">
    <w:p w:rsidR="002E221B" w:rsidRPr="00661179" w:rsidP="00BB6F6B">
      <w:pPr>
        <w:pStyle w:val="FootnoteText"/>
      </w:pPr>
      <w:r w:rsidRPr="00661179">
        <w:rPr>
          <w:rStyle w:val="FootnoteReference"/>
        </w:rPr>
        <w:footnoteRef/>
      </w:r>
      <w:r w:rsidRPr="00661179">
        <w:t xml:space="preserve"> </w:t>
      </w:r>
      <w:r w:rsidRPr="00661179">
        <w:rPr>
          <w:i/>
        </w:rPr>
        <w:t>1987 Fees Order</w:t>
      </w:r>
      <w:r w:rsidRPr="00661179">
        <w:t>, 2 FCC Rcd at 954, para. 40.</w:t>
      </w:r>
    </w:p>
  </w:footnote>
  <w:footnote w:id="19">
    <w:p w:rsidR="002E221B" w:rsidRPr="00661179" w:rsidP="00BB6F6B">
      <w:pPr>
        <w:pStyle w:val="FootnoteText"/>
      </w:pPr>
      <w:r w:rsidRPr="00661179">
        <w:rPr>
          <w:rStyle w:val="FootnoteReference"/>
        </w:rPr>
        <w:footnoteRef/>
      </w:r>
      <w:r w:rsidRPr="00661179">
        <w:rPr>
          <w:i/>
        </w:rPr>
        <w:t xml:space="preserve"> Id. </w:t>
      </w:r>
      <w:r w:rsidRPr="00661179">
        <w:t xml:space="preserve">at 961, para. 88.  </w:t>
      </w:r>
      <w:r w:rsidRPr="00F4003D">
        <w:t>In rejecting the concept of adopting a blanket fee waiver for categories of applicants, the Commission stated that ”[t]he legislative history unequivocally states that our</w:t>
      </w:r>
      <w:r w:rsidRPr="00F4003D">
        <w:t xml:space="preserve"> discretion to waive or defer fees shall be narrowly defined.”  </w:t>
      </w:r>
      <w:r w:rsidRPr="00661179">
        <w:rPr>
          <w:i/>
        </w:rPr>
        <w:t>Id.</w:t>
      </w:r>
      <w:r w:rsidRPr="00661179">
        <w:t xml:space="preserve"> at 961, p</w:t>
      </w:r>
      <w:r w:rsidRPr="00F4003D">
        <w:t>ara. 87 (citing Conference Report at 423).  The Commission further noted that because Congress adopted exemptions for certain classes of entities, “[i]f Congress had wished to exe</w:t>
      </w:r>
      <w:r w:rsidRPr="00F4003D">
        <w:t xml:space="preserve">mpt or prefer other organizations for waivers or deferrals, . . . it would have included additional exemption categories.”  </w:t>
      </w:r>
      <w:r w:rsidRPr="00A01C27">
        <w:rPr>
          <w:i/>
          <w:iCs/>
        </w:rPr>
        <w:t>Id</w:t>
      </w:r>
      <w:r w:rsidRPr="00A01C27">
        <w:t xml:space="preserve">. </w:t>
      </w:r>
    </w:p>
  </w:footnote>
  <w:footnote w:id="20">
    <w:p w:rsidR="002E221B" w:rsidRPr="00661179" w:rsidP="00BB6F6B">
      <w:pPr>
        <w:pStyle w:val="FootnoteText"/>
      </w:pPr>
      <w:r w:rsidRPr="00661179">
        <w:rPr>
          <w:rStyle w:val="FootnoteReference"/>
        </w:rPr>
        <w:footnoteRef/>
      </w:r>
      <w:r w:rsidRPr="00661179">
        <w:t xml:space="preserve"> </w:t>
      </w:r>
      <w:r w:rsidRPr="00661179">
        <w:rPr>
          <w:i/>
          <w:iCs/>
        </w:rPr>
        <w:t>Amendment of the Schedule of Application Fees Set Forth in Sections 1.1102 through 1.1109 of the Commission's Rules</w:t>
      </w:r>
      <w:r w:rsidRPr="00661179">
        <w:t xml:space="preserve">, </w:t>
      </w:r>
      <w:r w:rsidRPr="00661179">
        <w:rPr>
          <w:iCs/>
        </w:rPr>
        <w:t>Order</w:t>
      </w:r>
      <w:r w:rsidRPr="00661179">
        <w:t xml:space="preserve">, </w:t>
      </w:r>
      <w:r w:rsidRPr="00661179">
        <w:t>33 FCC Rcd 6871 (2018).</w:t>
      </w:r>
    </w:p>
  </w:footnote>
  <w:footnote w:id="21">
    <w:p w:rsidR="002E221B" w:rsidRPr="00661179">
      <w:pPr>
        <w:pStyle w:val="FootnoteText"/>
      </w:pPr>
      <w:r w:rsidRPr="00661179">
        <w:rPr>
          <w:rStyle w:val="FootnoteReference"/>
        </w:rPr>
        <w:footnoteRef/>
      </w:r>
      <w:r w:rsidRPr="00661179">
        <w:t xml:space="preserve"> Such feeable applications included not only license applications but other filings such as 214 applications, tariff filings, certain types of waiver requests.  </w:t>
      </w:r>
      <w:r w:rsidRPr="00B13758">
        <w:rPr>
          <w:i/>
          <w:iCs/>
        </w:rPr>
        <w:t>See</w:t>
      </w:r>
      <w:r w:rsidRPr="00661179">
        <w:t xml:space="preserve"> </w:t>
      </w:r>
      <w:r w:rsidRPr="00661179">
        <w:rPr>
          <w:snapToGrid w:val="0"/>
        </w:rPr>
        <w:t>Pub L. No. 101-239 (1989).</w:t>
      </w:r>
    </w:p>
  </w:footnote>
  <w:footnote w:id="22">
    <w:p w:rsidR="002E221B" w:rsidRPr="00661179" w:rsidP="00BB6F6B">
      <w:pPr>
        <w:pStyle w:val="FootnoteText"/>
      </w:pPr>
      <w:r w:rsidRPr="00661179">
        <w:rPr>
          <w:rStyle w:val="FootnoteReference"/>
        </w:rPr>
        <w:footnoteRef/>
      </w:r>
      <w:r w:rsidRPr="00661179">
        <w:t xml:space="preserve"> In another proceeding, we addressed c</w:t>
      </w:r>
      <w:r w:rsidRPr="00661179">
        <w:t xml:space="preserve">hanges to our regulatory fee authority.  </w:t>
      </w:r>
      <w:r w:rsidRPr="00661179">
        <w:rPr>
          <w:i/>
          <w:iCs/>
        </w:rPr>
        <w:t>See Assessment and Collection of Regulatory Fees for Fiscal Year 2019</w:t>
      </w:r>
      <w:r w:rsidRPr="00661179">
        <w:t>, Report and Order and Further Notice of Proposed Rulemaking, 34 FCC Rcd 8189 (2019) (</w:t>
      </w:r>
      <w:r w:rsidRPr="00661179">
        <w:rPr>
          <w:i/>
          <w:iCs/>
        </w:rPr>
        <w:t>FY 2019 Report and Order</w:t>
      </w:r>
      <w:r w:rsidRPr="00661179">
        <w:t>).</w:t>
      </w:r>
    </w:p>
  </w:footnote>
  <w:footnote w:id="23">
    <w:p w:rsidR="002E221B" w:rsidRPr="00661179" w:rsidP="00BB6F6B">
      <w:pPr>
        <w:pStyle w:val="FootnoteText"/>
      </w:pPr>
      <w:r w:rsidRPr="00661179">
        <w:rPr>
          <w:rStyle w:val="FootnoteReference"/>
        </w:rPr>
        <w:footnoteRef/>
      </w:r>
      <w:r w:rsidRPr="00661179">
        <w:t xml:space="preserve"> 47 U.S.C. § 158(a), (c).</w:t>
      </w:r>
    </w:p>
  </w:footnote>
  <w:footnote w:id="24">
    <w:p w:rsidR="002E221B" w:rsidRPr="00661179" w:rsidP="00BB6F6B">
      <w:pPr>
        <w:pStyle w:val="FootnoteText"/>
      </w:pPr>
      <w:r w:rsidRPr="00661179">
        <w:rPr>
          <w:rStyle w:val="FootnoteReference"/>
        </w:rPr>
        <w:footnoteRef/>
      </w:r>
      <w:r w:rsidRPr="00661179">
        <w:t xml:space="preserve"> Sect</w:t>
      </w:r>
      <w:r w:rsidRPr="00661179">
        <w:t xml:space="preserve">ion 8(a) provides: “The Commission shall assess and collect application fees at such rates as the Commission shall establish in a schedule of application fees to recover the costs of the Commission to process applications.”  47 U.S.C. § 158(a).  The prior </w:t>
      </w:r>
      <w:r w:rsidRPr="00661179">
        <w:t>version of section 8(a) did not mention costs, it provided: “The Commission shall assess and collect application fees at such rates as the Commission shall establish or at such modified rates as it shall establish pursuant to the provisions of subsection (</w:t>
      </w:r>
      <w:r w:rsidRPr="00661179">
        <w:t>b) of this section.”</w:t>
      </w:r>
    </w:p>
  </w:footnote>
  <w:footnote w:id="25">
    <w:p w:rsidR="002E221B" w:rsidRPr="00661179" w:rsidP="00DE49B4">
      <w:pPr>
        <w:pStyle w:val="FootnoteText"/>
      </w:pPr>
      <w:r w:rsidRPr="00661179">
        <w:rPr>
          <w:rStyle w:val="FootnoteReference"/>
        </w:rPr>
        <w:footnoteRef/>
      </w:r>
      <w:r w:rsidRPr="00661179">
        <w:t xml:space="preserve"> This is the same overarching set of goals we employ in the context of our regulatory fee collections.  </w:t>
      </w:r>
      <w:r w:rsidRPr="00661179">
        <w:rPr>
          <w:i/>
          <w:iCs/>
        </w:rPr>
        <w:t>See</w:t>
      </w:r>
      <w:r w:rsidRPr="00661179">
        <w:t xml:space="preserve"> </w:t>
      </w:r>
      <w:r w:rsidRPr="00661179">
        <w:rPr>
          <w:i/>
          <w:iCs/>
        </w:rPr>
        <w:t>Procedures for Assessment and Collection of Regulatory Fees</w:t>
      </w:r>
      <w:r w:rsidRPr="00661179">
        <w:t xml:space="preserve">, Notice of Proposed Rulemaking, 27 FCC Rcd 8458, 8464-8465 paras. </w:t>
      </w:r>
      <w:r w:rsidRPr="00661179">
        <w:t>14-16 (</w:t>
      </w:r>
      <w:r w:rsidRPr="00661179">
        <w:rPr>
          <w:i/>
        </w:rPr>
        <w:t>FY 2012 NPRM</w:t>
      </w:r>
      <w:r w:rsidRPr="00661179">
        <w:t xml:space="preserve">). </w:t>
      </w:r>
    </w:p>
  </w:footnote>
  <w:footnote w:id="26">
    <w:p w:rsidR="002E221B" w:rsidRPr="00661179" w:rsidP="00DE49B4">
      <w:pPr>
        <w:pStyle w:val="FootnoteText"/>
      </w:pPr>
      <w:r w:rsidRPr="00661179">
        <w:rPr>
          <w:rStyle w:val="FootnoteReference"/>
        </w:rPr>
        <w:footnoteRef/>
      </w:r>
      <w:r w:rsidRPr="00661179">
        <w:t xml:space="preserve"> For example, the Commission recently issued its proposals for the fiscal year 2020 regulatory fees.  </w:t>
      </w:r>
      <w:r w:rsidRPr="00661179">
        <w:rPr>
          <w:i/>
          <w:iCs/>
        </w:rPr>
        <w:t>Assessment and Collection of Regulatory Fees for Fiscal year 2020</w:t>
      </w:r>
      <w:r w:rsidRPr="00661179">
        <w:t>, Report and Order and Notice of Proposed Rulemaking, 2020 WL 250</w:t>
      </w:r>
      <w:r w:rsidRPr="00661179">
        <w:t>2393 (2020) (proposing fees to collect an amount equal to the FCC’s fiscal year 2020 Salaries and Expenses appropriation as an offsetting collection).</w:t>
      </w:r>
    </w:p>
  </w:footnote>
  <w:footnote w:id="27">
    <w:p w:rsidR="002E221B" w:rsidRPr="00661179" w:rsidP="00DE49B4">
      <w:pPr>
        <w:pStyle w:val="FootnoteText"/>
      </w:pPr>
      <w:r w:rsidRPr="00661179">
        <w:rPr>
          <w:rStyle w:val="FootnoteReference"/>
        </w:rPr>
        <w:footnoteRef/>
      </w:r>
      <w:r w:rsidRPr="00661179">
        <w:t xml:space="preserve"> 47 U.S.C. 158(e) (“Moneys received from application fees established under this section shall be deposi</w:t>
      </w:r>
      <w:r w:rsidRPr="00661179">
        <w:t>ted in the general fund of the Treasury.”).</w:t>
      </w:r>
    </w:p>
  </w:footnote>
  <w:footnote w:id="28">
    <w:p w:rsidR="002E221B" w:rsidRPr="00661179" w:rsidP="0071681F">
      <w:pPr>
        <w:pStyle w:val="FootnoteText"/>
        <w:rPr>
          <w:shd w:val="clear" w:color="auto" w:fill="FFFFFF"/>
        </w:rPr>
      </w:pPr>
      <w:r w:rsidRPr="00661179">
        <w:rPr>
          <w:rStyle w:val="FootnoteReference"/>
        </w:rPr>
        <w:footnoteRef/>
      </w:r>
      <w:r w:rsidRPr="00661179">
        <w:t xml:space="preserve"> </w:t>
      </w:r>
      <w:r w:rsidRPr="00B13758">
        <w:t xml:space="preserve">In taking this approach, we are consistent with prior congressional action in this area.  </w:t>
      </w:r>
      <w:r w:rsidRPr="00B13758">
        <w:rPr>
          <w:i/>
        </w:rPr>
        <w:t xml:space="preserve">See, e.g. Establishment of a Fee Collection Program to Implement the Provisions of the Omnibus Budget </w:t>
      </w:r>
      <w:r w:rsidRPr="00B13758">
        <w:rPr>
          <w:i/>
        </w:rPr>
        <w:t>Reconciliation Act of 1989</w:t>
      </w:r>
      <w:r w:rsidRPr="00B13758">
        <w:t xml:space="preserve">, 67 Rad. Reg. 2d (P &amp; F) 873, para. 36  (in discussing the 1989 revisions to </w:t>
      </w:r>
      <w:r w:rsidRPr="00661179">
        <w:t>section</w:t>
      </w:r>
      <w:r w:rsidRPr="00B13758">
        <w:t xml:space="preserve"> 8, adding a </w:t>
      </w:r>
      <w:r w:rsidRPr="00661179">
        <w:t>Consumer Price Index</w:t>
      </w:r>
      <w:r w:rsidRPr="00B13758">
        <w:t xml:space="preserve"> and new categories to the statute, the FCC said </w:t>
      </w:r>
      <w:r w:rsidRPr="00661179">
        <w:t>“</w:t>
      </w:r>
      <w:r w:rsidRPr="00B13758">
        <w:t>we have worked with Congress to ensure that, to the best exten</w:t>
      </w:r>
      <w:r w:rsidRPr="00B13758">
        <w:t xml:space="preserve">t possible, fees reflect only the </w:t>
      </w:r>
      <w:r w:rsidRPr="00B13758">
        <w:rPr>
          <w:i/>
        </w:rPr>
        <w:t>direct cost</w:t>
      </w:r>
      <w:r w:rsidRPr="00B13758">
        <w:t xml:space="preserve"> of processing the typical application or filing.”) (emphasis added).   </w:t>
      </w:r>
    </w:p>
  </w:footnote>
  <w:footnote w:id="29">
    <w:p w:rsidR="002E221B" w:rsidRPr="00661179" w:rsidP="00BB6F6B">
      <w:pPr>
        <w:pStyle w:val="FootnoteText"/>
      </w:pPr>
      <w:r w:rsidRPr="00661179">
        <w:rPr>
          <w:rStyle w:val="FootnoteReference"/>
        </w:rPr>
        <w:footnoteRef/>
      </w:r>
      <w:r w:rsidRPr="00661179">
        <w:t xml:space="preserve"> 47 CFR § 0.467(a)(2).</w:t>
      </w:r>
    </w:p>
  </w:footnote>
  <w:footnote w:id="30">
    <w:p w:rsidR="002E221B" w:rsidRPr="00661179" w:rsidP="00BB6F6B">
      <w:pPr>
        <w:pStyle w:val="FootnoteText"/>
      </w:pPr>
      <w:r w:rsidRPr="00661179">
        <w:rPr>
          <w:rStyle w:val="FootnoteReference"/>
        </w:rPr>
        <w:footnoteRef/>
      </w:r>
      <w:r w:rsidRPr="00661179">
        <w:t xml:space="preserve"> 47 U.S.C. § 158(b).</w:t>
      </w:r>
    </w:p>
  </w:footnote>
  <w:footnote w:id="31">
    <w:p w:rsidR="002E221B" w:rsidRPr="00661179" w:rsidP="00F1235F">
      <w:pPr>
        <w:pStyle w:val="FootnoteText"/>
      </w:pPr>
      <w:r w:rsidRPr="00661179">
        <w:rPr>
          <w:rStyle w:val="FootnoteReference"/>
        </w:rPr>
        <w:footnoteRef/>
      </w:r>
      <w:r w:rsidRPr="00661179">
        <w:t xml:space="preserve"> Administrative updates are ministerial modifications to licensee name, address, and points</w:t>
      </w:r>
      <w:r w:rsidRPr="00661179">
        <w:t xml:space="preserve"> of contact (excluding name changes associated with changes in ownership).</w:t>
      </w:r>
    </w:p>
  </w:footnote>
  <w:footnote w:id="32">
    <w:p w:rsidR="002E221B" w:rsidRPr="00661179" w:rsidP="00E22861">
      <w:pPr>
        <w:pStyle w:val="FootnoteText"/>
      </w:pPr>
      <w:r w:rsidRPr="00661179">
        <w:rPr>
          <w:rStyle w:val="FootnoteReference"/>
        </w:rPr>
        <w:footnoteRef/>
      </w:r>
      <w:r w:rsidRPr="00661179">
        <w:t xml:space="preserve"> </w:t>
      </w:r>
      <w:r w:rsidRPr="00661179">
        <w:rPr>
          <w:i/>
          <w:iCs/>
        </w:rPr>
        <w:t>S</w:t>
      </w:r>
      <w:r w:rsidRPr="00661179">
        <w:rPr>
          <w:i/>
        </w:rPr>
        <w:t>ee Completing the Transition to Electronic Filing, Licenses and Authorizations, and Correspondence in the Wireless Radio Services</w:t>
      </w:r>
      <w:r w:rsidRPr="00661179">
        <w:t>, WT Docket No. 19-212, Notice of Proposed Rulema</w:t>
      </w:r>
      <w:r w:rsidRPr="00661179">
        <w:t>king, 34 FCC Rcd 8397 (2019) (</w:t>
      </w:r>
      <w:r w:rsidRPr="00661179">
        <w:rPr>
          <w:i/>
        </w:rPr>
        <w:t>E-Filing NPRM</w:t>
      </w:r>
      <w:r w:rsidRPr="00661179">
        <w:t>) (proposing to eliminate requests for the Bureaus to mail hard copies of authorizations).</w:t>
      </w:r>
    </w:p>
  </w:footnote>
  <w:footnote w:id="33">
    <w:p w:rsidR="002E221B" w:rsidRPr="00661179" w:rsidP="009E3678">
      <w:pPr>
        <w:pStyle w:val="FootnoteText"/>
      </w:pPr>
      <w:r w:rsidRPr="00661179">
        <w:rPr>
          <w:rStyle w:val="FootnoteReference"/>
        </w:rPr>
        <w:footnoteRef/>
      </w:r>
      <w:r w:rsidRPr="00661179">
        <w:t xml:space="preserve"> </w:t>
      </w:r>
      <w:r w:rsidRPr="00661179">
        <w:rPr>
          <w:i/>
          <w:iCs/>
        </w:rPr>
        <w:t>S</w:t>
      </w:r>
      <w:r w:rsidRPr="00661179">
        <w:rPr>
          <w:i/>
        </w:rPr>
        <w:t>ee E-Filing NPRM</w:t>
      </w:r>
      <w:r w:rsidRPr="00661179">
        <w:t xml:space="preserve">, 34 FCC Rcd 8397 (proposing to eliminate requests for the Bureaus to mail hard copies of </w:t>
      </w:r>
      <w:r w:rsidRPr="00661179">
        <w:t>authorizations).</w:t>
      </w:r>
    </w:p>
  </w:footnote>
  <w:footnote w:id="34">
    <w:p w:rsidR="002E221B" w:rsidRPr="00661179">
      <w:pPr>
        <w:pStyle w:val="FootnoteText"/>
      </w:pPr>
      <w:r w:rsidRPr="00661179">
        <w:rPr>
          <w:rStyle w:val="FootnoteReference"/>
        </w:rPr>
        <w:footnoteRef/>
      </w:r>
      <w:r w:rsidRPr="00661179">
        <w:t xml:space="preserve"> The number of applications reflects all applications purposes, including transfers and assignments where at least one of the licenses included in the application falls in this category.</w:t>
      </w:r>
    </w:p>
  </w:footnote>
  <w:footnote w:id="35">
    <w:p w:rsidR="002E221B" w:rsidRPr="00661179" w:rsidP="00BF14F1">
      <w:pPr>
        <w:pStyle w:val="FootnoteText"/>
      </w:pPr>
      <w:r w:rsidRPr="00661179">
        <w:rPr>
          <w:rStyle w:val="FootnoteReference"/>
        </w:rPr>
        <w:footnoteRef/>
      </w:r>
      <w:r w:rsidRPr="00661179">
        <w:t xml:space="preserve"> </w:t>
      </w:r>
      <w:r w:rsidRPr="00661179">
        <w:rPr>
          <w:i/>
        </w:rPr>
        <w:t xml:space="preserve">See </w:t>
      </w:r>
      <w:r w:rsidRPr="00661179">
        <w:t xml:space="preserve">47 CFR §§ 1.2105(a), 1.2101(b).  </w:t>
      </w:r>
    </w:p>
  </w:footnote>
  <w:footnote w:id="36">
    <w:p w:rsidR="002E221B" w:rsidRPr="00661179" w:rsidP="00BF14F1">
      <w:pPr>
        <w:pStyle w:val="FootnoteText"/>
      </w:pPr>
      <w:r w:rsidRPr="00661179">
        <w:rPr>
          <w:rStyle w:val="FootnoteReference"/>
        </w:rPr>
        <w:footnoteRef/>
      </w:r>
      <w:r w:rsidRPr="00661179">
        <w:t xml:space="preserve"> </w:t>
      </w:r>
      <w:r w:rsidRPr="00661179">
        <w:rPr>
          <w:i/>
        </w:rPr>
        <w:t>See id.</w:t>
      </w:r>
      <w:r w:rsidRPr="00661179">
        <w:t xml:space="preserve"> §</w:t>
      </w:r>
      <w:r w:rsidRPr="00661179">
        <w:t xml:space="preserve">§ 1.2112, 54.1005(a)(1).  </w:t>
      </w:r>
    </w:p>
  </w:footnote>
  <w:footnote w:id="37">
    <w:p w:rsidR="002E221B" w:rsidRPr="00661179" w:rsidP="00BF14F1">
      <w:pPr>
        <w:pStyle w:val="FootnoteText"/>
      </w:pPr>
      <w:r w:rsidRPr="00661179">
        <w:rPr>
          <w:rStyle w:val="FootnoteReference"/>
        </w:rPr>
        <w:footnoteRef/>
      </w:r>
      <w:r w:rsidRPr="00661179">
        <w:t xml:space="preserve"> 47 U.S.C. § 309(j)(3).  For example, one such objective that may be impacted by reduced competition is the “recovery for the public of a portion of the value of the public spectrum resource made available for commercial use.”  </w:t>
      </w:r>
      <w:r w:rsidRPr="00661179">
        <w:rPr>
          <w:i/>
          <w:iCs/>
        </w:rPr>
        <w:t>Id.</w:t>
      </w:r>
      <w:r w:rsidRPr="00661179">
        <w:t xml:space="preserve"> § 309(j)(3)(C). </w:t>
      </w:r>
    </w:p>
  </w:footnote>
  <w:footnote w:id="38">
    <w:p w:rsidR="002E221B" w:rsidRPr="00661179" w:rsidP="009F4C7C">
      <w:pPr>
        <w:pStyle w:val="FootnoteText"/>
      </w:pPr>
      <w:r w:rsidRPr="00661179">
        <w:rPr>
          <w:rStyle w:val="FootnoteReference"/>
        </w:rPr>
        <w:footnoteRef/>
      </w:r>
      <w:r w:rsidRPr="00661179">
        <w:t xml:space="preserve"> If we do not consolidate the short-form and long-form application fees, we would require any short-form application fees established in this proceeding to be received prior to the deadline for the submission of a short-form applicati</w:t>
      </w:r>
      <w:r w:rsidRPr="00661179">
        <w:t>on to participate in the auction.  Only parties that pay the application fee would be able to submit an application that is acceptable for filing, and only those parties would be considered applicants for purposes of the auction.  Consistent with our treat</w:t>
      </w:r>
      <w:r w:rsidRPr="00661179">
        <w:t>ment of current defaulters, which are not provided with an opportunity to satisfy outstanding debts or delinquencies subsequent to a short-form application deadline in order to cure an auction application, a party would not be permitted to submit the appli</w:t>
      </w:r>
      <w:r w:rsidRPr="00661179">
        <w:t xml:space="preserve">cation fee after the deadline, and the party would not be eligible to participate in the auction.  </w:t>
      </w:r>
      <w:r w:rsidRPr="00661179">
        <w:rPr>
          <w:i/>
        </w:rPr>
        <w:t xml:space="preserve">See </w:t>
      </w:r>
      <w:r w:rsidRPr="00661179">
        <w:t xml:space="preserve">47 CFR §§ 1.2105(a)(2)(xi); 1.1910(b)(3)(ii); </w:t>
      </w:r>
      <w:r w:rsidRPr="00661179">
        <w:rPr>
          <w:i/>
        </w:rPr>
        <w:t>see also Amendment of Part 1 of the Commission’s Rules – Competitive Bidding Procedures</w:t>
      </w:r>
      <w:r w:rsidRPr="00661179">
        <w:t>, Order on Reconside</w:t>
      </w:r>
      <w:r w:rsidRPr="00661179">
        <w:t>ration of the Third Report and Order, Fifth Report and Order, and Fourth Further Notice of Proposed Rule Making, 15 FCC Rcd 15293, 15317, para. 42 n.142 (2000) (modified by Erratum, 15 FCC Rcd 21520 (2000)).</w:t>
      </w:r>
    </w:p>
  </w:footnote>
  <w:footnote w:id="39">
    <w:p w:rsidR="002E221B" w:rsidRPr="00661179" w:rsidP="00BF14F1">
      <w:pPr>
        <w:pStyle w:val="FootnoteText"/>
      </w:pPr>
      <w:r w:rsidRPr="00661179">
        <w:rPr>
          <w:rStyle w:val="FootnoteReference"/>
        </w:rPr>
        <w:footnoteRef/>
      </w:r>
      <w:r w:rsidRPr="00661179">
        <w:t xml:space="preserve"> 47 U.S.C. § 158(a).</w:t>
      </w:r>
    </w:p>
  </w:footnote>
  <w:footnote w:id="40">
    <w:p w:rsidR="002E221B" w:rsidRPr="006C483B" w:rsidP="0036492D">
      <w:pPr>
        <w:pStyle w:val="FootnoteText"/>
        <w:rPr>
          <w:rStyle w:val="FootnoteReference"/>
          <w:vertAlign w:val="baseline"/>
        </w:rPr>
      </w:pPr>
      <w:r w:rsidRPr="00661179">
        <w:rPr>
          <w:rStyle w:val="FootnoteReference"/>
        </w:rPr>
        <w:footnoteRef/>
      </w:r>
      <w:r w:rsidRPr="00661179">
        <w:rPr>
          <w:rStyle w:val="FootnoteReference"/>
        </w:rPr>
        <w:t xml:space="preserve"> </w:t>
      </w:r>
      <w:r w:rsidRPr="00661179">
        <w:rPr>
          <w:rStyle w:val="FootnoteReference"/>
          <w:i/>
          <w:vertAlign w:val="baseline"/>
        </w:rPr>
        <w:t>See</w:t>
      </w:r>
      <w:r w:rsidRPr="00661179">
        <w:rPr>
          <w:rStyle w:val="FootnoteReference"/>
          <w:vertAlign w:val="baseline"/>
        </w:rPr>
        <w:t xml:space="preserve"> 47 CFR § 5.1.</w:t>
      </w:r>
    </w:p>
  </w:footnote>
  <w:footnote w:id="41">
    <w:p w:rsidR="002E221B" w:rsidRPr="006C483B" w:rsidP="0036492D">
      <w:pPr>
        <w:pStyle w:val="FootnoteText"/>
        <w:rPr>
          <w:rStyle w:val="FootnoteReference"/>
          <w:vertAlign w:val="baseline"/>
        </w:rPr>
      </w:pPr>
      <w:r w:rsidRPr="00661179">
        <w:rPr>
          <w:rStyle w:val="FootnoteReference"/>
        </w:rPr>
        <w:footnoteRef/>
      </w:r>
      <w:r w:rsidRPr="00661179">
        <w:rPr>
          <w:rStyle w:val="FootnoteReference"/>
          <w:vertAlign w:val="baseline"/>
        </w:rPr>
        <w:t xml:space="preserve"> </w:t>
      </w:r>
      <w:r w:rsidRPr="00661179">
        <w:rPr>
          <w:rStyle w:val="FootnoteReference"/>
          <w:i/>
          <w:vertAlign w:val="baseline"/>
        </w:rPr>
        <w:t>See</w:t>
      </w:r>
      <w:r w:rsidRPr="00661179">
        <w:t xml:space="preserve"> </w:t>
      </w:r>
      <w:r w:rsidRPr="00661179">
        <w:rPr>
          <w:rStyle w:val="FootnoteReference"/>
          <w:vertAlign w:val="baseline"/>
        </w:rPr>
        <w:t>47 CFR § 5.3.</w:t>
      </w:r>
    </w:p>
  </w:footnote>
  <w:footnote w:id="42">
    <w:p w:rsidR="002E221B" w:rsidRPr="00661179" w:rsidP="00517EE7">
      <w:pPr>
        <w:pStyle w:val="FootnoteText"/>
      </w:pPr>
      <w:r w:rsidRPr="00661179">
        <w:rPr>
          <w:rStyle w:val="FootnoteReference"/>
        </w:rPr>
        <w:footnoteRef/>
      </w:r>
      <w:r w:rsidRPr="00661179">
        <w:t xml:space="preserve"> Cubesats are small satellites that use a standard size and form factor; generally, “one unit” or “1U” which measures 10x10x10 centimeters.  </w:t>
      </w:r>
      <w:r w:rsidRPr="00661179">
        <w:rPr>
          <w:i/>
        </w:rPr>
        <w:t>See What are SmallSats and CubeSats?</w:t>
      </w:r>
      <w:r w:rsidRPr="00661179">
        <w:rPr>
          <w:iCs/>
        </w:rPr>
        <w:t xml:space="preserve"> (Feb. 26, 2015),</w:t>
      </w:r>
      <w:r w:rsidRPr="00661179">
        <w:rPr>
          <w:i/>
        </w:rPr>
        <w:t xml:space="preserve"> </w:t>
      </w:r>
      <w:hyperlink r:id="rId1" w:history="1">
        <w:r w:rsidRPr="00661179">
          <w:rPr>
            <w:rStyle w:val="Hyperlink"/>
          </w:rPr>
          <w:t>https://www.nasa.gov/content/what-are-smallsats-and-cubesats</w:t>
        </w:r>
      </w:hyperlink>
      <w:r w:rsidRPr="00661179">
        <w:rPr>
          <w:rStyle w:val="Hyperlink"/>
          <w:u w:val="none"/>
        </w:rPr>
        <w:t>.</w:t>
      </w:r>
      <w:r w:rsidRPr="00661179">
        <w:rPr>
          <w:rStyle w:val="Hyperlink"/>
        </w:rPr>
        <w:t xml:space="preserve"> </w:t>
      </w:r>
      <w:r w:rsidRPr="00661179">
        <w:t xml:space="preserve"> </w:t>
      </w:r>
    </w:p>
  </w:footnote>
  <w:footnote w:id="43">
    <w:p w:rsidR="002E221B" w:rsidRPr="00661179" w:rsidP="0036492D">
      <w:pPr>
        <w:pStyle w:val="FootnoteText"/>
      </w:pPr>
      <w:r w:rsidRPr="00661179">
        <w:rPr>
          <w:rStyle w:val="FootnoteReference"/>
        </w:rPr>
        <w:footnoteRef/>
      </w:r>
      <w:r w:rsidRPr="00661179">
        <w:t xml:space="preserve"> </w:t>
      </w:r>
      <w:r w:rsidRPr="00661179">
        <w:rPr>
          <w:i/>
        </w:rPr>
        <w:t>See</w:t>
      </w:r>
      <w:r w:rsidRPr="00661179">
        <w:t xml:space="preserve"> </w:t>
      </w:r>
      <w:r w:rsidRPr="00661179">
        <w:rPr>
          <w:i/>
        </w:rPr>
        <w:t>Promoting Expanded Opportunities for Radio Experimentation and Market Trials under Part 5 of the Commission’s Rules and Streamlining Other Related Rules</w:t>
      </w:r>
      <w:r w:rsidRPr="00661179">
        <w:t>, E</w:t>
      </w:r>
      <w:r w:rsidRPr="00661179">
        <w:t>T Docket No.10-236, Report and Order, 28 FCC Rcd 758 (2013).</w:t>
      </w:r>
    </w:p>
  </w:footnote>
  <w:footnote w:id="44">
    <w:p w:rsidR="002E221B" w:rsidRPr="00661179" w:rsidP="0036492D">
      <w:pPr>
        <w:pStyle w:val="FootnoteText"/>
      </w:pPr>
      <w:r w:rsidRPr="00661179">
        <w:rPr>
          <w:rStyle w:val="FootnoteReference"/>
        </w:rPr>
        <w:footnoteRef/>
      </w:r>
      <w:r w:rsidRPr="00661179">
        <w:t xml:space="preserve"> </w:t>
      </w:r>
      <w:r w:rsidRPr="00661179">
        <w:rPr>
          <w:i/>
        </w:rPr>
        <w:t>See</w:t>
      </w:r>
      <w:r w:rsidRPr="00661179">
        <w:t xml:space="preserve"> 47 CFR §</w:t>
      </w:r>
      <w:r w:rsidRPr="00661179">
        <w:rPr>
          <w:rStyle w:val="FootnoteReference"/>
          <w:vertAlign w:val="baseline"/>
        </w:rPr>
        <w:t>§</w:t>
      </w:r>
      <w:r w:rsidRPr="00661179">
        <w:t xml:space="preserve"> 5.302, 5.402, 5.502.</w:t>
      </w:r>
    </w:p>
  </w:footnote>
  <w:footnote w:id="45">
    <w:p w:rsidR="002E221B" w:rsidRPr="00661179" w:rsidP="0036492D">
      <w:pPr>
        <w:pStyle w:val="FootnoteText"/>
      </w:pPr>
      <w:r w:rsidRPr="00661179">
        <w:rPr>
          <w:rStyle w:val="FootnoteReference"/>
        </w:rPr>
        <w:footnoteRef/>
      </w:r>
      <w:r w:rsidRPr="00661179">
        <w:t xml:space="preserve"> </w:t>
      </w:r>
      <w:r w:rsidRPr="00661179">
        <w:rPr>
          <w:i/>
        </w:rPr>
        <w:t>See</w:t>
      </w:r>
      <w:r w:rsidRPr="00661179">
        <w:t xml:space="preserve"> https://apps2.fcc.gov/ELSExperiments/pages/login.htm.</w:t>
      </w:r>
    </w:p>
  </w:footnote>
  <w:footnote w:id="46">
    <w:p w:rsidR="002E221B" w:rsidRPr="00661179">
      <w:pPr>
        <w:pStyle w:val="FootnoteText"/>
      </w:pPr>
      <w:r w:rsidRPr="00661179">
        <w:rPr>
          <w:rStyle w:val="FootnoteReference"/>
        </w:rPr>
        <w:footnoteRef/>
      </w:r>
      <w:r w:rsidRPr="00661179">
        <w:t xml:space="preserve"> Congress included such requests for confidentiality as feeable applications since 1989. </w:t>
      </w:r>
      <w:r>
        <w:rPr>
          <w:snapToGrid w:val="0"/>
        </w:rPr>
        <w:t>In the Omnibus Budget Reconciliation Act of 1989, Pub L. No. 101-239 (1989), Congress changed fee rates, included an exemption for nonprofit entities licensed for cert</w:t>
      </w:r>
      <w:r>
        <w:rPr>
          <w:snapToGrid w:val="0"/>
        </w:rPr>
        <w:t xml:space="preserve">ain services, and added new fee categories for other types of services.  </w:t>
      </w:r>
      <w:r>
        <w:rPr>
          <w:i/>
          <w:iCs/>
          <w:snapToGrid w:val="0"/>
        </w:rPr>
        <w:t>Establishment of a Fee Collection Program to Implement the Provisions of the Omnibus Budget Reconciliation Act of 1989</w:t>
      </w:r>
      <w:r>
        <w:rPr>
          <w:snapToGrid w:val="0"/>
        </w:rPr>
        <w:t xml:space="preserve">, </w:t>
      </w:r>
      <w:r>
        <w:rPr>
          <w:snapToGrid w:val="0"/>
          <w:color w:val="000000"/>
          <w:shd w:val="clear" w:color="auto" w:fill="FFFFFF"/>
        </w:rPr>
        <w:t xml:space="preserve">Memorandum Opinion and Order, </w:t>
      </w:r>
      <w:r>
        <w:rPr>
          <w:snapToGrid w:val="0"/>
        </w:rPr>
        <w:t xml:space="preserve">5 FCC Rcd 3558 (1990); </w:t>
      </w:r>
      <w:r>
        <w:rPr>
          <w:snapToGrid w:val="0"/>
          <w:color w:val="000000"/>
          <w:shd w:val="clear" w:color="auto" w:fill="FFFFFF"/>
        </w:rPr>
        <w:t>Memorandum</w:t>
      </w:r>
      <w:r>
        <w:rPr>
          <w:snapToGrid w:val="0"/>
          <w:color w:val="000000"/>
          <w:shd w:val="clear" w:color="auto" w:fill="FFFFFF"/>
        </w:rPr>
        <w:t xml:space="preserve"> Opinion and Order, 6 FCC Rcd 5919 (1991).</w:t>
      </w:r>
      <w:r w:rsidRPr="00661179">
        <w:t xml:space="preserve"> </w:t>
      </w:r>
    </w:p>
  </w:footnote>
  <w:footnote w:id="47">
    <w:p w:rsidR="002E221B" w:rsidRPr="00661179" w:rsidP="00BB6F6B">
      <w:pPr>
        <w:pStyle w:val="FootnoteText"/>
      </w:pPr>
      <w:r w:rsidRPr="00661179">
        <w:rPr>
          <w:rStyle w:val="FootnoteReference"/>
        </w:rPr>
        <w:footnoteRef/>
      </w:r>
      <w:r w:rsidRPr="00661179">
        <w:t xml:space="preserve"> For a comprehensive description of Media Bureau activities, </w:t>
      </w:r>
      <w:r w:rsidRPr="00661179">
        <w:rPr>
          <w:i/>
        </w:rPr>
        <w:t xml:space="preserve">see </w:t>
      </w:r>
      <w:hyperlink r:id="rId2" w:history="1">
        <w:r w:rsidRPr="00661179">
          <w:rPr>
            <w:rStyle w:val="Hyperlink"/>
          </w:rPr>
          <w:t>https://www.fcc.gov/media</w:t>
        </w:r>
      </w:hyperlink>
      <w:r w:rsidRPr="00661179">
        <w:t>.</w:t>
      </w:r>
    </w:p>
  </w:footnote>
  <w:footnote w:id="48">
    <w:p w:rsidR="002E221B" w:rsidRPr="00661179" w:rsidP="00BB6F6B">
      <w:pPr>
        <w:pStyle w:val="FootnoteText"/>
      </w:pPr>
      <w:r w:rsidRPr="00661179">
        <w:rPr>
          <w:rStyle w:val="FootnoteReference"/>
        </w:rPr>
        <w:footnoteRef/>
      </w:r>
      <w:r w:rsidRPr="00661179">
        <w:t xml:space="preserve"> We propose removing the Main Studio Request application from the applicatio</w:t>
      </w:r>
      <w:r w:rsidRPr="00661179">
        <w:t>n fee schedule because the Commission eliminated the Main Studio Rule</w:t>
      </w:r>
      <w:r w:rsidRPr="00661179">
        <w:rPr>
          <w:i/>
        </w:rPr>
        <w:t>.  Elimination of Main Studio Rule</w:t>
      </w:r>
      <w:r w:rsidRPr="00661179">
        <w:t>, Report and Order, 32 FCC Rcd 8158 (2017).</w:t>
      </w:r>
    </w:p>
  </w:footnote>
  <w:footnote w:id="49">
    <w:p w:rsidR="002E221B" w:rsidRPr="00661179">
      <w:pPr>
        <w:pStyle w:val="FootnoteText"/>
      </w:pPr>
      <w:r w:rsidRPr="00661179">
        <w:rPr>
          <w:rStyle w:val="FootnoteReference"/>
        </w:rPr>
        <w:footnoteRef/>
      </w:r>
      <w:r w:rsidRPr="00661179">
        <w:t xml:space="preserve"> </w:t>
      </w:r>
      <w:r w:rsidRPr="00661179">
        <w:rPr>
          <w:snapToGrid w:val="0"/>
        </w:rPr>
        <w:t xml:space="preserve">47 CFR </w:t>
      </w:r>
      <w:r w:rsidRPr="00661179">
        <w:t xml:space="preserve">§ </w:t>
      </w:r>
      <w:r w:rsidRPr="00661179">
        <w:rPr>
          <w:snapToGrid w:val="0"/>
        </w:rPr>
        <w:t>73.622(i).</w:t>
      </w:r>
    </w:p>
  </w:footnote>
  <w:footnote w:id="50">
    <w:p w:rsidR="002E221B" w:rsidRPr="00661179" w:rsidP="00BB6F6B">
      <w:pPr>
        <w:pStyle w:val="FootnoteText"/>
      </w:pPr>
      <w:r w:rsidRPr="00661179">
        <w:rPr>
          <w:rStyle w:val="FootnoteReference"/>
        </w:rPr>
        <w:footnoteRef/>
      </w:r>
      <w:r w:rsidRPr="00661179">
        <w:t xml:space="preserve"> We propose removing this from the application fee schedule as a category because the </w:t>
      </w:r>
      <w:r w:rsidRPr="00661179">
        <w:t xml:space="preserve">Commission eliminated the Main Studio Rule. </w:t>
      </w:r>
      <w:r w:rsidRPr="00661179">
        <w:rPr>
          <w:i/>
        </w:rPr>
        <w:t xml:space="preserve"> Elimination of Main Studio Rule</w:t>
      </w:r>
      <w:r w:rsidRPr="00661179">
        <w:t>, Report and Order, 32 FCC Rcd 8158 (2017).</w:t>
      </w:r>
    </w:p>
  </w:footnote>
  <w:footnote w:id="51">
    <w:p w:rsidR="002E221B" w:rsidRPr="00661179" w:rsidP="00BB6F6B">
      <w:pPr>
        <w:pStyle w:val="FootnoteText"/>
      </w:pPr>
      <w:r w:rsidRPr="00661179">
        <w:rPr>
          <w:rStyle w:val="FootnoteReference"/>
        </w:rPr>
        <w:footnoteRef/>
      </w:r>
      <w:r w:rsidRPr="00661179">
        <w:t xml:space="preserve"> We propose removing this from the application fee schedule as a category because AM Remote Control licensees are not required to file </w:t>
      </w:r>
      <w:r w:rsidRPr="00661179">
        <w:t xml:space="preserve">this form in order to engage in remote control operations.  </w:t>
      </w:r>
      <w:r w:rsidRPr="00661179">
        <w:rPr>
          <w:i/>
        </w:rPr>
        <w:t>Unattended Operation of Broadcast Stations</w:t>
      </w:r>
      <w:r w:rsidRPr="00661179">
        <w:t>, Report and Order, 10 FCC Rcd 11479 (1995).</w:t>
      </w:r>
    </w:p>
  </w:footnote>
  <w:footnote w:id="52">
    <w:p w:rsidR="002E221B" w:rsidRPr="00661179" w:rsidP="00BB6F6B">
      <w:pPr>
        <w:pStyle w:val="FootnoteText"/>
      </w:pPr>
      <w:r w:rsidRPr="00661179">
        <w:rPr>
          <w:rStyle w:val="FootnoteReference"/>
        </w:rPr>
        <w:footnoteRef/>
      </w:r>
      <w:r w:rsidRPr="00661179">
        <w:t xml:space="preserve"> We propose removing this from the application fee schedule as a category because the Commission eliminated the Main Studio Rule.  </w:t>
      </w:r>
      <w:r w:rsidRPr="00661179">
        <w:rPr>
          <w:i/>
        </w:rPr>
        <w:t>Elimination of Main Studio Rule</w:t>
      </w:r>
      <w:r w:rsidRPr="00661179">
        <w:t>, Report and Order, 32 FCC Rcd 8158 (2017).</w:t>
      </w:r>
    </w:p>
  </w:footnote>
  <w:footnote w:id="53">
    <w:p w:rsidR="002E221B" w:rsidRPr="00661179">
      <w:pPr>
        <w:pStyle w:val="FootnoteText"/>
      </w:pPr>
      <w:r w:rsidRPr="00661179">
        <w:rPr>
          <w:rStyle w:val="FootnoteReference"/>
        </w:rPr>
        <w:footnoteRef/>
      </w:r>
      <w:r w:rsidRPr="00661179">
        <w:t xml:space="preserve"> </w:t>
      </w:r>
      <w:r w:rsidRPr="00661179">
        <w:rPr>
          <w:snapToGrid w:val="0"/>
        </w:rPr>
        <w:t xml:space="preserve">47 CFR </w:t>
      </w:r>
      <w:r w:rsidRPr="00661179">
        <w:t xml:space="preserve">§ </w:t>
      </w:r>
      <w:r w:rsidRPr="00661179">
        <w:rPr>
          <w:snapToGrid w:val="0"/>
        </w:rPr>
        <w:t>202(b).</w:t>
      </w:r>
    </w:p>
  </w:footnote>
  <w:footnote w:id="54">
    <w:p w:rsidR="002E221B">
      <w:pPr>
        <w:pStyle w:val="FootnoteText"/>
      </w:pPr>
      <w:r>
        <w:rPr>
          <w:rStyle w:val="FootnoteReference"/>
        </w:rPr>
        <w:footnoteRef/>
      </w:r>
      <w:r>
        <w:t xml:space="preserve"> 47 U.S.C. § 309(j)(3).  For e</w:t>
      </w:r>
      <w:r>
        <w:t xml:space="preserve">xample, one such objective that may be affected by reduced competition is the “recovery for the public of a portion of the value of the public spectrum resource made available for commercial use.”  </w:t>
      </w:r>
      <w:r w:rsidRPr="00C37349">
        <w:rPr>
          <w:i/>
          <w:iCs/>
        </w:rPr>
        <w:t>Id.</w:t>
      </w:r>
      <w:r>
        <w:t xml:space="preserve"> § 309(j)(3)(C).</w:t>
      </w:r>
    </w:p>
  </w:footnote>
  <w:footnote w:id="55">
    <w:p w:rsidR="002E221B" w:rsidRPr="00661179" w:rsidP="00005417">
      <w:pPr>
        <w:pStyle w:val="FootnoteText"/>
      </w:pPr>
      <w:r w:rsidRPr="00661179">
        <w:rPr>
          <w:rStyle w:val="FootnoteReference"/>
        </w:rPr>
        <w:footnoteRef/>
      </w:r>
      <w:r w:rsidRPr="00661179">
        <w:t xml:space="preserve"> 47 U.S.C. § 158(a).</w:t>
      </w:r>
    </w:p>
  </w:footnote>
  <w:footnote w:id="56">
    <w:p w:rsidR="002E221B" w:rsidRPr="00056807" w:rsidP="00E9694A">
      <w:pPr>
        <w:pStyle w:val="FootnoteText"/>
      </w:pPr>
      <w:r w:rsidRPr="00056807">
        <w:rPr>
          <w:rStyle w:val="FootnoteReference"/>
        </w:rPr>
        <w:footnoteRef/>
      </w:r>
      <w:r w:rsidRPr="00056807">
        <w:t xml:space="preserve"> Section 310(b)(4) establishes a 25% benchmark for investment by foreign individuals,, governments, and corporations in U.S.-organized entities that directly or indirectly control a broadcast, common carrier or aeronautical radio station licensee if the Co</w:t>
      </w:r>
      <w:r w:rsidRPr="00056807">
        <w:t>mmission finds that the public interest would be served by rejecting foreign ownership above that benchmark.  47 U.S.C. § 310(b)(4).</w:t>
      </w:r>
    </w:p>
  </w:footnote>
  <w:footnote w:id="57">
    <w:p w:rsidR="002E221B" w:rsidRPr="00056807" w:rsidP="00E9694A">
      <w:pPr>
        <w:pStyle w:val="FootnoteText"/>
      </w:pPr>
      <w:r w:rsidRPr="00056807">
        <w:rPr>
          <w:rStyle w:val="FootnoteReference"/>
        </w:rPr>
        <w:footnoteRef/>
      </w:r>
      <w:r w:rsidRPr="00056807">
        <w:t xml:space="preserve"> We are only proposing a fee for the initial filing of the petition for declaratory ruling.  Amendments and supplements th</w:t>
      </w:r>
      <w:r w:rsidRPr="00056807">
        <w:t>ereto occur with great frequency and will not require an additional fee.</w:t>
      </w:r>
    </w:p>
  </w:footnote>
  <w:footnote w:id="58">
    <w:p w:rsidR="002E221B" w:rsidRPr="00056807" w:rsidP="00E9694A">
      <w:pPr>
        <w:pStyle w:val="FootnoteText"/>
      </w:pPr>
      <w:r w:rsidRPr="00056807">
        <w:rPr>
          <w:rStyle w:val="FootnoteReference"/>
        </w:rPr>
        <w:footnoteRef/>
      </w:r>
      <w:r w:rsidRPr="00056807">
        <w:t xml:space="preserve"> </w:t>
      </w:r>
      <w:r w:rsidRPr="00056807">
        <w:rPr>
          <w:i/>
          <w:iCs/>
        </w:rPr>
        <w:t>Review of Foreign Ownership Policies for Broadcast, Common Carrier, and Aeronautical Radio Licensees Under Section 310(b)(4) of the Communications Act of 1934, as Amended</w:t>
      </w:r>
      <w:r w:rsidRPr="00056807">
        <w:t>, GN Docket</w:t>
      </w:r>
      <w:r w:rsidRPr="00056807">
        <w:t xml:space="preserve"> 15-236, Report and Order, 31 FCC Rcd 11272 (2016).  The procedures are set out in rule sections 1.5000 to 1.5004, 47 CFR §§ 1.5000-1.5004.</w:t>
      </w:r>
    </w:p>
  </w:footnote>
  <w:footnote w:id="59">
    <w:p w:rsidR="002E221B" w:rsidRPr="00661179" w:rsidP="00E32855">
      <w:pPr>
        <w:pStyle w:val="FootnoteText"/>
      </w:pPr>
      <w:r w:rsidRPr="00661179">
        <w:rPr>
          <w:rStyle w:val="FootnoteReference"/>
        </w:rPr>
        <w:footnoteRef/>
      </w:r>
      <w:r w:rsidRPr="00661179">
        <w:t xml:space="preserve"> For a more comprehensive description of the Office of Engineering and Technology, </w:t>
      </w:r>
      <w:r w:rsidRPr="00661179">
        <w:rPr>
          <w:i/>
        </w:rPr>
        <w:t>see</w:t>
      </w:r>
      <w:r w:rsidRPr="00661179">
        <w:t xml:space="preserve"> </w:t>
      </w:r>
      <w:hyperlink r:id="rId3" w:history="1">
        <w:r w:rsidRPr="00661179">
          <w:rPr>
            <w:rStyle w:val="Hyperlink"/>
          </w:rPr>
          <w:t>https://www.fcc.gov/engineering-technology</w:t>
        </w:r>
      </w:hyperlink>
      <w:r w:rsidRPr="00661179">
        <w:t>.</w:t>
      </w:r>
    </w:p>
  </w:footnote>
  <w:footnote w:id="60">
    <w:p w:rsidR="002E221B" w:rsidRPr="00661179" w:rsidP="00E32855">
      <w:pPr>
        <w:pStyle w:val="FootnoteText"/>
      </w:pPr>
      <w:r w:rsidRPr="00661179">
        <w:rPr>
          <w:rStyle w:val="FootnoteReference"/>
        </w:rPr>
        <w:footnoteRef/>
      </w:r>
      <w:r w:rsidRPr="00661179">
        <w:t xml:space="preserve"> In some instances, the Commission does not require certain equipment to undergo authorization procedures.  For example, part 97 rules do not require amateur radio equipment to be </w:t>
      </w:r>
      <w:r w:rsidRPr="00661179">
        <w:t xml:space="preserve">certified.  The rules do require external power amplifiers designed for use at an amateur radio station to be certified.  47 CFR § 97.315. </w:t>
      </w:r>
    </w:p>
  </w:footnote>
  <w:footnote w:id="61">
    <w:p w:rsidR="002E221B" w:rsidRPr="00661179" w:rsidP="00953F1B">
      <w:pPr>
        <w:pStyle w:val="FootnoteText"/>
      </w:pPr>
      <w:r w:rsidRPr="00661179">
        <w:rPr>
          <w:rStyle w:val="FootnoteReference"/>
        </w:rPr>
        <w:footnoteRef/>
      </w:r>
      <w:r w:rsidRPr="00661179">
        <w:t xml:space="preserve"> </w:t>
      </w:r>
      <w:r w:rsidRPr="00661179">
        <w:rPr>
          <w:i/>
        </w:rPr>
        <w:t>See</w:t>
      </w:r>
      <w:r w:rsidRPr="00661179">
        <w:t xml:space="preserve"> </w:t>
      </w:r>
      <w:r w:rsidRPr="00661179">
        <w:rPr>
          <w:i/>
        </w:rPr>
        <w:t>Equipment Approval Procedures Streamlined to Increase Speed to Market and Reduce Barriers to International Tra</w:t>
      </w:r>
      <w:r w:rsidRPr="00661179">
        <w:rPr>
          <w:i/>
        </w:rPr>
        <w:t>de</w:t>
      </w:r>
      <w:r w:rsidRPr="00661179">
        <w:t xml:space="preserve">, GEN Docket No. 98-68, Report and Order, 13 FCC Rcd 24687 (1999) and </w:t>
      </w:r>
      <w:r w:rsidRPr="00661179">
        <w:rPr>
          <w:i/>
          <w:iCs/>
        </w:rPr>
        <w:t>Amendment of Parts 0, 1, 2, and 15 of the Commission’s Rules regarding Authorization of Radiofrequency Equipment</w:t>
      </w:r>
      <w:r w:rsidRPr="00661179">
        <w:t>, ET Docket No. 13-44, RM-11652, Report and Order, 29 FCC Rcd 16335 (201</w:t>
      </w:r>
      <w:r w:rsidRPr="00661179">
        <w:t>4).</w:t>
      </w:r>
    </w:p>
  </w:footnote>
  <w:footnote w:id="62">
    <w:p w:rsidR="002E221B" w:rsidRPr="00661179" w:rsidP="007B5429">
      <w:pPr>
        <w:pStyle w:val="FootnoteText"/>
      </w:pPr>
      <w:r w:rsidRPr="00661179">
        <w:rPr>
          <w:rStyle w:val="FootnoteReference"/>
        </w:rPr>
        <w:footnoteRef/>
      </w:r>
      <w:r w:rsidRPr="00661179">
        <w:t xml:space="preserve"> 47 CFR § 1.1105.</w:t>
      </w:r>
    </w:p>
  </w:footnote>
  <w:footnote w:id="63">
    <w:p w:rsidR="002E221B" w:rsidRPr="00661179" w:rsidP="00B13758">
      <w:pPr>
        <w:pStyle w:val="FootnoteText"/>
      </w:pPr>
      <w:r w:rsidRPr="00661179">
        <w:rPr>
          <w:rStyle w:val="FootnoteReference"/>
        </w:rPr>
        <w:footnoteRef/>
      </w:r>
      <w:r w:rsidRPr="00661179">
        <w:t xml:space="preserve">  47 CFR §§ 63.03-04.</w:t>
      </w:r>
    </w:p>
  </w:footnote>
  <w:footnote w:id="64">
    <w:p w:rsidR="002E221B" w:rsidRPr="00661179" w:rsidP="008F424F">
      <w:pPr>
        <w:pStyle w:val="FootnoteText"/>
      </w:pPr>
      <w:r w:rsidRPr="00661179">
        <w:rPr>
          <w:rStyle w:val="FootnoteReference"/>
        </w:rPr>
        <w:footnoteRef/>
      </w:r>
      <w:r w:rsidRPr="00661179">
        <w:t xml:space="preserve"> Domestic common carriers under section 214 of the Act are authorized to undertake pro forma transactions, with only a notice filing required in certain very limited circumstances.  47 CFR § 63.03(d).  The Com</w:t>
      </w:r>
      <w:r w:rsidRPr="00661179">
        <w:t>mission’s fees for domestic section 214 transfer of control applications therefore cover only substantive transactions for which approval is required.</w:t>
      </w:r>
    </w:p>
  </w:footnote>
  <w:footnote w:id="65">
    <w:p w:rsidR="002E221B" w:rsidRPr="00661179" w:rsidP="00DA797A">
      <w:pPr>
        <w:pStyle w:val="FootnoteText"/>
      </w:pPr>
      <w:r w:rsidRPr="00661179">
        <w:rPr>
          <w:rStyle w:val="FootnoteReference"/>
        </w:rPr>
        <w:footnoteRef/>
      </w:r>
      <w:r w:rsidRPr="00661179">
        <w:t xml:space="preserve"> 47 CFR § 63.52(a).  At this time, the Wireline Competition Bureau does not have an electronic licensing</w:t>
      </w:r>
      <w:r w:rsidRPr="00661179">
        <w:t xml:space="preserve"> system for submission of section 214 applications.  </w:t>
      </w:r>
    </w:p>
  </w:footnote>
  <w:footnote w:id="66">
    <w:p w:rsidR="002E221B" w:rsidRPr="00661179" w:rsidP="00DA797A">
      <w:pPr>
        <w:pStyle w:val="FootnoteText"/>
      </w:pPr>
      <w:r w:rsidRPr="00661179">
        <w:rPr>
          <w:rStyle w:val="FootnoteReference"/>
        </w:rPr>
        <w:footnoteRef/>
      </w:r>
      <w:r w:rsidRPr="00661179">
        <w:t xml:space="preserve"> 47 CFR §63.04(b)</w:t>
      </w:r>
      <w:r>
        <w:rPr>
          <w:snapToGrid w:val="0"/>
          <w:color w:val="3D3D3D"/>
          <w:kern w:val="28"/>
          <w:shd w:val="clear" w:color="auto" w:fill="FFFFFF"/>
        </w:rPr>
        <w:t>.</w:t>
      </w:r>
    </w:p>
  </w:footnote>
  <w:footnote w:id="67">
    <w:p w:rsidR="002E221B" w:rsidRPr="00661179" w:rsidP="00CD20B4">
      <w:pPr>
        <w:pStyle w:val="FootnoteText"/>
      </w:pPr>
      <w:r w:rsidRPr="00661179">
        <w:rPr>
          <w:rStyle w:val="FootnoteReference"/>
        </w:rPr>
        <w:footnoteRef/>
      </w:r>
      <w:r w:rsidRPr="00661179">
        <w:t xml:space="preserve"> 47 CFR § 1.1107.</w:t>
      </w:r>
    </w:p>
  </w:footnote>
  <w:footnote w:id="68">
    <w:p w:rsidR="002E221B" w:rsidRPr="00661179" w:rsidP="00CD20B4">
      <w:pPr>
        <w:pStyle w:val="FootnoteText"/>
      </w:pPr>
      <w:r w:rsidRPr="00661179">
        <w:rPr>
          <w:rStyle w:val="FootnoteReference"/>
        </w:rPr>
        <w:footnoteRef/>
      </w:r>
      <w:r w:rsidRPr="00661179">
        <w:t xml:space="preserve"> As stated above, the Commission’s domestic section 214 transfer of control rules allow the filing of joint domestic/international applications for transfer of co</w:t>
      </w:r>
      <w:r w:rsidRPr="00661179">
        <w:t>ntrol, which the separate bureaus then review based on the specified authorizations and services.  47 CFR § 63.04(b).  Applicants may seek separate grants of STA for both domestic and international services covered in a single joint application.</w:t>
      </w:r>
    </w:p>
  </w:footnote>
  <w:footnote w:id="69">
    <w:p w:rsidR="002E221B" w:rsidRPr="00661179" w:rsidP="00B13758">
      <w:pPr>
        <w:pStyle w:val="FootnoteText"/>
      </w:pPr>
      <w:r w:rsidRPr="00661179">
        <w:rPr>
          <w:rStyle w:val="FootnoteReference"/>
        </w:rPr>
        <w:footnoteRef/>
      </w:r>
      <w:r w:rsidRPr="00661179">
        <w:t xml:space="preserve"> 47 CFR §</w:t>
      </w:r>
      <w:r w:rsidRPr="00661179">
        <w:t xml:space="preserve"> 63.71(a).</w:t>
      </w:r>
    </w:p>
  </w:footnote>
  <w:footnote w:id="70">
    <w:p w:rsidR="002E221B" w:rsidRPr="00661179" w:rsidP="007B5429">
      <w:pPr>
        <w:pStyle w:val="FootnoteText"/>
      </w:pPr>
      <w:r w:rsidRPr="00661179">
        <w:rPr>
          <w:rStyle w:val="FootnoteReference"/>
        </w:rPr>
        <w:footnoteRef/>
      </w:r>
      <w:r w:rsidRPr="00661179">
        <w:t xml:space="preserve"> 47 CFR § 63.71(c). Under section 51.325 of the Commission’s rules, incumbent local exchange carriers must provide public notice of certain network changes.  47 CFR § 51.325.  </w:t>
      </w:r>
      <w:r>
        <w:t>Public notice or certification of public notice may be filed with th</w:t>
      </w:r>
      <w:r>
        <w:t>e Commission pursuant to</w:t>
      </w:r>
      <w:r w:rsidRPr="00661179">
        <w:t xml:space="preserve"> section 51.329 of the rules. </w:t>
      </w:r>
      <w:r>
        <w:t xml:space="preserve"> </w:t>
      </w:r>
      <w:r w:rsidRPr="00661179">
        <w:t>47 CFR § 51.329.  We do not propose to adopt a fee for the section 251 network change disclosure filing, which is a notice filing that does not require staff to undertake the same accepted-for-filing p</w:t>
      </w:r>
      <w:r w:rsidRPr="00661179">
        <w:t>rocess necessary for the 214 applications.</w:t>
      </w:r>
    </w:p>
  </w:footnote>
  <w:footnote w:id="71">
    <w:p w:rsidR="002E221B" w:rsidRPr="00661179" w:rsidP="00734C2C">
      <w:pPr>
        <w:pStyle w:val="FootnoteText"/>
      </w:pPr>
      <w:r w:rsidRPr="00661179">
        <w:rPr>
          <w:rStyle w:val="FootnoteReference"/>
        </w:rPr>
        <w:footnoteRef/>
      </w:r>
      <w:r w:rsidRPr="00661179">
        <w:t xml:space="preserve"> Applicants submit section 214 discontinuance applications in ECFS.  47 CFR §63.71(e).</w:t>
      </w:r>
    </w:p>
  </w:footnote>
  <w:footnote w:id="72">
    <w:p w:rsidR="002E221B" w:rsidRPr="00661179" w:rsidP="007B5429">
      <w:pPr>
        <w:pStyle w:val="FootnoteText"/>
      </w:pPr>
      <w:r w:rsidRPr="00661179">
        <w:rPr>
          <w:rStyle w:val="FootnoteReference"/>
        </w:rPr>
        <w:footnoteRef/>
      </w:r>
      <w:r w:rsidRPr="00661179">
        <w:t xml:space="preserve"> 47 CFR § 52.15(g).</w:t>
      </w:r>
    </w:p>
  </w:footnote>
  <w:footnote w:id="73">
    <w:p w:rsidR="002E221B" w:rsidRPr="00661179" w:rsidP="007B5429">
      <w:pPr>
        <w:pStyle w:val="FootnoteText"/>
      </w:pPr>
      <w:r w:rsidRPr="00661179">
        <w:rPr>
          <w:rStyle w:val="FootnoteReference"/>
        </w:rPr>
        <w:footnoteRef/>
      </w:r>
      <w:r w:rsidRPr="00661179">
        <w:t xml:space="preserve"> 47 CFR § 52.15(g)(2) and (3).  Section 52.15(g)(3) provides:  “Commission authorization process. A provider of interconnected VoIP service may show a Commission authorization obtained pursuant to this paragraph as evidence that it is authorized to provide</w:t>
      </w:r>
      <w:r w:rsidRPr="00661179">
        <w:t xml:space="preserve"> service under paragraph (g)(2) of this section.”</w:t>
      </w:r>
    </w:p>
  </w:footnote>
  <w:footnote w:id="74">
    <w:p w:rsidR="002E221B" w:rsidRPr="00661179" w:rsidP="007B5429">
      <w:pPr>
        <w:pStyle w:val="FootnoteText"/>
      </w:pPr>
      <w:r w:rsidRPr="00661179">
        <w:rPr>
          <w:rStyle w:val="FootnoteReference"/>
        </w:rPr>
        <w:footnoteRef/>
      </w:r>
      <w:r w:rsidRPr="00661179">
        <w:t xml:space="preserve"> </w:t>
      </w:r>
      <w:r w:rsidRPr="00661179">
        <w:rPr>
          <w:i/>
          <w:iCs/>
        </w:rPr>
        <w:t>See</w:t>
      </w:r>
      <w:r w:rsidRPr="00661179">
        <w:t xml:space="preserve"> 47 U.S.C. § 204(a)(3).</w:t>
      </w:r>
    </w:p>
  </w:footnote>
  <w:footnote w:id="75">
    <w:p w:rsidR="002E221B" w:rsidRPr="00661179" w:rsidP="009B0FDA">
      <w:pPr>
        <w:pStyle w:val="FootnoteText"/>
      </w:pPr>
      <w:r w:rsidRPr="00661179">
        <w:rPr>
          <w:rStyle w:val="FootnoteReference"/>
        </w:rPr>
        <w:footnoteRef/>
      </w:r>
      <w:r w:rsidRPr="00661179">
        <w:t xml:space="preserve"> </w:t>
      </w:r>
      <w:r w:rsidRPr="00661179">
        <w:rPr>
          <w:i/>
        </w:rPr>
        <w:t>See</w:t>
      </w:r>
      <w:r w:rsidRPr="00661179">
        <w:t xml:space="preserve">, </w:t>
      </w:r>
      <w:r w:rsidRPr="00661179">
        <w:rPr>
          <w:i/>
        </w:rPr>
        <w:t>e.g.</w:t>
      </w:r>
      <w:r w:rsidRPr="00661179">
        <w:t xml:space="preserve">, </w:t>
      </w:r>
      <w:r w:rsidRPr="00661179">
        <w:rPr>
          <w:i/>
        </w:rPr>
        <w:t>id.</w:t>
      </w:r>
      <w:r w:rsidRPr="00661179">
        <w:t xml:space="preserve"> § 54.315(a)(7).</w:t>
      </w:r>
    </w:p>
  </w:footnote>
  <w:footnote w:id="76">
    <w:p w:rsidR="002E221B" w:rsidRPr="00661179" w:rsidP="007B5429">
      <w:pPr>
        <w:pStyle w:val="FootnoteText"/>
      </w:pPr>
      <w:r w:rsidRPr="00661179">
        <w:rPr>
          <w:rStyle w:val="FootnoteReference"/>
        </w:rPr>
        <w:footnoteRef/>
      </w:r>
      <w:r w:rsidRPr="00661179">
        <w:t xml:space="preserve"> 47 CFR § 1.1106.</w:t>
      </w:r>
    </w:p>
  </w:footnote>
  <w:footnote w:id="77">
    <w:p w:rsidR="002E221B" w:rsidRPr="00661179">
      <w:pPr>
        <w:pStyle w:val="FootnoteText"/>
      </w:pPr>
      <w:r w:rsidRPr="00661179">
        <w:rPr>
          <w:rStyle w:val="FootnoteReference"/>
        </w:rPr>
        <w:footnoteRef/>
      </w:r>
      <w:r w:rsidRPr="00661179">
        <w:t xml:space="preserve"> </w:t>
      </w:r>
      <w:r w:rsidRPr="00661179">
        <w:rPr>
          <w:i/>
          <w:iCs/>
        </w:rPr>
        <w:t>See</w:t>
      </w:r>
      <w:r w:rsidRPr="00661179">
        <w:t xml:space="preserve"> FCC Consumer Complaint Center, </w:t>
      </w:r>
      <w:hyperlink r:id="rId4" w:history="1">
        <w:r w:rsidRPr="00661179">
          <w:rPr>
            <w:rStyle w:val="Hyperlink"/>
          </w:rPr>
          <w:t>https://consumercomplaints.fcc.gov/hc/en-us</w:t>
        </w:r>
      </w:hyperlink>
      <w:r w:rsidRPr="00661179">
        <w:t>.</w:t>
      </w:r>
    </w:p>
  </w:footnote>
  <w:footnote w:id="78">
    <w:p w:rsidR="002E221B" w:rsidRPr="00661179" w:rsidP="007B5429">
      <w:pPr>
        <w:pStyle w:val="FootnoteText"/>
      </w:pPr>
      <w:r w:rsidRPr="00661179">
        <w:rPr>
          <w:rStyle w:val="FootnoteReference"/>
        </w:rPr>
        <w:footnoteRef/>
      </w:r>
      <w:r w:rsidRPr="00661179">
        <w:t xml:space="preserve"> </w:t>
      </w:r>
      <w:r w:rsidRPr="00661179">
        <w:rPr>
          <w:i/>
        </w:rPr>
        <w:t>See Amendment of Certain of the Commission’s Part 1 Rules of Practice and Procedure Relating to the Filing of Formal Complaints Under Section 208 of th</w:t>
      </w:r>
      <w:r w:rsidRPr="00661179">
        <w:rPr>
          <w:i/>
        </w:rPr>
        <w:t>e Communications Act and Pole Attachment Complaints Under Section 224 of the Communications Act</w:t>
      </w:r>
      <w:r w:rsidRPr="00661179">
        <w:t>, Order, 29 FCC Rcd 14078, 14080, paras. 9-10 (2014).</w:t>
      </w:r>
    </w:p>
  </w:footnote>
  <w:footnote w:id="79">
    <w:p w:rsidR="002E221B" w:rsidRPr="00661179" w:rsidP="007B5429">
      <w:pPr>
        <w:pStyle w:val="FootnoteText"/>
      </w:pPr>
      <w:r w:rsidRPr="00661179">
        <w:rPr>
          <w:rStyle w:val="FootnoteReference"/>
        </w:rPr>
        <w:footnoteRef/>
      </w:r>
      <w:r w:rsidRPr="00661179">
        <w:t xml:space="preserve"> </w:t>
      </w:r>
      <w:r w:rsidRPr="00661179">
        <w:rPr>
          <w:i/>
        </w:rPr>
        <w:t>See</w:t>
      </w:r>
      <w:r w:rsidRPr="00661179">
        <w:t xml:space="preserve"> 47 U.S.C. § 1001(8)(B)(ii); </w:t>
      </w:r>
      <w:r w:rsidRPr="00661179">
        <w:rPr>
          <w:i/>
        </w:rPr>
        <w:t>Communications Assistance for Law Enforcement and Broadband Access and Se</w:t>
      </w:r>
      <w:r w:rsidRPr="00661179">
        <w:rPr>
          <w:i/>
        </w:rPr>
        <w:t>rvices</w:t>
      </w:r>
      <w:r w:rsidRPr="00661179">
        <w:t>, Second Report and Order and Memorandum Opinion and Order, 21 FCC Rcd 5360 (2006).</w:t>
      </w:r>
    </w:p>
  </w:footnote>
  <w:footnote w:id="80">
    <w:p w:rsidR="002E221B" w:rsidRPr="00661179" w:rsidP="007B5429">
      <w:pPr>
        <w:pStyle w:val="FootnoteText"/>
      </w:pPr>
      <w:r w:rsidRPr="00661179">
        <w:rPr>
          <w:rStyle w:val="FootnoteReference"/>
        </w:rPr>
        <w:footnoteRef/>
      </w:r>
      <w:r w:rsidRPr="00661179">
        <w:t xml:space="preserve"> 47 U.S.C. § 1006(b).</w:t>
      </w:r>
    </w:p>
  </w:footnote>
  <w:footnote w:id="81">
    <w:p w:rsidR="002E221B" w:rsidRPr="00661179" w:rsidP="007B5429">
      <w:pPr>
        <w:pStyle w:val="FootnoteText"/>
      </w:pPr>
      <w:r w:rsidRPr="00661179">
        <w:rPr>
          <w:rStyle w:val="FootnoteReference"/>
        </w:rPr>
        <w:footnoteRef/>
      </w:r>
      <w:r w:rsidRPr="00661179">
        <w:t xml:space="preserve"> 47 U.S.C. § 1008(b)(1).</w:t>
      </w:r>
    </w:p>
  </w:footnote>
  <w:footnote w:id="82">
    <w:p w:rsidR="002E221B" w:rsidRPr="00661179" w:rsidP="00F134DA">
      <w:pPr>
        <w:pStyle w:val="FootnoteText"/>
      </w:pPr>
      <w:r w:rsidRPr="00661179">
        <w:rPr>
          <w:rStyle w:val="FootnoteReference"/>
        </w:rPr>
        <w:footnoteRef/>
      </w:r>
      <w:r w:rsidRPr="00661179">
        <w:t xml:space="preserve"> 47 CFR § 1.1109.</w:t>
      </w:r>
    </w:p>
  </w:footnote>
  <w:footnote w:id="83">
    <w:p w:rsidR="002E221B" w:rsidRPr="00661179" w:rsidP="00BB6F6B">
      <w:pPr>
        <w:pStyle w:val="FootnoteText"/>
      </w:pPr>
      <w:r w:rsidRPr="00661179">
        <w:rPr>
          <w:rStyle w:val="FootnoteReference"/>
        </w:rPr>
        <w:footnoteRef/>
      </w:r>
      <w:r w:rsidRPr="00661179">
        <w:t xml:space="preserve"> For a comprehensive description of the International Bureau’s activities, </w:t>
      </w:r>
      <w:r w:rsidRPr="00661179">
        <w:rPr>
          <w:i/>
        </w:rPr>
        <w:t>see</w:t>
      </w:r>
      <w:r w:rsidRPr="00661179">
        <w:t xml:space="preserve"> </w:t>
      </w:r>
      <w:hyperlink r:id="rId5" w:history="1">
        <w:r w:rsidRPr="00661179">
          <w:rPr>
            <w:rStyle w:val="Hyperlink"/>
          </w:rPr>
          <w:t>https://www.fcc.gov/international</w:t>
        </w:r>
      </w:hyperlink>
      <w:r w:rsidRPr="00661179">
        <w:t>.</w:t>
      </w:r>
    </w:p>
  </w:footnote>
  <w:footnote w:id="84">
    <w:p w:rsidR="002E221B" w:rsidRPr="00661179" w:rsidP="00BB6F6B">
      <w:pPr>
        <w:pStyle w:val="FootnoteText"/>
      </w:pPr>
      <w:r w:rsidRPr="00661179">
        <w:rPr>
          <w:rStyle w:val="FootnoteReference"/>
        </w:rPr>
        <w:footnoteRef/>
      </w:r>
      <w:r w:rsidRPr="00661179">
        <w:t xml:space="preserve"> 47 U.S.C. §§ 34-39. </w:t>
      </w:r>
    </w:p>
  </w:footnote>
  <w:footnote w:id="85">
    <w:p w:rsidR="002E221B" w:rsidRPr="00661179" w:rsidP="00BB6F6B">
      <w:pPr>
        <w:pStyle w:val="FootnoteText"/>
      </w:pPr>
      <w:r w:rsidRPr="00661179">
        <w:rPr>
          <w:rStyle w:val="FootnoteReference"/>
        </w:rPr>
        <w:footnoteRef/>
      </w:r>
      <w:r w:rsidRPr="00661179">
        <w:t xml:space="preserve"> Executive Order No. 10530 delegates to the Commission the President’s authority under the Cable Landing License Act of 1921 adding that “no such license shall be gr</w:t>
      </w:r>
      <w:r w:rsidRPr="00661179">
        <w:t>anted or revoked by the Commission except after obtaining approval of the Secretary of State and such advice from any executive branch department or establishment of the Government as the Commission may deem necessary.”  Exec. Ord. No. 10530 § 5(a), reprin</w:t>
      </w:r>
      <w:r w:rsidRPr="00661179">
        <w:t xml:space="preserve">ted as amended in 3 U.S.C. § 301. </w:t>
      </w:r>
    </w:p>
  </w:footnote>
  <w:footnote w:id="86">
    <w:p w:rsidR="002E221B" w:rsidRPr="007E653A" w:rsidP="00BB6F6B">
      <w:pPr>
        <w:pStyle w:val="FootnoteText"/>
        <w:rPr>
          <w:lang w:val="es-ES"/>
        </w:rPr>
      </w:pPr>
      <w:r w:rsidRPr="00661179">
        <w:rPr>
          <w:rStyle w:val="FootnoteReference"/>
        </w:rPr>
        <w:footnoteRef/>
      </w:r>
      <w:r w:rsidRPr="007E653A">
        <w:rPr>
          <w:lang w:val="es-ES"/>
        </w:rPr>
        <w:t xml:space="preserve"> 47 CFR §§ 1.767(a)(11), 1.767(g)(6), 1.767(e).</w:t>
      </w:r>
    </w:p>
  </w:footnote>
  <w:footnote w:id="87">
    <w:p w:rsidR="002E221B" w:rsidRPr="007E653A" w:rsidP="00BB6F6B">
      <w:pPr>
        <w:pStyle w:val="FootnoteText"/>
        <w:rPr>
          <w:lang w:val="es-ES"/>
        </w:rPr>
      </w:pPr>
      <w:r w:rsidRPr="00661179">
        <w:rPr>
          <w:rStyle w:val="FootnoteReference"/>
        </w:rPr>
        <w:footnoteRef/>
      </w:r>
      <w:r w:rsidRPr="007E653A">
        <w:rPr>
          <w:lang w:val="es-ES"/>
        </w:rPr>
        <w:t xml:space="preserve"> 47 CFR § 1.767(b). </w:t>
      </w:r>
    </w:p>
  </w:footnote>
  <w:footnote w:id="88">
    <w:p w:rsidR="002E221B" w:rsidRPr="00661179" w:rsidP="00BB6F6B">
      <w:pPr>
        <w:pStyle w:val="FootnoteText"/>
      </w:pPr>
      <w:r w:rsidRPr="00661179">
        <w:rPr>
          <w:rStyle w:val="FootnoteReference"/>
        </w:rPr>
        <w:footnoteRef/>
      </w:r>
      <w:r w:rsidRPr="00661179">
        <w:t xml:space="preserve"> </w:t>
      </w:r>
      <w:r w:rsidRPr="00661179">
        <w:rPr>
          <w:i/>
        </w:rPr>
        <w:t xml:space="preserve">See </w:t>
      </w:r>
      <w:r w:rsidRPr="00661179">
        <w:rPr>
          <w:i/>
          <w:spacing w:val="-2"/>
        </w:rPr>
        <w:t>Process Reform for Executive Branch Review of Certain FCC Applications and Petitions Involving Foreign Ownership</w:t>
      </w:r>
      <w:r w:rsidRPr="00661179">
        <w:rPr>
          <w:spacing w:val="-2"/>
        </w:rPr>
        <w:t xml:space="preserve">, IB Docket No. 16-155, </w:t>
      </w:r>
      <w:r w:rsidRPr="00661179">
        <w:rPr>
          <w:spacing w:val="-2"/>
        </w:rPr>
        <w:t>Notice of Proposed Rulemaking, 31 FCC Rcd 7456, 7458-59, paras. 6-8 (2016).</w:t>
      </w:r>
    </w:p>
  </w:footnote>
  <w:footnote w:id="89">
    <w:p w:rsidR="002E221B" w:rsidRPr="00661179" w:rsidP="00BB6F6B">
      <w:pPr>
        <w:pStyle w:val="FootnoteText"/>
      </w:pPr>
      <w:r w:rsidRPr="00661179">
        <w:rPr>
          <w:rStyle w:val="FootnoteReference"/>
        </w:rPr>
        <w:footnoteRef/>
      </w:r>
      <w:r w:rsidRPr="00661179">
        <w:t xml:space="preserve"> 47 CFR § 1.767.</w:t>
      </w:r>
    </w:p>
  </w:footnote>
  <w:footnote w:id="90">
    <w:p w:rsidR="002E221B" w:rsidRPr="00661179">
      <w:pPr>
        <w:pStyle w:val="FootnoteText"/>
      </w:pPr>
      <w:r w:rsidRPr="00661179">
        <w:rPr>
          <w:rStyle w:val="FootnoteReference"/>
        </w:rPr>
        <w:footnoteRef/>
      </w:r>
      <w:r w:rsidRPr="00661179">
        <w:t xml:space="preserve"> There is one fee for an application for a non-common carrier system ($19,855).  There are two application fees for a common carrier cable system, one for the ca</w:t>
      </w:r>
      <w:r w:rsidRPr="00661179">
        <w:t>ble application ($2,005) and another for the overseas cable construction ($17,850), which add up to the same amount as the fee for a non-common carrier application.</w:t>
      </w:r>
    </w:p>
  </w:footnote>
  <w:footnote w:id="91">
    <w:p w:rsidR="002E221B" w:rsidRPr="00661179" w:rsidP="00BB6F6B">
      <w:pPr>
        <w:pStyle w:val="FootnoteText"/>
      </w:pPr>
      <w:r w:rsidRPr="00661179">
        <w:rPr>
          <w:rStyle w:val="FootnoteReference"/>
        </w:rPr>
        <w:footnoteRef/>
      </w:r>
      <w:r w:rsidRPr="00661179">
        <w:t xml:space="preserve"> Currently, there is no application fee for pro forma assignments and transfers of a licen</w:t>
      </w:r>
      <w:r w:rsidRPr="00661179">
        <w:t xml:space="preserve">se, foreign carrier affiliation notifications, amendments, modifications, or Landing Point Notifications (LPNs).  We are not proposing fees on amendment or LPNs since these filings are made as part of a pending application.  </w:t>
      </w:r>
    </w:p>
  </w:footnote>
  <w:footnote w:id="92">
    <w:p w:rsidR="002E221B" w:rsidRPr="00661179" w:rsidP="00BB6F6B">
      <w:pPr>
        <w:pStyle w:val="FootnoteText"/>
      </w:pPr>
      <w:r w:rsidRPr="00661179">
        <w:rPr>
          <w:rStyle w:val="FootnoteReference"/>
        </w:rPr>
        <w:footnoteRef/>
      </w:r>
      <w:r w:rsidRPr="00661179">
        <w:t xml:space="preserve"> Former 47 U.S.C. § 158(g) (S</w:t>
      </w:r>
      <w:r w:rsidRPr="00661179">
        <w:t>chedule of Application Fees) (setting forth under the category of section 214 applications separate application fees for common carrier and non-common carrier submarine cable landing licenses).</w:t>
      </w:r>
    </w:p>
  </w:footnote>
  <w:footnote w:id="93">
    <w:p w:rsidR="002E221B" w:rsidRPr="00661179" w:rsidP="00BB6F6B">
      <w:pPr>
        <w:pStyle w:val="FootnoteText"/>
      </w:pPr>
      <w:r w:rsidRPr="00661179">
        <w:rPr>
          <w:rStyle w:val="FootnoteReference"/>
        </w:rPr>
        <w:footnoteRef/>
      </w:r>
      <w:r w:rsidRPr="00661179">
        <w:t xml:space="preserve"> 47 U.S.C. § 158.</w:t>
      </w:r>
    </w:p>
  </w:footnote>
  <w:footnote w:id="94">
    <w:p w:rsidR="002E221B" w:rsidRPr="00661179">
      <w:pPr>
        <w:pStyle w:val="FootnoteText"/>
      </w:pPr>
      <w:r w:rsidRPr="00661179">
        <w:rPr>
          <w:rStyle w:val="FootnoteReference"/>
        </w:rPr>
        <w:footnoteRef/>
      </w:r>
      <w:r w:rsidRPr="00661179">
        <w:t xml:space="preserve"> </w:t>
      </w:r>
      <w:r w:rsidRPr="00661179">
        <w:rPr>
          <w:i/>
        </w:rPr>
        <w:t>See</w:t>
      </w:r>
      <w:r w:rsidRPr="00661179">
        <w:t xml:space="preserve">, </w:t>
      </w:r>
      <w:r w:rsidRPr="00661179">
        <w:rPr>
          <w:i/>
        </w:rPr>
        <w:t>e.g.</w:t>
      </w:r>
      <w:r w:rsidRPr="00661179">
        <w:t>, Application filed by America E</w:t>
      </w:r>
      <w:r w:rsidRPr="00661179">
        <w:t>urope Connect 2 USA, Inc., America Europe Connect 2 Limited, Edge Cable Holdings USA, LLC, GU Holdings Inc., and Optibulk Havfrue AS (Applicants) for a license to land and operate within the United States a non-common carrier fiber-optic submarine cable sy</w:t>
      </w:r>
      <w:r w:rsidRPr="00661179">
        <w:t xml:space="preserve">stem connecting Wall, New Jersey; Blaabjerg, Denmark; Old Head Beach, Leckanvy, Ireland; and Kristiansand, Norway (Havfrue system)., File No. SCL-LIC-20180511-00010 (granted by </w:t>
      </w:r>
      <w:r w:rsidRPr="00661179">
        <w:rPr>
          <w:i/>
        </w:rPr>
        <w:t>Actions Taken Under Cable Landing License Act, Section 1.767(a) Cable Landing L</w:t>
      </w:r>
      <w:r w:rsidRPr="00661179">
        <w:rPr>
          <w:i/>
        </w:rPr>
        <w:t>icenses, Modifications, and Assignments or Transfers of Control of Interests in Cable Landing Licenses (47 C.F.R. § 1.767(a))</w:t>
      </w:r>
      <w:r w:rsidRPr="00661179">
        <w:t>, Report No. SCL-00250, Public Notice, 34 FCC Rcd 7969 (IB 2019).</w:t>
      </w:r>
    </w:p>
  </w:footnote>
  <w:footnote w:id="95">
    <w:p w:rsidR="002E221B" w:rsidRPr="00661179" w:rsidP="00530353">
      <w:pPr>
        <w:pStyle w:val="FootnoteText"/>
      </w:pPr>
      <w:r w:rsidRPr="00661179">
        <w:rPr>
          <w:rStyle w:val="FootnoteReference"/>
        </w:rPr>
        <w:footnoteRef/>
      </w:r>
      <w:r w:rsidRPr="00661179">
        <w:t xml:space="preserve"> We propose to amend section 1.767(e) which sets out different p</w:t>
      </w:r>
      <w:r w:rsidRPr="00661179">
        <w:t xml:space="preserve">ayment type codes for common carrier and non-common carrier cable landing license applications.  47 CFR § 1.767(e). </w:t>
      </w:r>
    </w:p>
  </w:footnote>
  <w:footnote w:id="96">
    <w:p w:rsidR="002E221B" w:rsidRPr="00661179" w:rsidP="00530353">
      <w:pPr>
        <w:pStyle w:val="FootnoteText"/>
      </w:pPr>
      <w:r w:rsidRPr="00661179">
        <w:rPr>
          <w:rStyle w:val="FootnoteReference"/>
        </w:rPr>
        <w:footnoteRef/>
      </w:r>
      <w:r w:rsidRPr="00661179">
        <w:t xml:space="preserve"> Former 47 U.S.C. § 158(g) (Schedule of Application Fees) (setting forth under the category of section 214 applications separate applicati</w:t>
      </w:r>
      <w:r w:rsidRPr="00661179">
        <w:t>on fees for common carrier and non-common carrier submarine cable landing licenses).</w:t>
      </w:r>
    </w:p>
  </w:footnote>
  <w:footnote w:id="97">
    <w:p w:rsidR="002E221B" w:rsidRPr="00661179" w:rsidP="00530353">
      <w:pPr>
        <w:pStyle w:val="FootnoteText"/>
      </w:pPr>
      <w:r w:rsidRPr="00661179">
        <w:rPr>
          <w:rStyle w:val="FootnoteReference"/>
        </w:rPr>
        <w:footnoteRef/>
      </w:r>
      <w:r w:rsidRPr="00661179">
        <w:t xml:space="preserve"> An applicant for a submarine cable landing license that will be operated on a common carrier basis will need to separately apply for an international section 214 authori</w:t>
      </w:r>
      <w:r w:rsidRPr="00661179">
        <w:t xml:space="preserve">zation for the submarine cable, but that applicant would be subject to the same fee as any other international section 214 application. </w:t>
      </w:r>
    </w:p>
  </w:footnote>
  <w:footnote w:id="98">
    <w:p w:rsidR="002E221B" w:rsidRPr="00661179" w:rsidP="00687259">
      <w:pPr>
        <w:pStyle w:val="FootnoteText"/>
      </w:pPr>
      <w:r w:rsidRPr="00661179">
        <w:rPr>
          <w:rStyle w:val="FootnoteReference"/>
        </w:rPr>
        <w:footnoteRef/>
      </w:r>
      <w:r w:rsidRPr="00661179">
        <w:t xml:space="preserve"> For example, Telxius Cable USA, Inc. filed to add a new landing point in the Dominican Republic and to add Telxius Ca</w:t>
      </w:r>
      <w:r w:rsidRPr="00661179">
        <w:t xml:space="preserve">ble American, S.A. as a licensee on the South America-J submarine cable.  </w:t>
      </w:r>
      <w:r w:rsidRPr="00661179">
        <w:rPr>
          <w:i/>
          <w:iCs/>
        </w:rPr>
        <w:t>See Actions Taken under Cable Landing License Act, Section 1.767(a) Cable Landing Licenses, Modifications, and Assignments or Transfers of Control of Interests in Cable Landing Licen</w:t>
      </w:r>
      <w:r w:rsidRPr="00661179">
        <w:rPr>
          <w:i/>
          <w:iCs/>
        </w:rPr>
        <w:t>see (47 C.F.R. § 1.767(a))</w:t>
      </w:r>
      <w:r w:rsidRPr="00661179">
        <w:t>, SCL-MOD-20180905-0032, Report No. SCL-00255, Public Notice, 34 FCC Rcd 12207 (IB 2019).</w:t>
      </w:r>
    </w:p>
  </w:footnote>
  <w:footnote w:id="99">
    <w:p w:rsidR="002E221B" w:rsidRPr="00661179" w:rsidP="00687259">
      <w:pPr>
        <w:pStyle w:val="FootnoteText"/>
      </w:pPr>
      <w:r w:rsidRPr="00661179">
        <w:rPr>
          <w:rStyle w:val="FootnoteReference"/>
        </w:rPr>
        <w:footnoteRef/>
      </w:r>
      <w:r w:rsidRPr="00661179">
        <w:t xml:space="preserve"> We therefore propose to amend section 1.767(e), which states there is no application fee for modification of a cable landing license.  47 </w:t>
      </w:r>
      <w:r w:rsidRPr="00661179">
        <w:t>CFR § 1.767(e).</w:t>
      </w:r>
    </w:p>
  </w:footnote>
  <w:footnote w:id="100">
    <w:p w:rsidR="002E221B" w:rsidRPr="00661179" w:rsidP="00530353">
      <w:pPr>
        <w:pStyle w:val="FootnoteText"/>
      </w:pPr>
      <w:r w:rsidRPr="00661179">
        <w:rPr>
          <w:rStyle w:val="FootnoteReference"/>
        </w:rPr>
        <w:footnoteRef/>
      </w:r>
      <w:r w:rsidRPr="00661179">
        <w:t xml:space="preserve"> 47 CFR § 1.767(g)(15).</w:t>
      </w:r>
    </w:p>
  </w:footnote>
  <w:footnote w:id="101">
    <w:p w:rsidR="002E221B" w:rsidRPr="00661179" w:rsidP="00530353">
      <w:pPr>
        <w:pStyle w:val="FootnoteText"/>
      </w:pPr>
      <w:r w:rsidRPr="00661179">
        <w:rPr>
          <w:rStyle w:val="FootnoteReference"/>
        </w:rPr>
        <w:footnoteRef/>
      </w:r>
      <w:r w:rsidRPr="00661179">
        <w:t xml:space="preserve"> 47 CFR § 1.767(g)(15).</w:t>
      </w:r>
    </w:p>
  </w:footnote>
  <w:footnote w:id="102">
    <w:p w:rsidR="002E221B" w:rsidRPr="00661179" w:rsidP="00530353">
      <w:pPr>
        <w:pStyle w:val="FootnoteText"/>
      </w:pPr>
      <w:r w:rsidRPr="00661179">
        <w:rPr>
          <w:rStyle w:val="FootnoteReference"/>
        </w:rPr>
        <w:footnoteRef/>
      </w:r>
      <w:r w:rsidRPr="00661179">
        <w:t xml:space="preserve"> </w:t>
      </w:r>
      <w:r w:rsidRPr="00661179">
        <w:rPr>
          <w:i/>
        </w:rPr>
        <w:t>See</w:t>
      </w:r>
      <w:r w:rsidRPr="00661179">
        <w:t xml:space="preserve">, </w:t>
      </w:r>
      <w:r w:rsidRPr="00661179">
        <w:rPr>
          <w:i/>
        </w:rPr>
        <w:t>e.g.,</w:t>
      </w:r>
      <w:r w:rsidRPr="00661179">
        <w:t xml:space="preserve"> Application filed by AT&amp;T Corp. (AT&amp;T) on behalf of the Taino-Carib Consortium for a license to renew the authority for the Taino-Carib Cable System, File No. SCL-LIC-20180702-00019, filed June 29, 2018; Application filed by AT&amp;T Corp. on behalf of the Co</w:t>
      </w:r>
      <w:r w:rsidRPr="00661179">
        <w:t>lumbus II Consortium for a new cable landing license to allow the continued operation of the Columbus II Cable System, File No. SCL-LIC-20190326-00010, Filed Mar. 25, 2019.</w:t>
      </w:r>
    </w:p>
  </w:footnote>
  <w:footnote w:id="103">
    <w:p w:rsidR="002E221B" w:rsidRPr="00661179">
      <w:pPr>
        <w:pStyle w:val="FootnoteText"/>
      </w:pPr>
      <w:r w:rsidRPr="00661179">
        <w:rPr>
          <w:rStyle w:val="FootnoteReference"/>
        </w:rPr>
        <w:footnoteRef/>
      </w:r>
      <w:r w:rsidRPr="00661179">
        <w:t xml:space="preserve"> 47 CFR § 1.768.</w:t>
      </w:r>
    </w:p>
  </w:footnote>
  <w:footnote w:id="104">
    <w:p w:rsidR="002E221B" w:rsidRPr="00661179" w:rsidP="002952E4">
      <w:pPr>
        <w:pStyle w:val="FootnoteText"/>
      </w:pPr>
      <w:r w:rsidRPr="00661179">
        <w:rPr>
          <w:rStyle w:val="FootnoteReference"/>
        </w:rPr>
        <w:footnoteRef/>
      </w:r>
      <w:r w:rsidRPr="00661179">
        <w:t xml:space="preserve"> </w:t>
      </w:r>
      <w:r w:rsidRPr="00661179">
        <w:rPr>
          <w:i/>
        </w:rPr>
        <w:t xml:space="preserve">See </w:t>
      </w:r>
      <w:r w:rsidRPr="00661179">
        <w:t>47 CFR § 1.3.</w:t>
      </w:r>
    </w:p>
  </w:footnote>
  <w:footnote w:id="105">
    <w:p w:rsidR="002E221B" w:rsidRPr="00661179">
      <w:pPr>
        <w:pStyle w:val="FootnoteText"/>
      </w:pPr>
      <w:r w:rsidRPr="00661179">
        <w:rPr>
          <w:rStyle w:val="FootnoteReference"/>
        </w:rPr>
        <w:footnoteRef/>
      </w:r>
      <w:r w:rsidRPr="00661179">
        <w:t xml:space="preserve"> We do not propose to impose a fee for waive</w:t>
      </w:r>
      <w:r w:rsidRPr="00661179">
        <w:t>r requests that are included in an application since review of the waiver request will be part of the review of the application.</w:t>
      </w:r>
    </w:p>
  </w:footnote>
  <w:footnote w:id="106">
    <w:p w:rsidR="002E221B" w:rsidRPr="00661179" w:rsidP="00BB6F6B">
      <w:pPr>
        <w:pStyle w:val="FootnoteText"/>
      </w:pPr>
      <w:r w:rsidRPr="00661179">
        <w:rPr>
          <w:rStyle w:val="FootnoteReference"/>
        </w:rPr>
        <w:footnoteRef/>
      </w:r>
      <w:r w:rsidRPr="00661179">
        <w:t xml:space="preserve"> 47 U.S.C. § 214; 47 CFR § 63.18.  </w:t>
      </w:r>
    </w:p>
  </w:footnote>
  <w:footnote w:id="107">
    <w:p w:rsidR="002E221B" w:rsidRPr="00661179" w:rsidP="00BB6F6B">
      <w:pPr>
        <w:pStyle w:val="FootnoteText"/>
      </w:pPr>
      <w:r w:rsidRPr="00661179">
        <w:rPr>
          <w:rStyle w:val="FootnoteReference"/>
        </w:rPr>
        <w:footnoteRef/>
      </w:r>
      <w:r w:rsidRPr="00661179">
        <w:t xml:space="preserve"> 47 CFR § 63.18; </w:t>
      </w:r>
      <w:r w:rsidRPr="00661179">
        <w:rPr>
          <w:i/>
        </w:rPr>
        <w:t>see also</w:t>
      </w:r>
      <w:r w:rsidRPr="00661179">
        <w:t xml:space="preserve"> 47 CFR § 63.12 (processing of international section 214 applica</w:t>
      </w:r>
      <w:r w:rsidRPr="00661179">
        <w:t>tions).</w:t>
      </w:r>
    </w:p>
  </w:footnote>
  <w:footnote w:id="108">
    <w:p w:rsidR="002E221B" w:rsidRPr="00661179" w:rsidP="00BB6F6B">
      <w:pPr>
        <w:pStyle w:val="FootnoteText"/>
      </w:pPr>
      <w:r w:rsidRPr="00661179">
        <w:rPr>
          <w:rStyle w:val="FootnoteReference"/>
        </w:rPr>
        <w:footnoteRef/>
      </w:r>
      <w:r w:rsidRPr="00661179">
        <w:t xml:space="preserve"> 47 CFR § 63.24; </w:t>
      </w:r>
      <w:r w:rsidRPr="00661179">
        <w:rPr>
          <w:i/>
        </w:rPr>
        <w:t>see also</w:t>
      </w:r>
      <w:r w:rsidRPr="00661179">
        <w:t xml:space="preserve"> 47 CFR § 63.12 (processing of international section 214 applications).</w:t>
      </w:r>
    </w:p>
  </w:footnote>
  <w:footnote w:id="109">
    <w:p w:rsidR="002E221B" w:rsidRPr="00661179" w:rsidP="00530353">
      <w:pPr>
        <w:pStyle w:val="FootnoteText"/>
      </w:pPr>
      <w:r w:rsidRPr="00661179">
        <w:rPr>
          <w:rStyle w:val="FootnoteReference"/>
        </w:rPr>
        <w:footnoteRef/>
      </w:r>
      <w:r w:rsidRPr="00661179">
        <w:t xml:space="preserve"> </w:t>
      </w:r>
      <w:r w:rsidRPr="00661179">
        <w:rPr>
          <w:i/>
          <w:spacing w:val="-2"/>
        </w:rPr>
        <w:t>Process Reform for Executive Branch Review of Certain FCC Applications and Petitions Involving Foreign Ownership</w:t>
      </w:r>
      <w:r w:rsidRPr="00661179">
        <w:rPr>
          <w:spacing w:val="-2"/>
        </w:rPr>
        <w:t xml:space="preserve">, IB Docket No. 16-155, Notice of </w:t>
      </w:r>
      <w:r w:rsidRPr="00661179">
        <w:rPr>
          <w:spacing w:val="-2"/>
        </w:rPr>
        <w:t>Proposed Rulemaking, 31 FCC Rcd 7456, 7458-59, paras. 6-8 (2016).</w:t>
      </w:r>
      <w:r w:rsidRPr="00661179">
        <w:t xml:space="preserve"> </w:t>
      </w:r>
    </w:p>
  </w:footnote>
  <w:footnote w:id="110">
    <w:p w:rsidR="002E221B" w:rsidRPr="00661179">
      <w:pPr>
        <w:pStyle w:val="FootnoteText"/>
      </w:pPr>
      <w:r w:rsidRPr="00661179">
        <w:rPr>
          <w:rStyle w:val="FootnoteReference"/>
        </w:rPr>
        <w:footnoteRef/>
      </w:r>
      <w:r w:rsidRPr="00661179">
        <w:t xml:space="preserve"> </w:t>
      </w:r>
      <w:r w:rsidRPr="00661179">
        <w:rPr>
          <w:i/>
        </w:rPr>
        <w:t xml:space="preserve">See </w:t>
      </w:r>
      <w:r w:rsidRPr="00661179">
        <w:t>47 CFR § 63.13.</w:t>
      </w:r>
    </w:p>
  </w:footnote>
  <w:footnote w:id="111">
    <w:p w:rsidR="002E221B" w:rsidRPr="00661179">
      <w:pPr>
        <w:pStyle w:val="FootnoteText"/>
      </w:pPr>
      <w:r w:rsidRPr="00661179">
        <w:rPr>
          <w:rStyle w:val="FootnoteReference"/>
        </w:rPr>
        <w:footnoteRef/>
      </w:r>
      <w:r w:rsidRPr="00661179">
        <w:t xml:space="preserve"> </w:t>
      </w:r>
      <w:r w:rsidRPr="00661179">
        <w:rPr>
          <w:i/>
        </w:rPr>
        <w:t xml:space="preserve">See </w:t>
      </w:r>
      <w:r w:rsidRPr="00661179">
        <w:t>47 CFR § 63.11.</w:t>
      </w:r>
    </w:p>
  </w:footnote>
  <w:footnote w:id="112">
    <w:p w:rsidR="002E221B" w:rsidRPr="00661179" w:rsidP="00530353">
      <w:pPr>
        <w:pStyle w:val="FootnoteText"/>
      </w:pPr>
      <w:r w:rsidRPr="00661179">
        <w:rPr>
          <w:rStyle w:val="FootnoteReference"/>
        </w:rPr>
        <w:footnoteRef/>
      </w:r>
      <w:r w:rsidRPr="00661179">
        <w:t xml:space="preserve"> </w:t>
      </w:r>
      <w:r w:rsidRPr="00661179">
        <w:rPr>
          <w:i/>
        </w:rPr>
        <w:t xml:space="preserve">See </w:t>
      </w:r>
      <w:r w:rsidRPr="00661179">
        <w:t>47 CFR § 1.3.</w:t>
      </w:r>
    </w:p>
  </w:footnote>
  <w:footnote w:id="113">
    <w:p w:rsidR="002E221B" w:rsidRPr="00661179">
      <w:pPr>
        <w:pStyle w:val="FootnoteText"/>
      </w:pPr>
      <w:r w:rsidRPr="00661179">
        <w:rPr>
          <w:rStyle w:val="FootnoteReference"/>
        </w:rPr>
        <w:footnoteRef/>
      </w:r>
      <w:r w:rsidRPr="00661179">
        <w:t xml:space="preserve"> We do not propose to impose a fee for waiver requests that are included in an application since review of the waiver reques</w:t>
      </w:r>
      <w:r w:rsidRPr="00661179">
        <w:t>t will be part of review of the application.</w:t>
      </w:r>
    </w:p>
  </w:footnote>
  <w:footnote w:id="114">
    <w:p w:rsidR="002E221B" w:rsidRPr="00661179" w:rsidP="00530353">
      <w:pPr>
        <w:pStyle w:val="FootnoteText"/>
      </w:pPr>
      <w:r w:rsidRPr="00661179">
        <w:rPr>
          <w:rStyle w:val="FootnoteReference"/>
        </w:rPr>
        <w:footnoteRef/>
      </w:r>
      <w:r w:rsidRPr="00661179">
        <w:t xml:space="preserve"> 47 CFR § 63.19(a); </w:t>
      </w:r>
      <w:r w:rsidRPr="00661179">
        <w:rPr>
          <w:i/>
        </w:rPr>
        <w:t>see id.</w:t>
      </w:r>
      <w:r w:rsidRPr="00661179">
        <w:t>(“(b) The following procedures shall apply to any international carrier that the Commission has classified as dominant in the provision of a particular international service because t</w:t>
      </w:r>
      <w:r w:rsidRPr="00661179">
        <w:t xml:space="preserve">he carrier possesses market power in the provision of that service on the U.S. end of the route.  Any such carrier that seeks to retire international facilities, dismantle or remove international trunk lines, but does not discontinue, reduce or impair the </w:t>
      </w:r>
      <w:r w:rsidRPr="00661179">
        <w:t>dominant services being provided through these facilities, shall only be subject to the notification requirements of paragraph (a) of this section.  If such carrier discontinues, reduces or impairs the dominant service, or retires facilities that impair or</w:t>
      </w:r>
      <w:r w:rsidRPr="00661179">
        <w:t xml:space="preserve"> reduce the service, the carrier shall file an application pursuant to §§ 63.62 and 63.500.”). </w:t>
      </w:r>
    </w:p>
  </w:footnote>
  <w:footnote w:id="115">
    <w:p w:rsidR="002E221B" w:rsidRPr="00661179" w:rsidP="00BB6F6B">
      <w:pPr>
        <w:pStyle w:val="FootnoteText"/>
      </w:pPr>
      <w:r w:rsidRPr="00661179">
        <w:rPr>
          <w:rStyle w:val="FootnoteReference"/>
        </w:rPr>
        <w:footnoteRef/>
      </w:r>
      <w:r w:rsidRPr="00661179">
        <w:t xml:space="preserve"> 47 U.S.C. § 310(b).</w:t>
      </w:r>
    </w:p>
  </w:footnote>
  <w:footnote w:id="116">
    <w:p w:rsidR="002E221B" w:rsidRPr="00661179" w:rsidP="00BB6F6B">
      <w:pPr>
        <w:pStyle w:val="FootnoteText"/>
      </w:pPr>
      <w:r w:rsidRPr="00661179">
        <w:rPr>
          <w:rStyle w:val="FootnoteReference"/>
        </w:rPr>
        <w:footnoteRef/>
      </w:r>
      <w:r w:rsidRPr="00661179">
        <w:t xml:space="preserve"> 47 U.S.C. § 310(b)(3).</w:t>
      </w:r>
    </w:p>
  </w:footnote>
  <w:footnote w:id="117">
    <w:p w:rsidR="002E221B" w:rsidRPr="00661179" w:rsidP="00BB6F6B">
      <w:pPr>
        <w:pStyle w:val="FootnoteText"/>
      </w:pPr>
      <w:r w:rsidRPr="00661179">
        <w:rPr>
          <w:rStyle w:val="FootnoteReference"/>
        </w:rPr>
        <w:footnoteRef/>
      </w:r>
      <w:r w:rsidRPr="00661179">
        <w:t xml:space="preserve"> 47 U.S.C. § 310(b)(4).</w:t>
      </w:r>
    </w:p>
  </w:footnote>
  <w:footnote w:id="118">
    <w:p w:rsidR="002E221B" w:rsidRPr="00661179" w:rsidP="00BB6F6B">
      <w:pPr>
        <w:pStyle w:val="FootnoteText"/>
      </w:pPr>
      <w:r w:rsidRPr="00661179">
        <w:rPr>
          <w:rStyle w:val="FootnoteReference"/>
        </w:rPr>
        <w:footnoteRef/>
      </w:r>
      <w:r w:rsidRPr="00661179">
        <w:t xml:space="preserve"> 47 CFR §§ 1.5000-1.5004.</w:t>
      </w:r>
    </w:p>
  </w:footnote>
  <w:footnote w:id="119">
    <w:p w:rsidR="002E221B" w:rsidRPr="00661179" w:rsidP="008D515E">
      <w:pPr>
        <w:pStyle w:val="FootnoteText"/>
      </w:pPr>
      <w:r w:rsidRPr="00661179">
        <w:rPr>
          <w:rStyle w:val="FootnoteReference"/>
        </w:rPr>
        <w:footnoteRef/>
      </w:r>
      <w:r w:rsidRPr="00661179">
        <w:t xml:space="preserve"> The Media Bureau processes petitions for declaratory ruling</w:t>
      </w:r>
      <w:r w:rsidRPr="00661179">
        <w:t xml:space="preserve"> seeking approval to exceed the benchmarks set out in section 310(b) for broadcast licenses.  </w:t>
      </w:r>
      <w:r w:rsidRPr="00661179">
        <w:rPr>
          <w:i/>
          <w:iCs/>
        </w:rPr>
        <w:t>See supra</w:t>
      </w:r>
      <w:r w:rsidRPr="00661179">
        <w:t xml:space="preserve"> paras. 57, 79, 83, 89.</w:t>
      </w:r>
    </w:p>
  </w:footnote>
  <w:footnote w:id="120">
    <w:p w:rsidR="002E221B" w:rsidRPr="00661179" w:rsidP="00D073E3">
      <w:pPr>
        <w:pStyle w:val="FootnoteText"/>
      </w:pPr>
      <w:r w:rsidRPr="00661179">
        <w:rPr>
          <w:rStyle w:val="FootnoteReference"/>
        </w:rPr>
        <w:footnoteRef/>
      </w:r>
      <w:r w:rsidRPr="00661179">
        <w:t xml:space="preserve"> </w:t>
      </w:r>
      <w:r w:rsidRPr="00661179">
        <w:rPr>
          <w:i/>
          <w:spacing w:val="-2"/>
        </w:rPr>
        <w:t>Process Reform for Executive Branch Review of Certain FCC Applications and Petitions Involving Foreign Ownership</w:t>
      </w:r>
      <w:r w:rsidRPr="00661179">
        <w:rPr>
          <w:spacing w:val="-2"/>
        </w:rPr>
        <w:t>, IB Docket No.</w:t>
      </w:r>
      <w:r w:rsidRPr="00661179">
        <w:rPr>
          <w:spacing w:val="-2"/>
        </w:rPr>
        <w:t xml:space="preserve"> 16-155, Notice of Proposed Rulemaking, 31 FCC Rcd 7456, 7458-59, paras. 6-8 (2016).</w:t>
      </w:r>
    </w:p>
  </w:footnote>
  <w:footnote w:id="121">
    <w:p w:rsidR="002E221B" w:rsidRPr="00661179">
      <w:pPr>
        <w:pStyle w:val="FootnoteText"/>
      </w:pPr>
      <w:r w:rsidRPr="00661179">
        <w:rPr>
          <w:rStyle w:val="FootnoteReference"/>
        </w:rPr>
        <w:footnoteRef/>
      </w:r>
      <w:r w:rsidRPr="00661179">
        <w:t xml:space="preserve"> </w:t>
      </w:r>
      <w:r w:rsidRPr="00661179">
        <w:rPr>
          <w:i/>
        </w:rPr>
        <w:t xml:space="preserve">See </w:t>
      </w:r>
      <w:r w:rsidRPr="00661179">
        <w:t>47 CFR § 1.3.</w:t>
      </w:r>
    </w:p>
  </w:footnote>
  <w:footnote w:id="122">
    <w:p w:rsidR="002E221B" w:rsidRPr="00661179" w:rsidP="00300FD1">
      <w:pPr>
        <w:pStyle w:val="FootnoteText"/>
      </w:pPr>
      <w:r w:rsidRPr="00661179">
        <w:rPr>
          <w:rStyle w:val="FootnoteReference"/>
        </w:rPr>
        <w:footnoteRef/>
      </w:r>
      <w:r w:rsidRPr="00661179">
        <w:t xml:space="preserve"> We do not propose to impose a fee for waiver requests that are included in a </w:t>
      </w:r>
      <w:r w:rsidRPr="00F4003D">
        <w:t>petition for declaratory ruling</w:t>
      </w:r>
      <w:r w:rsidRPr="00661179">
        <w:t xml:space="preserve"> since review of the waiver request will </w:t>
      </w:r>
      <w:r w:rsidRPr="00661179">
        <w:t xml:space="preserve">be part of the review of the </w:t>
      </w:r>
      <w:r w:rsidRPr="00F4003D">
        <w:t>petition for declaratory ruling</w:t>
      </w:r>
      <w:r w:rsidRPr="00661179">
        <w:t>.</w:t>
      </w:r>
    </w:p>
  </w:footnote>
  <w:footnote w:id="123">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47 CFR § 63.701.</w:t>
      </w:r>
    </w:p>
  </w:footnote>
  <w:footnote w:id="124">
    <w:p w:rsidR="002E221B" w:rsidRPr="00661179" w:rsidP="00BB6F6B">
      <w:pPr>
        <w:pStyle w:val="FootnoteText"/>
      </w:pPr>
      <w:r w:rsidRPr="00661179">
        <w:rPr>
          <w:rStyle w:val="FootnoteReference"/>
        </w:rPr>
        <w:footnoteRef/>
      </w:r>
      <w:r w:rsidRPr="00661179">
        <w:t xml:space="preserve"> </w:t>
      </w:r>
      <w:r w:rsidRPr="00661179">
        <w:rPr>
          <w:i/>
        </w:rPr>
        <w:t>International Communications Policies Governing Designation of Recognized Private Operating Agencies, Grants of IRUs in International Facilities and Assignment of Data N</w:t>
      </w:r>
      <w:r w:rsidRPr="00661179">
        <w:rPr>
          <w:i/>
        </w:rPr>
        <w:t>etwork Identification Codes</w:t>
      </w:r>
      <w:r w:rsidRPr="00661179">
        <w:t>, CC Docket No. 83–1230, Order on Reconsideration, 2 FCC Rcd 7375, n.6 (1987).</w:t>
      </w:r>
    </w:p>
  </w:footnote>
  <w:footnote w:id="125">
    <w:p w:rsidR="002E221B" w:rsidRPr="00661179" w:rsidP="00BB6F6B">
      <w:pPr>
        <w:pStyle w:val="FootnoteText"/>
      </w:pPr>
      <w:r w:rsidRPr="00661179">
        <w:rPr>
          <w:rStyle w:val="FootnoteReference"/>
        </w:rPr>
        <w:footnoteRef/>
      </w:r>
      <w:r w:rsidRPr="00661179">
        <w:t xml:space="preserve"> The State Department would then submit a ROA application on behalf of the applicant to the ITU.  </w:t>
      </w:r>
    </w:p>
  </w:footnote>
  <w:footnote w:id="126">
    <w:p w:rsidR="002E221B" w:rsidRPr="00661179" w:rsidP="00092769">
      <w:pPr>
        <w:pStyle w:val="FootnoteText"/>
      </w:pPr>
      <w:r w:rsidRPr="00661179">
        <w:rPr>
          <w:rStyle w:val="FootnoteReference"/>
        </w:rPr>
        <w:footnoteRef/>
      </w:r>
      <w:r w:rsidRPr="00661179">
        <w:t xml:space="preserve"> 47 CFR § 63.701.</w:t>
      </w:r>
    </w:p>
  </w:footnote>
  <w:footnote w:id="127">
    <w:p w:rsidR="002E221B" w:rsidRPr="00661179">
      <w:pPr>
        <w:pStyle w:val="FootnoteText"/>
      </w:pPr>
      <w:r w:rsidRPr="00661179">
        <w:rPr>
          <w:rStyle w:val="FootnoteReference"/>
        </w:rPr>
        <w:footnoteRef/>
      </w:r>
      <w:r w:rsidRPr="00661179">
        <w:t xml:space="preserve"> We do not propose to impose a fee for waiver requests that are included in an application since review of the waiver request will be part of the review of the application.</w:t>
      </w:r>
    </w:p>
  </w:footnote>
  <w:footnote w:id="128">
    <w:p w:rsidR="002E221B" w:rsidRPr="00661179" w:rsidP="00BB6F6B">
      <w:pPr>
        <w:pStyle w:val="FootnoteText"/>
      </w:pPr>
      <w:r w:rsidRPr="00661179">
        <w:rPr>
          <w:rStyle w:val="FootnoteReference"/>
        </w:rPr>
        <w:footnoteRef/>
      </w:r>
      <w:r w:rsidRPr="00661179">
        <w:t xml:space="preserve"> </w:t>
      </w:r>
      <w:r w:rsidRPr="00661179">
        <w:rPr>
          <w:i/>
        </w:rPr>
        <w:t>International Communications Policies Governing Designation of Recognized Private</w:t>
      </w:r>
      <w:r w:rsidRPr="00661179">
        <w:rPr>
          <w:i/>
        </w:rPr>
        <w:t xml:space="preserve"> Operating Agencies, Grants of IRUs in International Facilities and Assignment of Data Network Identification Codes</w:t>
      </w:r>
      <w:r w:rsidRPr="00661179">
        <w:t xml:space="preserve">, CC Docket No. 83-1230, Report and Order, 104 FCC 2d 208, 262-7, paras. 70-77 (1986), </w:t>
      </w:r>
      <w:r w:rsidRPr="00661179">
        <w:rPr>
          <w:i/>
        </w:rPr>
        <w:t>recon. granted in part</w:t>
      </w:r>
      <w:r w:rsidRPr="00661179">
        <w:t xml:space="preserve">, 2 FCC Rcd 7375, 7378-80, paras. 26-34 (1987).  The International Telegraph and Telephone Consultative Committee (CCITT), now known as ITU-T, developed Recommendation X.121.  </w:t>
      </w:r>
      <w:r w:rsidRPr="00661179">
        <w:rPr>
          <w:i/>
        </w:rPr>
        <w:t>See</w:t>
      </w:r>
      <w:r w:rsidRPr="00661179">
        <w:t xml:space="preserve"> X.121: International numbering plan for public data networks, </w:t>
      </w:r>
      <w:hyperlink r:id="rId6" w:history="1">
        <w:r w:rsidRPr="00661179">
          <w:rPr>
            <w:rStyle w:val="Hyperlink"/>
          </w:rPr>
          <w:t>https://www.itu.int/rec/T-REC-X.121/en</w:t>
        </w:r>
      </w:hyperlink>
      <w:r w:rsidRPr="00661179">
        <w:t xml:space="preserve"> (visited Aug. 14, 2019).</w:t>
      </w:r>
    </w:p>
  </w:footnote>
  <w:footnote w:id="129">
    <w:p w:rsidR="002E221B" w:rsidRPr="00661179" w:rsidP="004512D3">
      <w:pPr>
        <w:pStyle w:val="FootnoteText"/>
      </w:pPr>
      <w:r w:rsidRPr="00661179">
        <w:rPr>
          <w:rStyle w:val="FootnoteReference"/>
        </w:rPr>
        <w:footnoteRef/>
      </w:r>
      <w:r w:rsidRPr="00661179">
        <w:t xml:space="preserve"> We do not propose to impose a fee for waiver requests that are included in an application since review of the waiver request will be part of the revi</w:t>
      </w:r>
      <w:r w:rsidRPr="00661179">
        <w:t>ew of the application.</w:t>
      </w:r>
    </w:p>
  </w:footnote>
  <w:footnote w:id="130">
    <w:p w:rsidR="002E221B" w:rsidRPr="00661179" w:rsidP="00BB6F6B">
      <w:pPr>
        <w:pStyle w:val="FootnoteText"/>
      </w:pPr>
      <w:r w:rsidRPr="00661179">
        <w:rPr>
          <w:rStyle w:val="FootnoteReference"/>
        </w:rPr>
        <w:footnoteRef/>
      </w:r>
      <w:r w:rsidRPr="00661179">
        <w:t xml:space="preserve">  Standardization (ITU-T), Definition, </w:t>
      </w:r>
      <w:hyperlink r:id="rId7" w:history="1">
        <w:r w:rsidRPr="00661179">
          <w:rPr>
            <w:rStyle w:val="Hyperlink"/>
          </w:rPr>
          <w:t>https://www.itu.int/net/ITU-R/asp/terminology-d</w:t>
        </w:r>
        <w:r w:rsidRPr="00661179">
          <w:rPr>
            <w:rStyle w:val="Hyperlink"/>
          </w:rPr>
          <w:t>efinition.asp?lang=en&amp;rlink={EAA8C660-C702-4B47-A23E-20812661AC3A};  Q.708</w:t>
        </w:r>
      </w:hyperlink>
      <w:r w:rsidRPr="00661179">
        <w:t xml:space="preserve">: Assignment procedures for international signaling point codes, </w:t>
      </w:r>
      <w:hyperlink r:id="rId8" w:history="1">
        <w:r w:rsidRPr="00661179">
          <w:rPr>
            <w:rStyle w:val="Hyperlink"/>
          </w:rPr>
          <w:t>https://www.itu.int/rec/T-REC-Q.708/en</w:t>
        </w:r>
      </w:hyperlink>
      <w:r w:rsidRPr="00661179">
        <w:t xml:space="preserve"> (last visited Aug. 14, </w:t>
      </w:r>
      <w:r w:rsidRPr="00661179">
        <w:t>2019).</w:t>
      </w:r>
    </w:p>
  </w:footnote>
  <w:footnote w:id="131">
    <w:p w:rsidR="002E221B" w:rsidRPr="00661179">
      <w:pPr>
        <w:pStyle w:val="FootnoteText"/>
      </w:pPr>
      <w:r w:rsidRPr="00661179">
        <w:rPr>
          <w:rStyle w:val="FootnoteReference"/>
        </w:rPr>
        <w:footnoteRef/>
      </w:r>
      <w:r w:rsidRPr="00661179">
        <w:t xml:space="preserve"> For example, in the event that signaling point operator A is acquired by Company X which already has its own ISPCs, X may not need A’s ISPC.  In that case, A would instead notify the Commission of the inactivation of its code.  We do not propose a</w:t>
      </w:r>
      <w:r w:rsidRPr="00661179">
        <w:t xml:space="preserve"> fee for code inactivation.</w:t>
      </w:r>
    </w:p>
  </w:footnote>
  <w:footnote w:id="132">
    <w:p w:rsidR="002E221B" w:rsidRPr="00661179" w:rsidP="00D1380C">
      <w:pPr>
        <w:pStyle w:val="FootnoteText"/>
      </w:pPr>
      <w:r w:rsidRPr="00661179">
        <w:rPr>
          <w:rStyle w:val="FootnoteReference"/>
        </w:rPr>
        <w:footnoteRef/>
      </w:r>
      <w:r w:rsidRPr="00661179">
        <w:t xml:space="preserve"> Assignment procedures for international signaling point codes, ITU-T Recommendation Q.708, </w:t>
      </w:r>
      <w:hyperlink r:id="rId8" w:history="1">
        <w:r w:rsidRPr="00661179">
          <w:rPr>
            <w:rStyle w:val="Hyperlink"/>
          </w:rPr>
          <w:t>https://www.itu.int/rec/T-REC-Q.708/en</w:t>
        </w:r>
      </w:hyperlink>
      <w:r w:rsidRPr="00661179">
        <w:t xml:space="preserve"> (last visited May 26, 2020).</w:t>
      </w:r>
    </w:p>
  </w:footnote>
  <w:footnote w:id="133">
    <w:p w:rsidR="002E221B" w:rsidRPr="00661179" w:rsidP="00D1380C">
      <w:pPr>
        <w:pStyle w:val="FootnoteText"/>
      </w:pPr>
      <w:r w:rsidRPr="00661179">
        <w:rPr>
          <w:rStyle w:val="FootnoteReference"/>
        </w:rPr>
        <w:footnoteRef/>
      </w:r>
      <w:r w:rsidRPr="00661179">
        <w:t xml:space="preserve"> We do not </w:t>
      </w:r>
      <w:r w:rsidRPr="00661179">
        <w:t>propose to impose a fee for waiver requests that are included in an application since review of the waiver request will be part of the review of the application.</w:t>
      </w:r>
    </w:p>
  </w:footnote>
  <w:footnote w:id="134">
    <w:p w:rsidR="002E221B" w:rsidRPr="00661179">
      <w:pPr>
        <w:pStyle w:val="FootnoteText"/>
      </w:pPr>
      <w:r w:rsidRPr="00661179">
        <w:rPr>
          <w:rStyle w:val="FootnoteReference"/>
        </w:rPr>
        <w:footnoteRef/>
      </w:r>
      <w:r w:rsidRPr="00661179">
        <w:t xml:space="preserve"> Valid authorization must be obtained prior to the use and operation of transmitting earth st</w:t>
      </w:r>
      <w:r w:rsidRPr="00661179">
        <w:t>ation facilities within the United States.  47 CFR § 25.102(a).  A fixed earth station is “[a]n earth station intended to be used at a fixed position.  The position may be a specified fixed point or any fixed point within a specified area.”  47 CFR § 25.10</w:t>
      </w:r>
      <w:r w:rsidRPr="00661179">
        <w:t xml:space="preserve">3.  A temporary fixed earth station is one that is to remain at a single location for fewer than six months.  </w:t>
      </w:r>
      <w:r w:rsidRPr="00661179">
        <w:rPr>
          <w:i/>
          <w:iCs/>
        </w:rPr>
        <w:t>See</w:t>
      </w:r>
      <w:r w:rsidRPr="00661179">
        <w:t xml:space="preserve"> 47 CFR § 25.277(a).</w:t>
      </w:r>
    </w:p>
  </w:footnote>
  <w:footnote w:id="135">
    <w:p w:rsidR="002E221B" w:rsidRPr="00661179" w:rsidP="001077F0">
      <w:pPr>
        <w:pStyle w:val="FootnoteText"/>
      </w:pPr>
      <w:r w:rsidRPr="00661179">
        <w:rPr>
          <w:rStyle w:val="FootnoteReference"/>
        </w:rPr>
        <w:footnoteRef/>
      </w:r>
      <w:r w:rsidRPr="00661179">
        <w:t xml:space="preserve"> FSS is “[a] radiocommunication service between earth stations at given positions, when one or more satellites are used; </w:t>
      </w:r>
      <w:r w:rsidRPr="00661179">
        <w:t>the given position may be a specified fixed point or any fixed point within specified areas; in some cases this service includes satellite-to-satellite links, which may also be operated in the inter-satellite service; the [FSS] may also include feeder link</w:t>
      </w:r>
      <w:r w:rsidRPr="00661179">
        <w:t>s of other space radiocommunication services.” 47 CFR § 25.103.</w:t>
      </w:r>
    </w:p>
  </w:footnote>
  <w:footnote w:id="136">
    <w:p w:rsidR="002E221B" w:rsidRPr="00661179" w:rsidP="001077F0">
      <w:pPr>
        <w:pStyle w:val="FootnoteText"/>
      </w:pPr>
      <w:r w:rsidRPr="00661179">
        <w:rPr>
          <w:rStyle w:val="FootnoteReference"/>
        </w:rPr>
        <w:footnoteRef/>
      </w:r>
      <w:r w:rsidRPr="00661179">
        <w:t xml:space="preserve"> For example, this fee category would apply to Satellite Digital Audio Radio Service (SDARS) terrestrial repeaters that are licensed on a site-by-site basis. </w:t>
      </w:r>
      <w:r w:rsidRPr="00661179">
        <w:rPr>
          <w:i/>
        </w:rPr>
        <w:t>See</w:t>
      </w:r>
      <w:r w:rsidRPr="00661179">
        <w:t xml:space="preserve"> 47 CFR § 25.144(e)(9)</w:t>
      </w:r>
    </w:p>
  </w:footnote>
  <w:footnote w:id="137">
    <w:p w:rsidR="002E221B" w:rsidRPr="00661179" w:rsidP="001077F0">
      <w:pPr>
        <w:pStyle w:val="FootnoteText"/>
      </w:pPr>
      <w:r w:rsidRPr="00661179">
        <w:rPr>
          <w:rStyle w:val="FootnoteReference"/>
        </w:rPr>
        <w:footnoteRef/>
      </w:r>
      <w:r w:rsidRPr="00661179">
        <w:t xml:space="preserve"> An ex</w:t>
      </w:r>
      <w:r w:rsidRPr="00661179">
        <w:t>ample of a single site application would be one for authority to operate a single transmit/receive gateway station operating under a single call sign in the FSS.  An example of a multiple site application would be multiple stations at a single geographic l</w:t>
      </w:r>
      <w:r w:rsidRPr="00661179">
        <w:t xml:space="preserve">ocation operating under a single </w:t>
      </w:r>
      <w:r>
        <w:t>c</w:t>
      </w:r>
      <w:r w:rsidRPr="00661179">
        <w:t xml:space="preserve">all </w:t>
      </w:r>
      <w:r>
        <w:t>s</w:t>
      </w:r>
      <w:r w:rsidRPr="00661179">
        <w:t>ign in the FSS.</w:t>
      </w:r>
    </w:p>
  </w:footnote>
  <w:footnote w:id="138">
    <w:p w:rsidR="002E221B" w:rsidRPr="00661179" w:rsidP="001077F0">
      <w:pPr>
        <w:pStyle w:val="FootnoteText"/>
      </w:pPr>
      <w:r w:rsidRPr="00661179">
        <w:rPr>
          <w:rStyle w:val="FootnoteReference"/>
        </w:rPr>
        <w:footnoteRef/>
      </w:r>
      <w:r w:rsidRPr="00661179">
        <w:t xml:space="preserve">  A license is required for a receive-only earth station if it is receiving signals from a non-US licensed space station that does not have a valid grant of US-market access.  </w:t>
      </w:r>
      <w:r w:rsidRPr="00661179">
        <w:rPr>
          <w:i/>
        </w:rPr>
        <w:t>See</w:t>
      </w:r>
      <w:r w:rsidRPr="00661179">
        <w:t xml:space="preserve"> 47 CFR § 25.115(b)(1</w:t>
      </w:r>
      <w:r w:rsidRPr="00661179">
        <w:t>) (allowing registration, instead of licensing, for receive-only earth stations in the FSS that operate with U.S.-licensed space stations, or with non-U.S. licensed space stations that have been duly approved for U.S. market access).</w:t>
      </w:r>
    </w:p>
  </w:footnote>
  <w:footnote w:id="139">
    <w:p w:rsidR="002E221B" w:rsidRPr="00661179" w:rsidP="001077F0">
      <w:pPr>
        <w:pStyle w:val="FootnoteText"/>
      </w:pPr>
      <w:r w:rsidRPr="00661179">
        <w:rPr>
          <w:rStyle w:val="FootnoteReference"/>
        </w:rPr>
        <w:footnoteRef/>
      </w:r>
      <w:r w:rsidRPr="00661179">
        <w:t xml:space="preserve"> A blanket license is</w:t>
      </w:r>
      <w:r w:rsidRPr="00661179">
        <w:t xml:space="preserve"> “a license for: (1) [m]ultiple earth stations in the FSS or MSS, or for SDARS terrestrial repeaters, that may be operated anywhere within a geographic area specified in the license; or (2) [m]ultiple space stations in non-geostationary-orbit.”  47 CFR § 2</w:t>
      </w:r>
      <w:r w:rsidRPr="00661179">
        <w:t>5.103.</w:t>
      </w:r>
    </w:p>
  </w:footnote>
  <w:footnote w:id="140">
    <w:p w:rsidR="002E221B" w:rsidRPr="00661179" w:rsidP="001077F0">
      <w:pPr>
        <w:pStyle w:val="FootnoteText"/>
      </w:pPr>
      <w:r w:rsidRPr="00661179">
        <w:rPr>
          <w:rStyle w:val="FootnoteReference"/>
        </w:rPr>
        <w:footnoteRef/>
      </w:r>
      <w:r w:rsidRPr="00661179">
        <w:t xml:space="preserve"> ESIM is a term that collectively designates Earth Stations on Vessels (ESV), Vehicle-Mounted Earth Stations (VMES), and Earth Station Aboard Aircraft (ESAA) as defined in Commission rules.  47 CFR § 25.103.</w:t>
      </w:r>
    </w:p>
  </w:footnote>
  <w:footnote w:id="141">
    <w:p w:rsidR="002E221B" w:rsidRPr="00661179" w:rsidP="001077F0">
      <w:pPr>
        <w:pStyle w:val="FootnoteText"/>
      </w:pPr>
      <w:r w:rsidRPr="00661179">
        <w:rPr>
          <w:rStyle w:val="FootnoteReference"/>
        </w:rPr>
        <w:footnoteRef/>
      </w:r>
      <w:r w:rsidRPr="00661179">
        <w:t xml:space="preserve"> </w:t>
      </w:r>
      <w:r w:rsidRPr="00661179">
        <w:rPr>
          <w:i/>
        </w:rPr>
        <w:t>See, e.g.</w:t>
      </w:r>
      <w:r w:rsidRPr="00661179">
        <w:t>, 47 CFR § 25.144(e)(2) (stat</w:t>
      </w:r>
      <w:r w:rsidRPr="00661179">
        <w:t>ing eligibility requirements for blanket licensing of SDARS terrestrial repeaters).</w:t>
      </w:r>
    </w:p>
  </w:footnote>
  <w:footnote w:id="142">
    <w:p w:rsidR="002E221B" w:rsidRPr="00661179" w:rsidP="001077F0">
      <w:pPr>
        <w:pStyle w:val="FootnoteText"/>
      </w:pPr>
      <w:r w:rsidRPr="00661179">
        <w:rPr>
          <w:rStyle w:val="FootnoteReference"/>
        </w:rPr>
        <w:footnoteRef/>
      </w:r>
      <w:r w:rsidRPr="00661179">
        <w:t xml:space="preserve"> </w:t>
      </w:r>
      <w:r w:rsidRPr="00661179">
        <w:rPr>
          <w:i/>
        </w:rPr>
        <w:t>See Comprehensive Review of Licensing and Operating Rules for Satellite Services</w:t>
      </w:r>
      <w:r w:rsidRPr="00661179">
        <w:t>, Second Report and Order, 30 FCC Rcd 14713, 14778, para. 191 (2015) (deleting the VSAT-sp</w:t>
      </w:r>
      <w:r w:rsidRPr="00661179">
        <w:t>ecific rules contained in former section 25.134 because they were duplicative of blanket licensing provisions contained in other rule sections).</w:t>
      </w:r>
    </w:p>
  </w:footnote>
  <w:footnote w:id="143">
    <w:p w:rsidR="002E221B" w:rsidRPr="00661179">
      <w:pPr>
        <w:pStyle w:val="FootnoteText"/>
      </w:pPr>
      <w:r w:rsidRPr="00661179">
        <w:rPr>
          <w:rStyle w:val="FootnoteReference"/>
        </w:rPr>
        <w:footnoteRef/>
      </w:r>
      <w:r w:rsidRPr="00661179">
        <w:t xml:space="preserve"> </w:t>
      </w:r>
      <w:r w:rsidRPr="00661179">
        <w:rPr>
          <w:i/>
        </w:rPr>
        <w:t>See</w:t>
      </w:r>
      <w:r w:rsidRPr="00661179">
        <w:t xml:space="preserve"> 47 CFR § 25.103 (defining “mobile earth station”). We consider a typical mobile earth station application to be one involving communications with a satellite or satellites in geostationary orbit, although communications with non-geostationary satellites a</w:t>
      </w:r>
      <w:r w:rsidRPr="00661179">
        <w:t>re also possible.</w:t>
      </w:r>
    </w:p>
  </w:footnote>
  <w:footnote w:id="144">
    <w:p w:rsidR="002E221B" w:rsidRPr="00661179" w:rsidP="00D86441">
      <w:pPr>
        <w:pStyle w:val="FootnoteText"/>
      </w:pPr>
      <w:r w:rsidRPr="00661179">
        <w:rPr>
          <w:rStyle w:val="FootnoteReference"/>
        </w:rPr>
        <w:footnoteRef/>
      </w:r>
      <w:r w:rsidRPr="00661179">
        <w:t xml:space="preserve"> 47 CFR § 1.1107.</w:t>
      </w:r>
    </w:p>
  </w:footnote>
  <w:footnote w:id="145">
    <w:p w:rsidR="002E221B" w:rsidRPr="00661179" w:rsidP="00FB79EB">
      <w:pPr>
        <w:pStyle w:val="FootnoteText"/>
      </w:pPr>
      <w:r w:rsidRPr="00661179">
        <w:rPr>
          <w:rStyle w:val="FootnoteReference"/>
        </w:rPr>
        <w:footnoteRef/>
      </w:r>
      <w:r w:rsidRPr="00661179">
        <w:t xml:space="preserve"> Typical assignment or transfer of control does not include pro forma assignments or transfer of controls involve non-substantial changes in the control of the license.  </w:t>
      </w:r>
      <w:r w:rsidRPr="00661179">
        <w:rPr>
          <w:i/>
        </w:rPr>
        <w:t>See</w:t>
      </w:r>
      <w:r w:rsidRPr="00661179">
        <w:t xml:space="preserve"> 47 CFR §§ 25.119(h) and (i).  </w:t>
      </w:r>
    </w:p>
  </w:footnote>
  <w:footnote w:id="146">
    <w:p w:rsidR="002E221B" w:rsidRPr="00661179" w:rsidP="00FB79EB">
      <w:pPr>
        <w:pStyle w:val="FootnoteText"/>
      </w:pPr>
      <w:r w:rsidRPr="00661179">
        <w:rPr>
          <w:rStyle w:val="FootnoteReference"/>
        </w:rPr>
        <w:footnoteRef/>
      </w:r>
      <w:r w:rsidRPr="00661179">
        <w:t xml:space="preserve"> 47 CFR §§ 2</w:t>
      </w:r>
      <w:r w:rsidRPr="00661179">
        <w:t>5.119 (h) and (i).</w:t>
      </w:r>
    </w:p>
  </w:footnote>
  <w:footnote w:id="147">
    <w:p w:rsidR="002E221B" w:rsidRPr="00661179" w:rsidP="00CB1D90">
      <w:pPr>
        <w:pStyle w:val="FootnoteText"/>
      </w:pPr>
      <w:r w:rsidRPr="00661179">
        <w:rPr>
          <w:rStyle w:val="FootnoteReference"/>
        </w:rPr>
        <w:footnoteRef/>
      </w:r>
      <w:r w:rsidRPr="00661179">
        <w:t xml:space="preserve"> 47 CFR § 25.113(a).</w:t>
      </w:r>
    </w:p>
  </w:footnote>
  <w:footnote w:id="148">
    <w:p w:rsidR="002E221B" w:rsidRPr="00661179" w:rsidP="00CB1D90">
      <w:pPr>
        <w:pStyle w:val="FootnoteText"/>
      </w:pPr>
      <w:r w:rsidRPr="00661179">
        <w:rPr>
          <w:rStyle w:val="FootnoteReference"/>
        </w:rPr>
        <w:footnoteRef/>
      </w:r>
      <w:r w:rsidRPr="00661179">
        <w:t xml:space="preserve"> 47 CFR § 25.137(a).</w:t>
      </w:r>
    </w:p>
  </w:footnote>
  <w:footnote w:id="149">
    <w:p w:rsidR="002E221B" w:rsidRPr="00661179" w:rsidP="00671705">
      <w:pPr>
        <w:pStyle w:val="FootnoteText"/>
      </w:pPr>
      <w:r w:rsidRPr="00661179">
        <w:rPr>
          <w:rStyle w:val="FootnoteReference"/>
        </w:rPr>
        <w:footnoteRef/>
      </w:r>
      <w:r w:rsidRPr="00661179">
        <w:t xml:space="preserve"> 47 CFR 25.103.</w:t>
      </w:r>
    </w:p>
  </w:footnote>
  <w:footnote w:id="150">
    <w:p w:rsidR="002E221B" w:rsidRPr="00661179" w:rsidP="00671705">
      <w:pPr>
        <w:pStyle w:val="FootnoteText"/>
      </w:pPr>
      <w:r w:rsidRPr="00661179">
        <w:rPr>
          <w:rStyle w:val="FootnoteReference"/>
        </w:rPr>
        <w:footnoteRef/>
      </w:r>
      <w:r w:rsidRPr="00661179">
        <w:t xml:space="preserve"> 47 CFR § 25.102(a) (stating that “[n]o person shall use or operate apparatus for the transmission of energy or communications or signals by space or earth stations except under, and in accordance with, an appropriate authorization granted by the Federal C</w:t>
      </w:r>
      <w:r w:rsidRPr="00661179">
        <w:t>ommunications Commission.”)</w:t>
      </w:r>
    </w:p>
  </w:footnote>
  <w:footnote w:id="151">
    <w:p w:rsidR="002E221B" w:rsidRPr="00661179" w:rsidP="00671705">
      <w:pPr>
        <w:pStyle w:val="FootnoteText"/>
      </w:pPr>
      <w:r w:rsidRPr="00661179">
        <w:rPr>
          <w:rStyle w:val="FootnoteReference"/>
        </w:rPr>
        <w:footnoteRef/>
      </w:r>
      <w:r w:rsidRPr="00661179">
        <w:t xml:space="preserve"> 47 CFR § 25.113(g).</w:t>
      </w:r>
    </w:p>
  </w:footnote>
  <w:footnote w:id="152">
    <w:p w:rsidR="002E221B" w:rsidRPr="00661179" w:rsidP="00A94B38">
      <w:pPr>
        <w:pStyle w:val="FootnoteText"/>
      </w:pPr>
      <w:r w:rsidRPr="00661179">
        <w:rPr>
          <w:rStyle w:val="FootnoteReference"/>
        </w:rPr>
        <w:footnoteRef/>
      </w:r>
      <w:r w:rsidRPr="00661179">
        <w:t xml:space="preserve"> The term “geostationary space station” has the same meaning as “geostationary-orbit (GSO) satellite” under our rules; that is, “[a] geosynchronous satellite whose circular and direct orbit lies in the pla</w:t>
      </w:r>
      <w:r w:rsidRPr="00661179">
        <w:t>ne of the Earth's equator and which thus remains fixed relative to the Earth; by extension, a geosynchronous satellite which remains approximately fixed relative to the Earth.” 47 CFR § 25.103.</w:t>
      </w:r>
    </w:p>
  </w:footnote>
  <w:footnote w:id="153">
    <w:p w:rsidR="002E221B" w:rsidRPr="00661179" w:rsidP="00B37D85">
      <w:pPr>
        <w:pStyle w:val="FootnoteText"/>
      </w:pPr>
      <w:r w:rsidRPr="00661179">
        <w:rPr>
          <w:rStyle w:val="FootnoteReference"/>
        </w:rPr>
        <w:footnoteRef/>
      </w:r>
      <w:r w:rsidRPr="00661179">
        <w:t xml:space="preserve"> We propose removing the application fee for extension of lau</w:t>
      </w:r>
      <w:r w:rsidRPr="00661179">
        <w:t>nch authority for Geostationary Space Stations as it is the same as a modification.  Any request to change to the terms or conditions of an authorization can and should be filed through a request for modification of the authorization.  We do not see any re</w:t>
      </w:r>
      <w:r w:rsidRPr="00661179">
        <w:t>ason to preserve a separate application fee for requests to extend authority for launch of geostationary satellites, and elimination of this separate fee category helps to streamline and simplify our fee structures.  We seek comment on this proposal.</w:t>
      </w:r>
    </w:p>
  </w:footnote>
  <w:footnote w:id="154">
    <w:p w:rsidR="002E221B" w:rsidRPr="00B13758" w:rsidP="00F364EF">
      <w:pPr>
        <w:pStyle w:val="ParaNum"/>
        <w:numPr>
          <w:ilvl w:val="0"/>
          <w:numId w:val="0"/>
        </w:numPr>
        <w:rPr>
          <w:sz w:val="20"/>
        </w:rPr>
      </w:pPr>
      <w:r w:rsidRPr="00661179">
        <w:rPr>
          <w:rStyle w:val="FootnoteReference"/>
        </w:rPr>
        <w:footnoteRef/>
      </w:r>
      <w:r w:rsidRPr="00B13758">
        <w:rPr>
          <w:sz w:val="20"/>
        </w:rPr>
        <w:t xml:space="preserve"> </w:t>
      </w:r>
      <w:r w:rsidRPr="00661179">
        <w:rPr>
          <w:sz w:val="20"/>
        </w:rPr>
        <w:t xml:space="preserve">We </w:t>
      </w:r>
      <w:r w:rsidRPr="00661179">
        <w:rPr>
          <w:sz w:val="20"/>
        </w:rPr>
        <w:t>propose removing the application fee for extension of launch authority for NGSOs for the same reasons as explained for removal of the application fee for extension of launch authority for GSOs.  We seek comment on this proposal.</w:t>
      </w:r>
    </w:p>
  </w:footnote>
  <w:footnote w:id="155">
    <w:p w:rsidR="002E221B" w:rsidRPr="00661179" w:rsidP="00765E84">
      <w:pPr>
        <w:pStyle w:val="FootnoteText"/>
      </w:pPr>
      <w:r w:rsidRPr="00661179">
        <w:rPr>
          <w:rStyle w:val="FootnoteReference"/>
        </w:rPr>
        <w:footnoteRef/>
      </w:r>
      <w:r w:rsidRPr="00661179">
        <w:t xml:space="preserve"> Simply put, a non-geostat</w:t>
      </w:r>
      <w:r w:rsidRPr="00661179">
        <w:t>ionary space station is a space station operated in any orbit other than geostationary orbit.  It includes space stations in low-Earth orbit (LEO), medium-Earth orbit (MEO), and highly-elliptical orbit (HEO).</w:t>
      </w:r>
    </w:p>
  </w:footnote>
  <w:footnote w:id="156">
    <w:p w:rsidR="002E221B" w:rsidRPr="00661179" w:rsidP="00765E84">
      <w:pPr>
        <w:pStyle w:val="FootnoteText"/>
      </w:pPr>
      <w:r w:rsidRPr="00661179">
        <w:rPr>
          <w:rStyle w:val="FootnoteReference"/>
        </w:rPr>
        <w:footnoteRef/>
      </w:r>
      <w:r w:rsidRPr="00661179">
        <w:t xml:space="preserve"> NGSO satellites have also been used in the pa</w:t>
      </w:r>
      <w:r w:rsidRPr="00661179">
        <w:t>st to provide Satellite Digital Audio Radio Service (SDARS), although none do so at this time.</w:t>
      </w:r>
    </w:p>
  </w:footnote>
  <w:footnote w:id="157">
    <w:p w:rsidR="002E221B" w:rsidRPr="00661179" w:rsidP="003D2CEF">
      <w:pPr>
        <w:pStyle w:val="FootnoteText"/>
      </w:pPr>
      <w:r w:rsidRPr="00661179">
        <w:rPr>
          <w:rStyle w:val="FootnoteReference"/>
        </w:rPr>
        <w:footnoteRef/>
      </w:r>
      <w:r w:rsidRPr="00661179">
        <w:t xml:space="preserve"> 47 CFR § 25.137(b) (requiring an entity seeking U.S. market access by a non-U.S. licensed space station to provide “an exhibit providing legal and technical in</w:t>
      </w:r>
      <w:r w:rsidRPr="00661179">
        <w:t>formation for the non-U.S. licensed space station of the kind that § 25.114 would require in a license application for that space-station, including but not limited to, information required to complete Schedule S.”)</w:t>
      </w:r>
    </w:p>
  </w:footnote>
  <w:footnote w:id="158">
    <w:p w:rsidR="002E221B" w:rsidRPr="00661179" w:rsidP="003D2CEF">
      <w:pPr>
        <w:pStyle w:val="FootnoteText"/>
      </w:pPr>
      <w:r w:rsidRPr="00661179">
        <w:rPr>
          <w:rStyle w:val="FootnoteReference"/>
        </w:rPr>
        <w:footnoteRef/>
      </w:r>
      <w:r w:rsidRPr="00661179">
        <w:t xml:space="preserve"> 47 U.S.C. § 158(a).</w:t>
      </w:r>
    </w:p>
  </w:footnote>
  <w:footnote w:id="159">
    <w:p w:rsidR="002E221B" w:rsidRPr="00B13758" w:rsidP="00871F92">
      <w:pPr>
        <w:pStyle w:val="FootnoteText"/>
        <w:rPr>
          <w:spacing w:val="-2"/>
          <w:kern w:val="28"/>
        </w:rPr>
      </w:pPr>
      <w:r w:rsidRPr="00661179">
        <w:rPr>
          <w:rStyle w:val="FootnoteReference"/>
        </w:rPr>
        <w:footnoteRef/>
      </w:r>
      <w:r w:rsidRPr="00661179">
        <w:t xml:space="preserve"> </w:t>
      </w:r>
      <w:r w:rsidRPr="00661179">
        <w:rPr>
          <w:i/>
          <w:spacing w:val="-2"/>
        </w:rPr>
        <w:t xml:space="preserve">Streamlining </w:t>
      </w:r>
      <w:r w:rsidRPr="00661179">
        <w:rPr>
          <w:i/>
        </w:rPr>
        <w:t>Lic</w:t>
      </w:r>
      <w:r w:rsidRPr="00661179">
        <w:rPr>
          <w:i/>
        </w:rPr>
        <w:t>ensing</w:t>
      </w:r>
      <w:r w:rsidRPr="00661179">
        <w:rPr>
          <w:i/>
          <w:iCs/>
          <w:spacing w:val="-2"/>
        </w:rPr>
        <w:t xml:space="preserve"> </w:t>
      </w:r>
      <w:r w:rsidRPr="00661179">
        <w:rPr>
          <w:i/>
          <w:spacing w:val="-2"/>
        </w:rPr>
        <w:t>Procedures for Small Satellites</w:t>
      </w:r>
      <w:r w:rsidRPr="00661179">
        <w:rPr>
          <w:spacing w:val="-2"/>
        </w:rPr>
        <w:t>, IB Docket No. 18-86, Report and Order, 34 FCC Rcd 13077 (2019) (</w:t>
      </w:r>
      <w:r w:rsidRPr="00661179">
        <w:rPr>
          <w:i/>
          <w:snapToGrid w:val="0"/>
          <w:spacing w:val="-2"/>
          <w:kern w:val="28"/>
        </w:rPr>
        <w:t>Small Satellite Report and Order</w:t>
      </w:r>
      <w:r w:rsidRPr="00661179">
        <w:rPr>
          <w:spacing w:val="-2"/>
        </w:rPr>
        <w:t>).</w:t>
      </w:r>
    </w:p>
  </w:footnote>
  <w:footnote w:id="160">
    <w:p w:rsidR="002E221B" w:rsidRPr="00661179">
      <w:pPr>
        <w:pStyle w:val="FootnoteText"/>
      </w:pPr>
      <w:r w:rsidRPr="00661179">
        <w:rPr>
          <w:rStyle w:val="FootnoteReference"/>
        </w:rPr>
        <w:footnoteRef/>
      </w:r>
      <w:r w:rsidRPr="00661179">
        <w:t xml:space="preserve"> </w:t>
      </w:r>
      <w:r w:rsidRPr="00661179">
        <w:rPr>
          <w:color w:val="000000"/>
        </w:rPr>
        <w:t xml:space="preserve">This application fee is not yet effective.  </w:t>
      </w:r>
      <w:r w:rsidRPr="00661179">
        <w:rPr>
          <w:i/>
          <w:iCs/>
          <w:color w:val="000000"/>
        </w:rPr>
        <w:t>See Small Satellite Report and Order</w:t>
      </w:r>
      <w:r w:rsidRPr="00661179">
        <w:rPr>
          <w:color w:val="000000"/>
        </w:rPr>
        <w:t xml:space="preserve"> (clarifying as of May 2020 that the small satellite application fee will be effective 30 days following publication of the </w:t>
      </w:r>
      <w:r w:rsidRPr="00661179">
        <w:rPr>
          <w:i/>
          <w:iCs/>
          <w:color w:val="000000"/>
        </w:rPr>
        <w:t>Small Satellite Report and Order</w:t>
      </w:r>
      <w:r w:rsidRPr="00661179">
        <w:rPr>
          <w:color w:val="000000"/>
        </w:rPr>
        <w:t xml:space="preserve"> in the Federal Register).</w:t>
      </w:r>
    </w:p>
  </w:footnote>
  <w:footnote w:id="161">
    <w:p w:rsidR="002E221B" w:rsidRPr="00661179" w:rsidP="00871F92">
      <w:pPr>
        <w:pStyle w:val="FootnoteText"/>
      </w:pPr>
      <w:r w:rsidRPr="00661179">
        <w:rPr>
          <w:rStyle w:val="FootnoteReference"/>
        </w:rPr>
        <w:footnoteRef/>
      </w:r>
      <w:r w:rsidRPr="00661179">
        <w:t xml:space="preserve"> 47 CFR § 25.116(e) (stating that “[a]mendments to space station applica</w:t>
      </w:r>
      <w:r w:rsidRPr="00661179">
        <w:t>tions must be filed on Form 312 and Schedule S” without distinction to whether application involves geostationary or non-geostationary satellites.)</w:t>
      </w:r>
    </w:p>
  </w:footnote>
  <w:footnote w:id="162">
    <w:p w:rsidR="002E221B" w:rsidRPr="00661179" w:rsidP="00871F92">
      <w:pPr>
        <w:pStyle w:val="FootnoteText"/>
      </w:pPr>
      <w:r w:rsidRPr="00661179">
        <w:rPr>
          <w:rStyle w:val="FootnoteReference"/>
        </w:rPr>
        <w:footnoteRef/>
      </w:r>
      <w:r w:rsidRPr="00661179">
        <w:t xml:space="preserve"> 47 CFR § 25.116(c).</w:t>
      </w:r>
    </w:p>
  </w:footnote>
  <w:footnote w:id="163">
    <w:p w:rsidR="002E221B" w:rsidRPr="00661179" w:rsidP="00871F92">
      <w:pPr>
        <w:pStyle w:val="FootnoteText"/>
      </w:pPr>
      <w:r w:rsidRPr="00661179">
        <w:rPr>
          <w:rStyle w:val="FootnoteReference"/>
        </w:rPr>
        <w:footnoteRef/>
      </w:r>
      <w:r w:rsidRPr="00661179">
        <w:t xml:space="preserve"> 47 CFR § 25.137(e).</w:t>
      </w:r>
    </w:p>
  </w:footnote>
  <w:footnote w:id="164">
    <w:p w:rsidR="002E221B" w:rsidRPr="00661179" w:rsidP="008A0943">
      <w:pPr>
        <w:pStyle w:val="FootnoteText"/>
      </w:pPr>
      <w:r w:rsidRPr="00661179">
        <w:rPr>
          <w:rStyle w:val="FootnoteReference"/>
        </w:rPr>
        <w:footnoteRef/>
      </w:r>
      <w:r w:rsidRPr="00661179">
        <w:t xml:space="preserve"> A typical amendment does not rise to the level of a major amen</w:t>
      </w:r>
      <w:r w:rsidRPr="00661179">
        <w:t xml:space="preserve">dment as set forth by Commission’s rules.  </w:t>
      </w:r>
      <w:r w:rsidRPr="00661179">
        <w:rPr>
          <w:i/>
        </w:rPr>
        <w:t>See</w:t>
      </w:r>
      <w:r w:rsidRPr="00661179">
        <w:t xml:space="preserve"> 47 CFR §§ 25.116(b) and (c). </w:t>
      </w:r>
    </w:p>
  </w:footnote>
  <w:footnote w:id="165">
    <w:p w:rsidR="002E221B" w:rsidRPr="00661179" w:rsidP="007A2A95">
      <w:pPr>
        <w:pStyle w:val="FootnoteText"/>
      </w:pPr>
      <w:r w:rsidRPr="00661179">
        <w:rPr>
          <w:rStyle w:val="FootnoteReference"/>
        </w:rPr>
        <w:footnoteRef/>
      </w:r>
      <w:r w:rsidRPr="00661179">
        <w:t xml:space="preserve"> 47 CFR § 25.117a).</w:t>
      </w:r>
    </w:p>
  </w:footnote>
  <w:footnote w:id="166">
    <w:p w:rsidR="002E221B" w:rsidRPr="00661179" w:rsidP="007A2A95">
      <w:pPr>
        <w:pStyle w:val="FootnoteText"/>
      </w:pPr>
      <w:r w:rsidRPr="00661179">
        <w:rPr>
          <w:rStyle w:val="FootnoteReference"/>
        </w:rPr>
        <w:footnoteRef/>
      </w:r>
      <w:r w:rsidRPr="00661179">
        <w:t xml:space="preserve"> 47 CFR §§ 25.117(d)(1) (stating that “applications for modifications of space station authorizations shall be filed in accordance with § 25.114, but only th</w:t>
      </w:r>
      <w:r w:rsidRPr="00661179">
        <w:t>ose items of information listed in § 25.114 that change need to be submitted, provided the applicant certifies that the remaining information has not changed” without regard to whether the space station authorization is for a geostationary or non-geostatio</w:t>
      </w:r>
      <w:r w:rsidRPr="00661179">
        <w:t>nary satellite).</w:t>
      </w:r>
    </w:p>
  </w:footnote>
  <w:footnote w:id="167">
    <w:p w:rsidR="002E221B" w:rsidRPr="00661179" w:rsidP="00871F92">
      <w:pPr>
        <w:pStyle w:val="FootnoteText"/>
      </w:pPr>
      <w:r w:rsidRPr="00661179">
        <w:rPr>
          <w:rStyle w:val="FootnoteReference"/>
        </w:rPr>
        <w:footnoteRef/>
      </w:r>
      <w:r w:rsidRPr="00661179">
        <w:t xml:space="preserve"> 47 CFR §§ 25.117(d) and 25.137(f).</w:t>
      </w:r>
    </w:p>
  </w:footnote>
  <w:footnote w:id="168">
    <w:p w:rsidR="002E221B" w:rsidRPr="00661179" w:rsidP="002F767A">
      <w:pPr>
        <w:pStyle w:val="FootnoteText"/>
      </w:pPr>
      <w:r w:rsidRPr="00661179">
        <w:rPr>
          <w:rStyle w:val="FootnoteReference"/>
        </w:rPr>
        <w:footnoteRef/>
      </w:r>
      <w:r w:rsidRPr="00661179">
        <w:t xml:space="preserve"> 47 CFR § 25.119(a).      </w:t>
      </w:r>
    </w:p>
  </w:footnote>
  <w:footnote w:id="169">
    <w:p w:rsidR="002E221B" w:rsidRPr="00661179" w:rsidP="00A65364">
      <w:pPr>
        <w:pStyle w:val="FootnoteText"/>
      </w:pPr>
      <w:r w:rsidRPr="00661179">
        <w:rPr>
          <w:rStyle w:val="FootnoteReference"/>
        </w:rPr>
        <w:footnoteRef/>
      </w:r>
      <w:r w:rsidRPr="00661179">
        <w:t xml:space="preserve"> Typical assignment or transfer of control does not include pro forma assignments or transfer of controls involve non-substantial changes in the control of the license.  </w:t>
      </w:r>
      <w:r w:rsidRPr="00661179">
        <w:rPr>
          <w:i/>
        </w:rPr>
        <w:t>See</w:t>
      </w:r>
      <w:r w:rsidRPr="00661179">
        <w:t xml:space="preserve"> 47 CFR §§ 25.119(h) and (i). Such pro forma assignments or transfers of control would constitute “simple” filings.</w:t>
      </w:r>
    </w:p>
  </w:footnote>
  <w:footnote w:id="170">
    <w:p w:rsidR="002E221B" w:rsidRPr="00661179" w:rsidP="002F767A">
      <w:pPr>
        <w:pStyle w:val="FootnoteText"/>
      </w:pPr>
      <w:r w:rsidRPr="00661179">
        <w:rPr>
          <w:rStyle w:val="FootnoteReference"/>
        </w:rPr>
        <w:footnoteRef/>
      </w:r>
      <w:r w:rsidRPr="00661179">
        <w:t xml:space="preserve"> 47 CFR § 25.137(g).</w:t>
      </w:r>
    </w:p>
  </w:footnote>
  <w:footnote w:id="171">
    <w:p w:rsidR="002E221B" w:rsidRPr="00661179" w:rsidP="004E6AB9">
      <w:pPr>
        <w:pStyle w:val="FootnoteText"/>
      </w:pPr>
      <w:r w:rsidRPr="00661179">
        <w:rPr>
          <w:rStyle w:val="FootnoteReference"/>
        </w:rPr>
        <w:footnoteRef/>
      </w:r>
      <w:r w:rsidRPr="00661179">
        <w:t xml:space="preserve"> 47 CFR §§ 25.119 (h) and (i).</w:t>
      </w:r>
    </w:p>
  </w:footnote>
  <w:footnote w:id="172">
    <w:p w:rsidR="002E221B" w:rsidRPr="00661179" w:rsidP="002F767A">
      <w:pPr>
        <w:pStyle w:val="FootnoteText"/>
      </w:pPr>
      <w:r w:rsidRPr="00661179">
        <w:rPr>
          <w:rStyle w:val="FootnoteReference"/>
        </w:rPr>
        <w:footnoteRef/>
      </w:r>
      <w:r w:rsidRPr="00661179">
        <w:t xml:space="preserve"> 47 CFR § 25.120(a).</w:t>
      </w:r>
    </w:p>
  </w:footnote>
  <w:footnote w:id="173">
    <w:p w:rsidR="002E221B" w:rsidRPr="00661179" w:rsidP="002F767A">
      <w:pPr>
        <w:pStyle w:val="FootnoteText"/>
      </w:pPr>
      <w:r w:rsidRPr="00661179">
        <w:rPr>
          <w:rStyle w:val="FootnoteReference"/>
        </w:rPr>
        <w:footnoteRef/>
      </w:r>
      <w:r w:rsidRPr="00661179">
        <w:t xml:space="preserve"> 47 CFR § 25.120(b)(1).</w:t>
      </w:r>
    </w:p>
  </w:footnote>
  <w:footnote w:id="174">
    <w:p w:rsidR="002E221B" w:rsidRPr="00661179" w:rsidP="002F767A">
      <w:pPr>
        <w:pStyle w:val="FootnoteText"/>
      </w:pPr>
      <w:r w:rsidRPr="00661179">
        <w:rPr>
          <w:rStyle w:val="FootnoteReference"/>
        </w:rPr>
        <w:footnoteRef/>
      </w:r>
      <w:r w:rsidRPr="00661179">
        <w:t xml:space="preserve"> 47 CFR § 25.120(b)(2).</w:t>
      </w:r>
    </w:p>
  </w:footnote>
  <w:footnote w:id="175">
    <w:p w:rsidR="002E221B" w:rsidRPr="00661179" w:rsidP="002F767A">
      <w:pPr>
        <w:pStyle w:val="FootnoteText"/>
      </w:pPr>
      <w:r w:rsidRPr="00661179">
        <w:rPr>
          <w:rStyle w:val="FootnoteReference"/>
        </w:rPr>
        <w:footnoteRef/>
      </w:r>
      <w:r w:rsidRPr="00661179">
        <w:t xml:space="preserve"> 47 CFR §§ 25.120(b)(3) &amp; (4).</w:t>
      </w:r>
    </w:p>
  </w:footnote>
  <w:footnote w:id="176">
    <w:p w:rsidR="002E221B" w:rsidRPr="00661179" w:rsidP="002F767A">
      <w:pPr>
        <w:pStyle w:val="FootnoteText"/>
      </w:pPr>
      <w:r w:rsidRPr="00661179">
        <w:rPr>
          <w:rStyle w:val="FootnoteReference"/>
        </w:rPr>
        <w:footnoteRef/>
      </w:r>
      <w:r w:rsidRPr="00661179">
        <w:t xml:space="preserve"> Because grants of U.S. market access are not authorizations and non-U.S. licensed space stations are not licensed by the FCC, an STA is not available for space stations operations involved with acce</w:t>
      </w:r>
      <w:r w:rsidRPr="00661179">
        <w:t xml:space="preserve">ss to the U.S. markets.  Accordingly, no filing fees are being proposed for STAs involving grants of market access.  Earth station licensees, however, have and may continue to request an STA to communicate with non-U.S, licensed space stations, and filing </w:t>
      </w:r>
      <w:r w:rsidRPr="00661179">
        <w:t>fees for such requests are covered by the proposed filing fee for Earth Stations, Special Temporary Authority, above.</w:t>
      </w:r>
    </w:p>
  </w:footnote>
  <w:footnote w:id="177">
    <w:p w:rsidR="002E221B" w:rsidRPr="00661179" w:rsidP="002F767A">
      <w:pPr>
        <w:pStyle w:val="FootnoteText"/>
      </w:pPr>
      <w:r w:rsidRPr="00661179">
        <w:rPr>
          <w:rStyle w:val="FootnoteReference"/>
        </w:rPr>
        <w:footnoteRef/>
      </w:r>
      <w:r w:rsidRPr="00661179">
        <w:t xml:space="preserve"> 47 CFR §§ 25.120(a) (setting forth the requirement for all requests for STA, namely that “[t]he request must contain the full particular</w:t>
      </w:r>
      <w:r w:rsidRPr="00661179">
        <w:t>s of the proposed operation including all facts sufficient to justify the temporary authority sought and the public interest therein.”)</w:t>
      </w:r>
    </w:p>
  </w:footnote>
  <w:footnote w:id="178">
    <w:p w:rsidR="002E221B" w:rsidRPr="00661179" w:rsidP="00BB6F6B">
      <w:pPr>
        <w:pStyle w:val="FootnoteText"/>
        <w:rPr>
          <w:spacing w:val="-2"/>
        </w:rPr>
      </w:pPr>
      <w:r w:rsidRPr="00661179">
        <w:rPr>
          <w:rStyle w:val="FootnoteReference"/>
        </w:rPr>
        <w:footnoteRef/>
      </w:r>
      <w:r w:rsidRPr="00661179">
        <w:t xml:space="preserve"> </w:t>
      </w:r>
      <w:r w:rsidRPr="00661179">
        <w:rPr>
          <w:i/>
        </w:rPr>
        <w:t>Amendment</w:t>
      </w:r>
      <w:r w:rsidRPr="00661179">
        <w:rPr>
          <w:i/>
          <w:spacing w:val="-2"/>
        </w:rPr>
        <w:t xml:space="preserve"> of the Commission’s Policies and Rules for Processing Applications in the Direct Broadcast Satellite Service</w:t>
      </w:r>
      <w:r w:rsidRPr="00661179">
        <w:rPr>
          <w:spacing w:val="-2"/>
        </w:rPr>
        <w:t>, Report and Order, 34 FCC Rcd 9016 (2019) (</w:t>
      </w:r>
      <w:r w:rsidRPr="00661179">
        <w:rPr>
          <w:i/>
          <w:spacing w:val="-2"/>
        </w:rPr>
        <w:t>DBS Streamlining Report and Order</w:t>
      </w:r>
      <w:r w:rsidRPr="00661179">
        <w:rPr>
          <w:spacing w:val="-2"/>
        </w:rPr>
        <w:t>).</w:t>
      </w:r>
    </w:p>
  </w:footnote>
  <w:footnote w:id="179">
    <w:p w:rsidR="002E221B" w:rsidRPr="00661179" w:rsidP="00BB6F6B">
      <w:pPr>
        <w:pStyle w:val="FootnoteText"/>
      </w:pPr>
      <w:r w:rsidRPr="00661179">
        <w:rPr>
          <w:rStyle w:val="FootnoteReference"/>
        </w:rPr>
        <w:footnoteRef/>
      </w:r>
      <w:r w:rsidRPr="00661179">
        <w:t xml:space="preserve"> </w:t>
      </w:r>
      <w:r w:rsidRPr="00661179">
        <w:rPr>
          <w:i/>
          <w:spacing w:val="-2"/>
        </w:rPr>
        <w:t>DBS Streamlining Report and Order</w:t>
      </w:r>
      <w:r w:rsidRPr="00661179">
        <w:t>, 34 FCC Rcd at 9016-17, para. 8.</w:t>
      </w:r>
    </w:p>
  </w:footnote>
  <w:footnote w:id="180">
    <w:p w:rsidR="002E221B" w:rsidRPr="00661179" w:rsidP="00BB6F6B">
      <w:pPr>
        <w:pStyle w:val="FootnoteText"/>
      </w:pPr>
      <w:r w:rsidRPr="00661179">
        <w:rPr>
          <w:rStyle w:val="FootnoteReference"/>
        </w:rPr>
        <w:footnoteRef/>
      </w:r>
      <w:r w:rsidRPr="00661179">
        <w:t xml:space="preserve"> </w:t>
      </w:r>
      <w:r w:rsidRPr="00661179">
        <w:rPr>
          <w:i/>
        </w:rPr>
        <w:t>Further Streamlining Part 25 Rules Governing Satellite Services</w:t>
      </w:r>
      <w:r w:rsidRPr="00661179">
        <w:t xml:space="preserve">, Notice of Proposed </w:t>
      </w:r>
      <w:r w:rsidRPr="00661179">
        <w:t>Rulemaking, 33 FCC Rcd 11502 (2018) (</w:t>
      </w:r>
      <w:r w:rsidRPr="00661179">
        <w:rPr>
          <w:i/>
        </w:rPr>
        <w:t>Part 25 Streamlining NPRM</w:t>
      </w:r>
      <w:r w:rsidRPr="00661179">
        <w:t>).</w:t>
      </w:r>
    </w:p>
  </w:footnote>
  <w:footnote w:id="181">
    <w:p w:rsidR="002E221B" w:rsidRPr="00661179" w:rsidP="00BB6F6B">
      <w:pPr>
        <w:pStyle w:val="FootnoteText"/>
      </w:pPr>
      <w:r w:rsidRPr="00661179">
        <w:rPr>
          <w:rStyle w:val="FootnoteReference"/>
        </w:rPr>
        <w:footnoteRef/>
      </w:r>
      <w:r w:rsidRPr="00661179">
        <w:t xml:space="preserve"> </w:t>
      </w:r>
      <w:r w:rsidRPr="00661179">
        <w:rPr>
          <w:i/>
        </w:rPr>
        <w:t>Part 25 Streamlining NPRM</w:t>
      </w:r>
      <w:r w:rsidRPr="00661179">
        <w:t>, 33 FCC Rcd at 11503, para. 4.</w:t>
      </w:r>
    </w:p>
  </w:footnote>
  <w:footnote w:id="182">
    <w:p w:rsidR="002E221B" w:rsidRPr="00661179" w:rsidP="00BB6F6B">
      <w:pPr>
        <w:pStyle w:val="FootnoteText"/>
      </w:pPr>
      <w:r w:rsidRPr="00661179">
        <w:rPr>
          <w:rStyle w:val="FootnoteReference"/>
        </w:rPr>
        <w:footnoteRef/>
      </w:r>
      <w:r w:rsidRPr="00661179">
        <w:t xml:space="preserve"> </w:t>
      </w:r>
      <w:r w:rsidRPr="00661179">
        <w:rPr>
          <w:i/>
        </w:rPr>
        <w:t>Id.</w:t>
      </w:r>
      <w:r w:rsidRPr="00661179">
        <w:t xml:space="preserve"> at 11505, para. 12. The Commission proposed that this new application fee category could include initial license applications,</w:t>
      </w:r>
      <w:r w:rsidRPr="00661179">
        <w:t xml:space="preserve"> license modifications, license transfers, and requests for STA.  </w:t>
      </w:r>
      <w:r w:rsidRPr="00661179">
        <w:rPr>
          <w:i/>
        </w:rPr>
        <w:t xml:space="preserve">Id. </w:t>
      </w:r>
      <w:r w:rsidRPr="00661179">
        <w:t xml:space="preserve"> </w:t>
      </w:r>
    </w:p>
  </w:footnote>
  <w:footnote w:id="183">
    <w:p w:rsidR="002E221B" w:rsidRPr="00661179" w:rsidP="00BB6F6B">
      <w:pPr>
        <w:pStyle w:val="FootnoteText"/>
      </w:pPr>
      <w:r w:rsidRPr="00661179">
        <w:rPr>
          <w:rStyle w:val="FootnoteReference"/>
        </w:rPr>
        <w:footnoteRef/>
      </w:r>
      <w:r w:rsidRPr="00661179">
        <w:t xml:space="preserve"> </w:t>
      </w:r>
      <w:r w:rsidRPr="00661179">
        <w:rPr>
          <w:i/>
        </w:rPr>
        <w:t>Id</w:t>
      </w:r>
      <w:r w:rsidRPr="00661179">
        <w:t>.</w:t>
      </w:r>
    </w:p>
  </w:footnote>
  <w:footnote w:id="184">
    <w:p w:rsidR="002E221B" w:rsidRPr="00661179" w:rsidP="00BB6F6B">
      <w:pPr>
        <w:pStyle w:val="FootnoteText"/>
      </w:pPr>
      <w:r w:rsidRPr="00661179">
        <w:rPr>
          <w:rStyle w:val="FootnoteReference"/>
        </w:rPr>
        <w:footnoteRef/>
      </w:r>
      <w:r w:rsidRPr="00661179">
        <w:t xml:space="preserve"> 47 U.S.C. § 158(a). </w:t>
      </w:r>
    </w:p>
  </w:footnote>
  <w:footnote w:id="185">
    <w:p w:rsidR="002E221B" w:rsidRPr="00661179" w:rsidP="00BB6F6B">
      <w:pPr>
        <w:pStyle w:val="FootnoteText"/>
      </w:pPr>
      <w:r w:rsidRPr="00661179">
        <w:rPr>
          <w:rStyle w:val="FootnoteReference"/>
        </w:rPr>
        <w:footnoteRef/>
      </w:r>
      <w:r w:rsidRPr="00661179">
        <w:t xml:space="preserve"> </w:t>
      </w:r>
      <w:r w:rsidRPr="00661179">
        <w:rPr>
          <w:i/>
        </w:rPr>
        <w:t>See, e.g.</w:t>
      </w:r>
      <w:r w:rsidRPr="00661179">
        <w:t xml:space="preserve">, </w:t>
      </w:r>
      <w:r w:rsidRPr="00661179">
        <w:rPr>
          <w:i/>
        </w:rPr>
        <w:t>Part 25 Streamlining NPRM</w:t>
      </w:r>
      <w:r w:rsidRPr="00661179">
        <w:t>, 33 FCC Rcd at 11504-05, para. 10 (proposing that if a unified license applicant for a GSO FSS network “certified co</w:t>
      </w:r>
      <w:r w:rsidRPr="00661179">
        <w:t>mpliance with standard uplink power levels in Section 25.140, it would not need to provide any additional information on earth station performance or verified performance currently required by sections 25.115(a) or 25.132”).  In an earth station license ap</w:t>
      </w:r>
      <w:r w:rsidRPr="00661179">
        <w:t>plication, however, this earth station information may continue to be filed, and reviewed, and considered when calculating the general earth station application fees.</w:t>
      </w:r>
    </w:p>
  </w:footnote>
  <w:footnote w:id="186">
    <w:p w:rsidR="002E221B" w:rsidRPr="00661179" w:rsidP="00BB6F6B">
      <w:pPr>
        <w:pStyle w:val="FootnoteText"/>
        <w:rPr>
          <w:i/>
          <w:iCs/>
        </w:rPr>
      </w:pPr>
      <w:r w:rsidRPr="00661179">
        <w:rPr>
          <w:rStyle w:val="FootnoteReference"/>
        </w:rPr>
        <w:footnoteRef/>
      </w:r>
      <w:r w:rsidRPr="00661179">
        <w:t xml:space="preserve"> </w:t>
      </w:r>
      <w:r w:rsidRPr="00661179">
        <w:rPr>
          <w:i/>
          <w:iCs/>
        </w:rPr>
        <w:t xml:space="preserve">See </w:t>
      </w:r>
      <w:r w:rsidRPr="00661179">
        <w:t>47 CFR § 73.701(a)</w:t>
      </w:r>
      <w:r w:rsidRPr="00661179">
        <w:rPr>
          <w:i/>
          <w:iCs/>
        </w:rPr>
        <w:t xml:space="preserve"> </w:t>
      </w:r>
      <w:r w:rsidRPr="00661179">
        <w:t>(defining IBS as “[a] broadcasting station employing frequencies</w:t>
      </w:r>
      <w:r w:rsidRPr="00661179">
        <w:t xml:space="preserve"> allocated to the broadcasting service between 5900 and 26100 kHz, the transmissions of which are intended to be received directly by the general public in foreign countries. (A station may be authorized more than one transmitter.) There are both Federal a</w:t>
      </w:r>
      <w:r w:rsidRPr="00661179">
        <w:t>nd non-Federal Government international broadcast stations; only the latter are licensed by the Commission . . . .”</w:t>
      </w:r>
    </w:p>
  </w:footnote>
  <w:footnote w:id="187">
    <w:p w:rsidR="002E221B" w:rsidRPr="00661179" w:rsidP="00774D77">
      <w:pPr>
        <w:pStyle w:val="FootnoteText"/>
      </w:pPr>
      <w:r w:rsidRPr="00661179">
        <w:rPr>
          <w:rStyle w:val="FootnoteReference"/>
        </w:rPr>
        <w:footnoteRef/>
      </w:r>
      <w:r w:rsidRPr="00661179">
        <w:t xml:space="preserve"> We note that this category of fees is solely for transfer of control requests of an existing section 325(c) permit.  If any other aspect o</w:t>
      </w:r>
      <w:r w:rsidRPr="00661179">
        <w:t xml:space="preserve">f the relevant section 325(c) permit is changing, along with the transfer of control, such as the programming content or language permitted under the existing section 325(c) permit, such an application would fall outside of this category of fees.  </w:t>
      </w:r>
    </w:p>
  </w:footnote>
  <w:footnote w:id="188">
    <w:p w:rsidR="002E221B" w:rsidRPr="00661179" w:rsidP="00732044">
      <w:pPr>
        <w:pStyle w:val="FootnoteText"/>
      </w:pPr>
      <w:r w:rsidRPr="00661179">
        <w:rPr>
          <w:rStyle w:val="FootnoteReference"/>
        </w:rPr>
        <w:footnoteRef/>
      </w:r>
      <w:r w:rsidRPr="00661179">
        <w:t xml:space="preserve"> In 20</w:t>
      </w:r>
      <w:r w:rsidRPr="00661179">
        <w:t xml:space="preserve">10, the Commission eliminated Part 23 of its rules governing International Fixed Public Radiocommunication Services.  </w:t>
      </w:r>
      <w:r w:rsidRPr="00661179">
        <w:rPr>
          <w:i/>
        </w:rPr>
        <w:t>Elimination of Part 23 of the Commission's Rules</w:t>
      </w:r>
      <w:r w:rsidRPr="00661179">
        <w:t>, IB Docket No. 05-216, Report and Order, 25 FCC Rcd 541 (2010).</w:t>
      </w:r>
    </w:p>
  </w:footnote>
  <w:footnote w:id="189">
    <w:p w:rsidR="002E221B" w:rsidRPr="00661179" w:rsidP="003278FF">
      <w:pPr>
        <w:pStyle w:val="FootnoteText"/>
      </w:pPr>
      <w:r w:rsidRPr="00661179">
        <w:rPr>
          <w:rStyle w:val="FootnoteReference"/>
        </w:rPr>
        <w:footnoteRef/>
      </w:r>
      <w:r w:rsidRPr="00661179">
        <w:t xml:space="preserve"> 47 U.S.C. §158(d)(1)(C)</w:t>
      </w:r>
      <w:r w:rsidRPr="00661179">
        <w:t xml:space="preserve">.  </w:t>
      </w:r>
    </w:p>
  </w:footnote>
  <w:footnote w:id="190">
    <w:p w:rsidR="002E221B" w:rsidRPr="00661179" w:rsidP="003278FF">
      <w:pPr>
        <w:pStyle w:val="FootnoteText"/>
      </w:pPr>
      <w:r w:rsidRPr="00661179">
        <w:rPr>
          <w:rStyle w:val="FootnoteReference"/>
        </w:rPr>
        <w:footnoteRef/>
      </w:r>
      <w:r w:rsidRPr="00661179">
        <w:t xml:space="preserve"> </w:t>
      </w:r>
      <w:r w:rsidRPr="00661179">
        <w:rPr>
          <w:i/>
          <w:iCs/>
        </w:rPr>
        <w:t>Transforming the 2.5 GHz Band</w:t>
      </w:r>
      <w:r w:rsidRPr="00661179">
        <w:t xml:space="preserve">, Report and Order, 34 FCC Rcd 5446, 5450, para. 14 (2019). </w:t>
      </w:r>
    </w:p>
  </w:footnote>
  <w:footnote w:id="191">
    <w:p w:rsidR="002E221B" w:rsidRPr="00661179" w:rsidP="00BB6F6B">
      <w:pPr>
        <w:pStyle w:val="FootnoteText"/>
      </w:pPr>
      <w:r w:rsidRPr="00661179">
        <w:rPr>
          <w:rStyle w:val="FootnoteReference"/>
        </w:rPr>
        <w:footnoteRef/>
      </w:r>
      <w:r w:rsidRPr="00661179">
        <w:t xml:space="preserve"> 47 U.S.C. § 158(d)(2).  </w:t>
      </w:r>
      <w:r w:rsidRPr="00661179">
        <w:rPr>
          <w:bCs/>
        </w:rPr>
        <w:t>.</w:t>
      </w:r>
    </w:p>
  </w:footnote>
  <w:footnote w:id="192">
    <w:p w:rsidR="002E221B" w:rsidRPr="00661179" w:rsidP="00BB6F6B">
      <w:pPr>
        <w:pStyle w:val="FootnoteText"/>
      </w:pPr>
      <w:r w:rsidRPr="00661179">
        <w:rPr>
          <w:rStyle w:val="FootnoteReference"/>
        </w:rPr>
        <w:footnoteRef/>
      </w:r>
      <w:r w:rsidRPr="00661179">
        <w:t xml:space="preserve"> 47 U.S.C. § 158(d)(2).</w:t>
      </w:r>
    </w:p>
  </w:footnote>
  <w:footnote w:id="193">
    <w:p w:rsidR="002E221B" w:rsidRPr="00661179" w:rsidP="00BB6F6B">
      <w:pPr>
        <w:pStyle w:val="FootnoteText"/>
      </w:pPr>
      <w:r w:rsidRPr="00661179">
        <w:rPr>
          <w:rStyle w:val="FootnoteReference"/>
        </w:rPr>
        <w:footnoteRef/>
      </w:r>
      <w:r w:rsidRPr="00661179">
        <w:t xml:space="preserve"> 47 U.S.C. § 159(e)(2).  </w:t>
      </w:r>
    </w:p>
  </w:footnote>
  <w:footnote w:id="194">
    <w:p w:rsidR="002E221B" w:rsidRPr="00661179" w:rsidP="00BB6F6B">
      <w:pPr>
        <w:pStyle w:val="FootnoteText"/>
      </w:pPr>
      <w:r w:rsidRPr="00661179">
        <w:rPr>
          <w:rStyle w:val="FootnoteReference"/>
        </w:rPr>
        <w:footnoteRef/>
      </w:r>
      <w:r w:rsidRPr="00661179">
        <w:t xml:space="preserve"> </w:t>
      </w:r>
      <w:r w:rsidRPr="00661179">
        <w:rPr>
          <w:i/>
        </w:rPr>
        <w:t>FY 2019 Report and Order</w:t>
      </w:r>
      <w:r w:rsidRPr="00661179">
        <w:t>, 34 FCC Rcd at 8206, para. 47.</w:t>
      </w:r>
    </w:p>
  </w:footnote>
  <w:footnote w:id="195">
    <w:p w:rsidR="002E221B" w:rsidRPr="00661179" w:rsidP="00BB6F6B">
      <w:pPr>
        <w:pStyle w:val="FootnoteText"/>
      </w:pPr>
      <w:r w:rsidRPr="00661179">
        <w:rPr>
          <w:rStyle w:val="FootnoteReference"/>
        </w:rPr>
        <w:footnoteRef/>
      </w:r>
      <w:r w:rsidRPr="00661179">
        <w:t xml:space="preserve"> 47 U.S.C. § 159a(e)(</w:t>
      </w:r>
      <w:r w:rsidRPr="00661179">
        <w:t xml:space="preserve">1).  </w:t>
      </w:r>
    </w:p>
  </w:footnote>
  <w:footnote w:id="196">
    <w:p w:rsidR="002E221B" w:rsidRPr="00661179" w:rsidP="00BB6F6B">
      <w:pPr>
        <w:pStyle w:val="FootnoteText"/>
      </w:pPr>
      <w:r w:rsidRPr="00661179">
        <w:rPr>
          <w:rStyle w:val="FootnoteReference"/>
        </w:rPr>
        <w:footnoteRef/>
      </w:r>
      <w:r w:rsidRPr="00661179">
        <w:t xml:space="preserve"> </w:t>
      </w:r>
      <w:r w:rsidRPr="00661179">
        <w:rPr>
          <w:i/>
          <w:iCs/>
        </w:rPr>
        <w:t>F.C.C. v. NextWave Personal Communications Inc.</w:t>
      </w:r>
      <w:r w:rsidRPr="00661179">
        <w:t xml:space="preserve">, 537 U.S. 293 (2003).   </w:t>
      </w:r>
    </w:p>
  </w:footnote>
  <w:footnote w:id="197">
    <w:p w:rsidR="002E221B" w:rsidRPr="00661179" w:rsidP="00BB6F6B">
      <w:pPr>
        <w:pStyle w:val="FootnoteText"/>
      </w:pPr>
      <w:r w:rsidRPr="00661179">
        <w:rPr>
          <w:rStyle w:val="FootnoteReference"/>
        </w:rPr>
        <w:footnoteRef/>
      </w:r>
      <w:r w:rsidRPr="00661179">
        <w:t xml:space="preserve"> 47 U.S.C. § 159A(e)(2). </w:t>
      </w:r>
    </w:p>
  </w:footnote>
  <w:footnote w:id="198">
    <w:p w:rsidR="002E221B" w:rsidRPr="00661179" w:rsidP="00BB6F6B">
      <w:pPr>
        <w:pStyle w:val="FootnoteText"/>
      </w:pPr>
      <w:r w:rsidRPr="00661179">
        <w:rPr>
          <w:rStyle w:val="FootnoteReference"/>
        </w:rPr>
        <w:footnoteRef/>
      </w:r>
      <w:r w:rsidRPr="00661179">
        <w:t xml:space="preserve">  47 U.S.C. § 159A(f).</w:t>
      </w:r>
    </w:p>
  </w:footnote>
  <w:footnote w:id="199">
    <w:p w:rsidR="002E221B" w:rsidRPr="00661179" w:rsidP="00BB6F6B">
      <w:pPr>
        <w:pStyle w:val="FootnoteText"/>
      </w:pPr>
      <w:r w:rsidRPr="00661179">
        <w:rPr>
          <w:rStyle w:val="FootnoteReference"/>
        </w:rPr>
        <w:footnoteRef/>
      </w:r>
      <w:r w:rsidRPr="00661179">
        <w:t xml:space="preserve"> </w:t>
      </w:r>
      <w:r w:rsidRPr="00661179">
        <w:rPr>
          <w:i/>
        </w:rPr>
        <w:t xml:space="preserve">Implementation of Section 9 of the Communications Act, Assessment and Collection of Regulatory Fees for the 1994 </w:t>
      </w:r>
      <w:r w:rsidRPr="00661179">
        <w:rPr>
          <w:i/>
        </w:rPr>
        <w:t>Fiscal Year</w:t>
      </w:r>
      <w:r w:rsidRPr="00661179">
        <w:t>, Report and Order, 9 FCC Rcd 5333, para. 47 (1994) (</w:t>
      </w:r>
      <w:r w:rsidRPr="00661179">
        <w:rPr>
          <w:i/>
        </w:rPr>
        <w:t>FY 1994 Report and Order</w:t>
      </w:r>
      <w:r w:rsidRPr="00661179">
        <w:t xml:space="preserve">). </w:t>
      </w:r>
    </w:p>
  </w:footnote>
  <w:footnote w:id="200">
    <w:p w:rsidR="002E221B" w:rsidRPr="00661179" w:rsidP="00BB6F6B">
      <w:pPr>
        <w:pStyle w:val="FootnoteText"/>
      </w:pPr>
      <w:r w:rsidRPr="00661179">
        <w:rPr>
          <w:rStyle w:val="FootnoteReference"/>
        </w:rPr>
        <w:footnoteRef/>
      </w:r>
      <w:r w:rsidRPr="00661179">
        <w:rPr>
          <w:i/>
        </w:rPr>
        <w:t xml:space="preserve"> Id</w:t>
      </w:r>
      <w:r w:rsidRPr="00661179">
        <w:t xml:space="preserve">. at para. 46. </w:t>
      </w:r>
    </w:p>
  </w:footnote>
  <w:footnote w:id="201">
    <w:p w:rsidR="002E221B" w:rsidRPr="00661179" w:rsidP="00BB6F6B">
      <w:pPr>
        <w:pStyle w:val="FootnoteText"/>
      </w:pPr>
      <w:r w:rsidRPr="00661179">
        <w:rPr>
          <w:rStyle w:val="FootnoteReference"/>
        </w:rPr>
        <w:footnoteRef/>
      </w:r>
      <w:r w:rsidRPr="00661179">
        <w:t xml:space="preserve"> 47 U.S.C. § 159.  Thus, in fiscal year (FY) 2019, Congress appropriated to the Commission </w:t>
      </w:r>
      <w:r w:rsidRPr="00661179">
        <w:rPr>
          <w:shd w:val="clear" w:color="auto" w:fill="FFFFFF"/>
        </w:rPr>
        <w:t>$</w:t>
      </w:r>
      <w:r w:rsidRPr="00661179">
        <w:t xml:space="preserve">339,000,000.00 for its S&amp;E appropriation. </w:t>
      </w:r>
      <w:r w:rsidRPr="00661179">
        <w:rPr>
          <w:snapToGrid w:val="0"/>
          <w:kern w:val="28"/>
          <w:shd w:val="clear" w:color="auto" w:fill="FFFFFF"/>
        </w:rPr>
        <w:t>Consolida</w:t>
      </w:r>
      <w:r w:rsidRPr="00661179">
        <w:rPr>
          <w:snapToGrid w:val="0"/>
          <w:kern w:val="28"/>
          <w:shd w:val="clear" w:color="auto" w:fill="FFFFFF"/>
        </w:rPr>
        <w:t>ted Appropriations Act, 2019, Pub. L. No. 116-6, Division D</w:t>
      </w:r>
      <w:r w:rsidRPr="00661179">
        <w:rPr>
          <w:b/>
          <w:bCs/>
          <w:snapToGrid w:val="0"/>
          <w:kern w:val="28"/>
          <w:bdr w:val="none" w:sz="0" w:space="0" w:color="auto" w:frame="1"/>
          <w:shd w:val="clear" w:color="auto" w:fill="FFFFFF"/>
        </w:rPr>
        <w:t>—</w:t>
      </w:r>
      <w:r w:rsidRPr="00661179">
        <w:rPr>
          <w:snapToGrid w:val="0"/>
          <w:kern w:val="28"/>
          <w:shd w:val="clear" w:color="auto" w:fill="FFFFFF"/>
        </w:rPr>
        <w:t>Financial Services and General Government Appropriations Act, 2019, Title V</w:t>
      </w:r>
      <w:r w:rsidRPr="00661179">
        <w:rPr>
          <w:b/>
          <w:bCs/>
          <w:snapToGrid w:val="0"/>
          <w:kern w:val="28"/>
          <w:bdr w:val="none" w:sz="0" w:space="0" w:color="auto" w:frame="1"/>
          <w:shd w:val="clear" w:color="auto" w:fill="FFFFFF"/>
        </w:rPr>
        <w:t>—</w:t>
      </w:r>
      <w:r w:rsidRPr="00661179">
        <w:rPr>
          <w:snapToGrid w:val="0"/>
          <w:kern w:val="28"/>
          <w:shd w:val="clear" w:color="auto" w:fill="FFFFFF"/>
        </w:rPr>
        <w:t>Independent Agencies (2019) (FY 2019 Appropriation).</w:t>
      </w:r>
      <w:r w:rsidRPr="00661179">
        <w:t xml:space="preserve">  The Commission, in turn, adopted a schedule of regulatory fees rea</w:t>
      </w:r>
      <w:r w:rsidRPr="00661179">
        <w:t xml:space="preserve">sonably expected to equal the amount of the appropriation.  </w:t>
      </w:r>
      <w:r w:rsidRPr="00661179">
        <w:rPr>
          <w:i/>
          <w:iCs/>
        </w:rPr>
        <w:t>Assessment and Collection of Regulatory Fees for Fiscal Year 2019</w:t>
      </w:r>
      <w:r w:rsidRPr="00661179">
        <w:t xml:space="preserve">, Report and Order and Further Notice of Proposed Rulemaking, 34 FCC Rcd 8189 (2019). </w:t>
      </w:r>
    </w:p>
  </w:footnote>
  <w:footnote w:id="202">
    <w:p w:rsidR="002E221B" w:rsidRPr="00661179" w:rsidP="00BB6F6B">
      <w:pPr>
        <w:pStyle w:val="FootnoteText"/>
      </w:pPr>
      <w:r w:rsidRPr="00661179">
        <w:rPr>
          <w:rStyle w:val="FootnoteReference"/>
        </w:rPr>
        <w:footnoteRef/>
      </w:r>
      <w:r w:rsidRPr="00661179">
        <w:t xml:space="preserve"> 47 U.S.C. § 309(j)(8)(B) (providing that “</w:t>
      </w:r>
      <w:r w:rsidRPr="00661179">
        <w:t xml:space="preserve">the salaries and expenses account of the Commission shall retain as an offsetting collection such sums as may be necessary from such proceeds for the costs of developing and implementing the program required by this subsection.”).  For FY 2019, the cap on </w:t>
      </w:r>
      <w:r w:rsidRPr="00661179">
        <w:t xml:space="preserve">offsetting collections from auction proceeds was $130,284,000. FY 2019 Appropriation (“[N]otwithstanding 47 U.S.C. 309(j)(8)(B), proceeds from the use of a competitive bidding system that may be retained and made available for obligation shall not exceed </w:t>
      </w:r>
      <w:bookmarkStart w:id="432" w:name="_Hlk31375226"/>
      <w:r w:rsidRPr="00661179">
        <w:t>$</w:t>
      </w:r>
      <w:r w:rsidRPr="00661179">
        <w:t xml:space="preserve">130,284,000 </w:t>
      </w:r>
      <w:bookmarkEnd w:id="432"/>
      <w:r w:rsidRPr="00661179">
        <w:t>for fiscal year 2019…”)</w:t>
      </w:r>
    </w:p>
  </w:footnote>
  <w:footnote w:id="203">
    <w:p w:rsidR="002E221B" w:rsidRPr="00661179" w:rsidP="00BB6F6B">
      <w:pPr>
        <w:pStyle w:val="FootnoteText"/>
      </w:pPr>
      <w:r w:rsidRPr="00661179">
        <w:rPr>
          <w:rStyle w:val="FootnoteReference"/>
        </w:rPr>
        <w:footnoteRef/>
      </w:r>
      <w:r w:rsidRPr="00661179">
        <w:t xml:space="preserve"> 47 U.S.C. §§ 159(f), 156(a), and 309(j)(8)(B).  For more information about the Commission’s collections and budgetary authority, the Commission’s annual financial statement and budget estimates for Congress provide hel</w:t>
      </w:r>
      <w:r w:rsidRPr="00661179">
        <w:t xml:space="preserve">pful material.  Available at </w:t>
      </w:r>
      <w:hyperlink r:id="rId9" w:history="1">
        <w:r w:rsidRPr="00661179">
          <w:rPr>
            <w:rStyle w:val="Hyperlink"/>
          </w:rPr>
          <w:t>https://docs.fcc.gov/public/attachments/DOC-360844A1.pdf</w:t>
        </w:r>
      </w:hyperlink>
      <w:r w:rsidRPr="00661179">
        <w:t xml:space="preserve"> (FY 2019 Agency Financial Report) and </w:t>
      </w:r>
      <w:hyperlink r:id="rId10" w:history="1">
        <w:r w:rsidRPr="00661179">
          <w:rPr>
            <w:rStyle w:val="Hyperlink"/>
          </w:rPr>
          <w:t>https://docs.fcc.gov/public/attachments/DOC-356607A1.pdf</w:t>
        </w:r>
      </w:hyperlink>
      <w:r w:rsidRPr="00661179">
        <w:t xml:space="preserve"> (FY 2020 Budget Estimates to Congress).  </w:t>
      </w:r>
    </w:p>
  </w:footnote>
  <w:footnote w:id="204">
    <w:p w:rsidR="002E221B" w:rsidRPr="00661179" w:rsidP="00BB6F6B">
      <w:pPr>
        <w:pStyle w:val="FootnoteText"/>
      </w:pPr>
      <w:r w:rsidRPr="00661179">
        <w:rPr>
          <w:rStyle w:val="FootnoteReference"/>
        </w:rPr>
        <w:footnoteRef/>
      </w:r>
      <w:r w:rsidRPr="00661179">
        <w:t xml:space="preserve"> Pursuant to 47 U.S.C §§ 254 and 225 the FCC has a permanent indefinite appropriation to fund its universal service programs, including </w:t>
      </w:r>
      <w:bookmarkStart w:id="433" w:name="_Hlk31629039"/>
      <w:r w:rsidRPr="00661179">
        <w:t>Teleco</w:t>
      </w:r>
      <w:r w:rsidRPr="00661179">
        <w:t xml:space="preserve">mmunications Relay Service </w:t>
      </w:r>
      <w:bookmarkEnd w:id="433"/>
      <w:r w:rsidRPr="00661179">
        <w:t>Fund.</w:t>
      </w:r>
    </w:p>
  </w:footnote>
  <w:footnote w:id="205">
    <w:p w:rsidR="002E221B" w:rsidRPr="00661179" w:rsidP="00BB6F6B">
      <w:pPr>
        <w:pStyle w:val="FootnoteText"/>
      </w:pPr>
      <w:r w:rsidRPr="00661179">
        <w:rPr>
          <w:rStyle w:val="FootnoteReference"/>
        </w:rPr>
        <w:footnoteRef/>
      </w:r>
      <w:r w:rsidRPr="00661179">
        <w:t xml:space="preserve"> Under COBRA-85 version of section 8(e), “Moneys received from charges established under this section shall be deposited in the general fund of the Treasury to reimburse the United States for amounts appropriated for use b</w:t>
      </w:r>
      <w:r w:rsidRPr="00661179">
        <w:t xml:space="preserve">y the Commission in carrying out its functions under this Act.” </w:t>
      </w:r>
    </w:p>
  </w:footnote>
  <w:footnote w:id="206">
    <w:p w:rsidR="002E221B" w:rsidRPr="00661179" w:rsidP="00BB6F6B">
      <w:pPr>
        <w:pStyle w:val="FootnoteText"/>
      </w:pPr>
      <w:r w:rsidRPr="00661179">
        <w:rPr>
          <w:rStyle w:val="FootnoteReference"/>
        </w:rPr>
        <w:footnoteRef/>
      </w:r>
      <w:r w:rsidRPr="00661179">
        <w:t xml:space="preserve"> This is bolstered by Congressional direction to limit review of actions taken under section 8(b) or (c) of the Communication’s Act.  47 U.S.C. § 159A (“(a) </w:t>
      </w:r>
      <w:r w:rsidRPr="00661179">
        <w:rPr>
          <w:i/>
          <w:iCs/>
        </w:rPr>
        <w:t>Judicial Review Prohibited</w:t>
      </w:r>
      <w:r w:rsidRPr="00661179">
        <w:t>. Any a</w:t>
      </w:r>
      <w:r w:rsidRPr="00661179">
        <w:t>djustment or amendment to a schedule of fees under subsection (b) or (c) of section 158 of this title or subsection (c) or (d) of section 159 of this title is not subject to judicial review.”)</w:t>
      </w:r>
    </w:p>
  </w:footnote>
  <w:footnote w:id="207">
    <w:p w:rsidR="002E221B" w:rsidRPr="00661179" w:rsidP="006A33F8">
      <w:pPr>
        <w:pStyle w:val="FootnoteText"/>
      </w:pPr>
      <w:r w:rsidRPr="00661179">
        <w:rPr>
          <w:rStyle w:val="FootnoteReference"/>
        </w:rPr>
        <w:footnoteRef/>
      </w:r>
      <w:r w:rsidRPr="00661179">
        <w:t xml:space="preserve"> Even if the Commission’s available appropriated funds are rel</w:t>
      </w:r>
      <w:r w:rsidRPr="00661179">
        <w:t>atively fixed, there is opportunity cost to process an application.  The labor and other resources the Commission dedicates to processing an application could have been devoted to an alternative regulatory activity (or deployed to produce a good or service</w:t>
      </w:r>
      <w:r w:rsidRPr="00661179">
        <w:t xml:space="preserve"> in the private sector) other than that of processing applications.  The value of the foregone output is an opportunity cost.   </w:t>
      </w:r>
    </w:p>
  </w:footnote>
  <w:footnote w:id="208">
    <w:p w:rsidR="002E221B" w:rsidRPr="00661179" w:rsidP="00BB6F6B">
      <w:pPr>
        <w:pStyle w:val="FootnoteText"/>
      </w:pPr>
      <w:r w:rsidRPr="00661179">
        <w:rPr>
          <w:rStyle w:val="FootnoteReference"/>
        </w:rPr>
        <w:footnoteRef/>
      </w:r>
      <w:r w:rsidRPr="00661179">
        <w:t xml:space="preserve"> Marginal cost can be defined either as the rate of change in total cost when output changes by an infinitesimal unit or as th</w:t>
      </w:r>
      <w:r w:rsidRPr="00661179">
        <w:t xml:space="preserve">e change in total cost when output changes by a single unit.  The term incremental cost refers to a discrete change in total cost when output changes by any non-infinitesimal amount, which might range from a single unit to a large increment representing a </w:t>
      </w:r>
      <w:r w:rsidRPr="00661179">
        <w:t xml:space="preserve">firm’s entire output.  If C(q) represents the cost of producing an output q and </w:t>
      </w:r>
      <w:bookmarkStart w:id="435" w:name="_Hlk16694713"/>
      <w:r w:rsidRPr="00661179">
        <w:rPr>
          <w:rFonts w:ascii="Wingdings 3" w:hAnsi="Wingdings 3"/>
        </w:rPr>
        <w:sym w:font="Wingdings 3" w:char="F072"/>
      </w:r>
      <w:bookmarkEnd w:id="435"/>
      <w:r w:rsidRPr="00661179">
        <w:t>q represents an increment of output, then incremental cost is equal to C(</w:t>
      </w:r>
      <w:bookmarkStart w:id="436" w:name="_Hlk16694795"/>
      <w:r w:rsidRPr="00661179">
        <w:t>q+</w:t>
      </w:r>
      <w:r w:rsidRPr="00661179">
        <w:rPr>
          <w:rFonts w:ascii="Wingdings 3" w:hAnsi="Wingdings 3"/>
        </w:rPr>
        <w:sym w:font="Wingdings 3" w:char="F072"/>
      </w:r>
      <w:r w:rsidRPr="00661179">
        <w:t>q</w:t>
      </w:r>
      <w:bookmarkEnd w:id="436"/>
      <w:r w:rsidRPr="00661179">
        <w:t>) – C(q).  If incremental cost is used as a guide to pricing, then price should be set equal to th</w:t>
      </w:r>
      <w:r w:rsidRPr="00661179">
        <w:t>e average incremental cost (C(q+</w:t>
      </w:r>
      <w:bookmarkStart w:id="437" w:name="_Hlk16694902"/>
      <w:r w:rsidRPr="00661179">
        <w:rPr>
          <w:rFonts w:ascii="Wingdings 3" w:hAnsi="Wingdings 3"/>
        </w:rPr>
        <w:sym w:font="Wingdings 3" w:char="F072"/>
      </w:r>
      <w:r w:rsidRPr="00661179">
        <w:t>q</w:t>
      </w:r>
      <w:bookmarkEnd w:id="437"/>
      <w:r w:rsidRPr="00661179">
        <w:t>)-C(q))/</w:t>
      </w:r>
      <w:r w:rsidRPr="00661179">
        <w:rPr>
          <w:rFonts w:ascii="Wingdings 3" w:hAnsi="Wingdings 3"/>
        </w:rPr>
        <w:sym w:font="Wingdings 3" w:char="F072"/>
      </w:r>
      <w:r w:rsidRPr="00661179">
        <w:t xml:space="preserve">q.  If there are no fixed costs and initial output q = 0, then incremental cost pricing is equivalent to average cost pricing.  If </w:t>
      </w:r>
      <w:r w:rsidRPr="00661179">
        <w:rPr>
          <w:rFonts w:ascii="Wingdings 3" w:hAnsi="Wingdings 3"/>
        </w:rPr>
        <w:sym w:font="Wingdings 3" w:char="F072"/>
      </w:r>
      <w:r w:rsidRPr="00661179">
        <w:t xml:space="preserve">q is small, then incremental cost pricing approximates marginal cost pricing.  </w:t>
      </w:r>
      <w:r w:rsidRPr="00661179">
        <w:rPr>
          <w:i/>
        </w:rPr>
        <w:t>See</w:t>
      </w:r>
      <w:r w:rsidRPr="00661179">
        <w:t xml:space="preserve"> </w:t>
      </w:r>
      <w:r w:rsidRPr="00661179">
        <w:rPr>
          <w:i/>
        </w:rPr>
        <w:t>Local Competition Order</w:t>
      </w:r>
      <w:r w:rsidRPr="00661179">
        <w:t>, 11 FCC Rcd at 15</w:t>
      </w:r>
      <w:r w:rsidRPr="00661179">
        <w:t>844, para. 675.</w:t>
      </w:r>
    </w:p>
  </w:footnote>
  <w:footnote w:id="209">
    <w:p w:rsidR="002E221B" w:rsidRPr="00661179" w:rsidP="00BB6F6B">
      <w:pPr>
        <w:pStyle w:val="FootnoteText"/>
      </w:pPr>
      <w:r w:rsidRPr="00661179">
        <w:rPr>
          <w:rStyle w:val="FootnoteReference"/>
        </w:rPr>
        <w:footnoteRef/>
      </w:r>
      <w:r w:rsidRPr="00661179">
        <w:t xml:space="preserve"> Alfred E. Kahn, The Economics of Regulation:  Principles and Institutions, Volume 1, Chapters 3 and 4, pp. 63-122 (1970).</w:t>
      </w:r>
    </w:p>
  </w:footnote>
  <w:footnote w:id="210">
    <w:p w:rsidR="002E221B" w:rsidRPr="00661179" w:rsidP="00BB6F6B">
      <w:pPr>
        <w:pStyle w:val="FootnoteText"/>
      </w:pPr>
      <w:r w:rsidRPr="00661179">
        <w:rPr>
          <w:rStyle w:val="FootnoteReference"/>
        </w:rPr>
        <w:footnoteRef/>
      </w:r>
      <w:r w:rsidRPr="00661179">
        <w:t xml:space="preserve"> </w:t>
      </w:r>
      <w:bookmarkStart w:id="449" w:name="_Hlk26292004"/>
      <w:r w:rsidRPr="00661179">
        <w:t xml:space="preserve">Compare old sections 8(c) and(d)(2) and 9(c) and (d) with new section 9A(c) and (d).  </w:t>
      </w:r>
      <w:bookmarkEnd w:id="449"/>
    </w:p>
  </w:footnote>
  <w:footnote w:id="211">
    <w:p w:rsidR="002E221B" w:rsidRPr="00661179">
      <w:pPr>
        <w:pStyle w:val="FootnoteText"/>
      </w:pPr>
      <w:r w:rsidRPr="00661179">
        <w:rPr>
          <w:rStyle w:val="FootnoteReference"/>
        </w:rPr>
        <w:footnoteRef/>
      </w:r>
      <w:r w:rsidRPr="00661179">
        <w:t xml:space="preserve"> Section 9A(c)(4), pertain</w:t>
      </w:r>
      <w:r w:rsidRPr="00661179">
        <w:t>ing to revocation of licenses for nonpayment of regulatory fees, is modeled on old section 9.  There is no comparable provision permitting license revocation for nonpayment of application fees under either old section 8 or sections 8 or 9A of the RAY BAUM’</w:t>
      </w:r>
      <w:r w:rsidRPr="00661179">
        <w:t>S Act.</w:t>
      </w:r>
    </w:p>
  </w:footnote>
  <w:footnote w:id="212">
    <w:p w:rsidR="002E221B" w:rsidRPr="00661179">
      <w:pPr>
        <w:pStyle w:val="FootnoteText"/>
      </w:pPr>
      <w:r w:rsidRPr="00661179">
        <w:rPr>
          <w:rStyle w:val="FootnoteReference"/>
        </w:rPr>
        <w:footnoteRef/>
      </w:r>
      <w:r w:rsidRPr="00661179">
        <w:t xml:space="preserve"> </w:t>
      </w:r>
      <w:r w:rsidRPr="00661179">
        <w:rPr>
          <w:i/>
          <w:iCs/>
        </w:rPr>
        <w:t>FY 2019 Report and Order</w:t>
      </w:r>
      <w:r w:rsidRPr="00661179">
        <w:t xml:space="preserve">, 34 FCC Rcd at p. 8207-8208, paras  49-53. </w:t>
      </w:r>
    </w:p>
  </w:footnote>
  <w:footnote w:id="213">
    <w:p w:rsidR="002E221B" w:rsidRPr="00661179">
      <w:pPr>
        <w:pStyle w:val="FootnoteText"/>
      </w:pPr>
      <w:r w:rsidRPr="00661179">
        <w:rPr>
          <w:rStyle w:val="FootnoteReference"/>
        </w:rPr>
        <w:footnoteRef/>
      </w:r>
      <w:r w:rsidRPr="00661179">
        <w:t xml:space="preserve"> </w:t>
      </w:r>
      <w:r w:rsidRPr="00661179">
        <w:rPr>
          <w:i/>
          <w:iCs/>
        </w:rPr>
        <w:t>Id</w:t>
      </w:r>
      <w:r w:rsidRPr="00661179">
        <w:t>. at 8207, para. 49.</w:t>
      </w:r>
    </w:p>
  </w:footnote>
  <w:footnote w:id="214">
    <w:p w:rsidR="002E221B" w:rsidRPr="00661179" w:rsidP="00BB6F6B">
      <w:pPr>
        <w:pStyle w:val="FootnoteText"/>
        <w:rPr>
          <w:iCs/>
        </w:rPr>
      </w:pPr>
      <w:r w:rsidRPr="00661179">
        <w:rPr>
          <w:rStyle w:val="FootnoteReference"/>
        </w:rPr>
        <w:footnoteRef/>
      </w:r>
      <w:r w:rsidRPr="00661179">
        <w:t xml:space="preserve"> </w:t>
      </w:r>
      <w:r w:rsidRPr="00661179">
        <w:rPr>
          <w:i/>
        </w:rPr>
        <w:t xml:space="preserve">Id. </w:t>
      </w:r>
      <w:r w:rsidRPr="00661179">
        <w:rPr>
          <w:iCs/>
        </w:rPr>
        <w:t xml:space="preserve">at  8207, para. 50. </w:t>
      </w:r>
    </w:p>
  </w:footnote>
  <w:footnote w:id="215">
    <w:p w:rsidR="002E221B" w:rsidRPr="00661179">
      <w:pPr>
        <w:pStyle w:val="FootnoteText"/>
      </w:pPr>
      <w:r w:rsidRPr="00661179">
        <w:rPr>
          <w:rStyle w:val="FootnoteReference"/>
        </w:rPr>
        <w:footnoteRef/>
      </w:r>
      <w:r w:rsidRPr="00661179">
        <w:t xml:space="preserve"> As we noted in the </w:t>
      </w:r>
      <w:r w:rsidRPr="00661179">
        <w:rPr>
          <w:i/>
          <w:iCs/>
        </w:rPr>
        <w:t>FY 2019 Report and Order</w:t>
      </w:r>
      <w:r w:rsidRPr="00661179">
        <w:t>, we do not ordinarily consider the mere fact of a bankruptcy or receivership fil</w:t>
      </w:r>
      <w:r w:rsidRPr="00661179">
        <w:t xml:space="preserve">ing as conclusive proof the regulatee lacks sufficient funds to pay fees and maintain its service to the public.  </w:t>
      </w:r>
      <w:r w:rsidRPr="00661179">
        <w:rPr>
          <w:i/>
          <w:iCs/>
        </w:rPr>
        <w:t>Id.</w:t>
      </w:r>
      <w:r w:rsidRPr="00661179">
        <w:t xml:space="preserve"> at 8208, para. 51.</w:t>
      </w:r>
    </w:p>
  </w:footnote>
  <w:footnote w:id="216">
    <w:p w:rsidR="002E221B" w:rsidRPr="00661179" w:rsidP="00BB6F6B">
      <w:pPr>
        <w:pStyle w:val="FootnoteText"/>
      </w:pPr>
      <w:r w:rsidRPr="00661179">
        <w:rPr>
          <w:rStyle w:val="FootnoteReference"/>
        </w:rPr>
        <w:footnoteRef/>
      </w:r>
      <w:r w:rsidRPr="00661179">
        <w:t xml:space="preserve"> </w:t>
      </w:r>
      <w:r w:rsidRPr="00661179">
        <w:rPr>
          <w:i/>
        </w:rPr>
        <w:t xml:space="preserve">Id. </w:t>
      </w:r>
      <w:r w:rsidRPr="00661179">
        <w:rPr>
          <w:iCs/>
        </w:rPr>
        <w:t>at 8207, para. 50.</w:t>
      </w:r>
      <w:r w:rsidRPr="00661179">
        <w:rPr>
          <w:i/>
        </w:rPr>
        <w:t xml:space="preserve"> </w:t>
      </w:r>
      <w:r w:rsidRPr="00661179">
        <w:rPr>
          <w:iCs/>
        </w:rPr>
        <w:t xml:space="preserve">We also emphasize that parties seeking waiver relief based on financial hardship must provide </w:t>
      </w:r>
      <w:r w:rsidRPr="00661179">
        <w:rPr>
          <w:iCs/>
        </w:rPr>
        <w:t>all of the documentation they wish the Commission to consider, regardless of whether such documentation exists in the Commission’s records, except administrative or judicial decisions, for which a citation will suffice</w:t>
      </w:r>
      <w:r w:rsidRPr="00661179">
        <w:t xml:space="preserve">. </w:t>
      </w:r>
      <w:r w:rsidRPr="00661179">
        <w:rPr>
          <w:i/>
          <w:iCs/>
        </w:rPr>
        <w:t>Id.</w:t>
      </w:r>
    </w:p>
  </w:footnote>
  <w:footnote w:id="217">
    <w:p w:rsidR="002E221B" w:rsidRPr="00661179">
      <w:pPr>
        <w:pStyle w:val="FootnoteText"/>
      </w:pPr>
      <w:r w:rsidRPr="00661179">
        <w:rPr>
          <w:rStyle w:val="FootnoteReference"/>
        </w:rPr>
        <w:footnoteRef/>
      </w:r>
      <w:r w:rsidRPr="00661179">
        <w:t xml:space="preserve"> </w:t>
      </w:r>
      <w:r w:rsidRPr="00661179">
        <w:rPr>
          <w:i/>
          <w:iCs/>
        </w:rPr>
        <w:t>But see</w:t>
      </w:r>
      <w:r w:rsidRPr="00661179">
        <w:t xml:space="preserve"> paras. 246 and 247, </w:t>
      </w:r>
      <w:r w:rsidRPr="00661179">
        <w:rPr>
          <w:i/>
          <w:iCs/>
        </w:rPr>
        <w:t>su</w:t>
      </w:r>
      <w:r w:rsidRPr="00661179">
        <w:rPr>
          <w:i/>
          <w:iCs/>
        </w:rPr>
        <w:t>pra</w:t>
      </w:r>
      <w:r w:rsidRPr="00661179">
        <w:t xml:space="preserve">.  Payment in full when an application is filed may be adjusted if the Commission adopts an installment payment option.   </w:t>
      </w:r>
    </w:p>
  </w:footnote>
  <w:footnote w:id="218">
    <w:p w:rsidR="002E221B" w:rsidRPr="00661179">
      <w:pPr>
        <w:pStyle w:val="FootnoteText"/>
      </w:pPr>
      <w:r w:rsidRPr="00661179">
        <w:rPr>
          <w:rStyle w:val="FootnoteReference"/>
        </w:rPr>
        <w:footnoteRef/>
      </w:r>
      <w:r w:rsidRPr="00661179">
        <w:t xml:space="preserve"> 47 USC §159A(c)(3); 47 CFR § 1.1111.  </w:t>
      </w:r>
      <w:r w:rsidRPr="00F4003D">
        <w:t>The Commission may no longer assess the administrative costs of collecting delinquent regu</w:t>
      </w:r>
      <w:r w:rsidRPr="00F4003D">
        <w:t xml:space="preserve">latory fee debt or the additional 6% annual penalty on delinquent debt prescribed by 31 U.S.C. § 3717.  </w:t>
      </w:r>
      <w:r w:rsidRPr="00F4003D">
        <w:rPr>
          <w:i/>
          <w:iCs/>
        </w:rPr>
        <w:t>See</w:t>
      </w:r>
      <w:r w:rsidRPr="00F4003D">
        <w:t xml:space="preserve"> 47 USC § 159A(c)(2).</w:t>
      </w:r>
    </w:p>
  </w:footnote>
  <w:footnote w:id="219">
    <w:p w:rsidR="002E221B" w:rsidRPr="00661179" w:rsidP="00BB6F6B">
      <w:pPr>
        <w:pStyle w:val="FootnoteText"/>
      </w:pPr>
      <w:r w:rsidRPr="00661179">
        <w:rPr>
          <w:rStyle w:val="FootnoteReference"/>
        </w:rPr>
        <w:footnoteRef/>
      </w:r>
      <w:r w:rsidRPr="00661179">
        <w:t xml:space="preserve"> 47 U.S.C. § 159A(c)(1) and (2).</w:t>
      </w:r>
    </w:p>
  </w:footnote>
  <w:footnote w:id="220">
    <w:p w:rsidR="002E221B" w:rsidRPr="00661179">
      <w:pPr>
        <w:pStyle w:val="FootnoteText"/>
      </w:pPr>
      <w:r w:rsidRPr="00661179">
        <w:rPr>
          <w:rStyle w:val="FootnoteReference"/>
        </w:rPr>
        <w:footnoteRef/>
      </w:r>
      <w:r w:rsidRPr="00661179">
        <w:t xml:space="preserve"> 47 CFR § 1.1910. </w:t>
      </w:r>
    </w:p>
  </w:footnote>
  <w:footnote w:id="221">
    <w:p w:rsidR="002E221B" w:rsidRPr="00661179" w:rsidP="00BB6F6B">
      <w:pPr>
        <w:pStyle w:val="FootnoteText"/>
      </w:pPr>
      <w:r w:rsidRPr="00661179">
        <w:rPr>
          <w:rStyle w:val="FootnoteReference"/>
        </w:rPr>
        <w:footnoteRef/>
      </w:r>
      <w:r w:rsidRPr="00661179">
        <w:t xml:space="preserve"> </w:t>
      </w:r>
      <w:r w:rsidRPr="00661179">
        <w:rPr>
          <w:i/>
        </w:rPr>
        <w:t xml:space="preserve">See, e.g. </w:t>
      </w:r>
      <w:r w:rsidRPr="00661179">
        <w:t>31 U.S.C. §§ 3701,</w:t>
      </w:r>
      <w:r w:rsidRPr="00661179">
        <w:rPr>
          <w:i/>
        </w:rPr>
        <w:t xml:space="preserve"> et seq., </w:t>
      </w:r>
      <w:r w:rsidRPr="00661179">
        <w:t>31 CFR §§ 901,</w:t>
      </w:r>
      <w:r w:rsidRPr="00661179">
        <w:rPr>
          <w:i/>
        </w:rPr>
        <w:t xml:space="preserve"> et seq. </w:t>
      </w:r>
      <w:r w:rsidRPr="00661179">
        <w:t xml:space="preserve">47 CFR §§ 1.1901, </w:t>
      </w:r>
      <w:r w:rsidRPr="00661179">
        <w:rPr>
          <w:i/>
        </w:rPr>
        <w:t>et. seq.</w:t>
      </w:r>
      <w:r w:rsidRPr="00661179">
        <w:t xml:space="preserve">  </w:t>
      </w:r>
    </w:p>
  </w:footnote>
  <w:footnote w:id="222">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5 U.S.C. § 603.  The RFA, </w:t>
      </w:r>
      <w:r w:rsidRPr="00661179">
        <w:rPr>
          <w:i/>
        </w:rPr>
        <w:t>see</w:t>
      </w:r>
      <w:r w:rsidRPr="00661179">
        <w:t xml:space="preserve"> 5 U.S.C. §§ 601-612, has been amended by the Small Business Regulatory Enforcement Fairness Act of 1996 (SBREFA), Pub. L. No. 104-121, Title II, 110 Stat. 847 (1996).  The SBREFA was enacted </w:t>
      </w:r>
      <w:r w:rsidRPr="00661179">
        <w:t>as Title II of the Contract with America Advancement Act of 1996 (CWAAA).</w:t>
      </w:r>
    </w:p>
  </w:footnote>
  <w:footnote w:id="223">
    <w:p w:rsidR="002E221B" w:rsidRPr="00661179">
      <w:pPr>
        <w:pStyle w:val="FootnoteText"/>
      </w:pPr>
      <w:r w:rsidRPr="00661179">
        <w:rPr>
          <w:rStyle w:val="FootnoteReference"/>
        </w:rPr>
        <w:footnoteRef/>
      </w:r>
      <w:r w:rsidRPr="00661179">
        <w:t xml:space="preserve"> </w:t>
      </w:r>
      <w:r w:rsidRPr="00F4003D">
        <w:rPr>
          <w:i/>
        </w:rPr>
        <w:t>See</w:t>
      </w:r>
      <w:r w:rsidRPr="00F4003D">
        <w:t xml:space="preserve"> </w:t>
      </w:r>
      <w:r w:rsidRPr="00F4003D">
        <w:rPr>
          <w:i/>
        </w:rPr>
        <w:t>Electronic Filing of Documents in Rulemaking Proceedings</w:t>
      </w:r>
      <w:r w:rsidRPr="00F4003D">
        <w:t>, 63 FR 24121 (1998).</w:t>
      </w:r>
    </w:p>
  </w:footnote>
  <w:footnote w:id="224">
    <w:p w:rsidR="002E221B" w:rsidRPr="007E653A" w:rsidP="00930909">
      <w:pPr>
        <w:pStyle w:val="FootnoteText"/>
        <w:rPr>
          <w:lang w:val="es-ES"/>
        </w:rPr>
      </w:pPr>
      <w:r w:rsidRPr="00661179">
        <w:rPr>
          <w:rStyle w:val="FootnoteReference"/>
        </w:rPr>
        <w:footnoteRef/>
      </w:r>
      <w:r w:rsidRPr="00661179">
        <w:t xml:space="preserve"> In response to the COVID-19 pandemic, the FCC has closed its current hand-delivery filing locati</w:t>
      </w:r>
      <w:r w:rsidRPr="00661179">
        <w:t>on at FCC Headquarters.  We encourage outside parties to take full advantage of the Commission’s electronic filing system.  Any party that is unable to meet the filing deadline due to the building closure may request a waiver of the comment or reply commen</w:t>
      </w:r>
      <w:r w:rsidRPr="00661179">
        <w:t>t deadline, to the extent permitted by law.</w:t>
      </w:r>
      <w:r w:rsidRPr="00661179">
        <w:rPr>
          <w:i/>
          <w:iCs/>
        </w:rPr>
        <w:t>  FCC Announces Closure of FCC Headquarters Open Window and Change in Hand-Delivery Filing</w:t>
      </w:r>
      <w:r w:rsidRPr="00661179">
        <w:t>,</w:t>
      </w:r>
      <w:r w:rsidRPr="00661179">
        <w:rPr>
          <w:i/>
          <w:iCs/>
        </w:rPr>
        <w:t xml:space="preserve"> </w:t>
      </w:r>
      <w:r w:rsidRPr="00661179">
        <w:t xml:space="preserve">Public Notice, DA 20-304 (rel. </w:t>
      </w:r>
      <w:r w:rsidRPr="007E653A">
        <w:rPr>
          <w:lang w:val="es-ES"/>
        </w:rPr>
        <w:t xml:space="preserve">Mar. 19, 2020).  </w:t>
      </w:r>
      <w:r w:rsidRPr="007E653A">
        <w:rPr>
          <w:b/>
          <w:bCs/>
          <w:color w:val="201F1E"/>
          <w:shd w:val="clear" w:color="auto" w:fill="FFFFFF"/>
          <w:lang w:val="es-ES"/>
        </w:rPr>
        <w:t> </w:t>
      </w:r>
      <w:hyperlink r:id="rId11" w:tgtFrame="_blank" w:history="1">
        <w:r w:rsidRPr="007E653A">
          <w:rPr>
            <w:rStyle w:val="Hyperlink"/>
            <w:bdr w:val="none" w:sz="0" w:space="0" w:color="auto" w:frame="1"/>
            <w:shd w:val="clear" w:color="auto" w:fill="FFFFFF"/>
            <w:lang w:val="es-ES"/>
          </w:rPr>
          <w:t>https://www.fcc.gov/document/fcc-closes-headquarters-open-window-and-changes-hand-delivery-policy</w:t>
        </w:r>
      </w:hyperlink>
      <w:r w:rsidRPr="007E653A">
        <w:rPr>
          <w:lang w:val="es-ES"/>
        </w:rPr>
        <w:t>.</w:t>
      </w:r>
      <w:r w:rsidRPr="007E653A">
        <w:rPr>
          <w:color w:val="201F1E"/>
          <w:shd w:val="clear" w:color="auto" w:fill="FFFFFF"/>
          <w:lang w:val="es-ES"/>
        </w:rPr>
        <w:t> </w:t>
      </w:r>
    </w:p>
    <w:p w:rsidR="002E221B" w:rsidRPr="007E653A" w:rsidP="00930909">
      <w:pPr>
        <w:pStyle w:val="FootnoteText"/>
        <w:rPr>
          <w:lang w:val="es-ES"/>
        </w:rPr>
      </w:pPr>
    </w:p>
  </w:footnote>
  <w:footnote w:id="225">
    <w:p w:rsidR="002E221B" w:rsidRPr="00661179" w:rsidP="00BB6F6B">
      <w:pPr>
        <w:pStyle w:val="FootnoteText"/>
      </w:pPr>
      <w:r w:rsidRPr="00661179">
        <w:rPr>
          <w:rStyle w:val="FootnoteReference"/>
        </w:rPr>
        <w:footnoteRef/>
      </w:r>
      <w:r w:rsidRPr="00661179">
        <w:t xml:space="preserve"> </w:t>
      </w:r>
      <w:r w:rsidRPr="00661179">
        <w:rPr>
          <w:spacing w:val="-2"/>
          <w:lang w:val="fr-FR"/>
        </w:rPr>
        <w:t xml:space="preserve">5 U.S.C. § 603.  </w:t>
      </w:r>
      <w:r w:rsidRPr="00661179">
        <w:rPr>
          <w:spacing w:val="-2"/>
        </w:rPr>
        <w:t xml:space="preserve">The RFA, 5 U.S.C. §§ 601-612 has been amended by the Small Business </w:t>
      </w:r>
      <w:r w:rsidRPr="00661179">
        <w:rPr>
          <w:spacing w:val="-2"/>
        </w:rPr>
        <w:t>Regulatory Enforcement Fairness Act of 1996 (SBREFA), Pub. L. No. 104-121, Title II, 110 Stat. 847 (1996).</w:t>
      </w:r>
    </w:p>
  </w:footnote>
  <w:footnote w:id="226">
    <w:p w:rsidR="002E221B" w:rsidRPr="00661179" w:rsidP="00BB6F6B">
      <w:pPr>
        <w:pStyle w:val="FootnoteText"/>
      </w:pPr>
      <w:r w:rsidRPr="00661179">
        <w:rPr>
          <w:rStyle w:val="FootnoteReference"/>
        </w:rPr>
        <w:footnoteRef/>
      </w:r>
      <w:r w:rsidRPr="00661179">
        <w:t xml:space="preserve"> 5 U.S.C.</w:t>
      </w:r>
      <w:r w:rsidRPr="00661179">
        <w:rPr>
          <w:spacing w:val="-2"/>
        </w:rPr>
        <w:t xml:space="preserve"> §</w:t>
      </w:r>
      <w:r w:rsidRPr="00661179">
        <w:t xml:space="preserve"> 603(a).</w:t>
      </w:r>
    </w:p>
  </w:footnote>
  <w:footnote w:id="227">
    <w:p w:rsidR="002E221B" w:rsidRPr="00661179" w:rsidP="00BB6F6B">
      <w:pPr>
        <w:pStyle w:val="FootnoteText"/>
      </w:pPr>
      <w:r w:rsidRPr="00661179">
        <w:rPr>
          <w:rStyle w:val="FootnoteReference"/>
        </w:rPr>
        <w:footnoteRef/>
      </w:r>
      <w:r w:rsidRPr="00661179">
        <w:t xml:space="preserve"> </w:t>
      </w:r>
      <w:r w:rsidRPr="00661179">
        <w:rPr>
          <w:i/>
        </w:rPr>
        <w:t>Id.</w:t>
      </w:r>
    </w:p>
  </w:footnote>
  <w:footnote w:id="228">
    <w:p w:rsidR="002E221B" w:rsidRPr="00661179">
      <w:pPr>
        <w:pStyle w:val="FootnoteText"/>
      </w:pPr>
      <w:r w:rsidRPr="00661179">
        <w:rPr>
          <w:rStyle w:val="FootnoteReference"/>
        </w:rPr>
        <w:footnoteRef/>
      </w:r>
      <w:r w:rsidRPr="00661179">
        <w:t xml:space="preserve"> 47 U.S.C. </w:t>
      </w:r>
      <w:r w:rsidRPr="00661179">
        <w:rPr>
          <w:rStyle w:val="Footnote"/>
        </w:rPr>
        <w:t xml:space="preserve">§ </w:t>
      </w:r>
      <w:r w:rsidRPr="00661179">
        <w:t>158(a).</w:t>
      </w:r>
    </w:p>
  </w:footnote>
  <w:footnote w:id="229">
    <w:p w:rsidR="002E221B" w:rsidRPr="00661179" w:rsidP="00BB6F6B">
      <w:pPr>
        <w:pStyle w:val="FootnoteText"/>
      </w:pPr>
      <w:r w:rsidRPr="00661179">
        <w:rPr>
          <w:rStyle w:val="FootnoteReference"/>
        </w:rPr>
        <w:footnoteRef/>
      </w:r>
      <w:r w:rsidRPr="00661179">
        <w:t xml:space="preserve"> 47 U.S.C. </w:t>
      </w:r>
      <w:r w:rsidRPr="00661179">
        <w:rPr>
          <w:rStyle w:val="Footnote"/>
        </w:rPr>
        <w:t xml:space="preserve">§§ </w:t>
      </w:r>
      <w:r w:rsidRPr="00661179">
        <w:t>154(i) and (j), 159, 159A, and 303(r).</w:t>
      </w:r>
    </w:p>
  </w:footnote>
  <w:footnote w:id="230">
    <w:p w:rsidR="002E221B" w:rsidRPr="00661179" w:rsidP="00BB6F6B">
      <w:pPr>
        <w:pStyle w:val="FootnoteText"/>
      </w:pPr>
      <w:r w:rsidRPr="00661179">
        <w:rPr>
          <w:rStyle w:val="FootnoteReference"/>
        </w:rPr>
        <w:footnoteRef/>
      </w:r>
      <w:r w:rsidRPr="00661179">
        <w:t xml:space="preserve"> </w:t>
      </w:r>
      <w:r w:rsidRPr="00661179">
        <w:rPr>
          <w:rStyle w:val="Footnote"/>
        </w:rPr>
        <w:t>5 U.S.C. § 603(b)(3).</w:t>
      </w:r>
    </w:p>
  </w:footnote>
  <w:footnote w:id="231">
    <w:p w:rsidR="002E221B" w:rsidRPr="00661179" w:rsidP="00BB6F6B">
      <w:pPr>
        <w:pStyle w:val="FootnoteText"/>
      </w:pPr>
      <w:r w:rsidRPr="00661179">
        <w:rPr>
          <w:rStyle w:val="FootnoteReference"/>
        </w:rPr>
        <w:footnoteRef/>
      </w:r>
      <w:r w:rsidRPr="00661179">
        <w:t xml:space="preserve"> </w:t>
      </w:r>
      <w:r w:rsidRPr="00661179">
        <w:rPr>
          <w:rStyle w:val="Footnote"/>
        </w:rPr>
        <w:t xml:space="preserve">5 U.S.C. § </w:t>
      </w:r>
      <w:r w:rsidRPr="00661179">
        <w:rPr>
          <w:rStyle w:val="Footnote"/>
        </w:rPr>
        <w:t>601(6).</w:t>
      </w:r>
    </w:p>
  </w:footnote>
  <w:footnote w:id="232">
    <w:p w:rsidR="002E221B" w:rsidRPr="00661179" w:rsidP="00BB6F6B">
      <w:pPr>
        <w:pStyle w:val="FootnoteText"/>
      </w:pPr>
      <w:r w:rsidRPr="00661179">
        <w:rPr>
          <w:rStyle w:val="FootnoteReference"/>
        </w:rPr>
        <w:footnoteRef/>
      </w:r>
      <w:r w:rsidRPr="00661179">
        <w:t xml:space="preserve"> </w:t>
      </w:r>
      <w:r w:rsidRPr="00661179">
        <w:rPr>
          <w:rStyle w:val="Footnote"/>
        </w:rPr>
        <w:t>5 U.S.C. § 601(3) (incorporating by reference the definition of “small-business concern” in the Small Business Act, 15 U.S.C. § 632).  Pursuant to 5 U.S.C. § 601(3), the statutory definition of a small business applies “unless an agency, after co</w:t>
      </w:r>
      <w:r w:rsidRPr="00661179">
        <w:rPr>
          <w:rStyle w:val="Footnote"/>
        </w:rPr>
        <w:t>nsultation with the Office of Advocacy of the Small Business Administration and after opportunity</w:t>
      </w:r>
      <w:r w:rsidRPr="00661179">
        <w:t xml:space="preserve"> </w:t>
      </w:r>
      <w:r w:rsidRPr="00661179">
        <w:rPr>
          <w:rStyle w:val="Footnote"/>
        </w:rPr>
        <w:t>for public comment, establishes one or more definitions of such term which are appropriate to the activities of the agency and publishes such definition(s) in</w:t>
      </w:r>
      <w:r w:rsidRPr="00661179">
        <w:rPr>
          <w:rStyle w:val="Footnote"/>
        </w:rPr>
        <w:t xml:space="preserve"> the Federal Register.”</w:t>
      </w:r>
    </w:p>
  </w:footnote>
  <w:footnote w:id="233">
    <w:p w:rsidR="002E221B" w:rsidRPr="00661179" w:rsidP="00BB6F6B">
      <w:pPr>
        <w:pStyle w:val="FootnoteText"/>
      </w:pPr>
      <w:r w:rsidRPr="00661179">
        <w:rPr>
          <w:rStyle w:val="FootnoteReference"/>
        </w:rPr>
        <w:footnoteRef/>
      </w:r>
      <w:r w:rsidRPr="00661179">
        <w:t xml:space="preserve"> </w:t>
      </w:r>
      <w:r w:rsidRPr="00661179">
        <w:rPr>
          <w:rStyle w:val="Footnote"/>
        </w:rPr>
        <w:t>15 U.S.C. § 632.</w:t>
      </w:r>
    </w:p>
  </w:footnote>
  <w:footnote w:id="234">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5 U.S.C. § 601(3)-(6).</w:t>
      </w:r>
    </w:p>
  </w:footnote>
  <w:footnote w:id="235">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SBA, Office of Advocacy, “Frequently Asked Questions, Question 1 – What is a small business?” </w:t>
      </w:r>
      <w:hyperlink r:id="rId12" w:history="1">
        <w:r w:rsidRPr="00661179">
          <w:rPr>
            <w:rStyle w:val="Hyperlink"/>
          </w:rPr>
          <w:t>https://www.sba.gov/sites/default/files/advocacy/SB-FAQ-2016_WEB.pdf</w:t>
        </w:r>
      </w:hyperlink>
      <w:r w:rsidRPr="00661179">
        <w:t xml:space="preserve"> (June 2016).</w:t>
      </w:r>
    </w:p>
  </w:footnote>
  <w:footnote w:id="236">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SBA, Office of Advocacy, “Frequently Asked Questions, Question 2- How many small businesses are there in the U.S.?” </w:t>
      </w:r>
      <w:hyperlink r:id="rId12" w:history="1">
        <w:r w:rsidRPr="00661179">
          <w:rPr>
            <w:rStyle w:val="Hyperlink"/>
          </w:rPr>
          <w:t>https://www.sba.gov/sites/default/files/advocacy/SB-FAQ-2016_WEB.pdf</w:t>
        </w:r>
      </w:hyperlink>
      <w:r w:rsidRPr="00661179">
        <w:t xml:space="preserve"> (June 2016).</w:t>
      </w:r>
    </w:p>
  </w:footnote>
  <w:footnote w:id="237">
    <w:p w:rsidR="002E221B" w:rsidRPr="00661179" w:rsidP="00BB6F6B">
      <w:pPr>
        <w:pStyle w:val="FootnoteText"/>
      </w:pPr>
      <w:r w:rsidRPr="00661179">
        <w:rPr>
          <w:rStyle w:val="FootnoteReference"/>
        </w:rPr>
        <w:footnoteRef/>
      </w:r>
      <w:r w:rsidRPr="00661179">
        <w:t xml:space="preserve"> </w:t>
      </w:r>
      <w:r w:rsidRPr="00661179">
        <w:rPr>
          <w:spacing w:val="-2"/>
        </w:rPr>
        <w:t>5 U.S.C.</w:t>
      </w:r>
      <w:r w:rsidRPr="00661179">
        <w:t xml:space="preserve"> § 601(4).</w:t>
      </w:r>
    </w:p>
  </w:footnote>
  <w:footnote w:id="238">
    <w:p w:rsidR="002E221B" w:rsidRPr="00661179" w:rsidP="00BB6F6B">
      <w:pPr>
        <w:pStyle w:val="FootnoteText"/>
      </w:pPr>
      <w:r w:rsidRPr="00661179">
        <w:rPr>
          <w:rStyle w:val="FootnoteReference"/>
        </w:rPr>
        <w:footnoteRef/>
      </w:r>
      <w:r w:rsidRPr="00661179">
        <w:rPr>
          <w:color w:val="000000"/>
        </w:rPr>
        <w:t xml:space="preserve"> Data from the Urban Institute, National Center for Charitable Statistics (NCCS) reporting on nonprofit organizations </w:t>
      </w:r>
      <w:r w:rsidRPr="00661179">
        <w:rPr>
          <w:color w:val="000000"/>
        </w:rPr>
        <w:t xml:space="preserve">registered with the IRS was used to estimate the number of small organizations.  Reports generated using the NCCS online database indicated that as of August 2016 there were </w:t>
      </w:r>
      <w:r w:rsidRPr="00661179">
        <w:t>356,494</w:t>
      </w:r>
      <w:r w:rsidRPr="00661179">
        <w:rPr>
          <w:color w:val="000000"/>
        </w:rPr>
        <w:t xml:space="preserve"> registered nonprofits with total revenues of less than $100,000.   Of this</w:t>
      </w:r>
      <w:r w:rsidRPr="00661179">
        <w:rPr>
          <w:color w:val="000000"/>
        </w:rPr>
        <w:t xml:space="preserve"> number, 326,897 entities filed tax returns with 65,113 registered nonprofits reporting total revenues of $50,000 or less on the IRS Form 990-N for Small Exempt Organizations and 261,784 nonprofits reporting total revenues of $100,000 or less on some other</w:t>
      </w:r>
      <w:r w:rsidRPr="00661179">
        <w:rPr>
          <w:color w:val="000000"/>
        </w:rPr>
        <w:t xml:space="preserve"> version of the IRS Form 990 within 24 months of the August 2016 data release date. </w:t>
      </w:r>
      <w:r w:rsidRPr="00661179">
        <w:rPr>
          <w:i/>
          <w:color w:val="000000"/>
        </w:rPr>
        <w:t xml:space="preserve"> See</w:t>
      </w:r>
      <w:r w:rsidRPr="00661179">
        <w:rPr>
          <w:color w:val="000000"/>
        </w:rPr>
        <w:t xml:space="preserve"> </w:t>
      </w:r>
      <w:hyperlink r:id="rId13" w:history="1">
        <w:r w:rsidRPr="00661179">
          <w:rPr>
            <w:rStyle w:val="Hyperlink"/>
          </w:rPr>
          <w:t>http://nccs.urban.org/sites/all/nccs-archive/html//tablewiz/tw.php</w:t>
        </w:r>
      </w:hyperlink>
      <w:r w:rsidRPr="00661179">
        <w:rPr>
          <w:color w:val="000000"/>
        </w:rPr>
        <w:t xml:space="preserve"> where the report s</w:t>
      </w:r>
      <w:r w:rsidRPr="00661179">
        <w:rPr>
          <w:color w:val="000000"/>
        </w:rPr>
        <w:t>howing this data can be generated by selecting the following data fields: Report: “The Number and Finances of All Registered 501(c) Nonprofits”; Show: “Registered Nonprofits”; By: “Total Revenue Level (years 1995, Aug to 2016, Aug)”; and For: “2016, Aug” t</w:t>
      </w:r>
      <w:r w:rsidRPr="00661179">
        <w:rPr>
          <w:color w:val="000000"/>
        </w:rPr>
        <w:t>hen selecting “Show Results.”</w:t>
      </w:r>
    </w:p>
  </w:footnote>
  <w:footnote w:id="239">
    <w:p w:rsidR="002E221B" w:rsidRPr="00661179" w:rsidP="00BB6F6B">
      <w:pPr>
        <w:pStyle w:val="FootnoteText"/>
      </w:pPr>
      <w:r w:rsidRPr="00661179">
        <w:rPr>
          <w:rStyle w:val="FootnoteReference"/>
          <w:spacing w:val="-2"/>
        </w:rPr>
        <w:footnoteRef/>
      </w:r>
      <w:r w:rsidRPr="00661179">
        <w:t xml:space="preserve"> 5 U.S.C. § 601(5).</w:t>
      </w:r>
    </w:p>
  </w:footnote>
  <w:footnote w:id="240">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13 U.S.C. § 161.  The Census of Government is conducted every five (5) years compiling data for years ending with “2” and “7”.  </w:t>
      </w:r>
      <w:r w:rsidRPr="00661179">
        <w:rPr>
          <w:i/>
        </w:rPr>
        <w:t xml:space="preserve">See also </w:t>
      </w:r>
      <w:r w:rsidRPr="00661179">
        <w:t xml:space="preserve">Program Description Census of Government </w:t>
      </w:r>
      <w:hyperlink r:id="rId14" w:history="1">
        <w:r w:rsidRPr="00661179">
          <w:rPr>
            <w:rStyle w:val="Hyperlink"/>
          </w:rPr>
          <w:t>https://factfinder.census.gov/faces/affhelp/jsf/pages/metadata.xhtml?lang=en&amp;type=program&amp;id=program.en.COG#</w:t>
        </w:r>
      </w:hyperlink>
    </w:p>
  </w:footnote>
  <w:footnote w:id="241">
    <w:p w:rsidR="002E221B" w:rsidRPr="00661179" w:rsidP="00BB6F6B">
      <w:pPr>
        <w:pStyle w:val="FootnoteText"/>
      </w:pPr>
      <w:r w:rsidRPr="00661179">
        <w:rPr>
          <w:rStyle w:val="FootnoteReference"/>
          <w:spacing w:val="-2"/>
        </w:rPr>
        <w:footnoteRef/>
      </w:r>
      <w:r w:rsidRPr="00661179">
        <w:t xml:space="preserve"> </w:t>
      </w:r>
      <w:r w:rsidRPr="00661179">
        <w:rPr>
          <w:i/>
        </w:rPr>
        <w:t>See</w:t>
      </w:r>
      <w:r w:rsidRPr="00661179">
        <w:t xml:space="preserve"> U.S. Census Bureau, 2012 Census of Governments, Local Governments by Type and State: 2012 - Un</w:t>
      </w:r>
      <w:r w:rsidRPr="00661179">
        <w:t xml:space="preserve">ited States-States, </w:t>
      </w:r>
      <w:hyperlink r:id="rId15" w:history="1">
        <w:r w:rsidRPr="00661179">
          <w:rPr>
            <w:rStyle w:val="Hyperlink"/>
            <w:bCs/>
          </w:rPr>
          <w:t>https://factfinder.census.gov/bkmk/table/1.0/en/COG/2012/ORG02.US01</w:t>
        </w:r>
      </w:hyperlink>
      <w:r w:rsidRPr="00661179">
        <w:t>.  Local governmental jurisdictions are classified in two categories - General purpos</w:t>
      </w:r>
      <w:r w:rsidRPr="00661179">
        <w:t xml:space="preserve">e governments (county, municipal and town or township) and Special purpose governments (special districts and independent school districts).   </w:t>
      </w:r>
    </w:p>
  </w:footnote>
  <w:footnote w:id="242">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Census Bureau, 2012 Census of Governments, </w:t>
      </w:r>
      <w:r w:rsidRPr="00661179">
        <w:rPr>
          <w:bCs/>
          <w:color w:val="4E4B47"/>
        </w:rPr>
        <w:t>County Governments by Population-Size Group and State: 201</w:t>
      </w:r>
      <w:r w:rsidRPr="00661179">
        <w:rPr>
          <w:bCs/>
          <w:color w:val="4E4B47"/>
        </w:rPr>
        <w:t xml:space="preserve">2 </w:t>
      </w:r>
      <w:r w:rsidRPr="00661179">
        <w:rPr>
          <w:b/>
          <w:bCs/>
          <w:color w:val="4E4B47"/>
        </w:rPr>
        <w:t xml:space="preserve">- </w:t>
      </w:r>
      <w:r w:rsidRPr="00661179">
        <w:rPr>
          <w:bCs/>
          <w:color w:val="4E4B47"/>
        </w:rPr>
        <w:t>United States-States.</w:t>
      </w:r>
      <w:r w:rsidRPr="00661179">
        <w:t xml:space="preserve"> </w:t>
      </w:r>
      <w:hyperlink r:id="rId16" w:history="1">
        <w:r w:rsidRPr="00661179">
          <w:rPr>
            <w:rStyle w:val="Hyperlink"/>
          </w:rPr>
          <w:t>https://factfinder.census.gov/bkmk/table/1.0/en/COG/2012/ORG06.US01</w:t>
        </w:r>
      </w:hyperlink>
      <w:r w:rsidRPr="00661179">
        <w:t xml:space="preserve">.  There were 2,114 county governments with populations less than 50,000. </w:t>
      </w:r>
    </w:p>
  </w:footnote>
  <w:footnote w:id="243">
    <w:p w:rsidR="002E221B" w:rsidRPr="00661179" w:rsidP="00BB6F6B">
      <w:pPr>
        <w:pStyle w:val="FootnoteText"/>
      </w:pPr>
      <w:r w:rsidRPr="00661179">
        <w:rPr>
          <w:rStyle w:val="FootnoteReference"/>
        </w:rPr>
        <w:footnoteRef/>
      </w:r>
      <w:r w:rsidRPr="00661179">
        <w:t xml:space="preserve"> </w:t>
      </w:r>
      <w:r w:rsidRPr="00661179">
        <w:rPr>
          <w:i/>
        </w:rPr>
        <w:t>Se</w:t>
      </w:r>
      <w:r w:rsidRPr="00661179">
        <w:rPr>
          <w:i/>
        </w:rPr>
        <w:t>e</w:t>
      </w:r>
      <w:r w:rsidRPr="00661179">
        <w:t xml:space="preserve"> U.S. Census Bureau, 2012 Census of Governments, </w:t>
      </w:r>
      <w:r w:rsidRPr="00661179">
        <w:rPr>
          <w:bCs/>
        </w:rPr>
        <w:t xml:space="preserve">Subcounty General-Purpose Governments by Population-Size Group and State: 2012 - United States – States. </w:t>
      </w:r>
      <w:hyperlink r:id="rId17" w:history="1">
        <w:r w:rsidRPr="00661179">
          <w:rPr>
            <w:rStyle w:val="Hyperlink"/>
          </w:rPr>
          <w:t>https://factfinde</w:t>
        </w:r>
        <w:r w:rsidRPr="00661179">
          <w:rPr>
            <w:rStyle w:val="Hyperlink"/>
          </w:rPr>
          <w:t>r.census.gov/bkmk/table/1.0/en/COG/2012/ORG07.US01</w:t>
        </w:r>
      </w:hyperlink>
      <w:r w:rsidRPr="00661179">
        <w:rPr>
          <w:rStyle w:val="Hyperlink"/>
        </w:rPr>
        <w:t xml:space="preserve">.  </w:t>
      </w:r>
      <w:r w:rsidRPr="00661179">
        <w:t xml:space="preserve">There were 18,811 municipal and 16,207 town and township governments with populations less than 50,000. </w:t>
      </w:r>
    </w:p>
  </w:footnote>
  <w:footnote w:id="244">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Census Bureau, 2012 Census of Governments, Elementary and Secondary School Systems by E</w:t>
      </w:r>
      <w:r w:rsidRPr="00661179">
        <w:t>nrollment-Size Group and State: 2012 - United States-States</w:t>
      </w:r>
      <w:r w:rsidRPr="00661179">
        <w:rPr>
          <w:bCs/>
          <w:color w:val="4E4B47"/>
        </w:rPr>
        <w:t>.</w:t>
      </w:r>
      <w:r w:rsidRPr="00661179">
        <w:t xml:space="preserve"> </w:t>
      </w:r>
      <w:hyperlink r:id="rId18" w:history="1">
        <w:r w:rsidRPr="00661179">
          <w:rPr>
            <w:rStyle w:val="Hyperlink"/>
            <w:bCs/>
          </w:rPr>
          <w:t>https://factfinder.census.gov/bkmk/table/1.0/en/COG/2012/ORG11.US01</w:t>
        </w:r>
      </w:hyperlink>
      <w:r w:rsidRPr="00661179">
        <w:rPr>
          <w:bCs/>
          <w:color w:val="4E4B47"/>
        </w:rPr>
        <w:t xml:space="preserve">.  </w:t>
      </w:r>
      <w:r w:rsidRPr="00661179">
        <w:t>There were 12,184 independent school dist</w:t>
      </w:r>
      <w:r w:rsidRPr="00661179">
        <w:t>ricts with enrollment populations less than 50,000.</w:t>
      </w:r>
    </w:p>
  </w:footnote>
  <w:footnote w:id="245">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Census Bureau, 2012 Census of Governments, Special District Governments by Function and State: 2012 </w:t>
      </w:r>
      <w:r w:rsidRPr="00661179">
        <w:rPr>
          <w:bCs/>
          <w:color w:val="4E4B47"/>
        </w:rPr>
        <w:t>-</w:t>
      </w:r>
      <w:r w:rsidRPr="00661179">
        <w:t xml:space="preserve"> United States</w:t>
      </w:r>
      <w:r w:rsidRPr="00661179">
        <w:rPr>
          <w:bCs/>
          <w:color w:val="4E4B47"/>
        </w:rPr>
        <w:t>-</w:t>
      </w:r>
      <w:r w:rsidRPr="00661179">
        <w:t xml:space="preserve">States. </w:t>
      </w:r>
      <w:hyperlink r:id="rId19" w:history="1">
        <w:r w:rsidRPr="00661179">
          <w:rPr>
            <w:rStyle w:val="Hyperlink"/>
            <w:bCs/>
          </w:rPr>
          <w:t>https://factfinder.census.gov/bkmk/table/1.0/en/COG/2012/ORG09.US01</w:t>
        </w:r>
      </w:hyperlink>
      <w:r w:rsidRPr="00661179">
        <w:rPr>
          <w:rStyle w:val="Hyperlink"/>
          <w:bCs/>
        </w:rPr>
        <w:t>.  The U.S. Census Bureau data did not provide a population breakout for special district governments.</w:t>
      </w:r>
    </w:p>
  </w:footnote>
  <w:footnote w:id="246">
    <w:p w:rsidR="002E221B" w:rsidRPr="00661179" w:rsidP="00BB6F6B">
      <w:pPr>
        <w:pStyle w:val="FootnoteText"/>
      </w:pPr>
      <w:r w:rsidRPr="00661179">
        <w:rPr>
          <w:rStyle w:val="FootnoteReference"/>
        </w:rPr>
        <w:footnoteRef/>
      </w:r>
      <w:r w:rsidRPr="00661179">
        <w:t xml:space="preserve"> </w:t>
      </w:r>
      <w:r w:rsidRPr="00661179">
        <w:rPr>
          <w:i/>
        </w:rPr>
        <w:t>Se</w:t>
      </w:r>
      <w:r w:rsidRPr="00661179">
        <w:rPr>
          <w:i/>
        </w:rPr>
        <w:t>e</w:t>
      </w:r>
      <w:r w:rsidRPr="00661179">
        <w:t xml:space="preserve"> U.S. Census Bureau, 2012 Census of Governments, </w:t>
      </w:r>
      <w:r w:rsidRPr="00661179">
        <w:rPr>
          <w:b/>
          <w:bCs/>
          <w:color w:val="4E4B47"/>
        </w:rPr>
        <w:t>C</w:t>
      </w:r>
      <w:r w:rsidRPr="00661179">
        <w:rPr>
          <w:bCs/>
          <w:color w:val="4E4B47"/>
        </w:rPr>
        <w:t xml:space="preserve">ounty Governments by Population-Size Group and State: 2012 - United States-States </w:t>
      </w:r>
      <w:r w:rsidRPr="00661179">
        <w:rPr>
          <w:b/>
          <w:bCs/>
          <w:color w:val="4E4B47"/>
        </w:rPr>
        <w:t>-</w:t>
      </w:r>
      <w:r w:rsidRPr="00661179">
        <w:t xml:space="preserve"> </w:t>
      </w:r>
      <w:hyperlink r:id="rId16" w:history="1">
        <w:r w:rsidRPr="00661179">
          <w:rPr>
            <w:rStyle w:val="Hyperlink"/>
          </w:rPr>
          <w:t>https://factfinder.census.gov/bkmk/ta</w:t>
        </w:r>
        <w:r w:rsidRPr="00661179">
          <w:rPr>
            <w:rStyle w:val="Hyperlink"/>
          </w:rPr>
          <w:t>ble/1.0/en/COG/2012/ORG06.US01</w:t>
        </w:r>
      </w:hyperlink>
      <w:r w:rsidRPr="00661179">
        <w:t xml:space="preserve">;   </w:t>
      </w:r>
      <w:r w:rsidRPr="00661179">
        <w:rPr>
          <w:bCs/>
        </w:rPr>
        <w:t xml:space="preserve">Subcounty General-Purpose Governments by Population-Size Group and State: 2012 - United States–States - </w:t>
      </w:r>
      <w:hyperlink r:id="rId17" w:history="1">
        <w:r w:rsidRPr="00661179">
          <w:rPr>
            <w:rStyle w:val="Hyperlink"/>
          </w:rPr>
          <w:t>https://factfinder.census.gov/bkmk</w:t>
        </w:r>
        <w:r w:rsidRPr="00661179">
          <w:rPr>
            <w:rStyle w:val="Hyperlink"/>
          </w:rPr>
          <w:t>/table/1.0/en/COG/2012/ORG07.US01</w:t>
        </w:r>
      </w:hyperlink>
      <w:r w:rsidRPr="00661179">
        <w:rPr>
          <w:rStyle w:val="Hyperlink"/>
        </w:rPr>
        <w:t xml:space="preserve">; </w:t>
      </w:r>
      <w:r w:rsidRPr="00661179">
        <w:rPr>
          <w:bCs/>
        </w:rPr>
        <w:t xml:space="preserve">and </w:t>
      </w:r>
      <w:r w:rsidRPr="00661179">
        <w:t>Elementary and Secondary School Systems by Enrollment-Size Group and State: 2012 - United States-States</w:t>
      </w:r>
      <w:r w:rsidRPr="00661179">
        <w:rPr>
          <w:bCs/>
          <w:color w:val="4E4B47"/>
        </w:rPr>
        <w:t>.</w:t>
      </w:r>
      <w:r w:rsidRPr="00661179">
        <w:t xml:space="preserve"> </w:t>
      </w:r>
      <w:hyperlink r:id="rId18" w:history="1">
        <w:r w:rsidRPr="00661179">
          <w:rPr>
            <w:rStyle w:val="Hyperlink"/>
            <w:bCs/>
          </w:rPr>
          <w:t>https://factfinder.census.go</w:t>
        </w:r>
        <w:r w:rsidRPr="00661179">
          <w:rPr>
            <w:rStyle w:val="Hyperlink"/>
            <w:bCs/>
          </w:rPr>
          <w:t>v/bkmk/table/1.0/en/COG/2012/ORG11.US01</w:t>
        </w:r>
      </w:hyperlink>
      <w:r w:rsidRPr="00661179">
        <w:rPr>
          <w:rStyle w:val="Hyperlink"/>
          <w:bCs/>
        </w:rPr>
        <w:t>.  While U.S. Census Bureau data did not provide a population breakout for special district governments, if the population of less than 50,000 for this category of local government is consistent with the other types o</w:t>
      </w:r>
      <w:r w:rsidRPr="00661179">
        <w:rPr>
          <w:rStyle w:val="Hyperlink"/>
          <w:bCs/>
        </w:rPr>
        <w:t>f local governments the majority of the 38, 266 special district governments have populations of less than 50,000.</w:t>
      </w:r>
    </w:p>
  </w:footnote>
  <w:footnote w:id="247">
    <w:p w:rsidR="002E221B" w:rsidRPr="00661179" w:rsidP="00BB6F6B">
      <w:pPr>
        <w:pStyle w:val="FootnoteText"/>
      </w:pPr>
      <w:r w:rsidRPr="00661179">
        <w:rPr>
          <w:rStyle w:val="FootnoteReference"/>
        </w:rPr>
        <w:footnoteRef/>
      </w:r>
      <w:r w:rsidRPr="00661179">
        <w:t xml:space="preserve"> </w:t>
      </w:r>
      <w:r w:rsidRPr="00661179">
        <w:rPr>
          <w:i/>
        </w:rPr>
        <w:t>Id.</w:t>
      </w:r>
    </w:p>
  </w:footnote>
  <w:footnote w:id="248">
    <w:p w:rsidR="002E221B" w:rsidRPr="00661179" w:rsidP="00BB6F6B">
      <w:pPr>
        <w:pStyle w:val="FootnoteText"/>
      </w:pPr>
      <w:r w:rsidRPr="00661179">
        <w:rPr>
          <w:rStyle w:val="FootnoteReference"/>
        </w:rPr>
        <w:footnoteRef/>
      </w:r>
      <w:r w:rsidRPr="00661179">
        <w:t xml:space="preserve"> 47 U.S.C. </w:t>
      </w:r>
      <w:r w:rsidRPr="00661179">
        <w:rPr>
          <w:rStyle w:val="Footnote"/>
        </w:rPr>
        <w:t xml:space="preserve">§ </w:t>
      </w:r>
      <w:r w:rsidRPr="00661179">
        <w:t>158(d)(1)(A).</w:t>
      </w:r>
    </w:p>
  </w:footnote>
  <w:footnote w:id="249">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13 CFR § 120.201.  The Wired Telecommunications Carrier category formerly used the NAICS code of 5171</w:t>
      </w:r>
      <w:r w:rsidRPr="00661179">
        <w:t xml:space="preserve">10. As of 2017 the U.S. Census Bureau definition shows the NAICS code as 517311 for Wired Telecommunications Carriers.  </w:t>
      </w:r>
      <w:bookmarkStart w:id="519" w:name="_Hlk12516558"/>
      <w:r w:rsidRPr="00661179">
        <w:rPr>
          <w:i/>
        </w:rPr>
        <w:t xml:space="preserve">See </w:t>
      </w:r>
      <w:r w:rsidRPr="00661179">
        <w:t xml:space="preserve">U.S. Census Bureau, </w:t>
      </w:r>
      <w:r w:rsidRPr="00661179">
        <w:rPr>
          <w:i/>
        </w:rPr>
        <w:t>2017 NAICS Definition</w:t>
      </w:r>
      <w:r w:rsidRPr="00661179">
        <w:t xml:space="preserve">, </w:t>
      </w:r>
      <w:hyperlink r:id="rId20" w:history="1">
        <w:r w:rsidRPr="00661179">
          <w:rPr>
            <w:rStyle w:val="Hyperlink"/>
          </w:rPr>
          <w:t>https://www.census.gov/cgi-bin/sssd/naics/naicsrch?code=517311&amp;search=2017</w:t>
        </w:r>
      </w:hyperlink>
      <w:bookmarkEnd w:id="519"/>
      <w:r w:rsidRPr="00661179">
        <w:t xml:space="preserve">. </w:t>
      </w:r>
    </w:p>
  </w:footnote>
  <w:footnote w:id="250">
    <w:p w:rsidR="002E221B" w:rsidRPr="00661179" w:rsidP="00BB6F6B">
      <w:pPr>
        <w:pStyle w:val="FootnoteText"/>
      </w:pPr>
      <w:r w:rsidRPr="00661179">
        <w:rPr>
          <w:rStyle w:val="FootnoteReference"/>
        </w:rPr>
        <w:footnoteRef/>
      </w:r>
      <w:r w:rsidRPr="00661179">
        <w:rPr>
          <w:i/>
          <w:snapToGrid w:val="0"/>
        </w:rPr>
        <w:t xml:space="preserve"> See</w:t>
      </w:r>
      <w:r w:rsidRPr="00661179">
        <w:rPr>
          <w:snapToGrid w:val="0"/>
        </w:rPr>
        <w:t xml:space="preserve"> 13 CFR </w:t>
      </w:r>
      <w:r w:rsidRPr="00661179">
        <w:rPr>
          <w:rStyle w:val="Footnote"/>
          <w:snapToGrid w:val="0"/>
        </w:rPr>
        <w:t>§</w:t>
      </w:r>
      <w:r w:rsidRPr="00661179">
        <w:rPr>
          <w:snapToGrid w:val="0"/>
        </w:rPr>
        <w:t xml:space="preserve"> 120.201, NAICS Code 517311 (previously 517110)</w:t>
      </w:r>
      <w:r w:rsidRPr="00661179">
        <w:t>.</w:t>
      </w:r>
    </w:p>
  </w:footnote>
  <w:footnote w:id="251">
    <w:p w:rsidR="002E221B" w:rsidRPr="00661179" w:rsidP="00BB6F6B">
      <w:pPr>
        <w:pStyle w:val="FootnoteText"/>
      </w:pPr>
      <w:r w:rsidRPr="00661179">
        <w:rPr>
          <w:rStyle w:val="FootnoteReference"/>
        </w:rPr>
        <w:footnoteRef/>
      </w:r>
      <w:r w:rsidRPr="00661179">
        <w:t xml:space="preserve"> </w:t>
      </w:r>
      <w:bookmarkStart w:id="520" w:name="_Hlk12430771"/>
      <w:r w:rsidRPr="00661179">
        <w:rPr>
          <w:i/>
        </w:rPr>
        <w:t>See</w:t>
      </w:r>
      <w:r w:rsidRPr="00661179">
        <w:t xml:space="preserve"> </w:t>
      </w:r>
      <w:bookmarkStart w:id="521" w:name="_Hlk12516593"/>
      <w:r w:rsidRPr="00661179">
        <w:t xml:space="preserve">U.S. Census Bureau, </w:t>
      </w:r>
      <w:bookmarkStart w:id="522" w:name="_Hlk12430666"/>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Size: Employment Size of Firms: 2012</w:t>
      </w:r>
      <w:r w:rsidRPr="00661179">
        <w:t xml:space="preserve"> (517110 Wired Telecommunications Carriers). </w:t>
      </w:r>
      <w:hyperlink r:id="rId21" w:history="1">
        <w:r w:rsidRPr="00661179">
          <w:rPr>
            <w:rStyle w:val="Hyperlink"/>
          </w:rPr>
          <w:t>https://fa</w:t>
        </w:r>
        <w:r w:rsidRPr="00661179">
          <w:rPr>
            <w:rStyle w:val="Hyperlink"/>
          </w:rPr>
          <w:t>ctfinder.census.gov/bkmk/table/1.0/en/ECN/2012_US/51SSSZ5//naics~517110</w:t>
        </w:r>
      </w:hyperlink>
      <w:bookmarkEnd w:id="521"/>
      <w:r w:rsidRPr="00661179">
        <w:t>.</w:t>
      </w:r>
      <w:bookmarkEnd w:id="520"/>
      <w:bookmarkEnd w:id="522"/>
    </w:p>
  </w:footnote>
  <w:footnote w:id="252">
    <w:p w:rsidR="002E221B" w:rsidRPr="00661179" w:rsidP="00BB6F6B">
      <w:pPr>
        <w:pStyle w:val="FootnoteText"/>
      </w:pPr>
      <w:r w:rsidRPr="00661179">
        <w:rPr>
          <w:rStyle w:val="FootnoteReference"/>
        </w:rPr>
        <w:footnoteRef/>
      </w:r>
      <w:r w:rsidRPr="00661179">
        <w:t xml:space="preserve"> </w:t>
      </w:r>
      <w:r w:rsidRPr="00661179">
        <w:rPr>
          <w:i/>
        </w:rPr>
        <w:t>Id.</w:t>
      </w:r>
    </w:p>
  </w:footnote>
  <w:footnote w:id="253">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w:t>
      </w:r>
      <w:r w:rsidRPr="00661179">
        <w:rPr>
          <w:color w:val="000000"/>
        </w:rPr>
        <w:t xml:space="preserve">13 CFR § 121.201. </w:t>
      </w:r>
      <w:r w:rsidRPr="00661179">
        <w:t xml:space="preserve">The Wired Telecommunications Carrier category formerly used the NAICS code of 517110. As of 2017 the U.S. Census Bureau definition shows the NAICs code as 517311 for Wired Telecommunications Carriers.  </w:t>
      </w:r>
      <w:r w:rsidRPr="00661179">
        <w:rPr>
          <w:i/>
        </w:rPr>
        <w:t>See</w:t>
      </w:r>
      <w:r w:rsidRPr="00661179">
        <w:t xml:space="preserve"> </w:t>
      </w:r>
      <w:hyperlink r:id="rId20" w:history="1">
        <w:r w:rsidRPr="00661179">
          <w:rPr>
            <w:rStyle w:val="Hyperlink"/>
          </w:rPr>
          <w:t>https://www.census.gov/cgi-bin/sssd/naics/naicsrch?code=517311&amp;search=2017</w:t>
        </w:r>
      </w:hyperlink>
      <w:r w:rsidRPr="00661179">
        <w:t>.</w:t>
      </w:r>
    </w:p>
  </w:footnote>
  <w:footnote w:id="254">
    <w:p w:rsidR="002E221B" w:rsidRPr="00661179" w:rsidP="00BB6F6B">
      <w:pPr>
        <w:pStyle w:val="FootnoteText"/>
        <w:rPr>
          <w:i/>
        </w:rPr>
      </w:pPr>
      <w:r w:rsidRPr="00661179">
        <w:rPr>
          <w:rStyle w:val="FootnoteReference"/>
        </w:rPr>
        <w:footnoteRef/>
      </w:r>
      <w:r w:rsidRPr="00661179">
        <w:t xml:space="preserve"> </w:t>
      </w:r>
      <w:r w:rsidRPr="00661179">
        <w:rPr>
          <w:i/>
        </w:rPr>
        <w:t>Id.</w:t>
      </w:r>
    </w:p>
  </w:footnote>
  <w:footnote w:id="255">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w:t>
      </w:r>
      <w:r w:rsidRPr="00661179">
        <w:rPr>
          <w:i/>
          <w:iCs/>
        </w:rPr>
        <w:t>m Size: Employment Size of Firms: 2012</w:t>
      </w:r>
      <w:r w:rsidRPr="00661179">
        <w:t xml:space="preserve"> (517110 Wired Telecommunications Carriers). </w:t>
      </w:r>
      <w:hyperlink r:id="rId21" w:history="1">
        <w:r w:rsidRPr="00661179">
          <w:rPr>
            <w:rStyle w:val="Hyperlink"/>
          </w:rPr>
          <w:t>https://factfinder.census.gov/bkmk/table/1.0/en/ECN/2012_US/51SSSZ5//naics~</w:t>
        </w:r>
        <w:r w:rsidRPr="00661179">
          <w:rPr>
            <w:rStyle w:val="Hyperlink"/>
          </w:rPr>
          <w:t>517110</w:t>
        </w:r>
      </w:hyperlink>
      <w:r w:rsidRPr="00661179">
        <w:rPr>
          <w:rStyle w:val="Hyperlink"/>
        </w:rPr>
        <w:t>.</w:t>
      </w:r>
    </w:p>
  </w:footnote>
  <w:footnote w:id="256">
    <w:p w:rsidR="002E221B" w:rsidRPr="00661179" w:rsidP="00BB6F6B">
      <w:pPr>
        <w:pStyle w:val="FootnoteText"/>
      </w:pPr>
      <w:r w:rsidRPr="00661179">
        <w:rPr>
          <w:rStyle w:val="FootnoteReference"/>
        </w:rPr>
        <w:footnoteRef/>
      </w:r>
      <w:r w:rsidRPr="00661179">
        <w:t xml:space="preserve"> </w:t>
      </w:r>
      <w:r w:rsidRPr="00661179">
        <w:rPr>
          <w:i/>
        </w:rPr>
        <w:t>Id.</w:t>
      </w:r>
    </w:p>
  </w:footnote>
  <w:footnote w:id="257">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w:t>
      </w:r>
      <w:r w:rsidRPr="00661179">
        <w:rPr>
          <w:color w:val="000000"/>
        </w:rPr>
        <w:t xml:space="preserve">13 CFR § 121.201. </w:t>
      </w:r>
      <w:r w:rsidRPr="00661179">
        <w:t xml:space="preserve">The Wired Telecommunications Carrier category formerly used the NAICS code of 517110. As of 2017 the U.S. Census Bureau definition shows the NAICs code as 517311 for Wired Telecommunications Carriers.  </w:t>
      </w:r>
      <w:r w:rsidRPr="00661179">
        <w:rPr>
          <w:i/>
        </w:rPr>
        <w:t>See</w:t>
      </w:r>
      <w:r w:rsidRPr="00661179">
        <w:t xml:space="preserve">, </w:t>
      </w:r>
      <w:hyperlink r:id="rId20" w:history="1">
        <w:r w:rsidRPr="00661179">
          <w:rPr>
            <w:rStyle w:val="Hyperlink"/>
          </w:rPr>
          <w:t>https://www.census.gov/cgi-bin/sssd/naics/naicsrch?code=517311&amp;search=2017</w:t>
        </w:r>
      </w:hyperlink>
      <w:r w:rsidRPr="00661179">
        <w:rPr>
          <w:rStyle w:val="Hyperlink"/>
        </w:rPr>
        <w:t>.</w:t>
      </w:r>
    </w:p>
  </w:footnote>
  <w:footnote w:id="258">
    <w:p w:rsidR="002E221B" w:rsidRPr="00661179" w:rsidP="00BB6F6B">
      <w:pPr>
        <w:pStyle w:val="FootnoteText"/>
      </w:pPr>
      <w:r w:rsidRPr="00661179">
        <w:rPr>
          <w:rStyle w:val="FootnoteReference"/>
        </w:rPr>
        <w:footnoteRef/>
      </w:r>
      <w:r w:rsidRPr="00661179">
        <w:rPr>
          <w:rStyle w:val="Hyperlink"/>
        </w:rPr>
        <w:t xml:space="preserve"> </w:t>
      </w:r>
      <w:r w:rsidRPr="00661179">
        <w:rPr>
          <w:rStyle w:val="Hyperlink"/>
          <w:i/>
        </w:rPr>
        <w:t>Id</w:t>
      </w:r>
      <w:r w:rsidRPr="00661179">
        <w:rPr>
          <w:rStyle w:val="Hyperlink"/>
        </w:rPr>
        <w:t>.</w:t>
      </w:r>
    </w:p>
  </w:footnote>
  <w:footnote w:id="259">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Size: Employment Size of Firms: 2012</w:t>
      </w:r>
      <w:r w:rsidRPr="00661179">
        <w:t xml:space="preserve"> (517110 Wired Telecommunications Carriers). </w:t>
      </w:r>
      <w:hyperlink r:id="rId21" w:history="1">
        <w:r w:rsidRPr="00661179">
          <w:rPr>
            <w:rStyle w:val="Hyperlink"/>
          </w:rPr>
          <w:t>https://fa</w:t>
        </w:r>
        <w:r w:rsidRPr="00661179">
          <w:rPr>
            <w:rStyle w:val="Hyperlink"/>
          </w:rPr>
          <w:t>ctfinder.census.gov/bkmk/table/1.0/en/ECN/2012_US/51SSSZ5//naics~517110</w:t>
        </w:r>
      </w:hyperlink>
      <w:r w:rsidRPr="00661179">
        <w:rPr>
          <w:rStyle w:val="Hyperlink"/>
        </w:rPr>
        <w:t>.</w:t>
      </w:r>
    </w:p>
  </w:footnote>
  <w:footnote w:id="260">
    <w:p w:rsidR="002E221B" w:rsidRPr="00661179" w:rsidP="00BB6F6B">
      <w:pPr>
        <w:pStyle w:val="FootnoteText"/>
        <w:rPr>
          <w:i/>
        </w:rPr>
      </w:pPr>
      <w:r w:rsidRPr="00661179">
        <w:rPr>
          <w:rStyle w:val="FootnoteReference"/>
        </w:rPr>
        <w:footnoteRef/>
      </w:r>
      <w:r w:rsidRPr="00661179">
        <w:t xml:space="preserve"> </w:t>
      </w:r>
      <w:r w:rsidRPr="00661179">
        <w:rPr>
          <w:i/>
        </w:rPr>
        <w:t xml:space="preserve">Id. </w:t>
      </w:r>
    </w:p>
  </w:footnote>
  <w:footnote w:id="261">
    <w:p w:rsidR="002E221B" w:rsidRPr="00661179" w:rsidP="00BB6F6B">
      <w:pPr>
        <w:pStyle w:val="FootnoteText"/>
      </w:pPr>
      <w:r w:rsidRPr="00661179">
        <w:rPr>
          <w:rStyle w:val="FootnoteReference"/>
        </w:rPr>
        <w:footnoteRef/>
      </w:r>
      <w:r w:rsidRPr="00661179">
        <w:t xml:space="preserve"> </w:t>
      </w:r>
      <w:r w:rsidRPr="00661179">
        <w:rPr>
          <w:i/>
        </w:rPr>
        <w:t>See Trends in Telephone Service</w:t>
      </w:r>
      <w:r w:rsidRPr="00661179">
        <w:t>, Federal Communications Commission, Wireline Competition Bureau, Industry Analysis and Technology Division at Table 5.3 (Sept. 2010) (</w:t>
      </w:r>
      <w:r w:rsidRPr="00661179">
        <w:rPr>
          <w:i/>
        </w:rPr>
        <w:t>Trends i</w:t>
      </w:r>
      <w:r w:rsidRPr="00661179">
        <w:rPr>
          <w:i/>
        </w:rPr>
        <w:t>n Telephone Service</w:t>
      </w:r>
      <w:r w:rsidRPr="00661179">
        <w:t>).</w:t>
      </w:r>
    </w:p>
  </w:footnote>
  <w:footnote w:id="262">
    <w:p w:rsidR="002E221B" w:rsidRPr="00661179" w:rsidP="00BB6F6B">
      <w:pPr>
        <w:pStyle w:val="FootnoteText"/>
      </w:pPr>
      <w:r w:rsidRPr="00661179">
        <w:rPr>
          <w:rStyle w:val="FootnoteReference"/>
        </w:rPr>
        <w:footnoteRef/>
      </w:r>
      <w:r w:rsidRPr="00661179">
        <w:t xml:space="preserve"> </w:t>
      </w:r>
      <w:r w:rsidRPr="00661179">
        <w:rPr>
          <w:i/>
        </w:rPr>
        <w:t>Id</w:t>
      </w:r>
      <w:r w:rsidRPr="00661179">
        <w:t>.</w:t>
      </w:r>
    </w:p>
  </w:footnote>
  <w:footnote w:id="263">
    <w:p w:rsidR="002E221B" w:rsidRPr="00661179" w:rsidP="00BB6F6B">
      <w:pPr>
        <w:pStyle w:val="FootnoteText"/>
      </w:pPr>
      <w:r w:rsidRPr="00661179">
        <w:rPr>
          <w:rStyle w:val="FootnoteReference"/>
        </w:rPr>
        <w:footnoteRef/>
      </w:r>
      <w:r w:rsidRPr="00661179">
        <w:t xml:space="preserve"> </w:t>
      </w:r>
      <w:bookmarkStart w:id="523" w:name="_Hlk516057508"/>
      <w:r w:rsidRPr="00661179">
        <w:rPr>
          <w:i/>
        </w:rPr>
        <w:t>See</w:t>
      </w:r>
      <w:r w:rsidRPr="00661179">
        <w:t xml:space="preserve"> </w:t>
      </w:r>
      <w:r w:rsidRPr="00661179">
        <w:rPr>
          <w:color w:val="000000"/>
        </w:rPr>
        <w:t xml:space="preserve">13 CFR § 121.201. </w:t>
      </w:r>
      <w:r w:rsidRPr="00661179">
        <w:t xml:space="preserve">The Wired Telecommunications Carrier category formerly used the NAICS code of 517110. As of 2017 the U.S. Census Bureau definition shows the NAICs code as 517311 for Wired Telecommunications Carriers.  </w:t>
      </w:r>
      <w:r w:rsidRPr="00661179">
        <w:rPr>
          <w:i/>
        </w:rPr>
        <w:t>Se</w:t>
      </w:r>
      <w:r w:rsidRPr="00661179">
        <w:rPr>
          <w:i/>
        </w:rPr>
        <w:t>e</w:t>
      </w:r>
      <w:r w:rsidRPr="00661179">
        <w:t xml:space="preserve">, </w:t>
      </w:r>
      <w:hyperlink r:id="rId20" w:history="1">
        <w:r w:rsidRPr="00661179">
          <w:rPr>
            <w:rStyle w:val="Hyperlink"/>
          </w:rPr>
          <w:t>https://www.census.gov/cgi-bin/sssd/naics/naicsrch?code=517311&amp;search=2017</w:t>
        </w:r>
      </w:hyperlink>
      <w:r w:rsidRPr="00661179">
        <w:t>.</w:t>
      </w:r>
      <w:bookmarkEnd w:id="523"/>
      <w:r w:rsidRPr="00661179">
        <w:t xml:space="preserve"> </w:t>
      </w:r>
    </w:p>
  </w:footnote>
  <w:footnote w:id="264">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w:t>
      </w:r>
      <w:r w:rsidRPr="00661179">
        <w:t xml:space="preserve">SSSZ5, </w:t>
      </w:r>
      <w:r w:rsidRPr="00661179">
        <w:rPr>
          <w:i/>
          <w:iCs/>
        </w:rPr>
        <w:t>Information: Subject Series - Estab &amp; Firm Size: Employment Size of Firms: 2012</w:t>
      </w:r>
      <w:r w:rsidRPr="00661179">
        <w:t xml:space="preserve"> (517110 Wired Telecommunications Carriers). </w:t>
      </w:r>
      <w:hyperlink r:id="rId21" w:history="1">
        <w:r w:rsidRPr="00661179">
          <w:rPr>
            <w:rStyle w:val="Hyperlink"/>
          </w:rPr>
          <w:t>https://factfinder.census.g</w:t>
        </w:r>
        <w:r w:rsidRPr="00661179">
          <w:rPr>
            <w:rStyle w:val="Hyperlink"/>
          </w:rPr>
          <w:t>ov/bkmk/table/1.0/en/ECN/2012_US/51SSSZ5//naics~517110</w:t>
        </w:r>
      </w:hyperlink>
      <w:r w:rsidRPr="00661179">
        <w:rPr>
          <w:rStyle w:val="Hyperlink"/>
        </w:rPr>
        <w:t>.s</w:t>
      </w:r>
    </w:p>
  </w:footnote>
  <w:footnote w:id="265">
    <w:p w:rsidR="002E221B" w:rsidRPr="00661179" w:rsidP="00BB6F6B">
      <w:pPr>
        <w:pStyle w:val="FootnoteText"/>
        <w:rPr>
          <w:i/>
        </w:rPr>
      </w:pPr>
      <w:r w:rsidRPr="00661179">
        <w:rPr>
          <w:rStyle w:val="FootnoteReference"/>
        </w:rPr>
        <w:footnoteRef/>
      </w:r>
      <w:r w:rsidRPr="00661179">
        <w:t xml:space="preserve"> </w:t>
      </w:r>
      <w:r w:rsidRPr="00661179">
        <w:rPr>
          <w:i/>
        </w:rPr>
        <w:t>Id.</w:t>
      </w:r>
    </w:p>
  </w:footnote>
  <w:footnote w:id="266">
    <w:p w:rsidR="002E221B" w:rsidRPr="00661179" w:rsidP="00BB6F6B">
      <w:pPr>
        <w:pStyle w:val="FootnoteText"/>
      </w:pPr>
      <w:r w:rsidRPr="00661179">
        <w:rPr>
          <w:rStyle w:val="FootnoteReference"/>
        </w:rPr>
        <w:footnoteRef/>
      </w:r>
      <w:r w:rsidRPr="00661179">
        <w:t xml:space="preserve"> </w:t>
      </w:r>
      <w:bookmarkStart w:id="524" w:name="_Hlk516057589"/>
      <w:r w:rsidRPr="00661179">
        <w:rPr>
          <w:i/>
        </w:rPr>
        <w:t xml:space="preserve">See </w:t>
      </w:r>
      <w:r w:rsidRPr="00661179">
        <w:t>Federal Communications Commission, Wireline Competition Bureau, Industry Analysis and Technology Division, Trends in Telephone Service at Table 5.3 (Sept. 2010) (</w:t>
      </w:r>
      <w:r w:rsidRPr="00661179">
        <w:rPr>
          <w:i/>
        </w:rPr>
        <w:t>Trends in Telephone Servi</w:t>
      </w:r>
      <w:r w:rsidRPr="00661179">
        <w:rPr>
          <w:i/>
        </w:rPr>
        <w:t>ce</w:t>
      </w:r>
      <w:r w:rsidRPr="00661179">
        <w:t xml:space="preserve">), </w:t>
      </w:r>
      <w:hyperlink r:id="rId22" w:history="1">
        <w:r w:rsidRPr="00661179">
          <w:rPr>
            <w:rStyle w:val="Hyperlink"/>
          </w:rPr>
          <w:t>https://apps.fcc.gov/edocs_public/attachmatch/DOC-301823A1.pdf</w:t>
        </w:r>
      </w:hyperlink>
      <w:bookmarkEnd w:id="524"/>
      <w:r w:rsidRPr="00661179">
        <w:t>.</w:t>
      </w:r>
    </w:p>
  </w:footnote>
  <w:footnote w:id="267">
    <w:p w:rsidR="002E221B" w:rsidRPr="00661179" w:rsidP="00BB6F6B">
      <w:pPr>
        <w:pStyle w:val="FootnoteText"/>
      </w:pPr>
      <w:r w:rsidRPr="00661179">
        <w:rPr>
          <w:rStyle w:val="FootnoteReference"/>
        </w:rPr>
        <w:footnoteRef/>
      </w:r>
      <w:r w:rsidRPr="00661179">
        <w:t xml:space="preserve"> </w:t>
      </w:r>
      <w:r w:rsidRPr="00661179">
        <w:rPr>
          <w:i/>
        </w:rPr>
        <w:t>Id</w:t>
      </w:r>
      <w:r w:rsidRPr="00661179">
        <w:t>.</w:t>
      </w:r>
    </w:p>
  </w:footnote>
  <w:footnote w:id="268">
    <w:p w:rsidR="002E221B" w:rsidRPr="00661179" w:rsidP="00BB6F6B">
      <w:pPr>
        <w:pStyle w:val="FootnoteText"/>
      </w:pPr>
      <w:r w:rsidRPr="00661179">
        <w:rPr>
          <w:rStyle w:val="FootnoteReference"/>
        </w:rPr>
        <w:footnoteRef/>
      </w:r>
      <w:r w:rsidRPr="00661179">
        <w:t xml:space="preserve"> </w:t>
      </w:r>
      <w:r w:rsidRPr="00661179">
        <w:rPr>
          <w:i/>
        </w:rPr>
        <w:t>Id</w:t>
      </w:r>
      <w:r w:rsidRPr="00661179">
        <w:t>.</w:t>
      </w:r>
    </w:p>
  </w:footnote>
  <w:footnote w:id="269">
    <w:p w:rsidR="002E221B" w:rsidRPr="00661179" w:rsidP="00BB6F6B">
      <w:pPr>
        <w:pStyle w:val="FootnoteText"/>
      </w:pPr>
      <w:r w:rsidRPr="00661179">
        <w:rPr>
          <w:rStyle w:val="FootnoteReference"/>
        </w:rPr>
        <w:footnoteRef/>
      </w:r>
      <w:r w:rsidRPr="00661179">
        <w:t xml:space="preserve"> </w:t>
      </w:r>
      <w:r w:rsidRPr="00661179">
        <w:rPr>
          <w:i/>
        </w:rPr>
        <w:t>Id</w:t>
      </w:r>
      <w:r w:rsidRPr="00661179">
        <w:t>.</w:t>
      </w:r>
    </w:p>
  </w:footnote>
  <w:footnote w:id="270">
    <w:p w:rsidR="002E221B" w:rsidRPr="00661179" w:rsidP="00BB6F6B">
      <w:pPr>
        <w:pStyle w:val="FootnoteText"/>
      </w:pPr>
      <w:r w:rsidRPr="00661179">
        <w:rPr>
          <w:rStyle w:val="FootnoteReference"/>
        </w:rPr>
        <w:footnoteRef/>
      </w:r>
      <w:r w:rsidRPr="00661179">
        <w:t xml:space="preserve"> </w:t>
      </w:r>
      <w:r w:rsidRPr="00661179">
        <w:rPr>
          <w:i/>
        </w:rPr>
        <w:t>Id</w:t>
      </w:r>
      <w:r w:rsidRPr="00661179">
        <w:t>.</w:t>
      </w:r>
    </w:p>
  </w:footnote>
  <w:footnote w:id="271">
    <w:p w:rsidR="002E221B" w:rsidRPr="00661179" w:rsidP="00BB6F6B">
      <w:pPr>
        <w:pStyle w:val="FootnoteText"/>
      </w:pPr>
      <w:r w:rsidRPr="00661179">
        <w:rPr>
          <w:rStyle w:val="FootnoteReference"/>
        </w:rPr>
        <w:footnoteRef/>
      </w:r>
      <w:r w:rsidRPr="00661179">
        <w:rPr>
          <w:i/>
        </w:rPr>
        <w:t xml:space="preserve"> See</w:t>
      </w:r>
      <w:r w:rsidRPr="00661179">
        <w:t xml:space="preserve"> </w:t>
      </w:r>
      <w:r w:rsidRPr="00661179">
        <w:rPr>
          <w:color w:val="000000"/>
        </w:rPr>
        <w:t xml:space="preserve">13 CFR § 121.201. </w:t>
      </w:r>
      <w:r w:rsidRPr="00661179">
        <w:t xml:space="preserve">The Wired Telecommunications Carrier category formerly used the NAICS code of 517110. As of 2017 the U.S. Census Bureau definition shows the NAICs code as 517311 for Wired Telecommunications Carriers.  </w:t>
      </w:r>
      <w:r w:rsidRPr="00661179">
        <w:rPr>
          <w:i/>
        </w:rPr>
        <w:t>See</w:t>
      </w:r>
      <w:r w:rsidRPr="00661179">
        <w:t xml:space="preserve"> U.S. Census Bureau, </w:t>
      </w:r>
      <w:r w:rsidRPr="00661179">
        <w:rPr>
          <w:i/>
        </w:rPr>
        <w:t>2017 NAICS Definition</w:t>
      </w:r>
      <w:r w:rsidRPr="00661179">
        <w:t xml:space="preserve">, </w:t>
      </w:r>
      <w:hyperlink r:id="rId20" w:history="1">
        <w:r w:rsidRPr="00661179">
          <w:rPr>
            <w:rStyle w:val="Hyperlink"/>
          </w:rPr>
          <w:t>https://www.census.gov/cgi-bin/sssd/naics/naicsrch?code=517311&amp;search=2017</w:t>
        </w:r>
      </w:hyperlink>
      <w:r w:rsidRPr="00661179">
        <w:t xml:space="preserve">. </w:t>
      </w:r>
    </w:p>
  </w:footnote>
  <w:footnote w:id="272">
    <w:p w:rsidR="002E221B" w:rsidRPr="00661179" w:rsidP="00BB6F6B">
      <w:pPr>
        <w:pStyle w:val="FootnoteText"/>
      </w:pPr>
      <w:r w:rsidRPr="00661179">
        <w:rPr>
          <w:rStyle w:val="FootnoteReference"/>
        </w:rPr>
        <w:footnoteRef/>
      </w:r>
      <w:r w:rsidRPr="00661179">
        <w:t xml:space="preserve"> </w:t>
      </w:r>
      <w:r w:rsidRPr="00661179">
        <w:rPr>
          <w:i/>
        </w:rPr>
        <w:t>Id</w:t>
      </w:r>
      <w:r w:rsidRPr="00661179">
        <w:t xml:space="preserve">. </w:t>
      </w:r>
    </w:p>
  </w:footnote>
  <w:footnote w:id="273">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w:t>
      </w:r>
      <w:r w:rsidRPr="00661179">
        <w:t xml:space="preserve">Z5, </w:t>
      </w:r>
      <w:r w:rsidRPr="00661179">
        <w:rPr>
          <w:i/>
          <w:iCs/>
        </w:rPr>
        <w:t>Information: Subject Series - Estab &amp; Firm Size: Employment Size of Firms: 2012</w:t>
      </w:r>
      <w:r w:rsidRPr="00661179">
        <w:t xml:space="preserve"> (517110 Wired Telecommunications Carriers). </w:t>
      </w:r>
      <w:hyperlink r:id="rId21" w:history="1">
        <w:r w:rsidRPr="00661179">
          <w:rPr>
            <w:rStyle w:val="Hyperlink"/>
          </w:rPr>
          <w:t>https://factfinder.census.gov/</w:t>
        </w:r>
        <w:r w:rsidRPr="00661179">
          <w:rPr>
            <w:rStyle w:val="Hyperlink"/>
          </w:rPr>
          <w:t>bkmk/table/1.0/en/ECN/2012_US/51SSSZ5//naics~517110</w:t>
        </w:r>
      </w:hyperlink>
      <w:r w:rsidRPr="00661179">
        <w:rPr>
          <w:rStyle w:val="Hyperlink"/>
        </w:rPr>
        <w:t>.</w:t>
      </w:r>
    </w:p>
  </w:footnote>
  <w:footnote w:id="274">
    <w:p w:rsidR="002E221B" w:rsidRPr="00661179" w:rsidP="00BB6F6B">
      <w:pPr>
        <w:pStyle w:val="FootnoteText"/>
      </w:pPr>
      <w:r w:rsidRPr="00661179">
        <w:rPr>
          <w:rStyle w:val="FootnoteReference"/>
        </w:rPr>
        <w:footnoteRef/>
      </w:r>
      <w:r w:rsidRPr="00661179">
        <w:t xml:space="preserve"> </w:t>
      </w:r>
      <w:r w:rsidRPr="00661179">
        <w:rPr>
          <w:i/>
        </w:rPr>
        <w:t>Id</w:t>
      </w:r>
      <w:r w:rsidRPr="00661179">
        <w:t>.</w:t>
      </w:r>
    </w:p>
  </w:footnote>
  <w:footnote w:id="275">
    <w:p w:rsidR="002E221B" w:rsidRPr="00661179" w:rsidP="00BB6F6B">
      <w:pPr>
        <w:pStyle w:val="FootnoteText"/>
      </w:pPr>
      <w:r w:rsidRPr="00661179">
        <w:rPr>
          <w:rStyle w:val="FootnoteReference"/>
        </w:rPr>
        <w:footnoteRef/>
      </w:r>
      <w:r w:rsidRPr="00661179">
        <w:t xml:space="preserve"> </w:t>
      </w:r>
      <w:r w:rsidRPr="00661179">
        <w:rPr>
          <w:i/>
        </w:rPr>
        <w:t>See Trends in Telephone Service</w:t>
      </w:r>
      <w:r w:rsidRPr="00661179">
        <w:t>, Federal Communications Commission, Wireline Competition Bureau, Industry Analysis and Technology Division at Table 5.3 (Sept. 2010) (</w:t>
      </w:r>
      <w:r w:rsidRPr="00661179">
        <w:rPr>
          <w:i/>
        </w:rPr>
        <w:t>Trends in Telephone Service</w:t>
      </w:r>
      <w:r w:rsidRPr="00661179">
        <w:t>).</w:t>
      </w:r>
      <w:r w:rsidRPr="00661179">
        <w:t xml:space="preserve">  </w:t>
      </w:r>
      <w:hyperlink r:id="rId22" w:history="1">
        <w:r w:rsidRPr="00661179">
          <w:rPr>
            <w:rStyle w:val="Hyperlink"/>
          </w:rPr>
          <w:t>https://apps.fcc.gov/edocs_public/attachmatch/DOC-301823A1.pdf</w:t>
        </w:r>
      </w:hyperlink>
      <w:r w:rsidRPr="00661179">
        <w:t>.</w:t>
      </w:r>
    </w:p>
  </w:footnote>
  <w:footnote w:id="276">
    <w:p w:rsidR="002E221B" w:rsidRPr="00661179" w:rsidP="00BB6F6B">
      <w:pPr>
        <w:pStyle w:val="FootnoteText"/>
      </w:pPr>
      <w:r w:rsidRPr="00661179">
        <w:rPr>
          <w:rStyle w:val="FootnoteReference"/>
        </w:rPr>
        <w:footnoteRef/>
      </w:r>
      <w:r w:rsidRPr="00661179">
        <w:t xml:space="preserve"> </w:t>
      </w:r>
      <w:r w:rsidRPr="00661179">
        <w:rPr>
          <w:i/>
        </w:rPr>
        <w:t>Id</w:t>
      </w:r>
      <w:r w:rsidRPr="00661179">
        <w:t>.</w:t>
      </w:r>
    </w:p>
  </w:footnote>
  <w:footnote w:id="277">
    <w:p w:rsidR="002E221B" w:rsidRPr="00661179" w:rsidP="00BB6F6B">
      <w:pPr>
        <w:pStyle w:val="FootnoteText"/>
      </w:pPr>
      <w:r w:rsidRPr="00661179">
        <w:rPr>
          <w:rStyle w:val="FootnoteReference"/>
        </w:rPr>
        <w:footnoteRef/>
      </w:r>
      <w:r w:rsidRPr="00661179">
        <w:t xml:space="preserve"> U.S. Census Bureau, </w:t>
      </w:r>
      <w:r w:rsidRPr="00661179">
        <w:rPr>
          <w:i/>
        </w:rPr>
        <w:t>2017 NAICS Definition</w:t>
      </w:r>
      <w:r w:rsidRPr="00661179">
        <w:t xml:space="preserve">, NAICS Code 517911” Telecommunications Resellers”, </w:t>
      </w:r>
      <w:hyperlink r:id="rId23" w:history="1">
        <w:r w:rsidRPr="00661179">
          <w:rPr>
            <w:rStyle w:val="Hyperlink"/>
          </w:rPr>
          <w:t>https://www.census.gov/cgi-bin/sssd/naics/naicsrch?code=517911&amp;search=2017%20NAICS%20Search</w:t>
        </w:r>
      </w:hyperlink>
      <w:r w:rsidRPr="00661179">
        <w:t>.</w:t>
      </w:r>
    </w:p>
  </w:footnote>
  <w:footnote w:id="278">
    <w:p w:rsidR="002E221B" w:rsidRPr="00661179" w:rsidP="00BB6F6B">
      <w:pPr>
        <w:pStyle w:val="FootnoteText"/>
      </w:pPr>
      <w:r w:rsidRPr="00661179">
        <w:rPr>
          <w:rStyle w:val="FootnoteReference"/>
        </w:rPr>
        <w:footnoteRef/>
      </w:r>
      <w:r w:rsidRPr="00661179">
        <w:t xml:space="preserve"> 1</w:t>
      </w:r>
      <w:r w:rsidRPr="00661179">
        <w:t>3 CFR § 121.201 (NAICS code 517911).</w:t>
      </w:r>
    </w:p>
  </w:footnote>
  <w:footnote w:id="279">
    <w:p w:rsidR="002E221B" w:rsidRPr="00661179" w:rsidP="00BB6F6B">
      <w:pPr>
        <w:pStyle w:val="FootnoteText"/>
      </w:pPr>
      <w:r w:rsidRPr="00661179">
        <w:rPr>
          <w:rStyle w:val="FootnoteReference"/>
        </w:rPr>
        <w:footnoteRef/>
      </w:r>
      <w:r w:rsidRPr="00661179">
        <w:t xml:space="preserve"> </w:t>
      </w:r>
      <w:r w:rsidRPr="00661179">
        <w:rPr>
          <w:i/>
        </w:rPr>
        <w:t>Id</w:t>
      </w:r>
      <w:r w:rsidRPr="00661179">
        <w:t>.</w:t>
      </w:r>
    </w:p>
  </w:footnote>
  <w:footnote w:id="280">
    <w:p w:rsidR="002E221B" w:rsidRPr="00661179" w:rsidP="00BB6F6B">
      <w:pPr>
        <w:pStyle w:val="FootnoteText"/>
      </w:pPr>
      <w:r w:rsidRPr="00661179">
        <w:rPr>
          <w:rStyle w:val="FootnoteReference"/>
        </w:rPr>
        <w:footnoteRef/>
      </w:r>
      <w:r w:rsidRPr="00661179">
        <w:t xml:space="preserve"> </w:t>
      </w:r>
      <w:bookmarkStart w:id="528" w:name="_Hlk22861329"/>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Size: Employment Size of Firms: 2012</w:t>
      </w:r>
      <w:r w:rsidRPr="00661179">
        <w:t xml:space="preserve"> NAICS Code 517911, </w:t>
      </w:r>
      <w:hyperlink r:id="rId24" w:history="1">
        <w:r w:rsidRPr="00661179">
          <w:rPr>
            <w:rStyle w:val="Hyperlink"/>
          </w:rPr>
          <w:t>https://factfinder.census.gov/bkmk/table/1.0/en/ECN/2012_US/51SSSZ5//naics~517911</w:t>
        </w:r>
      </w:hyperlink>
      <w:r w:rsidRPr="00661179">
        <w:t xml:space="preserve">. </w:t>
      </w:r>
      <w:bookmarkEnd w:id="528"/>
    </w:p>
  </w:footnote>
  <w:footnote w:id="281">
    <w:p w:rsidR="002E221B" w:rsidRPr="00661179" w:rsidP="00BB6F6B">
      <w:pPr>
        <w:pStyle w:val="FootnoteText"/>
        <w:rPr>
          <w:i/>
        </w:rPr>
      </w:pPr>
      <w:r w:rsidRPr="00661179">
        <w:rPr>
          <w:rStyle w:val="FootnoteReference"/>
        </w:rPr>
        <w:footnoteRef/>
      </w:r>
      <w:r w:rsidRPr="00661179">
        <w:t xml:space="preserve"> </w:t>
      </w:r>
      <w:r w:rsidRPr="00661179">
        <w:rPr>
          <w:i/>
        </w:rPr>
        <w:t xml:space="preserve">Id.  </w:t>
      </w:r>
      <w:bookmarkStart w:id="529" w:name="_Hlk22861398"/>
      <w:r w:rsidRPr="00661179">
        <w:t xml:space="preserve">Available census data does not provide a more precise estimate of the number of </w:t>
      </w:r>
      <w:r w:rsidRPr="00661179">
        <w:t>firms that have employment of 1,500 or fewer employees; the largest category provided is for firms with “1000 employees or more.”</w:t>
      </w:r>
      <w:bookmarkEnd w:id="529"/>
    </w:p>
  </w:footnote>
  <w:footnote w:id="282">
    <w:p w:rsidR="002E221B" w:rsidRPr="00661179" w:rsidP="00BB6F6B">
      <w:pPr>
        <w:pStyle w:val="FootnoteText"/>
      </w:pPr>
      <w:r w:rsidRPr="00661179">
        <w:rPr>
          <w:rStyle w:val="FootnoteReference"/>
        </w:rPr>
        <w:footnoteRef/>
      </w:r>
      <w:r w:rsidRPr="00661179">
        <w:t xml:space="preserve"> </w:t>
      </w:r>
      <w:r w:rsidRPr="00661179">
        <w:rPr>
          <w:i/>
        </w:rPr>
        <w:t>See Trends in Telephone Service,</w:t>
      </w:r>
      <w:r w:rsidRPr="00661179">
        <w:t xml:space="preserve"> at tbl. 5.3.</w:t>
      </w:r>
    </w:p>
  </w:footnote>
  <w:footnote w:id="283">
    <w:p w:rsidR="002E221B" w:rsidRPr="00661179" w:rsidP="00BB6F6B">
      <w:pPr>
        <w:pStyle w:val="FootnoteText"/>
      </w:pPr>
      <w:r w:rsidRPr="00661179">
        <w:rPr>
          <w:rStyle w:val="FootnoteReference"/>
        </w:rPr>
        <w:footnoteRef/>
      </w:r>
      <w:r w:rsidRPr="00661179">
        <w:t xml:space="preserve"> </w:t>
      </w:r>
      <w:r w:rsidRPr="00661179">
        <w:rPr>
          <w:i/>
        </w:rPr>
        <w:t>Id.</w:t>
      </w:r>
    </w:p>
  </w:footnote>
  <w:footnote w:id="284">
    <w:p w:rsidR="002E221B" w:rsidRPr="00661179" w:rsidP="00BB6F6B">
      <w:pPr>
        <w:pStyle w:val="FootnoteText"/>
      </w:pPr>
      <w:r w:rsidRPr="00661179">
        <w:rPr>
          <w:rStyle w:val="FootnoteReference"/>
        </w:rPr>
        <w:footnoteRef/>
      </w:r>
      <w:r w:rsidRPr="00661179">
        <w:t xml:space="preserve"> U.S. Census Bureau, 2017 NAICS Definition, 517911 Telecommunications R</w:t>
      </w:r>
      <w:r w:rsidRPr="00661179">
        <w:t xml:space="preserve">esellers, </w:t>
      </w:r>
      <w:hyperlink r:id="rId23" w:history="1">
        <w:r w:rsidRPr="00661179">
          <w:rPr>
            <w:rStyle w:val="Hyperlink"/>
          </w:rPr>
          <w:t>https://www.census.gov/cgi-bin/sssd/naics/naicsrch?code=517911&amp;search=2017%20NAICS%20Search</w:t>
        </w:r>
      </w:hyperlink>
      <w:r w:rsidRPr="00661179">
        <w:t xml:space="preserve">.  </w:t>
      </w:r>
    </w:p>
  </w:footnote>
  <w:footnote w:id="285">
    <w:p w:rsidR="002E221B" w:rsidRPr="00661179" w:rsidP="00BB6F6B">
      <w:pPr>
        <w:pStyle w:val="FootnoteText"/>
      </w:pPr>
      <w:r w:rsidRPr="00661179">
        <w:rPr>
          <w:rStyle w:val="FootnoteReference"/>
        </w:rPr>
        <w:footnoteRef/>
      </w:r>
      <w:r w:rsidRPr="00661179">
        <w:t xml:space="preserve"> 13 CFR § 121.201, NAICS code 517911.</w:t>
      </w:r>
    </w:p>
  </w:footnote>
  <w:footnote w:id="286">
    <w:p w:rsidR="002E221B" w:rsidRPr="00661179" w:rsidP="00BB6F6B">
      <w:pPr>
        <w:pStyle w:val="FootnoteText"/>
      </w:pPr>
      <w:r w:rsidRPr="00661179">
        <w:rPr>
          <w:rStyle w:val="FootnoteReference"/>
        </w:rPr>
        <w:footnoteRef/>
      </w:r>
      <w:r w:rsidRPr="00661179">
        <w:t xml:space="preserve"> </w:t>
      </w:r>
      <w:r w:rsidRPr="00661179">
        <w:rPr>
          <w:i/>
        </w:rPr>
        <w:t>Se</w:t>
      </w:r>
      <w:r w:rsidRPr="00661179">
        <w:rPr>
          <w:i/>
        </w:rPr>
        <w:t>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Size: Employment Size of Firms: 2012</w:t>
      </w:r>
      <w:r w:rsidRPr="00661179">
        <w:t xml:space="preserve"> NAICS Code 517911, </w:t>
      </w:r>
      <w:hyperlink r:id="rId24" w:history="1">
        <w:r w:rsidRPr="00661179">
          <w:rPr>
            <w:rStyle w:val="Hyperlink"/>
          </w:rPr>
          <w:t>https://factfinder.census.gov/bkmk/table/1.0/en/ECN/2012_US/51SSSZ5//naics~517911</w:t>
        </w:r>
      </w:hyperlink>
      <w:r w:rsidRPr="00661179">
        <w:t>.</w:t>
      </w:r>
    </w:p>
  </w:footnote>
  <w:footnote w:id="287">
    <w:p w:rsidR="002E221B" w:rsidRPr="00661179" w:rsidP="00BB6F6B">
      <w:pPr>
        <w:pStyle w:val="FootnoteText"/>
      </w:pPr>
      <w:r w:rsidRPr="00661179">
        <w:rPr>
          <w:rStyle w:val="FootnoteReference"/>
        </w:rPr>
        <w:footnoteRef/>
      </w:r>
      <w:r w:rsidRPr="00661179">
        <w:t xml:space="preserve"> </w:t>
      </w:r>
      <w:r w:rsidRPr="00661179">
        <w:rPr>
          <w:i/>
        </w:rPr>
        <w:t>Id</w:t>
      </w:r>
      <w:r w:rsidRPr="00661179">
        <w:t>.  Available census data does not provide a more precise estimate of the number of firms that have employment of 1,500 or fewer employees; t</w:t>
      </w:r>
      <w:r w:rsidRPr="00661179">
        <w:t>he largest category provided is for firms with “1000 employees or more.”</w:t>
      </w:r>
    </w:p>
  </w:footnote>
  <w:footnote w:id="288">
    <w:p w:rsidR="002E221B" w:rsidRPr="00661179" w:rsidP="00BB6F6B">
      <w:pPr>
        <w:pStyle w:val="FootnoteText"/>
        <w:rPr>
          <w:color w:val="000000"/>
        </w:rPr>
      </w:pPr>
      <w:r w:rsidRPr="00661179">
        <w:rPr>
          <w:rStyle w:val="FootnoteReference"/>
          <w:color w:val="000000"/>
        </w:rPr>
        <w:footnoteRef/>
      </w:r>
      <w:r w:rsidRPr="00661179">
        <w:rPr>
          <w:i/>
        </w:rPr>
        <w:t xml:space="preserve"> See Trends in Telephone Service</w:t>
      </w:r>
      <w:r w:rsidRPr="00661179">
        <w:t>, Federal Communications Commission, Wireline Competition Bureau, Industry Analysis and Technology Division at Table 5.3 (Sept. 2010) (</w:t>
      </w:r>
      <w:r w:rsidRPr="00661179">
        <w:rPr>
          <w:i/>
        </w:rPr>
        <w:t xml:space="preserve">Trends in </w:t>
      </w:r>
      <w:r w:rsidRPr="00661179">
        <w:rPr>
          <w:i/>
        </w:rPr>
        <w:t>Telephone Service</w:t>
      </w:r>
      <w:r w:rsidRPr="00661179">
        <w:t>)</w:t>
      </w:r>
      <w:r w:rsidRPr="00661179">
        <w:rPr>
          <w:color w:val="000000"/>
        </w:rPr>
        <w:t xml:space="preserve">.  </w:t>
      </w:r>
    </w:p>
  </w:footnote>
  <w:footnote w:id="289">
    <w:p w:rsidR="002E221B" w:rsidRPr="00661179" w:rsidP="00BB6F6B">
      <w:pPr>
        <w:pStyle w:val="FootnoteText"/>
      </w:pPr>
      <w:r w:rsidRPr="00661179">
        <w:rPr>
          <w:rStyle w:val="FootnoteReference"/>
        </w:rPr>
        <w:footnoteRef/>
      </w:r>
      <w:r w:rsidRPr="00661179">
        <w:t xml:space="preserve"> </w:t>
      </w:r>
      <w:r w:rsidRPr="00661179">
        <w:rPr>
          <w:i/>
        </w:rPr>
        <w:t>See id</w:t>
      </w:r>
      <w:r w:rsidRPr="00661179">
        <w:t>.</w:t>
      </w:r>
    </w:p>
  </w:footnote>
  <w:footnote w:id="290">
    <w:p w:rsidR="002E221B" w:rsidRPr="00661179" w:rsidP="00BB6F6B">
      <w:pPr>
        <w:pStyle w:val="FootnoteText"/>
      </w:pPr>
      <w:r w:rsidRPr="00661179">
        <w:rPr>
          <w:rStyle w:val="FootnoteReference"/>
        </w:rPr>
        <w:footnoteRef/>
      </w:r>
      <w:r w:rsidRPr="00661179">
        <w:t xml:space="preserve"> U.S. Census Bureau, 2017 NAICS Definition, 517911 Telecommunications Resellers, </w:t>
      </w:r>
      <w:hyperlink r:id="rId23" w:history="1">
        <w:r w:rsidRPr="00661179">
          <w:rPr>
            <w:rStyle w:val="Hyperlink"/>
          </w:rPr>
          <w:t>https://www.census.gov/cgi-bin/sss</w:t>
        </w:r>
        <w:r w:rsidRPr="00661179">
          <w:rPr>
            <w:rStyle w:val="Hyperlink"/>
          </w:rPr>
          <w:t>d/naics/naicsrch?code=517911&amp;search=2017%20NAICS%20Search</w:t>
        </w:r>
      </w:hyperlink>
      <w:r w:rsidRPr="00661179">
        <w:t xml:space="preserve">.  </w:t>
      </w:r>
    </w:p>
  </w:footnote>
  <w:footnote w:id="291">
    <w:p w:rsidR="002E221B" w:rsidRPr="00661179" w:rsidP="00BB6F6B">
      <w:pPr>
        <w:pStyle w:val="FootnoteText"/>
      </w:pPr>
      <w:r w:rsidRPr="00661179">
        <w:rPr>
          <w:rStyle w:val="FootnoteReference"/>
        </w:rPr>
        <w:footnoteRef/>
      </w:r>
      <w:r w:rsidRPr="00661179">
        <w:t xml:space="preserve"> </w:t>
      </w:r>
      <w:r w:rsidRPr="00661179">
        <w:rPr>
          <w:color w:val="000000"/>
        </w:rPr>
        <w:t>13 CFR § 121.201, NAICS code 517911.</w:t>
      </w:r>
    </w:p>
  </w:footnote>
  <w:footnote w:id="292">
    <w:p w:rsidR="002E221B" w:rsidRPr="00661179" w:rsidP="00BB6F6B">
      <w:pPr>
        <w:pStyle w:val="FootnoteText"/>
        <w:rPr>
          <w:color w:val="0000FF"/>
          <w:u w:val="single"/>
        </w:rPr>
      </w:pPr>
      <w:r w:rsidRPr="00661179">
        <w:rPr>
          <w:rStyle w:val="FootnoteReference"/>
        </w:rPr>
        <w:footnoteRef/>
      </w:r>
      <w:r w:rsidRPr="00661179">
        <w:t xml:space="preserve"> </w:t>
      </w:r>
      <w:r w:rsidRPr="00661179">
        <w:rPr>
          <w:i/>
        </w:rPr>
        <w:t>Id.</w:t>
      </w:r>
    </w:p>
  </w:footnote>
  <w:footnote w:id="293">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Size: Employmen</w:t>
      </w:r>
      <w:r w:rsidRPr="00661179">
        <w:rPr>
          <w:i/>
          <w:iCs/>
        </w:rPr>
        <w:t>t Size of Firms: 2012</w:t>
      </w:r>
      <w:r w:rsidRPr="00661179">
        <w:t xml:space="preserve"> NAICS Code 517911, </w:t>
      </w:r>
      <w:hyperlink r:id="rId24" w:history="1">
        <w:r w:rsidRPr="00661179">
          <w:rPr>
            <w:rStyle w:val="Hyperlink"/>
          </w:rPr>
          <w:t>https://factfinder.census.gov/bkmk/table/1.0/en/ECN/2012_US/51SSSZ5//naics~517911</w:t>
        </w:r>
      </w:hyperlink>
      <w:r w:rsidRPr="00661179">
        <w:t>.</w:t>
      </w:r>
    </w:p>
  </w:footnote>
  <w:footnote w:id="294">
    <w:p w:rsidR="002E221B" w:rsidRPr="00661179" w:rsidP="00BB6F6B">
      <w:pPr>
        <w:pStyle w:val="FootnoteText"/>
      </w:pPr>
      <w:r w:rsidRPr="00661179">
        <w:rPr>
          <w:rStyle w:val="FootnoteReference"/>
        </w:rPr>
        <w:footnoteRef/>
      </w:r>
      <w:r w:rsidRPr="00661179">
        <w:t xml:space="preserve"> </w:t>
      </w:r>
      <w:r w:rsidRPr="00661179">
        <w:rPr>
          <w:i/>
        </w:rPr>
        <w:t xml:space="preserve">Id.  </w:t>
      </w:r>
      <w:r w:rsidRPr="00661179">
        <w:t xml:space="preserve">Available census data does </w:t>
      </w:r>
      <w:r w:rsidRPr="00661179">
        <w:t>not provide a more precise estimate of the number of firms that have employment of 1,500 or fewer employees; the largest category provided is for firms with “1000 employees or more.”</w:t>
      </w:r>
    </w:p>
  </w:footnote>
  <w:footnote w:id="295">
    <w:p w:rsidR="002E221B" w:rsidRPr="00661179" w:rsidP="00BB6F6B">
      <w:pPr>
        <w:pStyle w:val="FootnoteText"/>
      </w:pPr>
      <w:r w:rsidRPr="00661179">
        <w:rPr>
          <w:rStyle w:val="FootnoteReference"/>
        </w:rPr>
        <w:footnoteRef/>
      </w:r>
      <w:r w:rsidRPr="00661179">
        <w:rPr>
          <w:i/>
        </w:rPr>
        <w:t xml:space="preserve"> See Trends in Telephone Service</w:t>
      </w:r>
      <w:r w:rsidRPr="00661179">
        <w:t>, Federal Communications Commission, Wir</w:t>
      </w:r>
      <w:r w:rsidRPr="00661179">
        <w:t>eline Competition Bureau, Industry Analysis and Technology Division at Table 5.3 (Sept. 2010) (</w:t>
      </w:r>
      <w:r w:rsidRPr="00661179">
        <w:rPr>
          <w:i/>
        </w:rPr>
        <w:t>Trends in Telephone Service</w:t>
      </w:r>
      <w:r w:rsidRPr="00661179">
        <w:t>)</w:t>
      </w:r>
      <w:r w:rsidRPr="00661179">
        <w:rPr>
          <w:color w:val="000000"/>
        </w:rPr>
        <w:t>.</w:t>
      </w:r>
    </w:p>
  </w:footnote>
  <w:footnote w:id="296">
    <w:p w:rsidR="002E221B" w:rsidRPr="00661179" w:rsidP="00BB6F6B">
      <w:pPr>
        <w:pStyle w:val="FootnoteText"/>
      </w:pPr>
      <w:r w:rsidRPr="00661179">
        <w:rPr>
          <w:rStyle w:val="FootnoteReference"/>
        </w:rPr>
        <w:footnoteRef/>
      </w:r>
      <w:r w:rsidRPr="00661179">
        <w:t xml:space="preserve"> </w:t>
      </w:r>
      <w:r w:rsidRPr="00661179">
        <w:rPr>
          <w:i/>
        </w:rPr>
        <w:t>See id.</w:t>
      </w:r>
    </w:p>
  </w:footnote>
  <w:footnote w:id="297">
    <w:p w:rsidR="002E221B" w:rsidRPr="00661179" w:rsidP="00BB6F6B">
      <w:pPr>
        <w:pStyle w:val="FootnoteText"/>
      </w:pPr>
      <w:r w:rsidRPr="00661179">
        <w:rPr>
          <w:rStyle w:val="FootnoteReference"/>
        </w:rPr>
        <w:footnoteRef/>
      </w:r>
      <w:r w:rsidRPr="00661179">
        <w:t xml:space="preserve"> U.S. Census Bureau, 2017 NAICS Definition, 517911 Telecommunications Resellers, </w:t>
      </w:r>
      <w:hyperlink r:id="rId23" w:history="1">
        <w:r w:rsidRPr="00661179">
          <w:rPr>
            <w:rStyle w:val="Hyperlink"/>
          </w:rPr>
          <w:t>https://www.census.gov/cgi-bin/sssd/naics/naicsrch?code=517911&amp;search=2017%20NAICS%20Search</w:t>
        </w:r>
      </w:hyperlink>
      <w:r w:rsidRPr="00661179">
        <w:t xml:space="preserve">.  </w:t>
      </w:r>
    </w:p>
  </w:footnote>
  <w:footnote w:id="298">
    <w:p w:rsidR="002E221B" w:rsidRPr="00661179" w:rsidP="00BB6F6B">
      <w:pPr>
        <w:pStyle w:val="FootnoteText"/>
      </w:pPr>
      <w:r w:rsidRPr="00661179">
        <w:rPr>
          <w:rStyle w:val="FootnoteReference"/>
        </w:rPr>
        <w:footnoteRef/>
      </w:r>
      <w:r w:rsidRPr="00661179">
        <w:t xml:space="preserve"> </w:t>
      </w:r>
      <w:r w:rsidRPr="00661179">
        <w:rPr>
          <w:color w:val="000000"/>
        </w:rPr>
        <w:t>13 CFR § 121.201, NAICS code 517911.</w:t>
      </w:r>
    </w:p>
  </w:footnote>
  <w:footnote w:id="299">
    <w:p w:rsidR="002E221B" w:rsidRPr="00661179" w:rsidP="00BB6F6B">
      <w:pPr>
        <w:pStyle w:val="FootnoteText"/>
        <w:rPr>
          <w:color w:val="0000FF"/>
          <w:u w:val="single"/>
        </w:rPr>
      </w:pPr>
      <w:r w:rsidRPr="00661179">
        <w:rPr>
          <w:rStyle w:val="FootnoteReference"/>
        </w:rPr>
        <w:footnoteRef/>
      </w:r>
      <w:r w:rsidRPr="00661179">
        <w:t xml:space="preserve"> </w:t>
      </w:r>
      <w:r w:rsidRPr="00661179">
        <w:rPr>
          <w:i/>
        </w:rPr>
        <w:t>Id.</w:t>
      </w:r>
    </w:p>
  </w:footnote>
  <w:footnote w:id="300">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Size: Employment Size of Firms: 2012</w:t>
      </w:r>
      <w:r w:rsidRPr="00661179">
        <w:t xml:space="preserve"> NAICS Code 517911, </w:t>
      </w:r>
      <w:hyperlink r:id="rId24" w:history="1">
        <w:r w:rsidRPr="00661179">
          <w:rPr>
            <w:rStyle w:val="Hyperlink"/>
          </w:rPr>
          <w:t>https://factfinder.census.gov/bkmk/table/1.0/en/ECN/2012_US/51SSSZ5//naics~517911</w:t>
        </w:r>
      </w:hyperlink>
      <w:r w:rsidRPr="00661179">
        <w:t>.</w:t>
      </w:r>
    </w:p>
  </w:footnote>
  <w:footnote w:id="301">
    <w:p w:rsidR="002E221B" w:rsidRPr="00661179" w:rsidP="00BB6F6B">
      <w:pPr>
        <w:pStyle w:val="FootnoteText"/>
      </w:pPr>
      <w:r w:rsidRPr="00661179">
        <w:rPr>
          <w:rStyle w:val="FootnoteReference"/>
        </w:rPr>
        <w:footnoteRef/>
      </w:r>
      <w:r w:rsidRPr="00661179">
        <w:t xml:space="preserve"> </w:t>
      </w:r>
      <w:r w:rsidRPr="00661179">
        <w:rPr>
          <w:i/>
        </w:rPr>
        <w:t xml:space="preserve">Id.  </w:t>
      </w:r>
      <w:r w:rsidRPr="00661179">
        <w:t>Available census data does not provide a more precise estimate of the number of firms that have employment of 1,500 or fewer employees; the largest category provid</w:t>
      </w:r>
      <w:r w:rsidRPr="00661179">
        <w:t>ed is for firms with “1000 employees or more.”</w:t>
      </w:r>
    </w:p>
  </w:footnote>
  <w:footnote w:id="302">
    <w:p w:rsidR="002E221B" w:rsidRPr="00661179" w:rsidP="00BB6F6B">
      <w:pPr>
        <w:pStyle w:val="FootnoteText"/>
      </w:pPr>
      <w:r w:rsidRPr="00661179">
        <w:rPr>
          <w:rStyle w:val="FootnoteReference"/>
        </w:rPr>
        <w:footnoteRef/>
      </w:r>
      <w:r w:rsidRPr="00661179">
        <w:rPr>
          <w:i/>
        </w:rPr>
        <w:t xml:space="preserve"> See Trends in Telephone Service</w:t>
      </w:r>
      <w:r w:rsidRPr="00661179">
        <w:t>, Federal Communications Commission, Wireline Competition Bureau, Industry Analysis and Technology Division at Table 5.3 (Sept. 2010) (</w:t>
      </w:r>
      <w:r w:rsidRPr="00661179">
        <w:rPr>
          <w:i/>
        </w:rPr>
        <w:t>Trends in Telephone Service</w:t>
      </w:r>
      <w:r w:rsidRPr="00661179">
        <w:t>)</w:t>
      </w:r>
      <w:r w:rsidRPr="00661179">
        <w:rPr>
          <w:color w:val="000000"/>
        </w:rPr>
        <w:t>.</w:t>
      </w:r>
    </w:p>
  </w:footnote>
  <w:footnote w:id="303">
    <w:p w:rsidR="002E221B" w:rsidRPr="00661179" w:rsidP="00BB6F6B">
      <w:pPr>
        <w:pStyle w:val="FootnoteText"/>
      </w:pPr>
      <w:r w:rsidRPr="00661179">
        <w:rPr>
          <w:rStyle w:val="FootnoteReference"/>
        </w:rPr>
        <w:footnoteRef/>
      </w:r>
      <w:r w:rsidRPr="00661179">
        <w:t xml:space="preserve"> </w:t>
      </w:r>
      <w:r w:rsidRPr="00661179">
        <w:rPr>
          <w:i/>
        </w:rPr>
        <w:t>See id.</w:t>
      </w:r>
    </w:p>
  </w:footnote>
  <w:footnote w:id="304">
    <w:p w:rsidR="002E221B" w:rsidRPr="00661179" w:rsidP="00BB6F6B">
      <w:pPr>
        <w:pStyle w:val="FootnoteText"/>
      </w:pPr>
      <w:r w:rsidRPr="00661179">
        <w:rPr>
          <w:rStyle w:val="FootnoteReference"/>
        </w:rPr>
        <w:footnoteRef/>
      </w:r>
      <w:r w:rsidRPr="00661179">
        <w:rPr>
          <w:i/>
          <w:snapToGrid w:val="0"/>
        </w:rPr>
        <w:t xml:space="preserve"> See</w:t>
      </w:r>
      <w:r w:rsidRPr="00661179">
        <w:rPr>
          <w:snapToGrid w:val="0"/>
        </w:rPr>
        <w:t xml:space="preserve"> 13 CFR </w:t>
      </w:r>
      <w:r w:rsidRPr="00661179">
        <w:rPr>
          <w:rStyle w:val="Footnote"/>
          <w:snapToGrid w:val="0"/>
        </w:rPr>
        <w:t>§</w:t>
      </w:r>
      <w:r w:rsidRPr="00661179">
        <w:rPr>
          <w:snapToGrid w:val="0"/>
        </w:rPr>
        <w:t xml:space="preserve"> 120.201, NAICS Code 517311 (previously 517110)</w:t>
      </w:r>
      <w:r w:rsidRPr="00661179">
        <w:t>.</w:t>
      </w:r>
    </w:p>
  </w:footnote>
  <w:footnote w:id="305">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Size: Employment Size of Firms: 2012</w:t>
      </w:r>
      <w:r w:rsidRPr="00661179">
        <w:t xml:space="preserve"> (517110 Wired Telecomm</w:t>
      </w:r>
      <w:r w:rsidRPr="00661179">
        <w:t xml:space="preserve">unications Carriers). </w:t>
      </w:r>
      <w:hyperlink r:id="rId21" w:history="1">
        <w:r w:rsidRPr="00661179">
          <w:rPr>
            <w:rStyle w:val="Hyperlink"/>
          </w:rPr>
          <w:t>https://factfinder.census.gov/bkmk/table/1.0/en/ECN/2012_US/51SSSZ5//naics~517110</w:t>
        </w:r>
      </w:hyperlink>
      <w:r w:rsidRPr="00661179">
        <w:t>.</w:t>
      </w:r>
    </w:p>
  </w:footnote>
  <w:footnote w:id="306">
    <w:p w:rsidR="002E221B" w:rsidRPr="00661179" w:rsidP="00BB6F6B">
      <w:pPr>
        <w:pStyle w:val="FootnoteText"/>
      </w:pPr>
      <w:r w:rsidRPr="00661179">
        <w:rPr>
          <w:rStyle w:val="FootnoteReference"/>
        </w:rPr>
        <w:footnoteRef/>
      </w:r>
      <w:r w:rsidRPr="00661179">
        <w:t xml:space="preserve"> </w:t>
      </w:r>
      <w:r w:rsidRPr="00661179">
        <w:rPr>
          <w:i/>
        </w:rPr>
        <w:t>Id.</w:t>
      </w:r>
    </w:p>
  </w:footnote>
  <w:footnote w:id="307">
    <w:p w:rsidR="002E221B" w:rsidRPr="00661179" w:rsidP="00BB6F6B">
      <w:pPr>
        <w:pStyle w:val="FootnoteText"/>
      </w:pPr>
      <w:r w:rsidRPr="00661179">
        <w:rPr>
          <w:rStyle w:val="FootnoteReference"/>
        </w:rPr>
        <w:footnoteRef/>
      </w:r>
      <w:r w:rsidRPr="00661179">
        <w:t xml:space="preserve"> </w:t>
      </w:r>
      <w:r w:rsidRPr="00661179">
        <w:rPr>
          <w:rFonts w:ascii="Times New Roman Italic" w:hAnsi="Times New Roman Italic"/>
          <w:i/>
        </w:rPr>
        <w:t>Trends in Telephone Service</w:t>
      </w:r>
      <w:r w:rsidRPr="00661179">
        <w:t>, at tbl.</w:t>
      </w:r>
      <w:r w:rsidRPr="00661179">
        <w:rPr>
          <w:color w:val="000000"/>
        </w:rPr>
        <w:t xml:space="preserve"> 5.3.</w:t>
      </w:r>
    </w:p>
  </w:footnote>
  <w:footnote w:id="308">
    <w:p w:rsidR="002E221B" w:rsidRPr="00661179" w:rsidP="00BB6F6B">
      <w:pPr>
        <w:pStyle w:val="FootnoteText"/>
      </w:pPr>
      <w:r w:rsidRPr="00661179">
        <w:rPr>
          <w:rStyle w:val="FootnoteReference"/>
        </w:rPr>
        <w:footnoteRef/>
      </w:r>
      <w:r w:rsidRPr="00661179">
        <w:t xml:space="preserve"> </w:t>
      </w:r>
      <w:r w:rsidRPr="00661179">
        <w:rPr>
          <w:i/>
        </w:rPr>
        <w:t>Id.</w:t>
      </w:r>
    </w:p>
  </w:footnote>
  <w:footnote w:id="309">
    <w:p w:rsidR="002E221B" w:rsidRPr="00661179" w:rsidP="00BB6F6B">
      <w:pPr>
        <w:pStyle w:val="FootnoteText"/>
      </w:pPr>
      <w:r w:rsidRPr="00661179">
        <w:rPr>
          <w:rStyle w:val="FootnoteReference"/>
        </w:rPr>
        <w:footnoteRef/>
      </w:r>
      <w:r w:rsidRPr="00661179">
        <w:t xml:space="preserve"> U.S. Census Bureau, 2012 NAICS Definitions, “</w:t>
      </w:r>
      <w:r w:rsidRPr="00661179">
        <w:rPr>
          <w:bCs/>
        </w:rPr>
        <w:t>517210 Wireless Telecommunications Carriers (Except Satellite).”</w:t>
      </w:r>
      <w:r w:rsidRPr="00661179">
        <w:t xml:space="preserve">  </w:t>
      </w:r>
      <w:r w:rsidRPr="00661179">
        <w:rPr>
          <w:i/>
        </w:rPr>
        <w:t>See</w:t>
      </w:r>
      <w:r w:rsidRPr="00661179">
        <w:t xml:space="preserve"> </w:t>
      </w:r>
      <w:hyperlink r:id="rId25" w:history="1">
        <w:r w:rsidRPr="00661179">
          <w:rPr>
            <w:rStyle w:val="Hyperlink"/>
          </w:rPr>
          <w:t>https://factfinder.census.gov/faces/affhelp/jsf/pages/metadata.xhtml?lang=en&amp;type=</w:t>
        </w:r>
        <w:r w:rsidRPr="00661179">
          <w:rPr>
            <w:rStyle w:val="Hyperlink"/>
          </w:rPr>
          <w:br/>
          <w:t>ib&amp;id=ib.en./ECN.NAICS2012.517210</w:t>
        </w:r>
      </w:hyperlink>
      <w:r w:rsidRPr="00661179">
        <w:rPr>
          <w:rStyle w:val="Hyperlink"/>
        </w:rPr>
        <w:t>.</w:t>
      </w:r>
    </w:p>
  </w:footnote>
  <w:footnote w:id="310">
    <w:p w:rsidR="002E221B" w:rsidRPr="00661179" w:rsidP="00BB6F6B">
      <w:pPr>
        <w:pStyle w:val="FootnoteText"/>
      </w:pPr>
      <w:r w:rsidRPr="00661179">
        <w:rPr>
          <w:rStyle w:val="FootnoteReference"/>
        </w:rPr>
        <w:footnoteRef/>
      </w:r>
      <w:r w:rsidRPr="00661179">
        <w:rPr>
          <w:lang w:val="fr-FR"/>
        </w:rPr>
        <w:t xml:space="preserve"> 13 CFR § 121.201, NAICS code 517210.  </w:t>
      </w:r>
    </w:p>
  </w:footnote>
  <w:footnote w:id="311">
    <w:p w:rsidR="002E221B" w:rsidRPr="00661179" w:rsidP="00BB6F6B">
      <w:pPr>
        <w:pStyle w:val="FootnoteText"/>
      </w:pPr>
      <w:r w:rsidRPr="00661179">
        <w:rPr>
          <w:rStyle w:val="FootnoteReference"/>
        </w:rPr>
        <w:footnoteRef/>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EC1251SSSZ5, Information: Subject Series: Estab and Firm Size: Employment Size of Firms for the U.S.: 2012 NAICS Code 517210.  </w:t>
      </w:r>
      <w:hyperlink r:id="rId26" w:history="1">
        <w:r w:rsidRPr="00661179">
          <w:rPr>
            <w:rStyle w:val="Hyperlink"/>
          </w:rPr>
          <w:t>https://factfinder.cens</w:t>
        </w:r>
        <w:r w:rsidRPr="00661179">
          <w:rPr>
            <w:rStyle w:val="Hyperlink"/>
          </w:rPr>
          <w:t>us.gov/bkmk/table/1.0/en/ECN/2012_US/51SSSZ5//naics~517210</w:t>
        </w:r>
      </w:hyperlink>
      <w:r w:rsidRPr="00661179">
        <w:t xml:space="preserve">. </w:t>
      </w:r>
    </w:p>
  </w:footnote>
  <w:footnote w:id="312">
    <w:p w:rsidR="002E221B" w:rsidRPr="00661179" w:rsidP="00BB6F6B">
      <w:pPr>
        <w:pStyle w:val="FootnoteText"/>
      </w:pPr>
      <w:r w:rsidRPr="00661179">
        <w:rPr>
          <w:rStyle w:val="FootnoteReference"/>
        </w:rPr>
        <w:footnoteRef/>
      </w:r>
      <w:r w:rsidRPr="00661179">
        <w:t xml:space="preserve"> </w:t>
      </w:r>
      <w:r w:rsidRPr="00661179">
        <w:rPr>
          <w:i/>
        </w:rPr>
        <w:t>Id</w:t>
      </w:r>
      <w:r w:rsidRPr="00661179">
        <w:t>.  Available census data does not provide a more precise estimate of the number of firms that have employment of 1,500 or fewer employees; the largest category provided is for firms with “100</w:t>
      </w:r>
      <w:r w:rsidRPr="00661179">
        <w:t>0 employees or more.”</w:t>
      </w:r>
    </w:p>
  </w:footnote>
  <w:footnote w:id="313">
    <w:p w:rsidR="002E221B" w:rsidRPr="00661179" w:rsidP="00BB6F6B">
      <w:pPr>
        <w:pStyle w:val="FootnoteText"/>
      </w:pPr>
      <w:r w:rsidRPr="00661179">
        <w:rPr>
          <w:rStyle w:val="FootnoteReference"/>
        </w:rPr>
        <w:footnoteRef/>
      </w:r>
      <w:r w:rsidRPr="00661179">
        <w:t xml:space="preserve"> U.S. Census Bureau, 2017 NAICS Definitions, “515120 Television Broadcasting,” </w:t>
      </w:r>
      <w:hyperlink r:id="rId27" w:history="1">
        <w:r w:rsidRPr="00661179">
          <w:rPr>
            <w:rStyle w:val="Hyperlink"/>
          </w:rPr>
          <w:t>https://www.census.gov/cgi-bin/sssd/n</w:t>
        </w:r>
        <w:r w:rsidRPr="00661179">
          <w:rPr>
            <w:rStyle w:val="Hyperlink"/>
          </w:rPr>
          <w:t>aics/naicsrch?input=515120&amp;search=2017+NAICS+Search&amp;search=2017</w:t>
        </w:r>
      </w:hyperlink>
      <w:r w:rsidRPr="00661179">
        <w:t xml:space="preserve">. </w:t>
      </w:r>
    </w:p>
  </w:footnote>
  <w:footnote w:id="314">
    <w:p w:rsidR="002E221B" w:rsidRPr="00661179" w:rsidP="00BB6F6B">
      <w:pPr>
        <w:pStyle w:val="FootnoteText"/>
      </w:pPr>
      <w:r w:rsidRPr="00661179">
        <w:rPr>
          <w:rStyle w:val="FootnoteReference"/>
        </w:rPr>
        <w:footnoteRef/>
      </w:r>
      <w:r w:rsidRPr="00661179">
        <w:t xml:space="preserve"> </w:t>
      </w:r>
      <w:r w:rsidRPr="00661179">
        <w:rPr>
          <w:i/>
        </w:rPr>
        <w:t>Id.</w:t>
      </w:r>
    </w:p>
  </w:footnote>
  <w:footnote w:id="315">
    <w:p w:rsidR="002E221B" w:rsidRPr="00661179" w:rsidP="00BB6F6B">
      <w:pPr>
        <w:pStyle w:val="FootnoteText"/>
      </w:pPr>
      <w:r w:rsidRPr="00661179">
        <w:rPr>
          <w:rStyle w:val="FootnoteReference"/>
        </w:rPr>
        <w:footnoteRef/>
      </w:r>
      <w:r w:rsidRPr="00661179">
        <w:t xml:space="preserve"> 13 CFR § 121.201;</w:t>
      </w:r>
      <w:r w:rsidRPr="00B13758">
        <w:rPr>
          <w:color w:val="212121"/>
          <w:kern w:val="28"/>
        </w:rPr>
        <w:t xml:space="preserve"> </w:t>
      </w:r>
      <w:r w:rsidRPr="00661179">
        <w:t xml:space="preserve">2012 NAICS code 515120. </w:t>
      </w:r>
    </w:p>
  </w:footnote>
  <w:footnote w:id="316">
    <w:p w:rsidR="002E221B" w:rsidRPr="00661179" w:rsidP="00BB6F6B">
      <w:pPr>
        <w:pStyle w:val="FootnoteText"/>
      </w:pPr>
      <w:r w:rsidRPr="00661179">
        <w:rPr>
          <w:rStyle w:val="FootnoteReference"/>
        </w:rPr>
        <w:footnoteRef/>
      </w:r>
      <w:r w:rsidRPr="00661179">
        <w:t xml:space="preserve"> U.S. Census Bureau, Table No. EC1251SSSZ4, </w:t>
      </w:r>
      <w:r w:rsidRPr="00661179">
        <w:rPr>
          <w:i/>
          <w:iCs/>
        </w:rPr>
        <w:t>Information: Subject Series - Establishment and Firm Size: Receipts Size of Firms for the Unit</w:t>
      </w:r>
      <w:r w:rsidRPr="00661179">
        <w:rPr>
          <w:i/>
          <w:iCs/>
        </w:rPr>
        <w:t>ed States: 2012</w:t>
      </w:r>
      <w:r w:rsidRPr="00661179">
        <w:t xml:space="preserve"> (515120 Television Broadcasting). </w:t>
      </w:r>
      <w:hyperlink r:id="rId28" w:history="1">
        <w:r w:rsidRPr="00661179">
          <w:rPr>
            <w:rStyle w:val="Hyperlink"/>
          </w:rPr>
          <w:t>https://factfinder.census.gov/bkmk/table/1.0/en/ECN/2012_US/51SSSZ4//naics~515120</w:t>
        </w:r>
      </w:hyperlink>
      <w:r w:rsidRPr="00661179">
        <w:rPr>
          <w:rStyle w:val="Hyperlink"/>
        </w:rPr>
        <w:t>.</w:t>
      </w:r>
    </w:p>
  </w:footnote>
  <w:footnote w:id="317">
    <w:p w:rsidR="002E221B" w:rsidRPr="00661179" w:rsidP="00BB6F6B">
      <w:pPr>
        <w:pStyle w:val="FootnoteText"/>
      </w:pPr>
      <w:r w:rsidRPr="00661179">
        <w:rPr>
          <w:rStyle w:val="FootnoteReference"/>
        </w:rPr>
        <w:footnoteRef/>
      </w:r>
      <w:r w:rsidRPr="00661179">
        <w:t xml:space="preserve"> </w:t>
      </w:r>
      <w:r w:rsidRPr="00661179">
        <w:rPr>
          <w:i/>
        </w:rPr>
        <w:t>Id</w:t>
      </w:r>
      <w:r w:rsidRPr="00661179">
        <w:t xml:space="preserve">. </w:t>
      </w:r>
    </w:p>
  </w:footnote>
  <w:footnote w:id="318">
    <w:p w:rsidR="002E221B" w:rsidRPr="00661179" w:rsidP="00BB6F6B">
      <w:pPr>
        <w:pStyle w:val="FootnoteText"/>
      </w:pPr>
      <w:r w:rsidRPr="00661179">
        <w:rPr>
          <w:rStyle w:val="FootnoteReference"/>
        </w:rPr>
        <w:footnoteRef/>
      </w:r>
      <w:r w:rsidRPr="00661179">
        <w:t xml:space="preserve"> </w:t>
      </w:r>
      <w:r w:rsidRPr="00661179">
        <w:rPr>
          <w:i/>
        </w:rPr>
        <w:t>Broadcast Station Totals</w:t>
      </w:r>
      <w:r w:rsidRPr="00661179">
        <w:t xml:space="preserve"> as of June 30, 2018, Press Release (MB, rel. Jul. 3, 2018) (June 30, 2018 Broadcast Station Totals Press Release), </w:t>
      </w:r>
      <w:hyperlink r:id="rId29" w:history="1">
        <w:r w:rsidRPr="00661179">
          <w:rPr>
            <w:rStyle w:val="Hyperlink"/>
          </w:rPr>
          <w:t>https://docs.fcc.gov/public/attachments/DOC-352168A1.pdf</w:t>
        </w:r>
      </w:hyperlink>
      <w:r w:rsidRPr="00661179">
        <w:t xml:space="preserve">.     </w:t>
      </w:r>
    </w:p>
  </w:footnote>
  <w:footnote w:id="319">
    <w:p w:rsidR="002E221B" w:rsidRPr="00661179" w:rsidP="00BB6F6B">
      <w:pPr>
        <w:pStyle w:val="FootnoteText"/>
      </w:pPr>
      <w:r w:rsidRPr="00661179">
        <w:rPr>
          <w:rStyle w:val="FootnoteReference"/>
        </w:rPr>
        <w:footnoteRef/>
      </w:r>
      <w:r w:rsidRPr="00661179">
        <w:t xml:space="preserve"> </w:t>
      </w:r>
      <w:r w:rsidRPr="00661179">
        <w:rPr>
          <w:i/>
        </w:rPr>
        <w:t>Id.</w:t>
      </w:r>
    </w:p>
  </w:footnote>
  <w:footnote w:id="320">
    <w:p w:rsidR="002E221B" w:rsidRPr="00661179" w:rsidP="00BB6F6B">
      <w:pPr>
        <w:pStyle w:val="FootnoteText"/>
      </w:pPr>
      <w:r w:rsidRPr="00661179">
        <w:rPr>
          <w:rStyle w:val="FootnoteReference"/>
        </w:rPr>
        <w:footnoteRef/>
      </w:r>
      <w:r w:rsidRPr="00661179">
        <w:t xml:space="preserve"> </w:t>
      </w:r>
      <w:r w:rsidRPr="00661179">
        <w:rPr>
          <w:i/>
        </w:rPr>
        <w:t>Id.</w:t>
      </w:r>
    </w:p>
  </w:footnote>
  <w:footnote w:id="321">
    <w:p w:rsidR="002E221B" w:rsidRPr="00661179" w:rsidP="00BB6F6B">
      <w:pPr>
        <w:pStyle w:val="FootnoteText"/>
      </w:pPr>
      <w:r w:rsidRPr="00661179">
        <w:rPr>
          <w:rStyle w:val="FootnoteReference"/>
        </w:rPr>
        <w:footnoteRef/>
      </w:r>
      <w:r w:rsidRPr="00661179">
        <w:t xml:space="preserve"> “[Business concerns] are affiliates of each other when one concern controls or has the power to control the other or a third party</w:t>
      </w:r>
      <w:r w:rsidRPr="00661179">
        <w:t xml:space="preserve"> or parties controls or has the power to control both.” 13 CFR § 21.103(a)(1).</w:t>
      </w:r>
    </w:p>
  </w:footnote>
  <w:footnote w:id="322">
    <w:p w:rsidR="002E221B" w:rsidRPr="00661179" w:rsidP="00BB6F6B">
      <w:pPr>
        <w:pStyle w:val="FootnoteText"/>
      </w:pPr>
      <w:r w:rsidRPr="00661179">
        <w:rPr>
          <w:rStyle w:val="FootnoteReference"/>
        </w:rPr>
        <w:footnoteRef/>
      </w:r>
      <w:r w:rsidRPr="00661179">
        <w:t xml:space="preserve"> U.S. Census Bureau, 2017 NAICS Definitions, “515112 Radio Stations,” </w:t>
      </w:r>
      <w:hyperlink r:id="rId30" w:history="1">
        <w:hyperlink r:id="rId31" w:history="1">
          <w:r w:rsidRPr="009F6361">
            <w:rPr>
              <w:rStyle w:val="Hyperlink"/>
            </w:rPr>
            <w:t>https://www.census.gov/cgi-bin/sssd/naics/naicsrch?input=515112&amp;search=2017+NAICS+Search&amp;search=2017</w:t>
          </w:r>
        </w:hyperlink>
      </w:hyperlink>
      <w:r w:rsidRPr="00661179">
        <w:t xml:space="preserve">. </w:t>
      </w:r>
      <w:r w:rsidRPr="00F4003D">
        <w:t xml:space="preserve"> </w:t>
      </w:r>
    </w:p>
  </w:footnote>
  <w:footnote w:id="323">
    <w:p w:rsidR="002E221B" w:rsidRPr="00661179" w:rsidP="00BB6F6B">
      <w:pPr>
        <w:pStyle w:val="FootnoteText"/>
      </w:pPr>
      <w:r w:rsidRPr="00661179">
        <w:rPr>
          <w:rStyle w:val="FootnoteReference"/>
        </w:rPr>
        <w:footnoteRef/>
      </w:r>
      <w:r w:rsidRPr="00661179">
        <w:t xml:space="preserve"> 13 CFR </w:t>
      </w:r>
      <w:r w:rsidRPr="00661179">
        <w:t xml:space="preserve">§ 121.201; NAICS code </w:t>
      </w:r>
      <w:r w:rsidRPr="00661179">
        <w:rPr>
          <w:bCs/>
        </w:rPr>
        <w:t>515112</w:t>
      </w:r>
      <w:r w:rsidRPr="00661179">
        <w:t>.</w:t>
      </w:r>
    </w:p>
  </w:footnote>
  <w:footnote w:id="324">
    <w:p w:rsidR="002E221B" w:rsidRPr="00661179" w:rsidP="00BB6F6B">
      <w:pPr>
        <w:pStyle w:val="FootnoteText"/>
      </w:pPr>
      <w:r w:rsidRPr="00661179">
        <w:rPr>
          <w:rStyle w:val="FootnoteReference"/>
        </w:rPr>
        <w:footnoteRef/>
      </w:r>
      <w:r w:rsidRPr="00661179">
        <w:t xml:space="preserve"> U.S. Census Bureau, Table No. EC1251SSSZ4, </w:t>
      </w:r>
      <w:r w:rsidRPr="00661179">
        <w:rPr>
          <w:i/>
        </w:rPr>
        <w:t>Information: Subject Series – Establishment and Firm Size: Receipts Size of Firms for the United States: 2012</w:t>
      </w:r>
      <w:r w:rsidRPr="00661179">
        <w:t xml:space="preserve"> NAICS Code 515112, </w:t>
      </w:r>
      <w:hyperlink r:id="rId32" w:history="1">
        <w:r w:rsidRPr="00661179">
          <w:rPr>
            <w:rStyle w:val="Hyperlink"/>
          </w:rPr>
          <w:t>https://factfinder.census.gov/bkmk/table/1.0/en/ECN/2012_US/51SSSZ4//naics~515112</w:t>
        </w:r>
      </w:hyperlink>
      <w:r w:rsidRPr="00661179">
        <w:t xml:space="preserve">. </w:t>
      </w:r>
    </w:p>
  </w:footnote>
  <w:footnote w:id="325">
    <w:p w:rsidR="002E221B" w:rsidRPr="00661179" w:rsidP="00BB6F6B">
      <w:pPr>
        <w:pStyle w:val="FootnoteText"/>
      </w:pPr>
      <w:r w:rsidRPr="00661179">
        <w:rPr>
          <w:rStyle w:val="FootnoteReference"/>
        </w:rPr>
        <w:footnoteRef/>
      </w:r>
      <w:r w:rsidRPr="00661179">
        <w:t xml:space="preserve"> </w:t>
      </w:r>
      <w:r w:rsidRPr="00661179">
        <w:rPr>
          <w:i/>
        </w:rPr>
        <w:t>Id.</w:t>
      </w:r>
    </w:p>
  </w:footnote>
  <w:footnote w:id="326">
    <w:p w:rsidR="002E221B" w:rsidRPr="00661179" w:rsidP="00BB6F6B">
      <w:pPr>
        <w:pStyle w:val="FootnoteText"/>
      </w:pPr>
      <w:r w:rsidRPr="00661179">
        <w:rPr>
          <w:rStyle w:val="FootnoteReference"/>
        </w:rPr>
        <w:footnoteRef/>
      </w:r>
      <w:r w:rsidRPr="00661179">
        <w:t xml:space="preserve"> BIA/Kelsey, MEDIA Access Pro Database (viewed Jan. 26, 2018).</w:t>
      </w:r>
    </w:p>
  </w:footnote>
  <w:footnote w:id="327">
    <w:p w:rsidR="002E221B" w:rsidRPr="00661179" w:rsidP="00BB6F6B">
      <w:pPr>
        <w:pStyle w:val="FootnoteText"/>
      </w:pPr>
      <w:r w:rsidRPr="00661179">
        <w:rPr>
          <w:rStyle w:val="FootnoteReference"/>
        </w:rPr>
        <w:footnoteRef/>
      </w:r>
      <w:r w:rsidRPr="00661179">
        <w:t xml:space="preserve"> Broadcast Station Totals as of June 30, 2018, Press Re</w:t>
      </w:r>
      <w:r w:rsidRPr="00661179">
        <w:t xml:space="preserve">lease (MB Jul. 3, 2018) (June 30, 2018 Broadcast Station Totals), </w:t>
      </w:r>
      <w:hyperlink r:id="rId29" w:history="1">
        <w:r w:rsidRPr="00661179">
          <w:rPr>
            <w:rStyle w:val="Hyperlink"/>
          </w:rPr>
          <w:t>https://docs.fcc.gov/public/attachments/DOC-352168A1.pdf</w:t>
        </w:r>
      </w:hyperlink>
      <w:r w:rsidRPr="00661179">
        <w:t xml:space="preserve">.  </w:t>
      </w:r>
    </w:p>
  </w:footnote>
  <w:footnote w:id="328">
    <w:p w:rsidR="002E221B" w:rsidRPr="00661179" w:rsidP="00BB6F6B">
      <w:pPr>
        <w:pStyle w:val="FootnoteText"/>
      </w:pPr>
      <w:r w:rsidRPr="00661179">
        <w:rPr>
          <w:rStyle w:val="FootnoteReference"/>
        </w:rPr>
        <w:footnoteRef/>
      </w:r>
      <w:r w:rsidRPr="00661179">
        <w:t xml:space="preserve"> </w:t>
      </w:r>
      <w:r w:rsidRPr="00661179">
        <w:rPr>
          <w:i/>
        </w:rPr>
        <w:t>Id.</w:t>
      </w:r>
    </w:p>
  </w:footnote>
  <w:footnote w:id="329">
    <w:p w:rsidR="002E221B" w:rsidRPr="00661179" w:rsidP="00BB6F6B">
      <w:pPr>
        <w:pStyle w:val="FootnoteText"/>
      </w:pPr>
      <w:r w:rsidRPr="00661179">
        <w:rPr>
          <w:rStyle w:val="FootnoteReference"/>
        </w:rPr>
        <w:footnoteRef/>
      </w:r>
      <w:r w:rsidRPr="00661179">
        <w:t xml:space="preserve"> “[Business concerns] are affiliates of each other</w:t>
      </w:r>
      <w:r w:rsidRPr="00661179">
        <w:t xml:space="preserve"> when one concern controls or has the power to control the other, or a third party or parties controls or has power to control both.”  13 CFR § 121.103(a)(1).</w:t>
      </w:r>
    </w:p>
  </w:footnote>
  <w:footnote w:id="330">
    <w:p w:rsidR="002E221B" w:rsidRPr="00661179" w:rsidP="00BB6F6B">
      <w:pPr>
        <w:pStyle w:val="FootnoteText"/>
      </w:pPr>
      <w:r w:rsidRPr="00661179">
        <w:rPr>
          <w:rStyle w:val="FootnoteReference"/>
        </w:rPr>
        <w:footnoteRef/>
      </w:r>
      <w:r w:rsidRPr="00661179">
        <w:t xml:space="preserve"> 13 CFR </w:t>
      </w:r>
      <w:r w:rsidRPr="00F4003D">
        <w:t>§ 121.102(b).</w:t>
      </w:r>
    </w:p>
  </w:footnote>
  <w:footnote w:id="331">
    <w:p w:rsidR="002E221B" w:rsidRPr="00661179" w:rsidP="00BB6F6B">
      <w:pPr>
        <w:pStyle w:val="FootnoteText"/>
      </w:pPr>
      <w:r w:rsidRPr="00661179">
        <w:rPr>
          <w:rStyle w:val="FootnoteReference"/>
        </w:rPr>
        <w:footnoteRef/>
      </w:r>
      <w:r w:rsidRPr="00661179">
        <w:t xml:space="preserve"> 47 CFR § 76.901(e).</w:t>
      </w:r>
    </w:p>
  </w:footnote>
  <w:footnote w:id="332">
    <w:p w:rsidR="002E221B" w:rsidRPr="00661179" w:rsidP="00BB6F6B">
      <w:pPr>
        <w:pStyle w:val="FootnoteText"/>
      </w:pPr>
      <w:r w:rsidRPr="00661179">
        <w:rPr>
          <w:rStyle w:val="FootnoteReference"/>
        </w:rPr>
        <w:footnoteRef/>
      </w:r>
      <w:r w:rsidRPr="00661179">
        <w:t xml:space="preserve"> The number of active, registered cable systems comes from the Commission’s Cable Operations and Licensing System (COALS) database on August 15, 2015.  </w:t>
      </w:r>
      <w:r w:rsidRPr="00661179">
        <w:rPr>
          <w:i/>
        </w:rPr>
        <w:t>See</w:t>
      </w:r>
      <w:r w:rsidRPr="00661179">
        <w:t xml:space="preserve"> FCC, </w:t>
      </w:r>
      <w:r w:rsidRPr="00661179">
        <w:rPr>
          <w:i/>
        </w:rPr>
        <w:t>Cable Operations and Licensing System (COALS)</w:t>
      </w:r>
      <w:r w:rsidRPr="00661179">
        <w:t>, www.fcc.gov/coals (last visited Oct. 25, 2016).</w:t>
      </w:r>
    </w:p>
  </w:footnote>
  <w:footnote w:id="333">
    <w:p w:rsidR="002E221B" w:rsidRPr="00661179" w:rsidP="00BB6F6B">
      <w:pPr>
        <w:pStyle w:val="FootnoteText"/>
      </w:pPr>
      <w:r w:rsidRPr="00661179">
        <w:rPr>
          <w:rStyle w:val="FootnoteReference"/>
        </w:rPr>
        <w:footnoteRef/>
      </w:r>
      <w:r w:rsidRPr="00661179">
        <w:t xml:space="preserve"> S&amp;P Global Market Intelligence, Top Cable MSOs as of 12/2016.</w:t>
      </w:r>
    </w:p>
  </w:footnote>
  <w:footnote w:id="334">
    <w:p w:rsidR="002E221B" w:rsidRPr="00661179" w:rsidP="00BB6F6B">
      <w:pPr>
        <w:pStyle w:val="FootnoteText"/>
      </w:pPr>
      <w:r w:rsidRPr="00661179">
        <w:rPr>
          <w:rStyle w:val="FootnoteReference"/>
        </w:rPr>
        <w:footnoteRef/>
      </w:r>
      <w:r w:rsidRPr="00661179">
        <w:t xml:space="preserve"> 47 CFR § 76.901(c).</w:t>
      </w:r>
    </w:p>
  </w:footnote>
  <w:footnote w:id="335">
    <w:p w:rsidR="002E221B" w:rsidRPr="00661179" w:rsidP="00BB6F6B">
      <w:pPr>
        <w:pStyle w:val="FootnoteText"/>
      </w:pPr>
      <w:r w:rsidRPr="00661179">
        <w:rPr>
          <w:rStyle w:val="FootnoteReference"/>
        </w:rPr>
        <w:footnoteRef/>
      </w:r>
      <w:r w:rsidRPr="00661179">
        <w:t xml:space="preserve"> </w:t>
      </w:r>
      <w:r w:rsidRPr="00661179">
        <w:rPr>
          <w:i/>
        </w:rPr>
        <w:t xml:space="preserve">See supra Note </w:t>
      </w:r>
      <w:r w:rsidRPr="00F4003D">
        <w:fldChar w:fldCharType="begin"/>
      </w:r>
      <w:r w:rsidRPr="00661179">
        <w:instrText xml:space="preserve"> NOTEREF _Ref24452997 \h  \* MERGEFORMAT </w:instrText>
      </w:r>
      <w:r w:rsidRPr="00F4003D">
        <w:fldChar w:fldCharType="separate"/>
      </w:r>
      <w:r w:rsidRPr="00661179">
        <w:t>108</w:t>
      </w:r>
      <w:r w:rsidRPr="00F4003D">
        <w:fldChar w:fldCharType="end"/>
      </w:r>
      <w:r w:rsidRPr="00661179">
        <w:rPr>
          <w:i/>
        </w:rPr>
        <w:t>.</w:t>
      </w:r>
    </w:p>
  </w:footnote>
  <w:footnote w:id="336">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FCC, </w:t>
      </w:r>
      <w:r w:rsidRPr="00661179">
        <w:rPr>
          <w:i/>
        </w:rPr>
        <w:t>Cable Operations and Licensing</w:t>
      </w:r>
      <w:r w:rsidRPr="00661179">
        <w:rPr>
          <w:i/>
        </w:rPr>
        <w:t xml:space="preserve"> System (COALS)</w:t>
      </w:r>
      <w:r w:rsidRPr="00661179">
        <w:t>, www.fcc.gov/coals (last visited Oct. 25, 2016).</w:t>
      </w:r>
    </w:p>
  </w:footnote>
  <w:footnote w:id="337">
    <w:p w:rsidR="002E221B" w:rsidRPr="00661179" w:rsidP="00BB6F6B">
      <w:pPr>
        <w:pStyle w:val="FootnoteText"/>
      </w:pPr>
      <w:r w:rsidRPr="00661179">
        <w:rPr>
          <w:rStyle w:val="FootnoteReference"/>
        </w:rPr>
        <w:footnoteRef/>
      </w:r>
      <w:r w:rsidRPr="00661179">
        <w:t xml:space="preserve"> 47 CFR § 76.90(f) and notes ff. 1, 2, and 3.</w:t>
      </w:r>
    </w:p>
  </w:footnote>
  <w:footnote w:id="338">
    <w:p w:rsidR="002E221B" w:rsidRPr="00661179" w:rsidP="00BB6F6B">
      <w:pPr>
        <w:pStyle w:val="FootnoteText"/>
      </w:pPr>
      <w:r w:rsidRPr="00661179">
        <w:rPr>
          <w:rStyle w:val="FootnoteReference"/>
        </w:rPr>
        <w:footnoteRef/>
      </w:r>
      <w:r w:rsidRPr="00661179">
        <w:t xml:space="preserve"> S&amp;P Global Market Intelligence, U.S. Cable Subscriber Highlights, Basic Subscribers(actual) 2018, U.S. Cable MSO Industry Total.</w:t>
      </w:r>
    </w:p>
  </w:footnote>
  <w:footnote w:id="339">
    <w:p w:rsidR="002E221B" w:rsidRPr="00661179" w:rsidP="00BB6F6B">
      <w:pPr>
        <w:pStyle w:val="FootnoteText"/>
      </w:pPr>
      <w:r w:rsidRPr="00661179">
        <w:rPr>
          <w:rStyle w:val="FootnoteReference"/>
        </w:rPr>
        <w:footnoteRef/>
      </w:r>
      <w:r w:rsidRPr="00661179">
        <w:t xml:space="preserve"> 47 CFR § 76.901(f) and notes ff. 1, 2, and 3.</w:t>
      </w:r>
    </w:p>
  </w:footnote>
  <w:footnote w:id="340">
    <w:p w:rsidR="002E221B" w:rsidRPr="00661179" w:rsidP="00BB6F6B">
      <w:pPr>
        <w:pStyle w:val="FootnoteText"/>
      </w:pPr>
      <w:r w:rsidRPr="00661179">
        <w:rPr>
          <w:rStyle w:val="FootnoteReference"/>
        </w:rPr>
        <w:footnoteRef/>
      </w:r>
      <w:r w:rsidRPr="00661179">
        <w:rPr>
          <w:rStyle w:val="Hyperlink"/>
        </w:rPr>
        <w:t xml:space="preserve"> </w:t>
      </w:r>
      <w:r w:rsidRPr="00661179">
        <w:t>S&amp;P Global Market Intelligence, Top Cable MSOs 12/18Q</w:t>
      </w:r>
      <w:r w:rsidRPr="00661179">
        <w:rPr>
          <w:rStyle w:val="Hyperlink"/>
        </w:rPr>
        <w:t xml:space="preserve">.  The six cable operators all had more than </w:t>
      </w:r>
      <w:r w:rsidRPr="00661179">
        <w:t xml:space="preserve">505,046 </w:t>
      </w:r>
      <w:r w:rsidRPr="00661179">
        <w:rPr>
          <w:rStyle w:val="Hyperlink"/>
        </w:rPr>
        <w:t xml:space="preserve">basic cable subscribers. </w:t>
      </w:r>
    </w:p>
  </w:footnote>
  <w:footnote w:id="341">
    <w:p w:rsidR="002E221B" w:rsidRPr="00661179" w:rsidP="00BB6F6B">
      <w:pPr>
        <w:pStyle w:val="FootnoteText"/>
      </w:pPr>
      <w:r w:rsidRPr="00661179">
        <w:rPr>
          <w:rStyle w:val="FootnoteReference"/>
        </w:rPr>
        <w:footnoteRef/>
      </w:r>
      <w:r w:rsidRPr="00661179">
        <w:t xml:space="preserve"> The Commission receives such information on a case-by-case basis if a cab</w:t>
      </w:r>
      <w:r w:rsidRPr="00661179">
        <w:t xml:space="preserve">le operator appeals a local franchise authority’s finding that the operator does not qualify as a small cable operator pursuant to section 76.901(f) of the Commission’s rules.  </w:t>
      </w:r>
      <w:r w:rsidRPr="00661179">
        <w:rPr>
          <w:i/>
        </w:rPr>
        <w:t>See</w:t>
      </w:r>
      <w:r w:rsidRPr="00661179">
        <w:t xml:space="preserve"> 47 CFR § 76.901(f).</w:t>
      </w:r>
    </w:p>
  </w:footnote>
  <w:footnote w:id="342">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13 CFR § 120.201.  The Wired Telecommunications C</w:t>
      </w:r>
      <w:r w:rsidRPr="00661179">
        <w:t xml:space="preserve">arrier category formerly used the NAICS code of 517110. As of 2017 the U.S. Census Bureau definition shows the NAICS code as 517311 for Wired Telecommunications Carriers.  </w:t>
      </w:r>
      <w:r w:rsidRPr="00661179">
        <w:rPr>
          <w:i/>
        </w:rPr>
        <w:t>See</w:t>
      </w:r>
      <w:r w:rsidRPr="00661179">
        <w:t xml:space="preserve">, </w:t>
      </w:r>
      <w:hyperlink r:id="rId20" w:history="1">
        <w:r w:rsidRPr="00661179">
          <w:rPr>
            <w:rStyle w:val="Hyperlink"/>
          </w:rPr>
          <w:t>https://www.census.gov/cgi-bin/sssd/naics/naicsrch?code=517311&amp;search=2017</w:t>
        </w:r>
      </w:hyperlink>
      <w:r w:rsidRPr="00661179">
        <w:rPr>
          <w:rStyle w:val="Hyperlink"/>
        </w:rPr>
        <w:t>.</w:t>
      </w:r>
    </w:p>
  </w:footnote>
  <w:footnote w:id="343">
    <w:p w:rsidR="002E221B" w:rsidRPr="00661179" w:rsidP="00BB6F6B">
      <w:pPr>
        <w:pStyle w:val="FootnoteText"/>
        <w:rPr>
          <w:i/>
        </w:rPr>
      </w:pPr>
      <w:r w:rsidRPr="00661179">
        <w:rPr>
          <w:rStyle w:val="FootnoteReference"/>
        </w:rPr>
        <w:footnoteRef/>
      </w:r>
      <w:r w:rsidRPr="00661179">
        <w:t xml:space="preserve"> </w:t>
      </w:r>
      <w:r w:rsidRPr="00661179">
        <w:rPr>
          <w:i/>
        </w:rPr>
        <w:t>Id.</w:t>
      </w:r>
    </w:p>
  </w:footnote>
  <w:footnote w:id="344">
    <w:p w:rsidR="002E221B" w:rsidRPr="00661179" w:rsidP="00BB6F6B">
      <w:pPr>
        <w:pStyle w:val="FootnoteText"/>
      </w:pPr>
      <w:r w:rsidRPr="00661179">
        <w:rPr>
          <w:rStyle w:val="FootnoteReference"/>
        </w:rPr>
        <w:footnoteRef/>
      </w:r>
      <w:r w:rsidRPr="00661179">
        <w:t xml:space="preserve"> </w:t>
      </w:r>
      <w:r w:rsidRPr="00661179">
        <w:rPr>
          <w:i/>
        </w:rPr>
        <w:t>See id</w:t>
      </w:r>
      <w:r w:rsidRPr="00661179">
        <w:rPr>
          <w:bCs/>
        </w:rPr>
        <w:t>.  Examples of this category are: broadband Internet service providers (e.g., cable, DSL); local telephone carriers (wired); cable television distribution</w:t>
      </w:r>
      <w:r w:rsidRPr="00661179">
        <w:rPr>
          <w:bCs/>
        </w:rPr>
        <w:t xml:space="preserve"> services; long-distance telephone carriers (wired); CCTV services; VoIP service providers, using own operated wired telecommunications infrastructure; DTH services; telecommunications carriers (wired); satellite television distribution systems; and MMDS.</w:t>
      </w:r>
    </w:p>
  </w:footnote>
  <w:footnote w:id="345">
    <w:p w:rsidR="002E221B" w:rsidRPr="00661179" w:rsidP="00BB6F6B">
      <w:pPr>
        <w:pStyle w:val="FootnoteText"/>
      </w:pPr>
      <w:r w:rsidRPr="00661179">
        <w:rPr>
          <w:rStyle w:val="FootnoteReference"/>
        </w:rPr>
        <w:footnoteRef/>
      </w:r>
      <w:r w:rsidRPr="00661179">
        <w:t xml:space="preserve"> </w:t>
      </w:r>
      <w:r w:rsidRPr="00661179">
        <w:rPr>
          <w:i/>
        </w:rPr>
        <w:t>Id</w:t>
      </w:r>
      <w:r w:rsidRPr="00661179">
        <w:t xml:space="preserve">. </w:t>
      </w:r>
    </w:p>
  </w:footnote>
  <w:footnote w:id="346">
    <w:p w:rsidR="002E221B" w:rsidRPr="00661179" w:rsidP="00BB6F6B">
      <w:pPr>
        <w:pStyle w:val="FootnoteText"/>
      </w:pPr>
      <w:r w:rsidRPr="00661179">
        <w:rPr>
          <w:rStyle w:val="FootnoteReference"/>
        </w:rPr>
        <w:footnoteRef/>
      </w:r>
      <w:r w:rsidRPr="00661179">
        <w:t xml:space="preserve"> 13 CFR § 121.201, NAICS CODE 517110.</w:t>
      </w:r>
    </w:p>
  </w:footnote>
  <w:footnote w:id="347">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Size: Employment Size of Firms: 2012</w:t>
      </w:r>
      <w:r w:rsidRPr="00661179">
        <w:t xml:space="preserve"> (517110 Wired Telecommunications Carri</w:t>
      </w:r>
      <w:r w:rsidRPr="00661179">
        <w:t xml:space="preserve">ers). </w:t>
      </w:r>
      <w:hyperlink r:id="rId21" w:history="1">
        <w:r w:rsidRPr="00661179">
          <w:rPr>
            <w:rStyle w:val="Hyperlink"/>
          </w:rPr>
          <w:t>https://factfinder.census.gov/bkmk/table/1.0/en/ECN/2012_US/51SSSZ5//naics~517110</w:t>
        </w:r>
      </w:hyperlink>
      <w:r w:rsidRPr="00661179">
        <w:rPr>
          <w:rStyle w:val="Hyperlink"/>
        </w:rPr>
        <w:t>.</w:t>
      </w:r>
    </w:p>
  </w:footnote>
  <w:footnote w:id="348">
    <w:p w:rsidR="002E221B" w:rsidRPr="00661179" w:rsidP="00BB6F6B">
      <w:pPr>
        <w:pStyle w:val="FootnoteText"/>
        <w:rPr>
          <w:color w:val="0000FF"/>
          <w:u w:val="single"/>
        </w:rPr>
      </w:pPr>
      <w:r w:rsidRPr="00661179">
        <w:rPr>
          <w:rStyle w:val="FootnoteReference"/>
        </w:rPr>
        <w:footnoteRef/>
      </w:r>
      <w:r w:rsidRPr="00661179">
        <w:t xml:space="preserve"> </w:t>
      </w:r>
      <w:r w:rsidRPr="00661179">
        <w:rPr>
          <w:i/>
        </w:rPr>
        <w:t>Id.</w:t>
      </w:r>
    </w:p>
  </w:footnote>
  <w:footnote w:id="349">
    <w:p w:rsidR="002E221B" w:rsidRPr="00661179" w:rsidP="00BB6F6B">
      <w:pPr>
        <w:pStyle w:val="FootnoteText"/>
      </w:pPr>
      <w:r w:rsidRPr="00661179">
        <w:rPr>
          <w:rStyle w:val="FootnoteReference"/>
        </w:rPr>
        <w:footnoteRef/>
      </w:r>
      <w:r w:rsidRPr="00661179">
        <w:t xml:space="preserve"> </w:t>
      </w:r>
      <w:r w:rsidRPr="00661179">
        <w:rPr>
          <w:i/>
        </w:rPr>
        <w:t>See Annual Assessment of the Status of Competition in the Mar</w:t>
      </w:r>
      <w:r w:rsidRPr="00661179">
        <w:rPr>
          <w:i/>
        </w:rPr>
        <w:t xml:space="preserve">ket for the Delivery of Video Programming, Eighteenth Report, </w:t>
      </w:r>
      <w:r w:rsidRPr="00661179">
        <w:t>Table III.A.5</w:t>
      </w:r>
      <w:r w:rsidRPr="00661179">
        <w:rPr>
          <w:i/>
        </w:rPr>
        <w:t xml:space="preserve">, </w:t>
      </w:r>
      <w:r w:rsidRPr="00661179">
        <w:t xml:space="preserve">32 FCC Rcd 568, 595 (Jan. 17, 2017).  </w:t>
      </w:r>
    </w:p>
  </w:footnote>
  <w:footnote w:id="350">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Census Bureau, 2017 NAICS Definitions, NAICS Code “517919 All Other Telecommunications”, </w:t>
      </w:r>
      <w:hyperlink r:id="rId33" w:history="1">
        <w:r w:rsidRPr="00661179">
          <w:rPr>
            <w:rStyle w:val="Hyperlink"/>
          </w:rPr>
          <w:t>https://www.census.gov/cgi-bin/sssd/naics/naicsrch?input=517919&amp;search=2017+NAICS+Search&amp;search=2017</w:t>
        </w:r>
      </w:hyperlink>
      <w:r w:rsidRPr="00661179">
        <w:rPr>
          <w:rStyle w:val="Hyperlink"/>
        </w:rPr>
        <w:t>.</w:t>
      </w:r>
    </w:p>
  </w:footnote>
  <w:footnote w:id="351">
    <w:p w:rsidR="002E221B" w:rsidRPr="00661179" w:rsidP="00BB6F6B">
      <w:pPr>
        <w:pStyle w:val="FootnoteText"/>
        <w:rPr>
          <w:i/>
        </w:rPr>
      </w:pPr>
      <w:r w:rsidRPr="00661179">
        <w:rPr>
          <w:rStyle w:val="FootnoteReference"/>
        </w:rPr>
        <w:footnoteRef/>
      </w:r>
      <w:r w:rsidRPr="00661179">
        <w:t xml:space="preserve"> </w:t>
      </w:r>
      <w:r w:rsidRPr="00661179">
        <w:rPr>
          <w:i/>
        </w:rPr>
        <w:t>Id.</w:t>
      </w:r>
    </w:p>
  </w:footnote>
  <w:footnote w:id="352">
    <w:p w:rsidR="002E221B" w:rsidRPr="00661179" w:rsidP="00BB6F6B">
      <w:pPr>
        <w:pStyle w:val="FootnoteText"/>
      </w:pPr>
      <w:r w:rsidRPr="00661179">
        <w:rPr>
          <w:rStyle w:val="FootnoteReference"/>
        </w:rPr>
        <w:footnoteRef/>
      </w:r>
      <w:r>
        <w:rPr>
          <w:i/>
        </w:rPr>
        <w:t xml:space="preserve"> </w:t>
      </w:r>
      <w:r w:rsidRPr="00661179">
        <w:rPr>
          <w:i/>
        </w:rPr>
        <w:t>Id</w:t>
      </w:r>
      <w:r w:rsidRPr="00661179">
        <w:t>.</w:t>
      </w:r>
    </w:p>
  </w:footnote>
  <w:footnote w:id="353">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13 CFR § 121.201, NAICS code 517919.</w:t>
      </w:r>
    </w:p>
  </w:footnote>
  <w:footnote w:id="354">
    <w:p w:rsidR="002E221B" w:rsidRPr="00661179" w:rsidP="00BB6F6B">
      <w:pPr>
        <w:pStyle w:val="FootnoteText"/>
      </w:pPr>
      <w:r w:rsidRPr="00661179">
        <w:rPr>
          <w:rStyle w:val="FootnoteReference"/>
        </w:rPr>
        <w:footnoteRef/>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EC1251SSSZ4, Information: Subject Series - Estab and Firm Size: </w:t>
      </w:r>
      <w:r w:rsidRPr="00661179">
        <w:rPr>
          <w:bCs/>
        </w:rPr>
        <w:t>Receipts Size of Firms for the United States: 2012</w:t>
      </w:r>
      <w:r w:rsidRPr="00661179">
        <w:t xml:space="preserve">, NAICS code 517919, </w:t>
      </w:r>
      <w:hyperlink r:id="rId34" w:history="1">
        <w:r w:rsidRPr="00661179">
          <w:rPr>
            <w:rStyle w:val="Hyperlink"/>
          </w:rPr>
          <w:t>https://factfinder.census.gov/bkmk/table/1.0/en/ECN/2012_US/51SSSZ4//naics~517919</w:t>
        </w:r>
      </w:hyperlink>
      <w:r w:rsidRPr="00661179">
        <w:rPr>
          <w:rStyle w:val="Hyperlink"/>
        </w:rPr>
        <w:t>.</w:t>
      </w:r>
    </w:p>
  </w:footnote>
  <w:footnote w:id="355">
    <w:p w:rsidR="002E221B" w:rsidRPr="00661179" w:rsidP="00BB6F6B">
      <w:pPr>
        <w:pStyle w:val="FootnoteText"/>
      </w:pPr>
      <w:r w:rsidRPr="00661179">
        <w:rPr>
          <w:rStyle w:val="FootnoteReference"/>
        </w:rPr>
        <w:footnoteRef/>
      </w:r>
      <w:r w:rsidRPr="00661179">
        <w:t xml:space="preserve"> </w:t>
      </w:r>
      <w:r w:rsidRPr="00661179">
        <w:rPr>
          <w:i/>
        </w:rPr>
        <w:t>Id.</w:t>
      </w:r>
    </w:p>
  </w:footnote>
  <w:footnote w:id="356">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47 CFR § 52.101(b).</w:t>
      </w:r>
    </w:p>
  </w:footnote>
  <w:footnote w:id="357">
    <w:p w:rsidR="002E221B" w:rsidRPr="00661179" w:rsidP="00BB6F6B">
      <w:pPr>
        <w:pStyle w:val="FootnoteText"/>
      </w:pPr>
      <w:r w:rsidRPr="00661179">
        <w:rPr>
          <w:rStyle w:val="FootnoteReference"/>
        </w:rPr>
        <w:footnoteRef/>
      </w:r>
      <w:r w:rsidRPr="00661179">
        <w:t xml:space="preserve"> 13 CFR § 121.201, NAICS code 517110.</w:t>
      </w:r>
    </w:p>
  </w:footnote>
  <w:footnote w:id="358">
    <w:p w:rsidR="002E221B" w:rsidRPr="00661179" w:rsidP="00BB6F6B">
      <w:pPr>
        <w:pStyle w:val="FootnoteText"/>
      </w:pPr>
      <w:r w:rsidRPr="00661179">
        <w:rPr>
          <w:rStyle w:val="FootnoteReference"/>
        </w:rPr>
        <w:footnoteRef/>
      </w:r>
      <w:r w:rsidRPr="00661179">
        <w:t xml:space="preserve"> </w:t>
      </w:r>
      <w:r w:rsidRPr="00661179">
        <w:rPr>
          <w:i/>
        </w:rPr>
        <w:t>Id</w:t>
      </w:r>
      <w:r w:rsidRPr="00661179">
        <w:t>.</w:t>
      </w:r>
    </w:p>
  </w:footnote>
  <w:footnote w:id="359">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13 CFR § 120.201.  The Wired Telecommunications Carrier category formerly used the NAICS code of 517110. As of 2017 the U.S. Census Bureau definition shows the NAICS code as 517311 for Wired Telecommunications Carriers.  </w:t>
      </w:r>
      <w:r w:rsidRPr="00661179">
        <w:rPr>
          <w:i/>
        </w:rPr>
        <w:t xml:space="preserve">See </w:t>
      </w:r>
      <w:r w:rsidRPr="00661179">
        <w:t xml:space="preserve">U.S. Census Bureau, </w:t>
      </w:r>
      <w:r w:rsidRPr="00661179">
        <w:rPr>
          <w:i/>
        </w:rPr>
        <w:t>2017 NAICS</w:t>
      </w:r>
      <w:r w:rsidRPr="00661179">
        <w:rPr>
          <w:i/>
        </w:rPr>
        <w:t xml:space="preserve"> Definition</w:t>
      </w:r>
      <w:r w:rsidRPr="00661179">
        <w:t xml:space="preserve">, </w:t>
      </w:r>
      <w:hyperlink r:id="rId20" w:history="1">
        <w:r w:rsidRPr="00661179">
          <w:rPr>
            <w:rStyle w:val="Hyperlink"/>
          </w:rPr>
          <w:t>https://www.census.gov/cgi-bin/sssd/naics/naicsrch?code=517311&amp;search=2017</w:t>
        </w:r>
      </w:hyperlink>
      <w:r w:rsidRPr="00661179">
        <w:t xml:space="preserve">. </w:t>
      </w:r>
    </w:p>
  </w:footnote>
  <w:footnote w:id="360">
    <w:p w:rsidR="002E221B" w:rsidRPr="00661179" w:rsidP="00BB6F6B">
      <w:pPr>
        <w:pStyle w:val="FootnoteText"/>
      </w:pPr>
      <w:r w:rsidRPr="00661179">
        <w:rPr>
          <w:rStyle w:val="FootnoteReference"/>
        </w:rPr>
        <w:footnoteRef/>
      </w:r>
      <w:r w:rsidRPr="00661179">
        <w:rPr>
          <w:i/>
          <w:snapToGrid w:val="0"/>
        </w:rPr>
        <w:t xml:space="preserve"> See</w:t>
      </w:r>
      <w:r w:rsidRPr="00661179">
        <w:rPr>
          <w:snapToGrid w:val="0"/>
        </w:rPr>
        <w:t xml:space="preserve"> 13 CFR </w:t>
      </w:r>
      <w:r w:rsidRPr="00661179">
        <w:rPr>
          <w:rStyle w:val="Footnote"/>
          <w:snapToGrid w:val="0"/>
        </w:rPr>
        <w:t>§</w:t>
      </w:r>
      <w:r w:rsidRPr="00661179">
        <w:rPr>
          <w:snapToGrid w:val="0"/>
        </w:rPr>
        <w:t xml:space="preserve"> 120.201, NAICS Code 517311 (previously 517110)</w:t>
      </w:r>
      <w:r w:rsidRPr="00661179">
        <w:t>.</w:t>
      </w:r>
    </w:p>
  </w:footnote>
  <w:footnote w:id="361">
    <w:p w:rsidR="002E221B" w:rsidRPr="00661179" w:rsidP="00BB6F6B">
      <w:pPr>
        <w:pStyle w:val="FootnoteText"/>
      </w:pPr>
      <w:r w:rsidRPr="00661179">
        <w:rPr>
          <w:rStyle w:val="FootnoteReference"/>
        </w:rPr>
        <w:footnoteRef/>
      </w:r>
      <w:r w:rsidRPr="00661179">
        <w:t xml:space="preserve"> </w:t>
      </w:r>
      <w:r w:rsidRPr="00661179">
        <w:rPr>
          <w:i/>
        </w:rPr>
        <w:t>See</w:t>
      </w:r>
      <w:r w:rsidRPr="00661179">
        <w:t xml:space="preserve"> U.S. C</w:t>
      </w:r>
      <w:r w:rsidRPr="00661179">
        <w:t xml:space="preserve">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Size: Employment Size of Firms: 2012</w:t>
      </w:r>
      <w:r w:rsidRPr="00661179">
        <w:t xml:space="preserve"> (517110 Wired Telecommunications Carriers). </w:t>
      </w:r>
      <w:hyperlink r:id="rId21" w:history="1">
        <w:r w:rsidRPr="00661179">
          <w:rPr>
            <w:rStyle w:val="Hyperlink"/>
          </w:rPr>
          <w:t>https://factfinder.census.gov/bkmk/table/1.0/en/ECN/2012_US/51SSSZ5//naics~517110</w:t>
        </w:r>
      </w:hyperlink>
      <w:r w:rsidRPr="00661179">
        <w:t>.</w:t>
      </w:r>
    </w:p>
  </w:footnote>
  <w:footnote w:id="362">
    <w:p w:rsidR="002E221B" w:rsidRPr="00661179" w:rsidP="00BB6F6B">
      <w:pPr>
        <w:pStyle w:val="FootnoteText"/>
      </w:pPr>
      <w:r w:rsidRPr="00661179">
        <w:rPr>
          <w:rStyle w:val="FootnoteReference"/>
        </w:rPr>
        <w:footnoteRef/>
      </w:r>
      <w:r w:rsidRPr="00661179">
        <w:t xml:space="preserve"> </w:t>
      </w:r>
      <w:r w:rsidRPr="00661179">
        <w:rPr>
          <w:i/>
        </w:rPr>
        <w:t>Id.</w:t>
      </w:r>
    </w:p>
  </w:footnote>
  <w:footnote w:id="363">
    <w:p w:rsidR="002E221B" w:rsidRPr="00661179" w:rsidP="00BB6F6B">
      <w:pPr>
        <w:pStyle w:val="FootnoteText"/>
      </w:pPr>
      <w:r w:rsidRPr="00661179">
        <w:rPr>
          <w:rStyle w:val="FootnoteReference"/>
        </w:rPr>
        <w:footnoteRef/>
      </w:r>
      <w:r w:rsidRPr="00661179">
        <w:t xml:space="preserve"> U.S. Census Bureau, 2012 NAICS Definitions, “</w:t>
      </w:r>
      <w:r w:rsidRPr="00661179">
        <w:rPr>
          <w:bCs/>
        </w:rPr>
        <w:t xml:space="preserve">517210 Wireless Telecommunications Carriers (Except Satellite).” </w:t>
      </w:r>
      <w:r w:rsidRPr="00661179">
        <w:t xml:space="preserve"> </w:t>
      </w:r>
      <w:r w:rsidRPr="00661179">
        <w:rPr>
          <w:i/>
        </w:rPr>
        <w:t>See</w:t>
      </w:r>
      <w:r w:rsidRPr="00661179">
        <w:t xml:space="preserve"> </w:t>
      </w:r>
      <w:hyperlink r:id="rId25" w:history="1">
        <w:r w:rsidRPr="00661179">
          <w:rPr>
            <w:rStyle w:val="Hyperlink"/>
          </w:rPr>
          <w:t>https://factfinder.census.gov/faces/affhelp/jsf/pages/metadata.xhtml?lang=en&amp;type=</w:t>
        </w:r>
        <w:r w:rsidRPr="00661179">
          <w:rPr>
            <w:rStyle w:val="Hyperlink"/>
          </w:rPr>
          <w:br/>
          <w:t>ib&amp;id=ib.en./ECN.NAICS2012.517210</w:t>
        </w:r>
      </w:hyperlink>
      <w:r w:rsidRPr="00661179">
        <w:t>.</w:t>
      </w:r>
    </w:p>
  </w:footnote>
  <w:footnote w:id="364">
    <w:p w:rsidR="002E221B" w:rsidRPr="00661179" w:rsidP="00BB6F6B">
      <w:pPr>
        <w:pStyle w:val="FootnoteText"/>
      </w:pPr>
      <w:r w:rsidRPr="00661179">
        <w:rPr>
          <w:rStyle w:val="FootnoteReference"/>
        </w:rPr>
        <w:footnoteRef/>
      </w:r>
      <w:r w:rsidRPr="00661179">
        <w:t xml:space="preserve"> 13 CFR §</w:t>
      </w:r>
      <w:r w:rsidRPr="00661179">
        <w:t xml:space="preserve"> 120.201, NAICS code 517120.</w:t>
      </w:r>
    </w:p>
  </w:footnote>
  <w:footnote w:id="365">
    <w:p w:rsidR="002E221B" w:rsidRPr="006C483B" w:rsidP="00BB6F6B">
      <w:pPr>
        <w:pStyle w:val="FootnoteText"/>
        <w:rPr>
          <w:rStyle w:val="Hyperlink"/>
        </w:rPr>
      </w:pPr>
      <w:r w:rsidRPr="00661179">
        <w:rPr>
          <w:rStyle w:val="FootnoteReference"/>
        </w:rPr>
        <w:footnoteRef/>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EC1251SSSZ5, Information: Subject Series: Estab and Firm Size: Employment Size of Firms for the U.S.: 2012 NAICS Code 517210.  </w:t>
      </w:r>
      <w:hyperlink r:id="rId26" w:history="1">
        <w:r w:rsidRPr="00661179">
          <w:rPr>
            <w:rStyle w:val="Hyperlink"/>
          </w:rPr>
          <w:t>https://factfinder.cens</w:t>
        </w:r>
        <w:r w:rsidRPr="00661179">
          <w:rPr>
            <w:rStyle w:val="Hyperlink"/>
          </w:rPr>
          <w:t>us.gov/bkmk/table/1.0/en/ECN/2012_US/51SSSZ5//naics~517210</w:t>
        </w:r>
      </w:hyperlink>
      <w:r w:rsidRPr="009F6361">
        <w:fldChar w:fldCharType="begin"/>
      </w:r>
      <w:r w:rsidRPr="00661179">
        <w:instrText>HYPERLINK "D:\\Users\\Deena.Shetler\\AppData\\Local\\Microsoft\\Windows\\INetCache\\Content.Outlook\\MNWOJT2Q\\</w:instrText>
      </w:r>
      <w:r w:rsidRPr="00661179">
        <w:cr/>
        <w:instrText>pid=ECN_2012_US_51SSSZ4&amp;prodType=table"</w:instrText>
      </w:r>
      <w:r w:rsidRPr="009F6361">
        <w:fldChar w:fldCharType="separate"/>
      </w:r>
    </w:p>
    <w:p w:rsidR="002E221B" w:rsidRPr="00661179" w:rsidP="00BB6F6B">
      <w:pPr>
        <w:pStyle w:val="FootnoteText"/>
      </w:pPr>
      <w:r w:rsidRPr="00661179">
        <w:rPr>
          <w:rStyle w:val="Hyperlink"/>
        </w:rPr>
        <w:t>pid=ECN_2012_US_51SSSZ4&amp;prodType=table</w:t>
      </w:r>
      <w:r w:rsidRPr="009F6361">
        <w:fldChar w:fldCharType="end"/>
      </w:r>
      <w:r w:rsidRPr="00661179">
        <w:t>.</w:t>
      </w:r>
    </w:p>
  </w:footnote>
  <w:footnote w:id="366">
    <w:p w:rsidR="002E221B" w:rsidRPr="00661179" w:rsidP="00BB6F6B">
      <w:pPr>
        <w:pStyle w:val="FootnoteText"/>
      </w:pPr>
      <w:r w:rsidRPr="00661179">
        <w:rPr>
          <w:rStyle w:val="FootnoteReference"/>
        </w:rPr>
        <w:footnoteRef/>
      </w:r>
      <w:r w:rsidRPr="00661179">
        <w:t xml:space="preserve"> 1</w:t>
      </w:r>
      <w:r w:rsidRPr="00661179">
        <w:t>3 CFR § 120.201, NAICS code 541890.</w:t>
      </w:r>
    </w:p>
  </w:footnote>
  <w:footnote w:id="367">
    <w:p w:rsidR="002E221B" w:rsidRPr="00661179" w:rsidP="00BB6F6B">
      <w:pPr>
        <w:pStyle w:val="FootnoteText"/>
      </w:pPr>
      <w:r w:rsidRPr="00661179">
        <w:rPr>
          <w:rStyle w:val="FootnoteReference"/>
        </w:rPr>
        <w:footnoteRef/>
      </w:r>
      <w:r w:rsidRPr="00661179">
        <w:t xml:space="preserve"> 13 CFR § 120.201, NAICS code 541618.</w:t>
      </w:r>
    </w:p>
  </w:footnote>
  <w:footnote w:id="368">
    <w:p w:rsidR="002E221B" w:rsidRPr="00661179" w:rsidP="00BB6F6B">
      <w:pPr>
        <w:pStyle w:val="FootnoteText"/>
      </w:pPr>
      <w:r w:rsidRPr="00661179">
        <w:rPr>
          <w:rStyle w:val="FootnoteReference"/>
        </w:rPr>
        <w:footnoteRef/>
      </w:r>
      <w:r w:rsidRPr="00661179">
        <w:t xml:space="preserve"> </w:t>
      </w:r>
      <w:r w:rsidRPr="00661179">
        <w:rPr>
          <w:rStyle w:val="Hyperlink"/>
        </w:rPr>
        <w:t>http://www.census,gov/cgi-bin/sssd/naics.naicsrch.</w:t>
      </w:r>
    </w:p>
  </w:footnote>
  <w:footnote w:id="369">
    <w:p w:rsidR="002E221B" w:rsidRPr="00661179" w:rsidP="00BB6F6B">
      <w:pPr>
        <w:pStyle w:val="FootnoteText"/>
      </w:pPr>
      <w:r w:rsidRPr="00661179">
        <w:rPr>
          <w:rStyle w:val="FootnoteReference"/>
        </w:rPr>
        <w:footnoteRef/>
      </w:r>
      <w:r w:rsidRPr="00661179">
        <w:t xml:space="preserve"> 13 CFR § 120.201, NAICS code 541890.</w:t>
      </w:r>
    </w:p>
  </w:footnote>
  <w:footnote w:id="370">
    <w:p w:rsidR="002E221B" w:rsidRPr="00661179" w:rsidP="00BB6F6B">
      <w:pPr>
        <w:pStyle w:val="FootnoteText"/>
      </w:pPr>
      <w:r w:rsidRPr="00661179">
        <w:rPr>
          <w:rStyle w:val="FootnoteReference"/>
        </w:rPr>
        <w:footnoteRef/>
      </w:r>
      <w:r w:rsidRPr="00661179">
        <w:t xml:space="preserve"> </w:t>
      </w:r>
      <w:r w:rsidRPr="00F4003D">
        <w:fldChar w:fldCharType="begin"/>
      </w:r>
      <w:r w:rsidRPr="00661179">
        <w:instrText xml:space="preserve"> HYPERLINK "http://factfinder.census.gov/faces/tableservices/jsf/pages/productview.xhtml?</w:instrText>
      </w:r>
    </w:p>
    <w:p w:rsidR="002E221B" w:rsidRPr="00661179" w:rsidP="00BB6F6B">
      <w:pPr>
        <w:pStyle w:val="FootnoteText"/>
        <w:rPr>
          <w:rStyle w:val="Hyperlink"/>
        </w:rPr>
      </w:pPr>
      <w:r w:rsidRPr="006C483B">
        <w:instrText xml:space="preserve">pid=ECN_2012_US_51SSSZ4&amp;prodType=table" </w:instrText>
      </w:r>
      <w:r w:rsidRPr="00F4003D">
        <w:fldChar w:fldCharType="separate"/>
      </w:r>
      <w:r w:rsidRPr="00661179">
        <w:rPr>
          <w:rStyle w:val="Hyperlink"/>
        </w:rPr>
        <w:t>http://factfinder.census.gov/faces/tableservices/jsf/pages/productview.xhtml?</w:t>
      </w:r>
    </w:p>
    <w:p w:rsidR="002E221B" w:rsidRPr="00661179" w:rsidP="00BB6F6B">
      <w:pPr>
        <w:pStyle w:val="FootnoteText"/>
      </w:pPr>
      <w:r w:rsidRPr="00661179">
        <w:rPr>
          <w:rStyle w:val="Hyperlink"/>
        </w:rPr>
        <w:t>pid=ECN_2012_US_51SSSZ4&amp;prodType=table</w:t>
      </w:r>
      <w:r w:rsidRPr="00F4003D">
        <w:fldChar w:fldCharType="end"/>
      </w:r>
      <w:r w:rsidRPr="00661179">
        <w:t>.</w:t>
      </w:r>
    </w:p>
  </w:footnote>
  <w:footnote w:id="371">
    <w:p w:rsidR="002E221B" w:rsidRPr="00661179" w:rsidP="00BB6F6B">
      <w:pPr>
        <w:pStyle w:val="FootnoteText"/>
      </w:pPr>
      <w:r w:rsidRPr="00661179">
        <w:rPr>
          <w:rStyle w:val="FootnoteReference"/>
        </w:rPr>
        <w:footnoteRef/>
      </w:r>
      <w:r w:rsidRPr="00661179">
        <w:t xml:space="preserve"> </w:t>
      </w:r>
      <w:r w:rsidRPr="00661179">
        <w:rPr>
          <w:rStyle w:val="Hyperlink"/>
        </w:rPr>
        <w:t>htt</w:t>
      </w:r>
      <w:r w:rsidRPr="00661179">
        <w:rPr>
          <w:rStyle w:val="Hyperlink"/>
        </w:rPr>
        <w:t>p://www.census,gov/cgi-bin/sssd/naics.naicsrch</w:t>
      </w:r>
      <w:r w:rsidRPr="00661179">
        <w:t>.</w:t>
      </w:r>
    </w:p>
  </w:footnote>
  <w:footnote w:id="372">
    <w:p w:rsidR="002E221B" w:rsidRPr="00661179" w:rsidP="00BB6F6B">
      <w:pPr>
        <w:pStyle w:val="FootnoteText"/>
      </w:pPr>
      <w:r w:rsidRPr="00661179">
        <w:rPr>
          <w:rStyle w:val="FootnoteReference"/>
        </w:rPr>
        <w:footnoteRef/>
      </w:r>
      <w:r w:rsidRPr="00661179">
        <w:t xml:space="preserve"> 13 CFR § 120.201, NAICS code 514618.</w:t>
      </w:r>
    </w:p>
  </w:footnote>
  <w:footnote w:id="373">
    <w:p w:rsidR="002E221B" w:rsidRPr="00661179" w:rsidP="00BB6F6B">
      <w:pPr>
        <w:pStyle w:val="FootnoteText"/>
      </w:pPr>
      <w:r w:rsidRPr="00661179">
        <w:rPr>
          <w:rStyle w:val="FootnoteReference"/>
        </w:rPr>
        <w:footnoteRef/>
      </w:r>
      <w:r w:rsidRPr="00661179">
        <w:t xml:space="preserve"> </w:t>
      </w:r>
      <w:r w:rsidRPr="00F4003D">
        <w:fldChar w:fldCharType="begin"/>
      </w:r>
      <w:r w:rsidRPr="00661179">
        <w:instrText xml:space="preserve"> HYPERLINK "http://factfinder.census.gov/faces/tableservices/jsf/pages/productview.xhtml?</w:instrText>
      </w:r>
    </w:p>
    <w:p w:rsidR="002E221B" w:rsidRPr="00661179" w:rsidP="00BB6F6B">
      <w:pPr>
        <w:pStyle w:val="FootnoteText"/>
        <w:rPr>
          <w:rStyle w:val="Hyperlink"/>
        </w:rPr>
      </w:pPr>
      <w:r w:rsidRPr="006C483B">
        <w:instrText xml:space="preserve">pid=ECN_2012_US_51SSSZ4&amp;prodType=table" </w:instrText>
      </w:r>
      <w:r w:rsidRPr="00F4003D">
        <w:fldChar w:fldCharType="separate"/>
      </w:r>
      <w:r w:rsidRPr="00661179">
        <w:rPr>
          <w:rStyle w:val="Hyperlink"/>
        </w:rPr>
        <w:t>http://factfinder.census.gov/faces/ta</w:t>
      </w:r>
      <w:r w:rsidRPr="00661179">
        <w:rPr>
          <w:rStyle w:val="Hyperlink"/>
        </w:rPr>
        <w:t>bleservices/jsf/pages/productview.xhtml?</w:t>
      </w:r>
    </w:p>
    <w:p w:rsidR="002E221B" w:rsidRPr="00661179" w:rsidP="00BB6F6B">
      <w:pPr>
        <w:pStyle w:val="FootnoteText"/>
      </w:pPr>
      <w:r w:rsidRPr="00661179">
        <w:rPr>
          <w:rStyle w:val="Hyperlink"/>
        </w:rPr>
        <w:t>pid=ECN_2012_US_51SSSZ4&amp;prodType=table</w:t>
      </w:r>
      <w:r w:rsidRPr="00F4003D">
        <w:fldChar w:fldCharType="end"/>
      </w:r>
      <w:r w:rsidRPr="00661179">
        <w:t>.</w:t>
      </w:r>
    </w:p>
  </w:footnote>
  <w:footnote w:id="374">
    <w:p w:rsidR="002E221B" w:rsidRPr="00661179" w:rsidP="00BB6F6B">
      <w:pPr>
        <w:pStyle w:val="FootnoteText"/>
      </w:pPr>
      <w:r w:rsidRPr="00661179">
        <w:rPr>
          <w:rStyle w:val="FootnoteReference"/>
        </w:rPr>
        <w:footnoteRef/>
      </w:r>
      <w:r w:rsidRPr="00661179">
        <w:t xml:space="preserve"> The four NAICS code-based categories selected above to provide definitions for Carrier and Non-Carrier RespOrgs were selected because as a group they refer generically an</w:t>
      </w:r>
      <w:r w:rsidRPr="00661179">
        <w:t xml:space="preserve">d comprehensively to all RespOrgs.   </w:t>
      </w:r>
    </w:p>
  </w:footnote>
  <w:footnote w:id="375">
    <w:p w:rsidR="002E221B" w:rsidRPr="00661179" w:rsidP="00BB6F6B">
      <w:pPr>
        <w:pStyle w:val="FootnoteText"/>
      </w:pPr>
      <w:r w:rsidRPr="00661179">
        <w:rPr>
          <w:rStyle w:val="FootnoteReference"/>
        </w:rPr>
        <w:footnoteRef/>
      </w:r>
      <w:r w:rsidRPr="00661179">
        <w:t xml:space="preserve"> 5 U.S.C. § 603(c)(1)–(c)(4).</w:t>
      </w:r>
    </w:p>
  </w:footnote>
  <w:footnote w:id="376">
    <w:p w:rsidR="002E221B" w:rsidRPr="00661179" w:rsidP="00BB6F6B">
      <w:pPr>
        <w:pStyle w:val="FootnoteText"/>
      </w:pPr>
      <w:r w:rsidRPr="00661179">
        <w:rPr>
          <w:rStyle w:val="FootnoteReference"/>
        </w:rPr>
        <w:footnoteRef/>
      </w:r>
      <w:r w:rsidRPr="00661179">
        <w:t xml:space="preserve"> 47 U.S.C. § 158(a).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21B" w:rsidP="00810B6F">
    <w:pPr>
      <w:pStyle w:val="Header"/>
      <w:rPr>
        <w:b w:val="0"/>
      </w:rPr>
    </w:pPr>
    <w:r>
      <w:tab/>
      <w:t xml:space="preserve">Federal </w:t>
    </w:r>
    <w:r>
      <w:t>Communications Commission</w:t>
    </w:r>
    <w:r>
      <w:tab/>
    </w:r>
    <w:r w:rsidR="001853C6">
      <w:rPr>
        <w:spacing w:val="-2"/>
      </w:rPr>
      <w:t>FCC 20-116</w:t>
    </w:r>
  </w:p>
  <w:p w:rsidR="002E221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E221B">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21B"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C35E3">
      <w:rPr>
        <w:spacing w:val="-2"/>
      </w:rPr>
      <w:t>FCC 20-116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25C92"/>
    <w:multiLevelType w:val="hybridMultilevel"/>
    <w:tmpl w:val="F228A92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995BDA"/>
    <w:multiLevelType w:val="hybridMultilevel"/>
    <w:tmpl w:val="329ABB7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3152E56"/>
    <w:multiLevelType w:val="hybridMultilevel"/>
    <w:tmpl w:val="292CBFE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F16FDC"/>
    <w:multiLevelType w:val="singleLevel"/>
    <w:tmpl w:val="16F8776C"/>
    <w:lvl w:ilvl="0">
      <w:start w:val="0"/>
      <w:numFmt w:val="decimal"/>
      <w:pStyle w:val="Checklist"/>
      <w:lvlText w:val="*"/>
      <w:lvlJc w:val="left"/>
    </w:lvl>
  </w:abstractNum>
  <w:abstractNum w:abstractNumId="5">
    <w:nsid w:val="16777674"/>
    <w:multiLevelType w:val="hybridMultilevel"/>
    <w:tmpl w:val="B28AD12E"/>
    <w:lvl w:ilvl="0">
      <w:start w:val="1"/>
      <w:numFmt w:val="lowerRoman"/>
      <w:lvlText w:val="%1."/>
      <w:lvlJc w:val="left"/>
      <w:pPr>
        <w:ind w:left="825" w:hanging="720"/>
      </w:pPr>
      <w:rPr>
        <w:rFonts w:hint="default"/>
      </w:rPr>
    </w:lvl>
    <w:lvl w:ilvl="1" w:tentative="1">
      <w:start w:val="1"/>
      <w:numFmt w:val="lowerLetter"/>
      <w:lvlText w:val="%2."/>
      <w:lvlJc w:val="left"/>
      <w:pPr>
        <w:ind w:left="1185" w:hanging="360"/>
      </w:pPr>
    </w:lvl>
    <w:lvl w:ilvl="2" w:tentative="1">
      <w:start w:val="1"/>
      <w:numFmt w:val="lowerRoman"/>
      <w:lvlText w:val="%3."/>
      <w:lvlJc w:val="right"/>
      <w:pPr>
        <w:ind w:left="1905" w:hanging="180"/>
      </w:pPr>
    </w:lvl>
    <w:lvl w:ilvl="3" w:tentative="1">
      <w:start w:val="1"/>
      <w:numFmt w:val="decimal"/>
      <w:lvlText w:val="%4."/>
      <w:lvlJc w:val="left"/>
      <w:pPr>
        <w:ind w:left="2625" w:hanging="360"/>
      </w:pPr>
    </w:lvl>
    <w:lvl w:ilvl="4" w:tentative="1">
      <w:start w:val="1"/>
      <w:numFmt w:val="lowerLetter"/>
      <w:lvlText w:val="%5."/>
      <w:lvlJc w:val="left"/>
      <w:pPr>
        <w:ind w:left="3345" w:hanging="360"/>
      </w:pPr>
    </w:lvl>
    <w:lvl w:ilvl="5" w:tentative="1">
      <w:start w:val="1"/>
      <w:numFmt w:val="lowerRoman"/>
      <w:lvlText w:val="%6."/>
      <w:lvlJc w:val="right"/>
      <w:pPr>
        <w:ind w:left="4065" w:hanging="180"/>
      </w:pPr>
    </w:lvl>
    <w:lvl w:ilvl="6" w:tentative="1">
      <w:start w:val="1"/>
      <w:numFmt w:val="decimal"/>
      <w:lvlText w:val="%7."/>
      <w:lvlJc w:val="left"/>
      <w:pPr>
        <w:ind w:left="4785" w:hanging="360"/>
      </w:pPr>
    </w:lvl>
    <w:lvl w:ilvl="7" w:tentative="1">
      <w:start w:val="1"/>
      <w:numFmt w:val="lowerLetter"/>
      <w:lvlText w:val="%8."/>
      <w:lvlJc w:val="left"/>
      <w:pPr>
        <w:ind w:left="5505" w:hanging="360"/>
      </w:pPr>
    </w:lvl>
    <w:lvl w:ilvl="8" w:tentative="1">
      <w:start w:val="1"/>
      <w:numFmt w:val="lowerRoman"/>
      <w:lvlText w:val="%9."/>
      <w:lvlJc w:val="right"/>
      <w:pPr>
        <w:ind w:left="6225" w:hanging="180"/>
      </w:pPr>
    </w:lvl>
  </w:abstractNum>
  <w:abstractNum w:abstractNumId="6">
    <w:nsid w:val="184536D6"/>
    <w:multiLevelType w:val="hybridMultilevel"/>
    <w:tmpl w:val="9714413C"/>
    <w:lvl w:ilvl="0">
      <w:start w:val="9"/>
      <w:numFmt w:val="decimal"/>
      <w:pStyle w:val="ZEarlylateBullet"/>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C663CDC"/>
    <w:multiLevelType w:val="singleLevel"/>
    <w:tmpl w:val="F2B80154"/>
    <w:lvl w:ilvl="0">
      <w:start w:val="0"/>
      <w:numFmt w:val="decimal"/>
      <w:pStyle w:val="HowToList"/>
      <w:lvlText w:val="*"/>
      <w:lvlJc w:val="left"/>
    </w:lvl>
  </w:abstractNum>
  <w:abstractNum w:abstractNumId="8">
    <w:nsid w:val="1F9B4575"/>
    <w:multiLevelType w:val="hybridMultilevel"/>
    <w:tmpl w:val="8E76C8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28E6527"/>
    <w:multiLevelType w:val="hybridMultilevel"/>
    <w:tmpl w:val="40429AD6"/>
    <w:lvl w:ilvl="0">
      <w:start w:val="4"/>
      <w:numFmt w:val="bullet"/>
      <w:pStyle w:val="WhiteBoardTex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A17F0A"/>
    <w:multiLevelType w:val="singleLevel"/>
    <w:tmpl w:val="D9926D52"/>
    <w:lvl w:ilvl="0">
      <w:start w:val="0"/>
      <w:numFmt w:val="decimal"/>
      <w:pStyle w:val="IGNoteOdd"/>
      <w:lvlText w:val="*"/>
      <w:lvlJc w:val="left"/>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1E25FD5"/>
    <w:multiLevelType w:val="singleLevel"/>
    <w:tmpl w:val="4DCCE696"/>
    <w:lvl w:ilvl="0">
      <w:start w:val="1"/>
      <w:numFmt w:val="decimal"/>
      <w:pStyle w:val="IGNote"/>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68D03F2"/>
    <w:multiLevelType w:val="hybridMultilevel"/>
    <w:tmpl w:val="0818D75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3A7442DC"/>
    <w:multiLevelType w:val="hybridMultilevel"/>
    <w:tmpl w:val="7876D7E4"/>
    <w:lvl w:ilvl="0">
      <w:start w:val="1"/>
      <w:numFmt w:val="bullet"/>
      <w:pStyle w:val="ModSkills"/>
      <w:lvlText w:val=""/>
      <w:lvlJc w:val="left"/>
      <w:pPr>
        <w:tabs>
          <w:tab w:val="num" w:pos="645"/>
        </w:tabs>
        <w:ind w:left="645" w:hanging="360"/>
      </w:pPr>
      <w:rPr>
        <w:rFonts w:ascii="Symbol" w:eastAsia="Times New Roman" w:hAnsi="Symbol" w:cs="Times New Roman" w:hint="default"/>
      </w:rPr>
    </w:lvl>
    <w:lvl w:ilvl="1" w:tentative="1">
      <w:start w:val="1"/>
      <w:numFmt w:val="bullet"/>
      <w:lvlText w:val="o"/>
      <w:lvlJc w:val="left"/>
      <w:pPr>
        <w:tabs>
          <w:tab w:val="num" w:pos="1365"/>
        </w:tabs>
        <w:ind w:left="1365" w:hanging="360"/>
      </w:pPr>
      <w:rPr>
        <w:rFonts w:ascii="Courier New" w:hAnsi="Courier New" w:cs="Courier New" w:hint="default"/>
      </w:rPr>
    </w:lvl>
    <w:lvl w:ilvl="2" w:tentative="1">
      <w:start w:val="1"/>
      <w:numFmt w:val="bullet"/>
      <w:lvlText w:val=""/>
      <w:lvlJc w:val="left"/>
      <w:pPr>
        <w:tabs>
          <w:tab w:val="num" w:pos="2085"/>
        </w:tabs>
        <w:ind w:left="2085" w:hanging="360"/>
      </w:pPr>
      <w:rPr>
        <w:rFonts w:ascii="Wingdings" w:hAnsi="Wingdings" w:hint="default"/>
      </w:rPr>
    </w:lvl>
    <w:lvl w:ilvl="3" w:tentative="1">
      <w:start w:val="1"/>
      <w:numFmt w:val="bullet"/>
      <w:lvlText w:val=""/>
      <w:lvlJc w:val="left"/>
      <w:pPr>
        <w:tabs>
          <w:tab w:val="num" w:pos="2805"/>
        </w:tabs>
        <w:ind w:left="2805" w:hanging="360"/>
      </w:pPr>
      <w:rPr>
        <w:rFonts w:ascii="Symbol" w:hAnsi="Symbol" w:hint="default"/>
      </w:rPr>
    </w:lvl>
    <w:lvl w:ilvl="4" w:tentative="1">
      <w:start w:val="1"/>
      <w:numFmt w:val="bullet"/>
      <w:lvlText w:val="o"/>
      <w:lvlJc w:val="left"/>
      <w:pPr>
        <w:tabs>
          <w:tab w:val="num" w:pos="3525"/>
        </w:tabs>
        <w:ind w:left="3525" w:hanging="360"/>
      </w:pPr>
      <w:rPr>
        <w:rFonts w:ascii="Courier New" w:hAnsi="Courier New" w:cs="Courier New" w:hint="default"/>
      </w:rPr>
    </w:lvl>
    <w:lvl w:ilvl="5" w:tentative="1">
      <w:start w:val="1"/>
      <w:numFmt w:val="bullet"/>
      <w:lvlText w:val=""/>
      <w:lvlJc w:val="left"/>
      <w:pPr>
        <w:tabs>
          <w:tab w:val="num" w:pos="4245"/>
        </w:tabs>
        <w:ind w:left="4245" w:hanging="360"/>
      </w:pPr>
      <w:rPr>
        <w:rFonts w:ascii="Wingdings" w:hAnsi="Wingdings" w:hint="default"/>
      </w:rPr>
    </w:lvl>
    <w:lvl w:ilvl="6" w:tentative="1">
      <w:start w:val="1"/>
      <w:numFmt w:val="bullet"/>
      <w:lvlText w:val=""/>
      <w:lvlJc w:val="left"/>
      <w:pPr>
        <w:tabs>
          <w:tab w:val="num" w:pos="4965"/>
        </w:tabs>
        <w:ind w:left="4965" w:hanging="360"/>
      </w:pPr>
      <w:rPr>
        <w:rFonts w:ascii="Symbol" w:hAnsi="Symbol" w:hint="default"/>
      </w:rPr>
    </w:lvl>
    <w:lvl w:ilvl="7" w:tentative="1">
      <w:start w:val="1"/>
      <w:numFmt w:val="bullet"/>
      <w:lvlText w:val="o"/>
      <w:lvlJc w:val="left"/>
      <w:pPr>
        <w:tabs>
          <w:tab w:val="num" w:pos="5685"/>
        </w:tabs>
        <w:ind w:left="5685" w:hanging="360"/>
      </w:pPr>
      <w:rPr>
        <w:rFonts w:ascii="Courier New" w:hAnsi="Courier New" w:cs="Courier New" w:hint="default"/>
      </w:rPr>
    </w:lvl>
    <w:lvl w:ilvl="8" w:tentative="1">
      <w:start w:val="1"/>
      <w:numFmt w:val="bullet"/>
      <w:lvlText w:val=""/>
      <w:lvlJc w:val="left"/>
      <w:pPr>
        <w:tabs>
          <w:tab w:val="num" w:pos="6405"/>
        </w:tabs>
        <w:ind w:left="6405" w:hanging="360"/>
      </w:pPr>
      <w:rPr>
        <w:rFonts w:ascii="Wingdings" w:hAnsi="Wingdings" w:hint="default"/>
      </w:rPr>
    </w:lvl>
  </w:abstractNum>
  <w:abstractNum w:abstractNumId="18">
    <w:nsid w:val="3E881B80"/>
    <w:multiLevelType w:val="singleLevel"/>
    <w:tmpl w:val="82627A1A"/>
    <w:lvl w:ilvl="0">
      <w:start w:val="1"/>
      <w:numFmt w:val="bullet"/>
      <w:pStyle w:val="VersionText"/>
      <w:lvlText w:val=""/>
      <w:lvlJc w:val="left"/>
      <w:pPr>
        <w:tabs>
          <w:tab w:val="num" w:pos="360"/>
        </w:tabs>
        <w:ind w:left="360" w:hanging="360"/>
      </w:pPr>
      <w:rPr>
        <w:rFonts w:ascii="ZapfDingbats" w:hAnsi="ZapfDingbats" w:hint="default"/>
        <w:sz w:val="24"/>
      </w:rPr>
    </w:lvl>
  </w:abstractNum>
  <w:abstractNum w:abstractNumId="19">
    <w:nsid w:val="433E73DF"/>
    <w:multiLevelType w:val="hybridMultilevel"/>
    <w:tmpl w:val="72E42BF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F983224"/>
    <w:multiLevelType w:val="singleLevel"/>
    <w:tmpl w:val="A57E4C84"/>
    <w:lvl w:ilvl="0">
      <w:start w:val="1"/>
      <w:numFmt w:val="bullet"/>
      <w:pStyle w:val="ZFirstFooterOdd"/>
      <w:lvlText w:val=""/>
      <w:legacy w:legacy="1" w:legacySpace="0" w:legacyIndent="360"/>
      <w:lvlJc w:val="left"/>
      <w:pPr>
        <w:ind w:left="360" w:hanging="360"/>
      </w:pPr>
      <w:rPr>
        <w:rFonts w:ascii="Wingdings" w:hAnsi="Wingdings" w:hint="default"/>
        <w:sz w:val="24"/>
      </w:rPr>
    </w:lvl>
  </w:abstractNum>
  <w:abstractNum w:abstractNumId="22">
    <w:nsid w:val="50A6307A"/>
    <w:multiLevelType w:val="singleLevel"/>
    <w:tmpl w:val="C5F6FCD8"/>
    <w:lvl w:ilvl="0">
      <w:start w:val="1"/>
      <w:numFmt w:val="bullet"/>
      <w:pStyle w:val="ZNotesHeader"/>
      <w:lvlText w:val=""/>
      <w:lvlJc w:val="left"/>
      <w:pPr>
        <w:tabs>
          <w:tab w:val="num" w:pos="360"/>
        </w:tabs>
        <w:ind w:left="360" w:hanging="360"/>
      </w:pPr>
      <w:rPr>
        <w:rFonts w:ascii="Symbol" w:hAnsi="Symbol" w:hint="default"/>
      </w:rPr>
    </w:lvl>
  </w:abstractNum>
  <w:abstractNum w:abstractNumId="23">
    <w:nsid w:val="524C6ED7"/>
    <w:multiLevelType w:val="hybridMultilevel"/>
    <w:tmpl w:val="DBA0394E"/>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2407AFB"/>
    <w:multiLevelType w:val="hybridMultilevel"/>
    <w:tmpl w:val="D3D4287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7BA2302"/>
    <w:multiLevelType w:val="hybridMultilevel"/>
    <w:tmpl w:val="F2AEBC92"/>
    <w:lvl w:ilvl="0">
      <w:start w:val="1"/>
      <w:numFmt w:val="bullet"/>
      <w:pStyle w:val="MouseTask"/>
      <w:lvlText w:val=""/>
      <w:lvlJc w:val="left"/>
      <w:pPr>
        <w:tabs>
          <w:tab w:val="num" w:pos="645"/>
        </w:tabs>
        <w:ind w:left="645" w:hanging="360"/>
      </w:pPr>
      <w:rPr>
        <w:rFonts w:ascii="Symbol" w:eastAsia="Times New Roman" w:hAnsi="Symbol" w:cs="Times New Roman" w:hint="default"/>
      </w:rPr>
    </w:lvl>
    <w:lvl w:ilvl="1" w:tentative="1">
      <w:start w:val="1"/>
      <w:numFmt w:val="bullet"/>
      <w:lvlText w:val="o"/>
      <w:lvlJc w:val="left"/>
      <w:pPr>
        <w:tabs>
          <w:tab w:val="num" w:pos="1365"/>
        </w:tabs>
        <w:ind w:left="1365" w:hanging="360"/>
      </w:pPr>
      <w:rPr>
        <w:rFonts w:ascii="Courier New" w:hAnsi="Courier New" w:cs="Courier New" w:hint="default"/>
      </w:rPr>
    </w:lvl>
    <w:lvl w:ilvl="2" w:tentative="1">
      <w:start w:val="1"/>
      <w:numFmt w:val="bullet"/>
      <w:lvlText w:val=""/>
      <w:lvlJc w:val="left"/>
      <w:pPr>
        <w:tabs>
          <w:tab w:val="num" w:pos="2085"/>
        </w:tabs>
        <w:ind w:left="2085" w:hanging="360"/>
      </w:pPr>
      <w:rPr>
        <w:rFonts w:ascii="Wingdings" w:hAnsi="Wingdings" w:hint="default"/>
      </w:rPr>
    </w:lvl>
    <w:lvl w:ilvl="3" w:tentative="1">
      <w:start w:val="1"/>
      <w:numFmt w:val="bullet"/>
      <w:lvlText w:val=""/>
      <w:lvlJc w:val="left"/>
      <w:pPr>
        <w:tabs>
          <w:tab w:val="num" w:pos="2805"/>
        </w:tabs>
        <w:ind w:left="2805" w:hanging="360"/>
      </w:pPr>
      <w:rPr>
        <w:rFonts w:ascii="Symbol" w:hAnsi="Symbol" w:hint="default"/>
      </w:rPr>
    </w:lvl>
    <w:lvl w:ilvl="4" w:tentative="1">
      <w:start w:val="1"/>
      <w:numFmt w:val="bullet"/>
      <w:lvlText w:val="o"/>
      <w:lvlJc w:val="left"/>
      <w:pPr>
        <w:tabs>
          <w:tab w:val="num" w:pos="3525"/>
        </w:tabs>
        <w:ind w:left="3525" w:hanging="360"/>
      </w:pPr>
      <w:rPr>
        <w:rFonts w:ascii="Courier New" w:hAnsi="Courier New" w:cs="Courier New" w:hint="default"/>
      </w:rPr>
    </w:lvl>
    <w:lvl w:ilvl="5" w:tentative="1">
      <w:start w:val="1"/>
      <w:numFmt w:val="bullet"/>
      <w:lvlText w:val=""/>
      <w:lvlJc w:val="left"/>
      <w:pPr>
        <w:tabs>
          <w:tab w:val="num" w:pos="4245"/>
        </w:tabs>
        <w:ind w:left="4245" w:hanging="360"/>
      </w:pPr>
      <w:rPr>
        <w:rFonts w:ascii="Wingdings" w:hAnsi="Wingdings" w:hint="default"/>
      </w:rPr>
    </w:lvl>
    <w:lvl w:ilvl="6" w:tentative="1">
      <w:start w:val="1"/>
      <w:numFmt w:val="bullet"/>
      <w:lvlText w:val=""/>
      <w:lvlJc w:val="left"/>
      <w:pPr>
        <w:tabs>
          <w:tab w:val="num" w:pos="4965"/>
        </w:tabs>
        <w:ind w:left="4965" w:hanging="360"/>
      </w:pPr>
      <w:rPr>
        <w:rFonts w:ascii="Symbol" w:hAnsi="Symbol" w:hint="default"/>
      </w:rPr>
    </w:lvl>
    <w:lvl w:ilvl="7" w:tentative="1">
      <w:start w:val="1"/>
      <w:numFmt w:val="bullet"/>
      <w:lvlText w:val="o"/>
      <w:lvlJc w:val="left"/>
      <w:pPr>
        <w:tabs>
          <w:tab w:val="num" w:pos="5685"/>
        </w:tabs>
        <w:ind w:left="5685" w:hanging="360"/>
      </w:pPr>
      <w:rPr>
        <w:rFonts w:ascii="Courier New" w:hAnsi="Courier New" w:cs="Courier New" w:hint="default"/>
      </w:rPr>
    </w:lvl>
    <w:lvl w:ilvl="8" w:tentative="1">
      <w:start w:val="1"/>
      <w:numFmt w:val="bullet"/>
      <w:lvlText w:val=""/>
      <w:lvlJc w:val="left"/>
      <w:pPr>
        <w:tabs>
          <w:tab w:val="num" w:pos="6405"/>
        </w:tabs>
        <w:ind w:left="6405" w:hanging="360"/>
      </w:pPr>
      <w:rPr>
        <w:rFonts w:ascii="Wingdings" w:hAnsi="Wingdings" w:hint="default"/>
      </w:rPr>
    </w:lvl>
  </w:abstractNum>
  <w:abstractNum w:abstractNumId="2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10173D8"/>
    <w:multiLevelType w:val="hybridMultilevel"/>
    <w:tmpl w:val="9920F630"/>
    <w:lvl w:ilvl="0">
      <w:start w:val="4"/>
      <w:numFmt w:val="lowerLetter"/>
      <w:pStyle w:val="SkillCheck"/>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1866834"/>
    <w:multiLevelType w:val="singleLevel"/>
    <w:tmpl w:val="A2F056EE"/>
    <w:lvl w:ilvl="0">
      <w:start w:val="1"/>
      <w:numFmt w:val="bullet"/>
      <w:pStyle w:val="Picture"/>
      <w:lvlText w:val=""/>
      <w:lvlJc w:val="left"/>
      <w:pPr>
        <w:tabs>
          <w:tab w:val="num" w:pos="720"/>
        </w:tabs>
        <w:ind w:left="360" w:hanging="360"/>
      </w:pPr>
      <w:rPr>
        <w:rFonts w:ascii="Wingdings" w:hAnsi="Wingdings" w:hint="default"/>
        <w:sz w:val="40"/>
      </w:rPr>
    </w:lvl>
  </w:abstractNum>
  <w:num w:numId="1">
    <w:abstractNumId w:val="25"/>
  </w:num>
  <w:num w:numId="2">
    <w:abstractNumId w:val="14"/>
  </w:num>
  <w:num w:numId="3">
    <w:abstractNumId w:val="14"/>
    <w:lvlOverride w:ilvl="0">
      <w:startOverride w:val="1"/>
    </w:lvlOverride>
    <w:lvlOverride w:ilvl="1">
      <w:startOverride w:val="1"/>
    </w:lvlOverride>
  </w:num>
  <w:num w:numId="4">
    <w:abstractNumId w:val="15"/>
  </w:num>
  <w:num w:numId="5">
    <w:abstractNumId w:val="24"/>
  </w:num>
  <w:num w:numId="6">
    <w:abstractNumId w:val="17"/>
  </w:num>
  <w:num w:numId="7">
    <w:abstractNumId w:val="27"/>
  </w:num>
  <w:num w:numId="8">
    <w:abstractNumId w:val="29"/>
  </w:num>
  <w:num w:numId="9">
    <w:abstractNumId w:val="10"/>
  </w:num>
  <w:num w:numId="10">
    <w:abstractNumId w:val="6"/>
  </w:num>
  <w:num w:numId="11">
    <w:abstractNumId w:val="4"/>
    <w:lvlOverride w:ilvl="0">
      <w:lvl w:ilvl="0">
        <w:start w:val="1"/>
        <w:numFmt w:val="bullet"/>
        <w:pStyle w:val="Checklist"/>
        <w:lvlText w:val=""/>
        <w:legacy w:legacy="1" w:legacySpace="0" w:legacyIndent="360"/>
        <w:lvlJc w:val="left"/>
        <w:pPr>
          <w:ind w:left="792" w:hanging="360"/>
        </w:pPr>
        <w:rPr>
          <w:rFonts w:ascii="Geneva" w:hAnsi="Geneva" w:hint="default"/>
          <w:sz w:val="24"/>
        </w:rPr>
      </w:lvl>
    </w:lvlOverride>
  </w:num>
  <w:num w:numId="12">
    <w:abstractNumId w:val="13"/>
    <w:lvlOverride w:ilvl="0">
      <w:lvl w:ilvl="0">
        <w:start w:val="1"/>
        <w:numFmt w:val="bullet"/>
        <w:pStyle w:val="IGNoteOdd"/>
        <w:lvlText w:val=""/>
        <w:legacy w:legacy="1" w:legacySpace="0" w:legacyIndent="216"/>
        <w:lvlJc w:val="left"/>
        <w:rPr>
          <w:rFonts w:ascii="ZapfDingbats" w:hAnsi="ZapfDingbats" w:hint="default"/>
          <w:sz w:val="28"/>
        </w:rPr>
      </w:lvl>
    </w:lvlOverride>
  </w:num>
  <w:num w:numId="13">
    <w:abstractNumId w:val="7"/>
    <w:lvlOverride w:ilvl="0">
      <w:lvl w:ilvl="0">
        <w:start w:val="1"/>
        <w:numFmt w:val="bullet"/>
        <w:pStyle w:val="HowToList"/>
        <w:lvlText w:val=""/>
        <w:lvlJc w:val="left"/>
        <w:pPr>
          <w:tabs>
            <w:tab w:val="num" w:pos="0"/>
          </w:tabs>
          <w:ind w:left="604" w:hanging="302"/>
        </w:pPr>
        <w:rPr>
          <w:rFonts w:ascii="ZapfDingbats" w:hAnsi="ZapfDingbats" w:hint="default"/>
        </w:rPr>
      </w:lvl>
    </w:lvlOverride>
  </w:num>
  <w:num w:numId="14">
    <w:abstractNumId w:val="18"/>
  </w:num>
  <w:num w:numId="15">
    <w:abstractNumId w:val="30"/>
  </w:num>
  <w:num w:numId="16">
    <w:abstractNumId w:val="21"/>
  </w:num>
  <w:num w:numId="17">
    <w:abstractNumId w:val="22"/>
  </w:num>
  <w:num w:numId="18">
    <w:abstractNumId w:val="16"/>
  </w:num>
  <w:num w:numId="19">
    <w:abstractNumId w:val="0"/>
  </w:num>
  <w:num w:numId="20">
    <w:abstractNumId w:val="3"/>
  </w:num>
  <w:num w:numId="21">
    <w:abstractNumId w:val="26"/>
  </w:num>
  <w:num w:numId="22">
    <w:abstractNumId w:val="5"/>
  </w:num>
  <w:num w:numId="23">
    <w:abstractNumId w:val="19"/>
  </w:num>
  <w:num w:numId="24">
    <w:abstractNumId w:val="8"/>
  </w:num>
  <w:num w:numId="25">
    <w:abstractNumId w:val="23"/>
  </w:num>
  <w:num w:numId="26">
    <w:abstractNumId w:val="25"/>
    <w:lvlOverride w:ilvl="0">
      <w:startOverride w:val="1"/>
    </w:lvlOverride>
  </w:num>
  <w:num w:numId="27">
    <w:abstractNumId w:val="9"/>
  </w:num>
  <w:num w:numId="28">
    <w:abstractNumId w:val="28"/>
  </w:num>
  <w:num w:numId="29">
    <w:abstractNumId w:val="2"/>
  </w:num>
  <w:num w:numId="30">
    <w:abstractNumId w:val="11"/>
  </w:num>
  <w:num w:numId="31">
    <w:abstractNumId w:val="20"/>
  </w:num>
  <w:num w:numId="32">
    <w:abstractNumId w:val="12"/>
  </w:num>
  <w:num w:numId="33">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CA"/>
    <w:rsid w:val="00000127"/>
    <w:rsid w:val="00000678"/>
    <w:rsid w:val="0000100D"/>
    <w:rsid w:val="00001214"/>
    <w:rsid w:val="0000125D"/>
    <w:rsid w:val="00001852"/>
    <w:rsid w:val="000026C1"/>
    <w:rsid w:val="00002DB0"/>
    <w:rsid w:val="00003325"/>
    <w:rsid w:val="0000341F"/>
    <w:rsid w:val="000034E7"/>
    <w:rsid w:val="00003697"/>
    <w:rsid w:val="00003900"/>
    <w:rsid w:val="00004434"/>
    <w:rsid w:val="00004CCA"/>
    <w:rsid w:val="00005417"/>
    <w:rsid w:val="00005F53"/>
    <w:rsid w:val="00006244"/>
    <w:rsid w:val="000067BB"/>
    <w:rsid w:val="00006946"/>
    <w:rsid w:val="00006E47"/>
    <w:rsid w:val="00006FEB"/>
    <w:rsid w:val="00007E8F"/>
    <w:rsid w:val="0001047C"/>
    <w:rsid w:val="0001072A"/>
    <w:rsid w:val="00010EF8"/>
    <w:rsid w:val="000112C4"/>
    <w:rsid w:val="0001187B"/>
    <w:rsid w:val="000125D3"/>
    <w:rsid w:val="000126C5"/>
    <w:rsid w:val="00012BE2"/>
    <w:rsid w:val="00013D35"/>
    <w:rsid w:val="00013D66"/>
    <w:rsid w:val="000144D4"/>
    <w:rsid w:val="00014BBA"/>
    <w:rsid w:val="00014EB6"/>
    <w:rsid w:val="00015B62"/>
    <w:rsid w:val="000162E6"/>
    <w:rsid w:val="00016597"/>
    <w:rsid w:val="00016F96"/>
    <w:rsid w:val="00020639"/>
    <w:rsid w:val="00020760"/>
    <w:rsid w:val="0002188F"/>
    <w:rsid w:val="00021E26"/>
    <w:rsid w:val="00021EBC"/>
    <w:rsid w:val="000225CE"/>
    <w:rsid w:val="0002364A"/>
    <w:rsid w:val="0002410B"/>
    <w:rsid w:val="000244EF"/>
    <w:rsid w:val="0002464D"/>
    <w:rsid w:val="0002471D"/>
    <w:rsid w:val="00024CE9"/>
    <w:rsid w:val="00025560"/>
    <w:rsid w:val="00025BA8"/>
    <w:rsid w:val="000266FD"/>
    <w:rsid w:val="000267E3"/>
    <w:rsid w:val="00026F62"/>
    <w:rsid w:val="000300A1"/>
    <w:rsid w:val="0003017F"/>
    <w:rsid w:val="00030651"/>
    <w:rsid w:val="00030BDF"/>
    <w:rsid w:val="00030D4D"/>
    <w:rsid w:val="00030F6F"/>
    <w:rsid w:val="00030F92"/>
    <w:rsid w:val="00031B1E"/>
    <w:rsid w:val="00031BEE"/>
    <w:rsid w:val="0003214C"/>
    <w:rsid w:val="000324EF"/>
    <w:rsid w:val="00032534"/>
    <w:rsid w:val="0003260A"/>
    <w:rsid w:val="0003261B"/>
    <w:rsid w:val="00032935"/>
    <w:rsid w:val="00032962"/>
    <w:rsid w:val="0003317A"/>
    <w:rsid w:val="0003322D"/>
    <w:rsid w:val="0003333D"/>
    <w:rsid w:val="00033E3E"/>
    <w:rsid w:val="00034220"/>
    <w:rsid w:val="000343ED"/>
    <w:rsid w:val="00034649"/>
    <w:rsid w:val="000350B8"/>
    <w:rsid w:val="000353BF"/>
    <w:rsid w:val="0003549C"/>
    <w:rsid w:val="0003585A"/>
    <w:rsid w:val="00036039"/>
    <w:rsid w:val="000363E0"/>
    <w:rsid w:val="00036A19"/>
    <w:rsid w:val="000371FA"/>
    <w:rsid w:val="000377DD"/>
    <w:rsid w:val="000379B7"/>
    <w:rsid w:val="00037F90"/>
    <w:rsid w:val="00040757"/>
    <w:rsid w:val="0004291F"/>
    <w:rsid w:val="00042DE5"/>
    <w:rsid w:val="000430A7"/>
    <w:rsid w:val="00044050"/>
    <w:rsid w:val="0004409A"/>
    <w:rsid w:val="000440FB"/>
    <w:rsid w:val="00044224"/>
    <w:rsid w:val="00044F4E"/>
    <w:rsid w:val="0004535F"/>
    <w:rsid w:val="00046E3A"/>
    <w:rsid w:val="000472F6"/>
    <w:rsid w:val="000478D6"/>
    <w:rsid w:val="00050727"/>
    <w:rsid w:val="00050B59"/>
    <w:rsid w:val="00050C34"/>
    <w:rsid w:val="000518C6"/>
    <w:rsid w:val="00051B40"/>
    <w:rsid w:val="00051F73"/>
    <w:rsid w:val="0005234F"/>
    <w:rsid w:val="00053008"/>
    <w:rsid w:val="0005479E"/>
    <w:rsid w:val="00055B23"/>
    <w:rsid w:val="00056285"/>
    <w:rsid w:val="00056807"/>
    <w:rsid w:val="00057211"/>
    <w:rsid w:val="00057B85"/>
    <w:rsid w:val="00061061"/>
    <w:rsid w:val="000614C7"/>
    <w:rsid w:val="0006191C"/>
    <w:rsid w:val="0006208D"/>
    <w:rsid w:val="00062132"/>
    <w:rsid w:val="0006214C"/>
    <w:rsid w:val="000622A4"/>
    <w:rsid w:val="0006234A"/>
    <w:rsid w:val="00062C04"/>
    <w:rsid w:val="00062F9B"/>
    <w:rsid w:val="00063142"/>
    <w:rsid w:val="000635D9"/>
    <w:rsid w:val="0006369F"/>
    <w:rsid w:val="00063AD9"/>
    <w:rsid w:val="00063EC8"/>
    <w:rsid w:val="00064395"/>
    <w:rsid w:val="000649C4"/>
    <w:rsid w:val="000652A9"/>
    <w:rsid w:val="00065F92"/>
    <w:rsid w:val="00066171"/>
    <w:rsid w:val="000663AB"/>
    <w:rsid w:val="000667F9"/>
    <w:rsid w:val="00070082"/>
    <w:rsid w:val="0007018E"/>
    <w:rsid w:val="0007080B"/>
    <w:rsid w:val="0007081C"/>
    <w:rsid w:val="00070B16"/>
    <w:rsid w:val="00071277"/>
    <w:rsid w:val="0007183F"/>
    <w:rsid w:val="0007224E"/>
    <w:rsid w:val="000722BE"/>
    <w:rsid w:val="00072979"/>
    <w:rsid w:val="00072E3D"/>
    <w:rsid w:val="00072E8A"/>
    <w:rsid w:val="00072F3E"/>
    <w:rsid w:val="00073544"/>
    <w:rsid w:val="000737C1"/>
    <w:rsid w:val="000742EB"/>
    <w:rsid w:val="00074325"/>
    <w:rsid w:val="000747F3"/>
    <w:rsid w:val="00074C85"/>
    <w:rsid w:val="000756B0"/>
    <w:rsid w:val="000763CA"/>
    <w:rsid w:val="00076679"/>
    <w:rsid w:val="0007670E"/>
    <w:rsid w:val="00076892"/>
    <w:rsid w:val="000769FB"/>
    <w:rsid w:val="00076BFB"/>
    <w:rsid w:val="000777FD"/>
    <w:rsid w:val="00077AFA"/>
    <w:rsid w:val="0008051E"/>
    <w:rsid w:val="00080D01"/>
    <w:rsid w:val="00080F79"/>
    <w:rsid w:val="00081620"/>
    <w:rsid w:val="000817DF"/>
    <w:rsid w:val="0008207A"/>
    <w:rsid w:val="000820AB"/>
    <w:rsid w:val="00082219"/>
    <w:rsid w:val="00083635"/>
    <w:rsid w:val="0008377B"/>
    <w:rsid w:val="000839D2"/>
    <w:rsid w:val="00083A19"/>
    <w:rsid w:val="00083F6B"/>
    <w:rsid w:val="000842A3"/>
    <w:rsid w:val="00084886"/>
    <w:rsid w:val="000851BF"/>
    <w:rsid w:val="00085CB5"/>
    <w:rsid w:val="00086862"/>
    <w:rsid w:val="0008686F"/>
    <w:rsid w:val="00086986"/>
    <w:rsid w:val="000872BB"/>
    <w:rsid w:val="000873B9"/>
    <w:rsid w:val="00087419"/>
    <w:rsid w:val="000874F4"/>
    <w:rsid w:val="000875BF"/>
    <w:rsid w:val="00087A38"/>
    <w:rsid w:val="00087A71"/>
    <w:rsid w:val="0009042C"/>
    <w:rsid w:val="000905D2"/>
    <w:rsid w:val="00090D2A"/>
    <w:rsid w:val="00091A13"/>
    <w:rsid w:val="0009205D"/>
    <w:rsid w:val="00092611"/>
    <w:rsid w:val="00092769"/>
    <w:rsid w:val="0009303F"/>
    <w:rsid w:val="00093492"/>
    <w:rsid w:val="0009394E"/>
    <w:rsid w:val="00093DE4"/>
    <w:rsid w:val="00094146"/>
    <w:rsid w:val="00094FFD"/>
    <w:rsid w:val="00095C02"/>
    <w:rsid w:val="00096944"/>
    <w:rsid w:val="00096D6F"/>
    <w:rsid w:val="00096D8C"/>
    <w:rsid w:val="00097FAC"/>
    <w:rsid w:val="000A0408"/>
    <w:rsid w:val="000A0537"/>
    <w:rsid w:val="000A0543"/>
    <w:rsid w:val="000A0B5B"/>
    <w:rsid w:val="000A0B84"/>
    <w:rsid w:val="000A0D62"/>
    <w:rsid w:val="000A0DF4"/>
    <w:rsid w:val="000A0E85"/>
    <w:rsid w:val="000A1DF9"/>
    <w:rsid w:val="000A2177"/>
    <w:rsid w:val="000A2258"/>
    <w:rsid w:val="000A2572"/>
    <w:rsid w:val="000A2580"/>
    <w:rsid w:val="000A29D0"/>
    <w:rsid w:val="000A2B5A"/>
    <w:rsid w:val="000A31FD"/>
    <w:rsid w:val="000A3693"/>
    <w:rsid w:val="000A36EB"/>
    <w:rsid w:val="000A37AF"/>
    <w:rsid w:val="000A3828"/>
    <w:rsid w:val="000A39C5"/>
    <w:rsid w:val="000A4265"/>
    <w:rsid w:val="000A5C32"/>
    <w:rsid w:val="000A620B"/>
    <w:rsid w:val="000A6330"/>
    <w:rsid w:val="000A6E9F"/>
    <w:rsid w:val="000A6EBD"/>
    <w:rsid w:val="000A75E5"/>
    <w:rsid w:val="000A7A27"/>
    <w:rsid w:val="000A7AB6"/>
    <w:rsid w:val="000B0009"/>
    <w:rsid w:val="000B083C"/>
    <w:rsid w:val="000B0E8C"/>
    <w:rsid w:val="000B1C31"/>
    <w:rsid w:val="000B1E91"/>
    <w:rsid w:val="000B21C9"/>
    <w:rsid w:val="000B2ADB"/>
    <w:rsid w:val="000B3498"/>
    <w:rsid w:val="000B3D44"/>
    <w:rsid w:val="000B3E90"/>
    <w:rsid w:val="000B41BE"/>
    <w:rsid w:val="000B46AA"/>
    <w:rsid w:val="000B515D"/>
    <w:rsid w:val="000B5A10"/>
    <w:rsid w:val="000B5B1A"/>
    <w:rsid w:val="000B5D6F"/>
    <w:rsid w:val="000B696D"/>
    <w:rsid w:val="000B6A58"/>
    <w:rsid w:val="000B6CFB"/>
    <w:rsid w:val="000B7012"/>
    <w:rsid w:val="000B70CC"/>
    <w:rsid w:val="000B75A2"/>
    <w:rsid w:val="000B75B8"/>
    <w:rsid w:val="000B76F7"/>
    <w:rsid w:val="000C0972"/>
    <w:rsid w:val="000C0B65"/>
    <w:rsid w:val="000C0B8E"/>
    <w:rsid w:val="000C1A9D"/>
    <w:rsid w:val="000C1AA0"/>
    <w:rsid w:val="000C1C8A"/>
    <w:rsid w:val="000C1D06"/>
    <w:rsid w:val="000C1D23"/>
    <w:rsid w:val="000C33C3"/>
    <w:rsid w:val="000C3966"/>
    <w:rsid w:val="000C3D02"/>
    <w:rsid w:val="000C3EA4"/>
    <w:rsid w:val="000C3EB6"/>
    <w:rsid w:val="000C4120"/>
    <w:rsid w:val="000C47CF"/>
    <w:rsid w:val="000C5906"/>
    <w:rsid w:val="000C6B19"/>
    <w:rsid w:val="000C6E2E"/>
    <w:rsid w:val="000D120E"/>
    <w:rsid w:val="000D1365"/>
    <w:rsid w:val="000D1823"/>
    <w:rsid w:val="000D1AA1"/>
    <w:rsid w:val="000D1D3B"/>
    <w:rsid w:val="000D1DB7"/>
    <w:rsid w:val="000D30B4"/>
    <w:rsid w:val="000D3944"/>
    <w:rsid w:val="000D492E"/>
    <w:rsid w:val="000D4CB7"/>
    <w:rsid w:val="000D51C3"/>
    <w:rsid w:val="000D5204"/>
    <w:rsid w:val="000D5A99"/>
    <w:rsid w:val="000D5BEB"/>
    <w:rsid w:val="000D647C"/>
    <w:rsid w:val="000D74F8"/>
    <w:rsid w:val="000D79B0"/>
    <w:rsid w:val="000E04AD"/>
    <w:rsid w:val="000E05FE"/>
    <w:rsid w:val="000E0A5E"/>
    <w:rsid w:val="000E1685"/>
    <w:rsid w:val="000E1F10"/>
    <w:rsid w:val="000E20CF"/>
    <w:rsid w:val="000E240A"/>
    <w:rsid w:val="000E248C"/>
    <w:rsid w:val="000E2739"/>
    <w:rsid w:val="000E336C"/>
    <w:rsid w:val="000E355F"/>
    <w:rsid w:val="000E3693"/>
    <w:rsid w:val="000E3905"/>
    <w:rsid w:val="000E3907"/>
    <w:rsid w:val="000E3D42"/>
    <w:rsid w:val="000E4002"/>
    <w:rsid w:val="000E505F"/>
    <w:rsid w:val="000E52E2"/>
    <w:rsid w:val="000E53A5"/>
    <w:rsid w:val="000E5A17"/>
    <w:rsid w:val="000E5FE7"/>
    <w:rsid w:val="000E6034"/>
    <w:rsid w:val="000E6733"/>
    <w:rsid w:val="000E73ED"/>
    <w:rsid w:val="000E780C"/>
    <w:rsid w:val="000E7BB7"/>
    <w:rsid w:val="000F0054"/>
    <w:rsid w:val="000F220D"/>
    <w:rsid w:val="000F2230"/>
    <w:rsid w:val="000F290C"/>
    <w:rsid w:val="000F2F8D"/>
    <w:rsid w:val="000F35C0"/>
    <w:rsid w:val="000F36A9"/>
    <w:rsid w:val="000F3A18"/>
    <w:rsid w:val="000F3A38"/>
    <w:rsid w:val="000F4A54"/>
    <w:rsid w:val="000F4E8C"/>
    <w:rsid w:val="000F56A7"/>
    <w:rsid w:val="000F5EB6"/>
    <w:rsid w:val="000F5F9A"/>
    <w:rsid w:val="000F6599"/>
    <w:rsid w:val="000F6662"/>
    <w:rsid w:val="000F69ED"/>
    <w:rsid w:val="000F761B"/>
    <w:rsid w:val="000F77D6"/>
    <w:rsid w:val="001006BD"/>
    <w:rsid w:val="0010072B"/>
    <w:rsid w:val="00100DC8"/>
    <w:rsid w:val="001018A5"/>
    <w:rsid w:val="00102187"/>
    <w:rsid w:val="001023C4"/>
    <w:rsid w:val="001038BF"/>
    <w:rsid w:val="0010407B"/>
    <w:rsid w:val="0010485D"/>
    <w:rsid w:val="00104BDC"/>
    <w:rsid w:val="00104C2F"/>
    <w:rsid w:val="00104FC5"/>
    <w:rsid w:val="001050B6"/>
    <w:rsid w:val="001051B4"/>
    <w:rsid w:val="00105726"/>
    <w:rsid w:val="001058AF"/>
    <w:rsid w:val="00105A39"/>
    <w:rsid w:val="00105F83"/>
    <w:rsid w:val="00105FFB"/>
    <w:rsid w:val="001067B6"/>
    <w:rsid w:val="001077F0"/>
    <w:rsid w:val="00107D6D"/>
    <w:rsid w:val="00107F84"/>
    <w:rsid w:val="00111228"/>
    <w:rsid w:val="001114B4"/>
    <w:rsid w:val="001119B3"/>
    <w:rsid w:val="00111C89"/>
    <w:rsid w:val="00111CA5"/>
    <w:rsid w:val="001125C3"/>
    <w:rsid w:val="00112B0D"/>
    <w:rsid w:val="00112CA1"/>
    <w:rsid w:val="00113118"/>
    <w:rsid w:val="001131D2"/>
    <w:rsid w:val="001137A7"/>
    <w:rsid w:val="00113FE2"/>
    <w:rsid w:val="00114364"/>
    <w:rsid w:val="00114D0A"/>
    <w:rsid w:val="001153EF"/>
    <w:rsid w:val="001157AF"/>
    <w:rsid w:val="00115CC6"/>
    <w:rsid w:val="0011600E"/>
    <w:rsid w:val="0011677B"/>
    <w:rsid w:val="00116B94"/>
    <w:rsid w:val="00116F73"/>
    <w:rsid w:val="00117551"/>
    <w:rsid w:val="001179CF"/>
    <w:rsid w:val="00117BEA"/>
    <w:rsid w:val="001202D0"/>
    <w:rsid w:val="00120824"/>
    <w:rsid w:val="0012161C"/>
    <w:rsid w:val="0012177A"/>
    <w:rsid w:val="00122946"/>
    <w:rsid w:val="00122B0D"/>
    <w:rsid w:val="00122BD5"/>
    <w:rsid w:val="001230A0"/>
    <w:rsid w:val="001233A2"/>
    <w:rsid w:val="00123E69"/>
    <w:rsid w:val="001241A0"/>
    <w:rsid w:val="001246C2"/>
    <w:rsid w:val="0012501C"/>
    <w:rsid w:val="00125AF5"/>
    <w:rsid w:val="00125BF6"/>
    <w:rsid w:val="00125C6E"/>
    <w:rsid w:val="00125E11"/>
    <w:rsid w:val="00125E38"/>
    <w:rsid w:val="00126B9B"/>
    <w:rsid w:val="00126E06"/>
    <w:rsid w:val="00127905"/>
    <w:rsid w:val="001279E7"/>
    <w:rsid w:val="00130A95"/>
    <w:rsid w:val="001310BB"/>
    <w:rsid w:val="00131305"/>
    <w:rsid w:val="001316BB"/>
    <w:rsid w:val="00131782"/>
    <w:rsid w:val="001319AC"/>
    <w:rsid w:val="00132769"/>
    <w:rsid w:val="00133021"/>
    <w:rsid w:val="001335E0"/>
    <w:rsid w:val="00133964"/>
    <w:rsid w:val="00133F79"/>
    <w:rsid w:val="00134247"/>
    <w:rsid w:val="00134903"/>
    <w:rsid w:val="00134A5A"/>
    <w:rsid w:val="00135378"/>
    <w:rsid w:val="00135C29"/>
    <w:rsid w:val="00136437"/>
    <w:rsid w:val="00137205"/>
    <w:rsid w:val="00137372"/>
    <w:rsid w:val="00137514"/>
    <w:rsid w:val="0013799B"/>
    <w:rsid w:val="00140117"/>
    <w:rsid w:val="001403CE"/>
    <w:rsid w:val="00140A30"/>
    <w:rsid w:val="00140E7D"/>
    <w:rsid w:val="001411EF"/>
    <w:rsid w:val="00141AC7"/>
    <w:rsid w:val="00141B24"/>
    <w:rsid w:val="00141B2A"/>
    <w:rsid w:val="00143BAD"/>
    <w:rsid w:val="00143D6C"/>
    <w:rsid w:val="00144281"/>
    <w:rsid w:val="00145DED"/>
    <w:rsid w:val="0014615B"/>
    <w:rsid w:val="001461B8"/>
    <w:rsid w:val="001463F0"/>
    <w:rsid w:val="00146585"/>
    <w:rsid w:val="00146788"/>
    <w:rsid w:val="00146DBB"/>
    <w:rsid w:val="00146FFB"/>
    <w:rsid w:val="00147246"/>
    <w:rsid w:val="00147329"/>
    <w:rsid w:val="00150803"/>
    <w:rsid w:val="0015089A"/>
    <w:rsid w:val="00151322"/>
    <w:rsid w:val="001515A8"/>
    <w:rsid w:val="001525CF"/>
    <w:rsid w:val="00152924"/>
    <w:rsid w:val="00152D2D"/>
    <w:rsid w:val="0015305F"/>
    <w:rsid w:val="00153AF5"/>
    <w:rsid w:val="001540CE"/>
    <w:rsid w:val="00154190"/>
    <w:rsid w:val="001550F6"/>
    <w:rsid w:val="001554D3"/>
    <w:rsid w:val="0015571A"/>
    <w:rsid w:val="00155A7D"/>
    <w:rsid w:val="00155FA5"/>
    <w:rsid w:val="00156960"/>
    <w:rsid w:val="00156C19"/>
    <w:rsid w:val="00157C27"/>
    <w:rsid w:val="00157F44"/>
    <w:rsid w:val="00157FB1"/>
    <w:rsid w:val="00160187"/>
    <w:rsid w:val="00160248"/>
    <w:rsid w:val="00160472"/>
    <w:rsid w:val="00160549"/>
    <w:rsid w:val="001610BB"/>
    <w:rsid w:val="0016266E"/>
    <w:rsid w:val="00163022"/>
    <w:rsid w:val="00163F04"/>
    <w:rsid w:val="0016498E"/>
    <w:rsid w:val="00164A23"/>
    <w:rsid w:val="00164BF1"/>
    <w:rsid w:val="0016526D"/>
    <w:rsid w:val="00165766"/>
    <w:rsid w:val="00165AB0"/>
    <w:rsid w:val="00165C21"/>
    <w:rsid w:val="00165CEC"/>
    <w:rsid w:val="00165E68"/>
    <w:rsid w:val="00165F7B"/>
    <w:rsid w:val="001669DB"/>
    <w:rsid w:val="00167EAB"/>
    <w:rsid w:val="00171C46"/>
    <w:rsid w:val="0017269F"/>
    <w:rsid w:val="001726CF"/>
    <w:rsid w:val="00172802"/>
    <w:rsid w:val="00173CDC"/>
    <w:rsid w:val="00173E3D"/>
    <w:rsid w:val="00173EE4"/>
    <w:rsid w:val="00173F8B"/>
    <w:rsid w:val="001741D4"/>
    <w:rsid w:val="001759CC"/>
    <w:rsid w:val="00175C03"/>
    <w:rsid w:val="001760EE"/>
    <w:rsid w:val="00177512"/>
    <w:rsid w:val="00177694"/>
    <w:rsid w:val="00177AF5"/>
    <w:rsid w:val="00177F1A"/>
    <w:rsid w:val="00180065"/>
    <w:rsid w:val="00180433"/>
    <w:rsid w:val="0018075B"/>
    <w:rsid w:val="0018075F"/>
    <w:rsid w:val="00180CED"/>
    <w:rsid w:val="00181256"/>
    <w:rsid w:val="00181586"/>
    <w:rsid w:val="0018163F"/>
    <w:rsid w:val="00181657"/>
    <w:rsid w:val="00181E8A"/>
    <w:rsid w:val="00181EC7"/>
    <w:rsid w:val="00181F47"/>
    <w:rsid w:val="001827B6"/>
    <w:rsid w:val="00182879"/>
    <w:rsid w:val="001835AB"/>
    <w:rsid w:val="00183855"/>
    <w:rsid w:val="0018421A"/>
    <w:rsid w:val="001842DB"/>
    <w:rsid w:val="0018453F"/>
    <w:rsid w:val="00184AF6"/>
    <w:rsid w:val="00184C63"/>
    <w:rsid w:val="00184D6C"/>
    <w:rsid w:val="00184EA1"/>
    <w:rsid w:val="00185356"/>
    <w:rsid w:val="001853C6"/>
    <w:rsid w:val="0018583F"/>
    <w:rsid w:val="00185DE8"/>
    <w:rsid w:val="0018664A"/>
    <w:rsid w:val="0018779E"/>
    <w:rsid w:val="00187D62"/>
    <w:rsid w:val="00190707"/>
    <w:rsid w:val="001916A4"/>
    <w:rsid w:val="00191B91"/>
    <w:rsid w:val="0019274D"/>
    <w:rsid w:val="00192911"/>
    <w:rsid w:val="00192BB1"/>
    <w:rsid w:val="001931A5"/>
    <w:rsid w:val="00193999"/>
    <w:rsid w:val="00193EB2"/>
    <w:rsid w:val="001940D9"/>
    <w:rsid w:val="0019452C"/>
    <w:rsid w:val="00194A66"/>
    <w:rsid w:val="00194C45"/>
    <w:rsid w:val="00195466"/>
    <w:rsid w:val="00195637"/>
    <w:rsid w:val="00195672"/>
    <w:rsid w:val="001971BC"/>
    <w:rsid w:val="001974FA"/>
    <w:rsid w:val="001975D3"/>
    <w:rsid w:val="00197D18"/>
    <w:rsid w:val="00197EB4"/>
    <w:rsid w:val="001A0129"/>
    <w:rsid w:val="001A085C"/>
    <w:rsid w:val="001A0DA2"/>
    <w:rsid w:val="001A12E8"/>
    <w:rsid w:val="001A17D1"/>
    <w:rsid w:val="001A2131"/>
    <w:rsid w:val="001A223E"/>
    <w:rsid w:val="001A2600"/>
    <w:rsid w:val="001A2F5B"/>
    <w:rsid w:val="001A3851"/>
    <w:rsid w:val="001A409B"/>
    <w:rsid w:val="001A45E0"/>
    <w:rsid w:val="001A45F9"/>
    <w:rsid w:val="001A4A70"/>
    <w:rsid w:val="001A5799"/>
    <w:rsid w:val="001A59AC"/>
    <w:rsid w:val="001A5C99"/>
    <w:rsid w:val="001A60A0"/>
    <w:rsid w:val="001A6271"/>
    <w:rsid w:val="001A6F0C"/>
    <w:rsid w:val="001A71EA"/>
    <w:rsid w:val="001A7433"/>
    <w:rsid w:val="001A7698"/>
    <w:rsid w:val="001A7C44"/>
    <w:rsid w:val="001B02F0"/>
    <w:rsid w:val="001B0432"/>
    <w:rsid w:val="001B0841"/>
    <w:rsid w:val="001B3814"/>
    <w:rsid w:val="001B40DA"/>
    <w:rsid w:val="001B4B81"/>
    <w:rsid w:val="001B583A"/>
    <w:rsid w:val="001B5926"/>
    <w:rsid w:val="001B60DD"/>
    <w:rsid w:val="001B64E0"/>
    <w:rsid w:val="001B67F5"/>
    <w:rsid w:val="001B7491"/>
    <w:rsid w:val="001B7B2D"/>
    <w:rsid w:val="001B7C93"/>
    <w:rsid w:val="001C0462"/>
    <w:rsid w:val="001C09D2"/>
    <w:rsid w:val="001C0C76"/>
    <w:rsid w:val="001C14A5"/>
    <w:rsid w:val="001C1537"/>
    <w:rsid w:val="001C1A35"/>
    <w:rsid w:val="001C214C"/>
    <w:rsid w:val="001C3187"/>
    <w:rsid w:val="001C3AE1"/>
    <w:rsid w:val="001C3DF5"/>
    <w:rsid w:val="001C40AC"/>
    <w:rsid w:val="001C4491"/>
    <w:rsid w:val="001C48C1"/>
    <w:rsid w:val="001C4A3C"/>
    <w:rsid w:val="001C4BD5"/>
    <w:rsid w:val="001C5282"/>
    <w:rsid w:val="001C5BB8"/>
    <w:rsid w:val="001C5ED5"/>
    <w:rsid w:val="001C615E"/>
    <w:rsid w:val="001C70AB"/>
    <w:rsid w:val="001D006E"/>
    <w:rsid w:val="001D042B"/>
    <w:rsid w:val="001D05F1"/>
    <w:rsid w:val="001D0B6F"/>
    <w:rsid w:val="001D0ECA"/>
    <w:rsid w:val="001D19E4"/>
    <w:rsid w:val="001D2025"/>
    <w:rsid w:val="001D203F"/>
    <w:rsid w:val="001D2550"/>
    <w:rsid w:val="001D2A5E"/>
    <w:rsid w:val="001D2DF9"/>
    <w:rsid w:val="001D2E05"/>
    <w:rsid w:val="001D2FBB"/>
    <w:rsid w:val="001D331B"/>
    <w:rsid w:val="001D3B96"/>
    <w:rsid w:val="001D3B99"/>
    <w:rsid w:val="001D4084"/>
    <w:rsid w:val="001D40B6"/>
    <w:rsid w:val="001D4252"/>
    <w:rsid w:val="001D470C"/>
    <w:rsid w:val="001D48EE"/>
    <w:rsid w:val="001D4A68"/>
    <w:rsid w:val="001D4BF8"/>
    <w:rsid w:val="001D4DA8"/>
    <w:rsid w:val="001D5035"/>
    <w:rsid w:val="001D5101"/>
    <w:rsid w:val="001D517B"/>
    <w:rsid w:val="001D5743"/>
    <w:rsid w:val="001D586A"/>
    <w:rsid w:val="001D5D02"/>
    <w:rsid w:val="001D6487"/>
    <w:rsid w:val="001D6A47"/>
    <w:rsid w:val="001D6A6A"/>
    <w:rsid w:val="001D6BCF"/>
    <w:rsid w:val="001D7031"/>
    <w:rsid w:val="001D7FB9"/>
    <w:rsid w:val="001E0143"/>
    <w:rsid w:val="001E01CA"/>
    <w:rsid w:val="001E02DF"/>
    <w:rsid w:val="001E07E1"/>
    <w:rsid w:val="001E0BDF"/>
    <w:rsid w:val="001E106D"/>
    <w:rsid w:val="001E13AE"/>
    <w:rsid w:val="001E14FB"/>
    <w:rsid w:val="001E24B9"/>
    <w:rsid w:val="001E2FA8"/>
    <w:rsid w:val="001E3626"/>
    <w:rsid w:val="001E3FCA"/>
    <w:rsid w:val="001E4129"/>
    <w:rsid w:val="001E4194"/>
    <w:rsid w:val="001E5163"/>
    <w:rsid w:val="001E5550"/>
    <w:rsid w:val="001E5605"/>
    <w:rsid w:val="001E6184"/>
    <w:rsid w:val="001E74C2"/>
    <w:rsid w:val="001F04E4"/>
    <w:rsid w:val="001F0555"/>
    <w:rsid w:val="001F0A49"/>
    <w:rsid w:val="001F1562"/>
    <w:rsid w:val="001F1CD5"/>
    <w:rsid w:val="001F1E10"/>
    <w:rsid w:val="001F237C"/>
    <w:rsid w:val="001F239D"/>
    <w:rsid w:val="001F2789"/>
    <w:rsid w:val="001F2A38"/>
    <w:rsid w:val="001F3300"/>
    <w:rsid w:val="001F37CF"/>
    <w:rsid w:val="001F41A8"/>
    <w:rsid w:val="001F4BCE"/>
    <w:rsid w:val="001F526E"/>
    <w:rsid w:val="001F55F0"/>
    <w:rsid w:val="001F601C"/>
    <w:rsid w:val="001F62ED"/>
    <w:rsid w:val="001F6571"/>
    <w:rsid w:val="001F683A"/>
    <w:rsid w:val="001F6D96"/>
    <w:rsid w:val="001F6FDD"/>
    <w:rsid w:val="001F760E"/>
    <w:rsid w:val="001F767C"/>
    <w:rsid w:val="001F7A6B"/>
    <w:rsid w:val="00200216"/>
    <w:rsid w:val="00200A10"/>
    <w:rsid w:val="00200D7F"/>
    <w:rsid w:val="00201F0F"/>
    <w:rsid w:val="00203EE3"/>
    <w:rsid w:val="002041EB"/>
    <w:rsid w:val="00204B71"/>
    <w:rsid w:val="00205321"/>
    <w:rsid w:val="002056E1"/>
    <w:rsid w:val="002059B2"/>
    <w:rsid w:val="00205D34"/>
    <w:rsid w:val="002065C0"/>
    <w:rsid w:val="002065DF"/>
    <w:rsid w:val="00206B09"/>
    <w:rsid w:val="00206D81"/>
    <w:rsid w:val="00206FE0"/>
    <w:rsid w:val="0021050B"/>
    <w:rsid w:val="0021052F"/>
    <w:rsid w:val="00210756"/>
    <w:rsid w:val="002109F6"/>
    <w:rsid w:val="002110A4"/>
    <w:rsid w:val="002119D2"/>
    <w:rsid w:val="00212562"/>
    <w:rsid w:val="002126E5"/>
    <w:rsid w:val="00213028"/>
    <w:rsid w:val="00213805"/>
    <w:rsid w:val="00214111"/>
    <w:rsid w:val="0021432B"/>
    <w:rsid w:val="0021460D"/>
    <w:rsid w:val="00214650"/>
    <w:rsid w:val="002146C7"/>
    <w:rsid w:val="002146DF"/>
    <w:rsid w:val="00214AC6"/>
    <w:rsid w:val="00214F26"/>
    <w:rsid w:val="002151D5"/>
    <w:rsid w:val="00215923"/>
    <w:rsid w:val="00215D71"/>
    <w:rsid w:val="00215F67"/>
    <w:rsid w:val="0021646C"/>
    <w:rsid w:val="00216743"/>
    <w:rsid w:val="00216C36"/>
    <w:rsid w:val="002208B1"/>
    <w:rsid w:val="00220A4C"/>
    <w:rsid w:val="0022124D"/>
    <w:rsid w:val="00221A5D"/>
    <w:rsid w:val="00221B9A"/>
    <w:rsid w:val="00221C4E"/>
    <w:rsid w:val="00221D9A"/>
    <w:rsid w:val="00221EE4"/>
    <w:rsid w:val="00222467"/>
    <w:rsid w:val="00222E9D"/>
    <w:rsid w:val="00222EB6"/>
    <w:rsid w:val="00223206"/>
    <w:rsid w:val="00223CAE"/>
    <w:rsid w:val="00223FE0"/>
    <w:rsid w:val="00224829"/>
    <w:rsid w:val="00224AB2"/>
    <w:rsid w:val="0022500F"/>
    <w:rsid w:val="00225039"/>
    <w:rsid w:val="00225799"/>
    <w:rsid w:val="00225CC0"/>
    <w:rsid w:val="00226110"/>
    <w:rsid w:val="00226F83"/>
    <w:rsid w:val="002277BF"/>
    <w:rsid w:val="00227C42"/>
    <w:rsid w:val="00230071"/>
    <w:rsid w:val="0023033D"/>
    <w:rsid w:val="0023067E"/>
    <w:rsid w:val="00230A4D"/>
    <w:rsid w:val="00230CDA"/>
    <w:rsid w:val="0023132F"/>
    <w:rsid w:val="002318A5"/>
    <w:rsid w:val="002320F0"/>
    <w:rsid w:val="00232900"/>
    <w:rsid w:val="00232EB9"/>
    <w:rsid w:val="00232F02"/>
    <w:rsid w:val="002331E9"/>
    <w:rsid w:val="00233275"/>
    <w:rsid w:val="00233BF8"/>
    <w:rsid w:val="00234079"/>
    <w:rsid w:val="0023419A"/>
    <w:rsid w:val="002347AC"/>
    <w:rsid w:val="00234AAE"/>
    <w:rsid w:val="00234EFA"/>
    <w:rsid w:val="002351CC"/>
    <w:rsid w:val="00235C84"/>
    <w:rsid w:val="00235F4B"/>
    <w:rsid w:val="002366FF"/>
    <w:rsid w:val="00236B94"/>
    <w:rsid w:val="00236BC1"/>
    <w:rsid w:val="00240BCA"/>
    <w:rsid w:val="00240F24"/>
    <w:rsid w:val="0024189E"/>
    <w:rsid w:val="00241CE0"/>
    <w:rsid w:val="00243367"/>
    <w:rsid w:val="002435EE"/>
    <w:rsid w:val="002437DF"/>
    <w:rsid w:val="00243C09"/>
    <w:rsid w:val="00244B0A"/>
    <w:rsid w:val="00244B5D"/>
    <w:rsid w:val="0024522F"/>
    <w:rsid w:val="002456F4"/>
    <w:rsid w:val="00245828"/>
    <w:rsid w:val="0024665D"/>
    <w:rsid w:val="00247C18"/>
    <w:rsid w:val="0025016F"/>
    <w:rsid w:val="002504C3"/>
    <w:rsid w:val="00250779"/>
    <w:rsid w:val="00250AEA"/>
    <w:rsid w:val="00250B17"/>
    <w:rsid w:val="00250D45"/>
    <w:rsid w:val="00250F10"/>
    <w:rsid w:val="002510E9"/>
    <w:rsid w:val="002512A8"/>
    <w:rsid w:val="002513BE"/>
    <w:rsid w:val="002516AB"/>
    <w:rsid w:val="0025181F"/>
    <w:rsid w:val="00251979"/>
    <w:rsid w:val="00251BEB"/>
    <w:rsid w:val="00251F43"/>
    <w:rsid w:val="00251FA3"/>
    <w:rsid w:val="00252164"/>
    <w:rsid w:val="00253165"/>
    <w:rsid w:val="00253E0B"/>
    <w:rsid w:val="00253EB5"/>
    <w:rsid w:val="00254977"/>
    <w:rsid w:val="00254B44"/>
    <w:rsid w:val="00254F11"/>
    <w:rsid w:val="00254F5B"/>
    <w:rsid w:val="00255556"/>
    <w:rsid w:val="002558F4"/>
    <w:rsid w:val="00255A2A"/>
    <w:rsid w:val="002579E1"/>
    <w:rsid w:val="002602A9"/>
    <w:rsid w:val="00260415"/>
    <w:rsid w:val="002606BB"/>
    <w:rsid w:val="00260FD6"/>
    <w:rsid w:val="00261662"/>
    <w:rsid w:val="002618A7"/>
    <w:rsid w:val="00261F9E"/>
    <w:rsid w:val="00263536"/>
    <w:rsid w:val="002636A0"/>
    <w:rsid w:val="0026398E"/>
    <w:rsid w:val="00263DED"/>
    <w:rsid w:val="002643FA"/>
    <w:rsid w:val="00264769"/>
    <w:rsid w:val="002648BB"/>
    <w:rsid w:val="00264E73"/>
    <w:rsid w:val="00264F61"/>
    <w:rsid w:val="002663F7"/>
    <w:rsid w:val="00266DD5"/>
    <w:rsid w:val="00267F2B"/>
    <w:rsid w:val="00270863"/>
    <w:rsid w:val="00271417"/>
    <w:rsid w:val="002714F9"/>
    <w:rsid w:val="00271AD8"/>
    <w:rsid w:val="00271E50"/>
    <w:rsid w:val="00271F99"/>
    <w:rsid w:val="002720B4"/>
    <w:rsid w:val="0027290E"/>
    <w:rsid w:val="00272A9F"/>
    <w:rsid w:val="00273096"/>
    <w:rsid w:val="002730B5"/>
    <w:rsid w:val="0027329F"/>
    <w:rsid w:val="002740C2"/>
    <w:rsid w:val="00274258"/>
    <w:rsid w:val="00274F1E"/>
    <w:rsid w:val="00274F7D"/>
    <w:rsid w:val="002752B4"/>
    <w:rsid w:val="00275736"/>
    <w:rsid w:val="00275A21"/>
    <w:rsid w:val="00275CF5"/>
    <w:rsid w:val="00275D2C"/>
    <w:rsid w:val="00275D8E"/>
    <w:rsid w:val="002761E4"/>
    <w:rsid w:val="00276756"/>
    <w:rsid w:val="00276A67"/>
    <w:rsid w:val="00276F35"/>
    <w:rsid w:val="00277074"/>
    <w:rsid w:val="00280219"/>
    <w:rsid w:val="00280755"/>
    <w:rsid w:val="0028080E"/>
    <w:rsid w:val="0028084F"/>
    <w:rsid w:val="00280969"/>
    <w:rsid w:val="00280C41"/>
    <w:rsid w:val="002818D1"/>
    <w:rsid w:val="00281B72"/>
    <w:rsid w:val="0028228E"/>
    <w:rsid w:val="00282E1B"/>
    <w:rsid w:val="0028301F"/>
    <w:rsid w:val="00283D08"/>
    <w:rsid w:val="002841B4"/>
    <w:rsid w:val="002843AC"/>
    <w:rsid w:val="00285017"/>
    <w:rsid w:val="00285B6E"/>
    <w:rsid w:val="00285D51"/>
    <w:rsid w:val="00285DF9"/>
    <w:rsid w:val="002864E1"/>
    <w:rsid w:val="00286534"/>
    <w:rsid w:val="00286C32"/>
    <w:rsid w:val="00286FC2"/>
    <w:rsid w:val="00287AE4"/>
    <w:rsid w:val="00290131"/>
    <w:rsid w:val="00290C17"/>
    <w:rsid w:val="00290DB6"/>
    <w:rsid w:val="002910D3"/>
    <w:rsid w:val="00291128"/>
    <w:rsid w:val="00291659"/>
    <w:rsid w:val="00291B3F"/>
    <w:rsid w:val="00291E44"/>
    <w:rsid w:val="0029201E"/>
    <w:rsid w:val="002928C6"/>
    <w:rsid w:val="00292F92"/>
    <w:rsid w:val="00293A34"/>
    <w:rsid w:val="00294BF5"/>
    <w:rsid w:val="00294FC1"/>
    <w:rsid w:val="002952E4"/>
    <w:rsid w:val="00297B03"/>
    <w:rsid w:val="002A03FA"/>
    <w:rsid w:val="002A0776"/>
    <w:rsid w:val="002A0A62"/>
    <w:rsid w:val="002A1525"/>
    <w:rsid w:val="002A22AB"/>
    <w:rsid w:val="002A2D2E"/>
    <w:rsid w:val="002A2D76"/>
    <w:rsid w:val="002A3173"/>
    <w:rsid w:val="002A3C77"/>
    <w:rsid w:val="002A3D3A"/>
    <w:rsid w:val="002A3DA5"/>
    <w:rsid w:val="002A4D76"/>
    <w:rsid w:val="002A52DF"/>
    <w:rsid w:val="002A5E13"/>
    <w:rsid w:val="002A7B72"/>
    <w:rsid w:val="002B0BB6"/>
    <w:rsid w:val="002B1C47"/>
    <w:rsid w:val="002B2662"/>
    <w:rsid w:val="002B30E3"/>
    <w:rsid w:val="002B3E3E"/>
    <w:rsid w:val="002B51CC"/>
    <w:rsid w:val="002B5B19"/>
    <w:rsid w:val="002B5F52"/>
    <w:rsid w:val="002B6080"/>
    <w:rsid w:val="002B637C"/>
    <w:rsid w:val="002B6F23"/>
    <w:rsid w:val="002B76A7"/>
    <w:rsid w:val="002C00E8"/>
    <w:rsid w:val="002C1A93"/>
    <w:rsid w:val="002C1FF7"/>
    <w:rsid w:val="002C2D89"/>
    <w:rsid w:val="002C41F2"/>
    <w:rsid w:val="002C532D"/>
    <w:rsid w:val="002C5658"/>
    <w:rsid w:val="002C5DEA"/>
    <w:rsid w:val="002C75C9"/>
    <w:rsid w:val="002C7676"/>
    <w:rsid w:val="002C7C56"/>
    <w:rsid w:val="002D142E"/>
    <w:rsid w:val="002D18A4"/>
    <w:rsid w:val="002D1F1A"/>
    <w:rsid w:val="002D2671"/>
    <w:rsid w:val="002D280F"/>
    <w:rsid w:val="002D294B"/>
    <w:rsid w:val="002D2991"/>
    <w:rsid w:val="002D3675"/>
    <w:rsid w:val="002D370F"/>
    <w:rsid w:val="002D3A85"/>
    <w:rsid w:val="002D44A2"/>
    <w:rsid w:val="002D4FBB"/>
    <w:rsid w:val="002D5442"/>
    <w:rsid w:val="002D5724"/>
    <w:rsid w:val="002D5734"/>
    <w:rsid w:val="002D59F8"/>
    <w:rsid w:val="002D5C41"/>
    <w:rsid w:val="002D5CF0"/>
    <w:rsid w:val="002D5D1C"/>
    <w:rsid w:val="002D6E7B"/>
    <w:rsid w:val="002D6F09"/>
    <w:rsid w:val="002D72BB"/>
    <w:rsid w:val="002D7474"/>
    <w:rsid w:val="002D75DE"/>
    <w:rsid w:val="002D796A"/>
    <w:rsid w:val="002D7BE1"/>
    <w:rsid w:val="002D7C08"/>
    <w:rsid w:val="002E0253"/>
    <w:rsid w:val="002E0396"/>
    <w:rsid w:val="002E0958"/>
    <w:rsid w:val="002E0A97"/>
    <w:rsid w:val="002E0AB6"/>
    <w:rsid w:val="002E221B"/>
    <w:rsid w:val="002E274D"/>
    <w:rsid w:val="002E2891"/>
    <w:rsid w:val="002E3393"/>
    <w:rsid w:val="002E33BE"/>
    <w:rsid w:val="002E374F"/>
    <w:rsid w:val="002E3BC9"/>
    <w:rsid w:val="002E40AD"/>
    <w:rsid w:val="002E439B"/>
    <w:rsid w:val="002E4A7A"/>
    <w:rsid w:val="002E4AFA"/>
    <w:rsid w:val="002E4B28"/>
    <w:rsid w:val="002E4EB6"/>
    <w:rsid w:val="002E4F9A"/>
    <w:rsid w:val="002E57CF"/>
    <w:rsid w:val="002E581E"/>
    <w:rsid w:val="002E5C1A"/>
    <w:rsid w:val="002F011D"/>
    <w:rsid w:val="002F041A"/>
    <w:rsid w:val="002F19E6"/>
    <w:rsid w:val="002F248E"/>
    <w:rsid w:val="002F2638"/>
    <w:rsid w:val="002F2BF9"/>
    <w:rsid w:val="002F329B"/>
    <w:rsid w:val="002F3A43"/>
    <w:rsid w:val="002F3D23"/>
    <w:rsid w:val="002F3FD5"/>
    <w:rsid w:val="002F40F8"/>
    <w:rsid w:val="002F483F"/>
    <w:rsid w:val="002F4988"/>
    <w:rsid w:val="002F5030"/>
    <w:rsid w:val="002F5779"/>
    <w:rsid w:val="002F5E34"/>
    <w:rsid w:val="002F6634"/>
    <w:rsid w:val="002F674D"/>
    <w:rsid w:val="002F7168"/>
    <w:rsid w:val="002F7305"/>
    <w:rsid w:val="002F74D7"/>
    <w:rsid w:val="002F75E5"/>
    <w:rsid w:val="002F767A"/>
    <w:rsid w:val="00300291"/>
    <w:rsid w:val="003007A5"/>
    <w:rsid w:val="00300AC2"/>
    <w:rsid w:val="00300FD1"/>
    <w:rsid w:val="00301193"/>
    <w:rsid w:val="0030137F"/>
    <w:rsid w:val="00301508"/>
    <w:rsid w:val="00301EF2"/>
    <w:rsid w:val="00302384"/>
    <w:rsid w:val="00302A37"/>
    <w:rsid w:val="0030357C"/>
    <w:rsid w:val="00303DC0"/>
    <w:rsid w:val="00303EA8"/>
    <w:rsid w:val="00304C0C"/>
    <w:rsid w:val="00305460"/>
    <w:rsid w:val="003055B0"/>
    <w:rsid w:val="003056D9"/>
    <w:rsid w:val="003058D8"/>
    <w:rsid w:val="0030637C"/>
    <w:rsid w:val="00306535"/>
    <w:rsid w:val="003066DD"/>
    <w:rsid w:val="003068A9"/>
    <w:rsid w:val="00307E39"/>
    <w:rsid w:val="003107FE"/>
    <w:rsid w:val="0031114A"/>
    <w:rsid w:val="00312007"/>
    <w:rsid w:val="0031266C"/>
    <w:rsid w:val="00312E87"/>
    <w:rsid w:val="003131F2"/>
    <w:rsid w:val="00315A4C"/>
    <w:rsid w:val="00315D20"/>
    <w:rsid w:val="003162EA"/>
    <w:rsid w:val="00320018"/>
    <w:rsid w:val="003200F2"/>
    <w:rsid w:val="003203E9"/>
    <w:rsid w:val="00320685"/>
    <w:rsid w:val="00320BEF"/>
    <w:rsid w:val="00321133"/>
    <w:rsid w:val="003217DD"/>
    <w:rsid w:val="00321DF0"/>
    <w:rsid w:val="00321E28"/>
    <w:rsid w:val="00322F2D"/>
    <w:rsid w:val="00323802"/>
    <w:rsid w:val="00324876"/>
    <w:rsid w:val="0032502E"/>
    <w:rsid w:val="00325A0B"/>
    <w:rsid w:val="00325DC5"/>
    <w:rsid w:val="0032668A"/>
    <w:rsid w:val="00326BDC"/>
    <w:rsid w:val="003271D5"/>
    <w:rsid w:val="0032760C"/>
    <w:rsid w:val="003276A3"/>
    <w:rsid w:val="003278FF"/>
    <w:rsid w:val="00327DCC"/>
    <w:rsid w:val="0033002B"/>
    <w:rsid w:val="00331893"/>
    <w:rsid w:val="0033193D"/>
    <w:rsid w:val="00331E76"/>
    <w:rsid w:val="00332004"/>
    <w:rsid w:val="003321DC"/>
    <w:rsid w:val="00333157"/>
    <w:rsid w:val="003340BD"/>
    <w:rsid w:val="0033468E"/>
    <w:rsid w:val="003346E0"/>
    <w:rsid w:val="00334729"/>
    <w:rsid w:val="00334D93"/>
    <w:rsid w:val="0033597E"/>
    <w:rsid w:val="00336145"/>
    <w:rsid w:val="00336930"/>
    <w:rsid w:val="00336ACE"/>
    <w:rsid w:val="00336BED"/>
    <w:rsid w:val="00336FA4"/>
    <w:rsid w:val="00337196"/>
    <w:rsid w:val="003371F5"/>
    <w:rsid w:val="0034010E"/>
    <w:rsid w:val="0034038E"/>
    <w:rsid w:val="00340512"/>
    <w:rsid w:val="00340741"/>
    <w:rsid w:val="0034117E"/>
    <w:rsid w:val="0034133D"/>
    <w:rsid w:val="003419F4"/>
    <w:rsid w:val="00341AA9"/>
    <w:rsid w:val="00341EE8"/>
    <w:rsid w:val="003422E1"/>
    <w:rsid w:val="00342767"/>
    <w:rsid w:val="00343749"/>
    <w:rsid w:val="0034427F"/>
    <w:rsid w:val="00344613"/>
    <w:rsid w:val="00344E79"/>
    <w:rsid w:val="00345464"/>
    <w:rsid w:val="00345631"/>
    <w:rsid w:val="0034574E"/>
    <w:rsid w:val="00345A5A"/>
    <w:rsid w:val="00345CFC"/>
    <w:rsid w:val="003460FA"/>
    <w:rsid w:val="003462A9"/>
    <w:rsid w:val="003466B4"/>
    <w:rsid w:val="0034726C"/>
    <w:rsid w:val="00347276"/>
    <w:rsid w:val="003479C5"/>
    <w:rsid w:val="00347D5F"/>
    <w:rsid w:val="00347DC9"/>
    <w:rsid w:val="003500E4"/>
    <w:rsid w:val="003505A6"/>
    <w:rsid w:val="003505F3"/>
    <w:rsid w:val="00350C0C"/>
    <w:rsid w:val="003510A6"/>
    <w:rsid w:val="00351543"/>
    <w:rsid w:val="00351A93"/>
    <w:rsid w:val="00351E08"/>
    <w:rsid w:val="003521E4"/>
    <w:rsid w:val="003524C2"/>
    <w:rsid w:val="00352DAA"/>
    <w:rsid w:val="00353D6A"/>
    <w:rsid w:val="00354699"/>
    <w:rsid w:val="003548C9"/>
    <w:rsid w:val="00354A9B"/>
    <w:rsid w:val="00355392"/>
    <w:rsid w:val="00356607"/>
    <w:rsid w:val="00356819"/>
    <w:rsid w:val="00357063"/>
    <w:rsid w:val="0035763B"/>
    <w:rsid w:val="00360F5C"/>
    <w:rsid w:val="003612C7"/>
    <w:rsid w:val="00362229"/>
    <w:rsid w:val="00362715"/>
    <w:rsid w:val="00363745"/>
    <w:rsid w:val="0036377A"/>
    <w:rsid w:val="00363E00"/>
    <w:rsid w:val="0036403D"/>
    <w:rsid w:val="0036492D"/>
    <w:rsid w:val="003653C4"/>
    <w:rsid w:val="00365952"/>
    <w:rsid w:val="003659D9"/>
    <w:rsid w:val="00365B81"/>
    <w:rsid w:val="00365DA1"/>
    <w:rsid w:val="0036603C"/>
    <w:rsid w:val="003660ED"/>
    <w:rsid w:val="0036731D"/>
    <w:rsid w:val="0036791C"/>
    <w:rsid w:val="00371F14"/>
    <w:rsid w:val="003740AE"/>
    <w:rsid w:val="00375228"/>
    <w:rsid w:val="00375AAF"/>
    <w:rsid w:val="00375FDB"/>
    <w:rsid w:val="003768B5"/>
    <w:rsid w:val="00376B4A"/>
    <w:rsid w:val="00377080"/>
    <w:rsid w:val="0037775D"/>
    <w:rsid w:val="00377B87"/>
    <w:rsid w:val="00381BC2"/>
    <w:rsid w:val="00382B9D"/>
    <w:rsid w:val="00383093"/>
    <w:rsid w:val="0038530B"/>
    <w:rsid w:val="00385C83"/>
    <w:rsid w:val="003860EB"/>
    <w:rsid w:val="00386AE0"/>
    <w:rsid w:val="00386F8B"/>
    <w:rsid w:val="003876C4"/>
    <w:rsid w:val="00387989"/>
    <w:rsid w:val="00387BCD"/>
    <w:rsid w:val="00387D6F"/>
    <w:rsid w:val="00390165"/>
    <w:rsid w:val="00390677"/>
    <w:rsid w:val="003906C7"/>
    <w:rsid w:val="003908B1"/>
    <w:rsid w:val="003908D9"/>
    <w:rsid w:val="00390EA9"/>
    <w:rsid w:val="00391A0F"/>
    <w:rsid w:val="00392660"/>
    <w:rsid w:val="00392758"/>
    <w:rsid w:val="00392CF0"/>
    <w:rsid w:val="00392DFF"/>
    <w:rsid w:val="003937A0"/>
    <w:rsid w:val="00394075"/>
    <w:rsid w:val="0039423E"/>
    <w:rsid w:val="003942DA"/>
    <w:rsid w:val="00394330"/>
    <w:rsid w:val="00394C49"/>
    <w:rsid w:val="00394E3D"/>
    <w:rsid w:val="003951F6"/>
    <w:rsid w:val="0039540F"/>
    <w:rsid w:val="003955A0"/>
    <w:rsid w:val="00395670"/>
    <w:rsid w:val="003959D8"/>
    <w:rsid w:val="00395DFC"/>
    <w:rsid w:val="003968F2"/>
    <w:rsid w:val="00396974"/>
    <w:rsid w:val="003969AE"/>
    <w:rsid w:val="00396B66"/>
    <w:rsid w:val="00396F24"/>
    <w:rsid w:val="00396F5A"/>
    <w:rsid w:val="003972E0"/>
    <w:rsid w:val="003A068E"/>
    <w:rsid w:val="003A101E"/>
    <w:rsid w:val="003A135D"/>
    <w:rsid w:val="003A1B67"/>
    <w:rsid w:val="003A203E"/>
    <w:rsid w:val="003A2620"/>
    <w:rsid w:val="003A2FA4"/>
    <w:rsid w:val="003A2FD8"/>
    <w:rsid w:val="003A3425"/>
    <w:rsid w:val="003A394E"/>
    <w:rsid w:val="003A414A"/>
    <w:rsid w:val="003A4245"/>
    <w:rsid w:val="003A4B77"/>
    <w:rsid w:val="003A4D06"/>
    <w:rsid w:val="003A5261"/>
    <w:rsid w:val="003A52B5"/>
    <w:rsid w:val="003A55A2"/>
    <w:rsid w:val="003A5818"/>
    <w:rsid w:val="003A6766"/>
    <w:rsid w:val="003A6993"/>
    <w:rsid w:val="003A6F62"/>
    <w:rsid w:val="003A7143"/>
    <w:rsid w:val="003A71C7"/>
    <w:rsid w:val="003A79F5"/>
    <w:rsid w:val="003B0405"/>
    <w:rsid w:val="003B0550"/>
    <w:rsid w:val="003B1209"/>
    <w:rsid w:val="003B12CE"/>
    <w:rsid w:val="003B28A2"/>
    <w:rsid w:val="003B296C"/>
    <w:rsid w:val="003B2C61"/>
    <w:rsid w:val="003B3DE4"/>
    <w:rsid w:val="003B3E50"/>
    <w:rsid w:val="003B4064"/>
    <w:rsid w:val="003B4238"/>
    <w:rsid w:val="003B42B3"/>
    <w:rsid w:val="003B43D9"/>
    <w:rsid w:val="003B5CA8"/>
    <w:rsid w:val="003B5E24"/>
    <w:rsid w:val="003B6687"/>
    <w:rsid w:val="003B6819"/>
    <w:rsid w:val="003B694F"/>
    <w:rsid w:val="003B6986"/>
    <w:rsid w:val="003B6E44"/>
    <w:rsid w:val="003B6F53"/>
    <w:rsid w:val="003B7AA1"/>
    <w:rsid w:val="003B7CB5"/>
    <w:rsid w:val="003C0757"/>
    <w:rsid w:val="003C083D"/>
    <w:rsid w:val="003C0B8A"/>
    <w:rsid w:val="003C0D27"/>
    <w:rsid w:val="003C0FE4"/>
    <w:rsid w:val="003C1480"/>
    <w:rsid w:val="003C14AA"/>
    <w:rsid w:val="003C16CD"/>
    <w:rsid w:val="003C1B37"/>
    <w:rsid w:val="003C1BCB"/>
    <w:rsid w:val="003C1C22"/>
    <w:rsid w:val="003C2059"/>
    <w:rsid w:val="003C290C"/>
    <w:rsid w:val="003C2A6E"/>
    <w:rsid w:val="003C2A85"/>
    <w:rsid w:val="003C38CE"/>
    <w:rsid w:val="003C3F9A"/>
    <w:rsid w:val="003C4F94"/>
    <w:rsid w:val="003C579C"/>
    <w:rsid w:val="003C6185"/>
    <w:rsid w:val="003C672C"/>
    <w:rsid w:val="003C69F1"/>
    <w:rsid w:val="003C6BF5"/>
    <w:rsid w:val="003C6C0F"/>
    <w:rsid w:val="003C7B71"/>
    <w:rsid w:val="003D0042"/>
    <w:rsid w:val="003D04CE"/>
    <w:rsid w:val="003D227B"/>
    <w:rsid w:val="003D2CEF"/>
    <w:rsid w:val="003D3581"/>
    <w:rsid w:val="003D37B3"/>
    <w:rsid w:val="003D3896"/>
    <w:rsid w:val="003D38D1"/>
    <w:rsid w:val="003D44B2"/>
    <w:rsid w:val="003D5024"/>
    <w:rsid w:val="003D585F"/>
    <w:rsid w:val="003D58F3"/>
    <w:rsid w:val="003D5FCC"/>
    <w:rsid w:val="003D6561"/>
    <w:rsid w:val="003D6BCA"/>
    <w:rsid w:val="003D6BE8"/>
    <w:rsid w:val="003D6D78"/>
    <w:rsid w:val="003D7414"/>
    <w:rsid w:val="003D76EB"/>
    <w:rsid w:val="003D77BD"/>
    <w:rsid w:val="003D77D9"/>
    <w:rsid w:val="003E05B8"/>
    <w:rsid w:val="003E062C"/>
    <w:rsid w:val="003E0878"/>
    <w:rsid w:val="003E0BE5"/>
    <w:rsid w:val="003E18D4"/>
    <w:rsid w:val="003E1CC3"/>
    <w:rsid w:val="003E1E36"/>
    <w:rsid w:val="003E22EF"/>
    <w:rsid w:val="003E2798"/>
    <w:rsid w:val="003E27A2"/>
    <w:rsid w:val="003E2DE2"/>
    <w:rsid w:val="003E2DE7"/>
    <w:rsid w:val="003E3043"/>
    <w:rsid w:val="003E35D9"/>
    <w:rsid w:val="003E3624"/>
    <w:rsid w:val="003E3AD6"/>
    <w:rsid w:val="003E3E77"/>
    <w:rsid w:val="003E4405"/>
    <w:rsid w:val="003E4473"/>
    <w:rsid w:val="003E451E"/>
    <w:rsid w:val="003E4648"/>
    <w:rsid w:val="003E4752"/>
    <w:rsid w:val="003E4F03"/>
    <w:rsid w:val="003E531E"/>
    <w:rsid w:val="003E595F"/>
    <w:rsid w:val="003E62D4"/>
    <w:rsid w:val="003E62D7"/>
    <w:rsid w:val="003E7099"/>
    <w:rsid w:val="003E72D6"/>
    <w:rsid w:val="003E78F2"/>
    <w:rsid w:val="003F04F7"/>
    <w:rsid w:val="003F0764"/>
    <w:rsid w:val="003F1021"/>
    <w:rsid w:val="003F171C"/>
    <w:rsid w:val="003F1D02"/>
    <w:rsid w:val="003F1E06"/>
    <w:rsid w:val="003F1FEE"/>
    <w:rsid w:val="003F3194"/>
    <w:rsid w:val="003F3919"/>
    <w:rsid w:val="003F4863"/>
    <w:rsid w:val="003F515C"/>
    <w:rsid w:val="003F5891"/>
    <w:rsid w:val="003F5D61"/>
    <w:rsid w:val="003F6247"/>
    <w:rsid w:val="003F647A"/>
    <w:rsid w:val="003F6672"/>
    <w:rsid w:val="003F68C8"/>
    <w:rsid w:val="003F6B00"/>
    <w:rsid w:val="003F7657"/>
    <w:rsid w:val="003F7A12"/>
    <w:rsid w:val="003F7ADB"/>
    <w:rsid w:val="003F7B2D"/>
    <w:rsid w:val="003F7CBC"/>
    <w:rsid w:val="004005D5"/>
    <w:rsid w:val="00400965"/>
    <w:rsid w:val="00400AB2"/>
    <w:rsid w:val="0040107A"/>
    <w:rsid w:val="00402408"/>
    <w:rsid w:val="004027F2"/>
    <w:rsid w:val="00402E3E"/>
    <w:rsid w:val="00403FEF"/>
    <w:rsid w:val="0040413C"/>
    <w:rsid w:val="0040452C"/>
    <w:rsid w:val="00404825"/>
    <w:rsid w:val="00405B55"/>
    <w:rsid w:val="00405B6C"/>
    <w:rsid w:val="00406003"/>
    <w:rsid w:val="004062BA"/>
    <w:rsid w:val="004102B6"/>
    <w:rsid w:val="00410CB3"/>
    <w:rsid w:val="0041154B"/>
    <w:rsid w:val="004120D6"/>
    <w:rsid w:val="00412510"/>
    <w:rsid w:val="004129BB"/>
    <w:rsid w:val="00412B3E"/>
    <w:rsid w:val="00412DAC"/>
    <w:rsid w:val="00412EC2"/>
    <w:rsid w:val="00412FC5"/>
    <w:rsid w:val="004133F7"/>
    <w:rsid w:val="0041351A"/>
    <w:rsid w:val="004143AE"/>
    <w:rsid w:val="004157BA"/>
    <w:rsid w:val="004157C8"/>
    <w:rsid w:val="00415E98"/>
    <w:rsid w:val="004168D3"/>
    <w:rsid w:val="00416AD3"/>
    <w:rsid w:val="00416C93"/>
    <w:rsid w:val="004176F6"/>
    <w:rsid w:val="00417C7D"/>
    <w:rsid w:val="00417D9A"/>
    <w:rsid w:val="00417E51"/>
    <w:rsid w:val="0042065E"/>
    <w:rsid w:val="0042116E"/>
    <w:rsid w:val="0042198A"/>
    <w:rsid w:val="00422276"/>
    <w:rsid w:val="0042237E"/>
    <w:rsid w:val="00423489"/>
    <w:rsid w:val="0042404B"/>
    <w:rsid w:val="004242F1"/>
    <w:rsid w:val="00424390"/>
    <w:rsid w:val="004246D6"/>
    <w:rsid w:val="0042487B"/>
    <w:rsid w:val="00424D70"/>
    <w:rsid w:val="00425297"/>
    <w:rsid w:val="00425857"/>
    <w:rsid w:val="00425C07"/>
    <w:rsid w:val="00425FE5"/>
    <w:rsid w:val="00426440"/>
    <w:rsid w:val="0042718B"/>
    <w:rsid w:val="004271A1"/>
    <w:rsid w:val="0042763E"/>
    <w:rsid w:val="00431767"/>
    <w:rsid w:val="00431F44"/>
    <w:rsid w:val="0043238B"/>
    <w:rsid w:val="004323E0"/>
    <w:rsid w:val="00432F13"/>
    <w:rsid w:val="0043422E"/>
    <w:rsid w:val="00434594"/>
    <w:rsid w:val="004348D5"/>
    <w:rsid w:val="00434E05"/>
    <w:rsid w:val="004355FB"/>
    <w:rsid w:val="004356AD"/>
    <w:rsid w:val="00436C4C"/>
    <w:rsid w:val="004371B1"/>
    <w:rsid w:val="004372F0"/>
    <w:rsid w:val="0043741E"/>
    <w:rsid w:val="00437471"/>
    <w:rsid w:val="004376C8"/>
    <w:rsid w:val="00437A85"/>
    <w:rsid w:val="00437CE5"/>
    <w:rsid w:val="0044002B"/>
    <w:rsid w:val="00440FF8"/>
    <w:rsid w:val="00441110"/>
    <w:rsid w:val="00441430"/>
    <w:rsid w:val="004414D8"/>
    <w:rsid w:val="00441676"/>
    <w:rsid w:val="004420EF"/>
    <w:rsid w:val="004425FE"/>
    <w:rsid w:val="00442675"/>
    <w:rsid w:val="004437C3"/>
    <w:rsid w:val="0044434C"/>
    <w:rsid w:val="004444F0"/>
    <w:rsid w:val="004449E5"/>
    <w:rsid w:val="004451C1"/>
    <w:rsid w:val="00445A00"/>
    <w:rsid w:val="00445BB4"/>
    <w:rsid w:val="00446296"/>
    <w:rsid w:val="00446659"/>
    <w:rsid w:val="00447210"/>
    <w:rsid w:val="00447EF1"/>
    <w:rsid w:val="00450819"/>
    <w:rsid w:val="0045114D"/>
    <w:rsid w:val="004512C4"/>
    <w:rsid w:val="004512D3"/>
    <w:rsid w:val="00451B0F"/>
    <w:rsid w:val="00451B2F"/>
    <w:rsid w:val="004521CA"/>
    <w:rsid w:val="004532E7"/>
    <w:rsid w:val="00453C68"/>
    <w:rsid w:val="00454295"/>
    <w:rsid w:val="004543AE"/>
    <w:rsid w:val="00455033"/>
    <w:rsid w:val="00455529"/>
    <w:rsid w:val="0045678D"/>
    <w:rsid w:val="00456C2C"/>
    <w:rsid w:val="00456C62"/>
    <w:rsid w:val="00457355"/>
    <w:rsid w:val="0045753E"/>
    <w:rsid w:val="004577EA"/>
    <w:rsid w:val="0045798A"/>
    <w:rsid w:val="00457B33"/>
    <w:rsid w:val="00460A23"/>
    <w:rsid w:val="004619DB"/>
    <w:rsid w:val="00461D1C"/>
    <w:rsid w:val="00461F90"/>
    <w:rsid w:val="0046206A"/>
    <w:rsid w:val="004629C3"/>
    <w:rsid w:val="00462C9E"/>
    <w:rsid w:val="00463387"/>
    <w:rsid w:val="00464F32"/>
    <w:rsid w:val="0046537E"/>
    <w:rsid w:val="004664CD"/>
    <w:rsid w:val="00467724"/>
    <w:rsid w:val="00467894"/>
    <w:rsid w:val="0046789F"/>
    <w:rsid w:val="00467A76"/>
    <w:rsid w:val="0047185B"/>
    <w:rsid w:val="0047186D"/>
    <w:rsid w:val="004719BA"/>
    <w:rsid w:val="0047211D"/>
    <w:rsid w:val="00472A2F"/>
    <w:rsid w:val="00472D97"/>
    <w:rsid w:val="00472F8C"/>
    <w:rsid w:val="00473DF4"/>
    <w:rsid w:val="00473E48"/>
    <w:rsid w:val="00474749"/>
    <w:rsid w:val="00474B58"/>
    <w:rsid w:val="00474BFE"/>
    <w:rsid w:val="004750D1"/>
    <w:rsid w:val="00475401"/>
    <w:rsid w:val="004758F5"/>
    <w:rsid w:val="00476C81"/>
    <w:rsid w:val="00477E15"/>
    <w:rsid w:val="00477EE1"/>
    <w:rsid w:val="00481045"/>
    <w:rsid w:val="00482004"/>
    <w:rsid w:val="00482573"/>
    <w:rsid w:val="00482782"/>
    <w:rsid w:val="004829BF"/>
    <w:rsid w:val="00483752"/>
    <w:rsid w:val="004837C4"/>
    <w:rsid w:val="00483AEF"/>
    <w:rsid w:val="00483F8B"/>
    <w:rsid w:val="00484568"/>
    <w:rsid w:val="004857A5"/>
    <w:rsid w:val="00485D1D"/>
    <w:rsid w:val="0048610A"/>
    <w:rsid w:val="004865C6"/>
    <w:rsid w:val="0048686D"/>
    <w:rsid w:val="004869ED"/>
    <w:rsid w:val="00486A0A"/>
    <w:rsid w:val="00486B0D"/>
    <w:rsid w:val="00486BAD"/>
    <w:rsid w:val="00486D71"/>
    <w:rsid w:val="00487A11"/>
    <w:rsid w:val="004900FB"/>
    <w:rsid w:val="004904EA"/>
    <w:rsid w:val="0049057C"/>
    <w:rsid w:val="00490643"/>
    <w:rsid w:val="00491362"/>
    <w:rsid w:val="0049138D"/>
    <w:rsid w:val="004917C7"/>
    <w:rsid w:val="00491AAC"/>
    <w:rsid w:val="004931F3"/>
    <w:rsid w:val="004935C9"/>
    <w:rsid w:val="004937B1"/>
    <w:rsid w:val="00493C31"/>
    <w:rsid w:val="00493E15"/>
    <w:rsid w:val="0049451E"/>
    <w:rsid w:val="00495019"/>
    <w:rsid w:val="00495081"/>
    <w:rsid w:val="004951D5"/>
    <w:rsid w:val="00495231"/>
    <w:rsid w:val="00495418"/>
    <w:rsid w:val="00495541"/>
    <w:rsid w:val="004963DF"/>
    <w:rsid w:val="00496B5E"/>
    <w:rsid w:val="004973C2"/>
    <w:rsid w:val="004976C1"/>
    <w:rsid w:val="0049782D"/>
    <w:rsid w:val="0049788E"/>
    <w:rsid w:val="00497E50"/>
    <w:rsid w:val="004A001C"/>
    <w:rsid w:val="004A0350"/>
    <w:rsid w:val="004A09EC"/>
    <w:rsid w:val="004A1123"/>
    <w:rsid w:val="004A1A1A"/>
    <w:rsid w:val="004A21DD"/>
    <w:rsid w:val="004A2599"/>
    <w:rsid w:val="004A2E99"/>
    <w:rsid w:val="004A348D"/>
    <w:rsid w:val="004A407A"/>
    <w:rsid w:val="004A4916"/>
    <w:rsid w:val="004A4A9C"/>
    <w:rsid w:val="004A4F1F"/>
    <w:rsid w:val="004A614A"/>
    <w:rsid w:val="004A61C4"/>
    <w:rsid w:val="004A6583"/>
    <w:rsid w:val="004A68D0"/>
    <w:rsid w:val="004A6CF4"/>
    <w:rsid w:val="004A6D20"/>
    <w:rsid w:val="004A7099"/>
    <w:rsid w:val="004A7248"/>
    <w:rsid w:val="004A764D"/>
    <w:rsid w:val="004A7C70"/>
    <w:rsid w:val="004A7C79"/>
    <w:rsid w:val="004A7DB3"/>
    <w:rsid w:val="004B037B"/>
    <w:rsid w:val="004B045A"/>
    <w:rsid w:val="004B06D5"/>
    <w:rsid w:val="004B09C4"/>
    <w:rsid w:val="004B10B7"/>
    <w:rsid w:val="004B1481"/>
    <w:rsid w:val="004B1502"/>
    <w:rsid w:val="004B1803"/>
    <w:rsid w:val="004B2448"/>
    <w:rsid w:val="004B24B6"/>
    <w:rsid w:val="004B3DBA"/>
    <w:rsid w:val="004B401B"/>
    <w:rsid w:val="004B4645"/>
    <w:rsid w:val="004B49AF"/>
    <w:rsid w:val="004B635C"/>
    <w:rsid w:val="004B654C"/>
    <w:rsid w:val="004B6E88"/>
    <w:rsid w:val="004C1DA5"/>
    <w:rsid w:val="004C2455"/>
    <w:rsid w:val="004C2C30"/>
    <w:rsid w:val="004C2ED7"/>
    <w:rsid w:val="004C2EE3"/>
    <w:rsid w:val="004C3ED8"/>
    <w:rsid w:val="004C4022"/>
    <w:rsid w:val="004C4B09"/>
    <w:rsid w:val="004C5863"/>
    <w:rsid w:val="004C5E44"/>
    <w:rsid w:val="004C601A"/>
    <w:rsid w:val="004C66E8"/>
    <w:rsid w:val="004C6828"/>
    <w:rsid w:val="004C6B9A"/>
    <w:rsid w:val="004C6FD6"/>
    <w:rsid w:val="004C7203"/>
    <w:rsid w:val="004C75A4"/>
    <w:rsid w:val="004C7ACA"/>
    <w:rsid w:val="004C7BE1"/>
    <w:rsid w:val="004D016B"/>
    <w:rsid w:val="004D04AB"/>
    <w:rsid w:val="004D053D"/>
    <w:rsid w:val="004D0AB8"/>
    <w:rsid w:val="004D169A"/>
    <w:rsid w:val="004D25D8"/>
    <w:rsid w:val="004D277E"/>
    <w:rsid w:val="004D31A3"/>
    <w:rsid w:val="004D34C3"/>
    <w:rsid w:val="004D354F"/>
    <w:rsid w:val="004D3597"/>
    <w:rsid w:val="004D3A3F"/>
    <w:rsid w:val="004D3C84"/>
    <w:rsid w:val="004D3DAC"/>
    <w:rsid w:val="004D3F63"/>
    <w:rsid w:val="004D4283"/>
    <w:rsid w:val="004D439F"/>
    <w:rsid w:val="004D4647"/>
    <w:rsid w:val="004D4920"/>
    <w:rsid w:val="004D58D3"/>
    <w:rsid w:val="004D5B90"/>
    <w:rsid w:val="004D697C"/>
    <w:rsid w:val="004D6C37"/>
    <w:rsid w:val="004D6F06"/>
    <w:rsid w:val="004D70B5"/>
    <w:rsid w:val="004D7251"/>
    <w:rsid w:val="004D765E"/>
    <w:rsid w:val="004E032B"/>
    <w:rsid w:val="004E0344"/>
    <w:rsid w:val="004E058B"/>
    <w:rsid w:val="004E06AE"/>
    <w:rsid w:val="004E073D"/>
    <w:rsid w:val="004E0EE4"/>
    <w:rsid w:val="004E1123"/>
    <w:rsid w:val="004E160C"/>
    <w:rsid w:val="004E2993"/>
    <w:rsid w:val="004E29D7"/>
    <w:rsid w:val="004E2B70"/>
    <w:rsid w:val="004E2BB9"/>
    <w:rsid w:val="004E2BD2"/>
    <w:rsid w:val="004E2EED"/>
    <w:rsid w:val="004E2FBD"/>
    <w:rsid w:val="004E39F1"/>
    <w:rsid w:val="004E3D8B"/>
    <w:rsid w:val="004E4392"/>
    <w:rsid w:val="004E4615"/>
    <w:rsid w:val="004E47EE"/>
    <w:rsid w:val="004E4A22"/>
    <w:rsid w:val="004E5A04"/>
    <w:rsid w:val="004E5B37"/>
    <w:rsid w:val="004E5CC7"/>
    <w:rsid w:val="004E65A6"/>
    <w:rsid w:val="004E6AB9"/>
    <w:rsid w:val="004E6F28"/>
    <w:rsid w:val="004E75F1"/>
    <w:rsid w:val="004E7FBD"/>
    <w:rsid w:val="004F05DD"/>
    <w:rsid w:val="004F08DE"/>
    <w:rsid w:val="004F12DB"/>
    <w:rsid w:val="004F17A9"/>
    <w:rsid w:val="004F1EC6"/>
    <w:rsid w:val="004F24B6"/>
    <w:rsid w:val="004F264A"/>
    <w:rsid w:val="004F2902"/>
    <w:rsid w:val="004F36C1"/>
    <w:rsid w:val="004F4A75"/>
    <w:rsid w:val="004F52C8"/>
    <w:rsid w:val="004F5744"/>
    <w:rsid w:val="004F5869"/>
    <w:rsid w:val="004F5990"/>
    <w:rsid w:val="004F623D"/>
    <w:rsid w:val="004F6F5A"/>
    <w:rsid w:val="004F7172"/>
    <w:rsid w:val="004F7D39"/>
    <w:rsid w:val="004F7E46"/>
    <w:rsid w:val="00500513"/>
    <w:rsid w:val="005005FE"/>
    <w:rsid w:val="0050073D"/>
    <w:rsid w:val="005016CA"/>
    <w:rsid w:val="00501771"/>
    <w:rsid w:val="00501A7D"/>
    <w:rsid w:val="00501CFC"/>
    <w:rsid w:val="005025AF"/>
    <w:rsid w:val="00502B98"/>
    <w:rsid w:val="00502BAD"/>
    <w:rsid w:val="005030CF"/>
    <w:rsid w:val="0050379E"/>
    <w:rsid w:val="005043EC"/>
    <w:rsid w:val="0050459E"/>
    <w:rsid w:val="0050543B"/>
    <w:rsid w:val="00505679"/>
    <w:rsid w:val="00505766"/>
    <w:rsid w:val="00507743"/>
    <w:rsid w:val="00507D40"/>
    <w:rsid w:val="00510142"/>
    <w:rsid w:val="00510601"/>
    <w:rsid w:val="00510CBF"/>
    <w:rsid w:val="00510F25"/>
    <w:rsid w:val="00511397"/>
    <w:rsid w:val="00511968"/>
    <w:rsid w:val="00512FF0"/>
    <w:rsid w:val="00513166"/>
    <w:rsid w:val="00513255"/>
    <w:rsid w:val="005132F8"/>
    <w:rsid w:val="00513632"/>
    <w:rsid w:val="00513B2C"/>
    <w:rsid w:val="00513BEC"/>
    <w:rsid w:val="00513C82"/>
    <w:rsid w:val="00513DA7"/>
    <w:rsid w:val="00513F25"/>
    <w:rsid w:val="00514347"/>
    <w:rsid w:val="00514659"/>
    <w:rsid w:val="005150CD"/>
    <w:rsid w:val="00515B88"/>
    <w:rsid w:val="00515C0D"/>
    <w:rsid w:val="00515F19"/>
    <w:rsid w:val="00516227"/>
    <w:rsid w:val="0051664E"/>
    <w:rsid w:val="00516816"/>
    <w:rsid w:val="0051694B"/>
    <w:rsid w:val="00517208"/>
    <w:rsid w:val="005179EF"/>
    <w:rsid w:val="00517C8E"/>
    <w:rsid w:val="00517E5A"/>
    <w:rsid w:val="00517EE7"/>
    <w:rsid w:val="00520DDF"/>
    <w:rsid w:val="00520FC8"/>
    <w:rsid w:val="005212D3"/>
    <w:rsid w:val="0052189C"/>
    <w:rsid w:val="00521F56"/>
    <w:rsid w:val="005220BE"/>
    <w:rsid w:val="005225F6"/>
    <w:rsid w:val="00522766"/>
    <w:rsid w:val="00523546"/>
    <w:rsid w:val="00523C74"/>
    <w:rsid w:val="00523EB3"/>
    <w:rsid w:val="0052404D"/>
    <w:rsid w:val="005243B3"/>
    <w:rsid w:val="00524C71"/>
    <w:rsid w:val="00524C8B"/>
    <w:rsid w:val="00524C93"/>
    <w:rsid w:val="00525806"/>
    <w:rsid w:val="00525F1A"/>
    <w:rsid w:val="00526093"/>
    <w:rsid w:val="00526168"/>
    <w:rsid w:val="005272C0"/>
    <w:rsid w:val="0052762B"/>
    <w:rsid w:val="00527CAF"/>
    <w:rsid w:val="00527FB8"/>
    <w:rsid w:val="00530353"/>
    <w:rsid w:val="0053059A"/>
    <w:rsid w:val="005306C5"/>
    <w:rsid w:val="005313E0"/>
    <w:rsid w:val="0053150D"/>
    <w:rsid w:val="00531D38"/>
    <w:rsid w:val="00532F81"/>
    <w:rsid w:val="005334F5"/>
    <w:rsid w:val="0053350F"/>
    <w:rsid w:val="0053371A"/>
    <w:rsid w:val="00533B36"/>
    <w:rsid w:val="00533EE9"/>
    <w:rsid w:val="0053461B"/>
    <w:rsid w:val="00535A31"/>
    <w:rsid w:val="00535BB7"/>
    <w:rsid w:val="00535F54"/>
    <w:rsid w:val="005366E5"/>
    <w:rsid w:val="0053762C"/>
    <w:rsid w:val="005377AB"/>
    <w:rsid w:val="00540183"/>
    <w:rsid w:val="00540587"/>
    <w:rsid w:val="00540CD5"/>
    <w:rsid w:val="00540F09"/>
    <w:rsid w:val="00541714"/>
    <w:rsid w:val="00542355"/>
    <w:rsid w:val="005424EA"/>
    <w:rsid w:val="00543300"/>
    <w:rsid w:val="00543783"/>
    <w:rsid w:val="00543784"/>
    <w:rsid w:val="00544FF0"/>
    <w:rsid w:val="005454C3"/>
    <w:rsid w:val="00545C7C"/>
    <w:rsid w:val="005460AB"/>
    <w:rsid w:val="0054630E"/>
    <w:rsid w:val="0054644B"/>
    <w:rsid w:val="00546A84"/>
    <w:rsid w:val="005511AF"/>
    <w:rsid w:val="0055148D"/>
    <w:rsid w:val="005517EA"/>
    <w:rsid w:val="005519D6"/>
    <w:rsid w:val="00551D56"/>
    <w:rsid w:val="00551FD3"/>
    <w:rsid w:val="00552BA8"/>
    <w:rsid w:val="005536AF"/>
    <w:rsid w:val="00553CB8"/>
    <w:rsid w:val="00553CE9"/>
    <w:rsid w:val="00554311"/>
    <w:rsid w:val="005546AF"/>
    <w:rsid w:val="00554A51"/>
    <w:rsid w:val="00554C25"/>
    <w:rsid w:val="00555050"/>
    <w:rsid w:val="00555ADE"/>
    <w:rsid w:val="0055607B"/>
    <w:rsid w:val="0055614C"/>
    <w:rsid w:val="00556984"/>
    <w:rsid w:val="00557693"/>
    <w:rsid w:val="00557E3A"/>
    <w:rsid w:val="00560A0F"/>
    <w:rsid w:val="005615C0"/>
    <w:rsid w:val="00561974"/>
    <w:rsid w:val="00561B1C"/>
    <w:rsid w:val="0056221B"/>
    <w:rsid w:val="00562B80"/>
    <w:rsid w:val="00564164"/>
    <w:rsid w:val="0056418D"/>
    <w:rsid w:val="005644E1"/>
    <w:rsid w:val="005646BD"/>
    <w:rsid w:val="0056555B"/>
    <w:rsid w:val="0056563A"/>
    <w:rsid w:val="005656CC"/>
    <w:rsid w:val="0056597C"/>
    <w:rsid w:val="00565A66"/>
    <w:rsid w:val="00565ECA"/>
    <w:rsid w:val="00566D9C"/>
    <w:rsid w:val="00566E5F"/>
    <w:rsid w:val="005676D7"/>
    <w:rsid w:val="00571C93"/>
    <w:rsid w:val="00571EB0"/>
    <w:rsid w:val="00572011"/>
    <w:rsid w:val="005722B5"/>
    <w:rsid w:val="005734E9"/>
    <w:rsid w:val="00573A87"/>
    <w:rsid w:val="00573D9B"/>
    <w:rsid w:val="00574124"/>
    <w:rsid w:val="005746DE"/>
    <w:rsid w:val="00575582"/>
    <w:rsid w:val="005756F1"/>
    <w:rsid w:val="00575832"/>
    <w:rsid w:val="00575991"/>
    <w:rsid w:val="005759A8"/>
    <w:rsid w:val="00576B4E"/>
    <w:rsid w:val="00576C12"/>
    <w:rsid w:val="00576EE0"/>
    <w:rsid w:val="005802BC"/>
    <w:rsid w:val="005802BF"/>
    <w:rsid w:val="00580F19"/>
    <w:rsid w:val="00580FF1"/>
    <w:rsid w:val="00581B70"/>
    <w:rsid w:val="00581D28"/>
    <w:rsid w:val="00582B69"/>
    <w:rsid w:val="005831B6"/>
    <w:rsid w:val="00583C57"/>
    <w:rsid w:val="005844E8"/>
    <w:rsid w:val="00584561"/>
    <w:rsid w:val="00585784"/>
    <w:rsid w:val="0058585A"/>
    <w:rsid w:val="005863C3"/>
    <w:rsid w:val="005866CF"/>
    <w:rsid w:val="00586D09"/>
    <w:rsid w:val="005879A2"/>
    <w:rsid w:val="00587B0C"/>
    <w:rsid w:val="00587B35"/>
    <w:rsid w:val="00587F99"/>
    <w:rsid w:val="005901AC"/>
    <w:rsid w:val="005906FC"/>
    <w:rsid w:val="00590C09"/>
    <w:rsid w:val="005912AA"/>
    <w:rsid w:val="0059144A"/>
    <w:rsid w:val="0059178A"/>
    <w:rsid w:val="005921F2"/>
    <w:rsid w:val="00593079"/>
    <w:rsid w:val="00593151"/>
    <w:rsid w:val="00593B29"/>
    <w:rsid w:val="00593E6F"/>
    <w:rsid w:val="00593EC4"/>
    <w:rsid w:val="005940F9"/>
    <w:rsid w:val="005949C5"/>
    <w:rsid w:val="0059512C"/>
    <w:rsid w:val="005959BD"/>
    <w:rsid w:val="005963B6"/>
    <w:rsid w:val="00596892"/>
    <w:rsid w:val="00596AD5"/>
    <w:rsid w:val="00597806"/>
    <w:rsid w:val="0059788E"/>
    <w:rsid w:val="005A032A"/>
    <w:rsid w:val="005A0616"/>
    <w:rsid w:val="005A0966"/>
    <w:rsid w:val="005A0A96"/>
    <w:rsid w:val="005A14F7"/>
    <w:rsid w:val="005A15EC"/>
    <w:rsid w:val="005A19F7"/>
    <w:rsid w:val="005A2EB7"/>
    <w:rsid w:val="005A318A"/>
    <w:rsid w:val="005A3212"/>
    <w:rsid w:val="005A3579"/>
    <w:rsid w:val="005A36DE"/>
    <w:rsid w:val="005A3A36"/>
    <w:rsid w:val="005A3E59"/>
    <w:rsid w:val="005A43D0"/>
    <w:rsid w:val="005A4549"/>
    <w:rsid w:val="005A470B"/>
    <w:rsid w:val="005A4E58"/>
    <w:rsid w:val="005A506D"/>
    <w:rsid w:val="005A6946"/>
    <w:rsid w:val="005A6CBA"/>
    <w:rsid w:val="005A6CCB"/>
    <w:rsid w:val="005A7B10"/>
    <w:rsid w:val="005A7B1F"/>
    <w:rsid w:val="005B045C"/>
    <w:rsid w:val="005B0A93"/>
    <w:rsid w:val="005B0CA3"/>
    <w:rsid w:val="005B0F90"/>
    <w:rsid w:val="005B222C"/>
    <w:rsid w:val="005B2323"/>
    <w:rsid w:val="005B2CC9"/>
    <w:rsid w:val="005B3060"/>
    <w:rsid w:val="005B345A"/>
    <w:rsid w:val="005B3EFB"/>
    <w:rsid w:val="005B3FF3"/>
    <w:rsid w:val="005B4064"/>
    <w:rsid w:val="005B4178"/>
    <w:rsid w:val="005B42BF"/>
    <w:rsid w:val="005B4C04"/>
    <w:rsid w:val="005B5286"/>
    <w:rsid w:val="005B55D8"/>
    <w:rsid w:val="005B5673"/>
    <w:rsid w:val="005B579B"/>
    <w:rsid w:val="005B583F"/>
    <w:rsid w:val="005B5890"/>
    <w:rsid w:val="005B5E40"/>
    <w:rsid w:val="005B6E2D"/>
    <w:rsid w:val="005B7C4B"/>
    <w:rsid w:val="005C050E"/>
    <w:rsid w:val="005C1275"/>
    <w:rsid w:val="005C1A3D"/>
    <w:rsid w:val="005C1DF2"/>
    <w:rsid w:val="005C255A"/>
    <w:rsid w:val="005C31AE"/>
    <w:rsid w:val="005C53D0"/>
    <w:rsid w:val="005C55DC"/>
    <w:rsid w:val="005C562C"/>
    <w:rsid w:val="005C5835"/>
    <w:rsid w:val="005C5A1C"/>
    <w:rsid w:val="005C64C8"/>
    <w:rsid w:val="005C654B"/>
    <w:rsid w:val="005C6867"/>
    <w:rsid w:val="005C694D"/>
    <w:rsid w:val="005C7547"/>
    <w:rsid w:val="005C7774"/>
    <w:rsid w:val="005C780C"/>
    <w:rsid w:val="005C7DD9"/>
    <w:rsid w:val="005D0219"/>
    <w:rsid w:val="005D0B49"/>
    <w:rsid w:val="005D1CD8"/>
    <w:rsid w:val="005D1E06"/>
    <w:rsid w:val="005D1F0A"/>
    <w:rsid w:val="005D22A3"/>
    <w:rsid w:val="005D2BD8"/>
    <w:rsid w:val="005D32E2"/>
    <w:rsid w:val="005D371A"/>
    <w:rsid w:val="005D3B48"/>
    <w:rsid w:val="005D4420"/>
    <w:rsid w:val="005D4942"/>
    <w:rsid w:val="005D4B8D"/>
    <w:rsid w:val="005D4C91"/>
    <w:rsid w:val="005D4F2A"/>
    <w:rsid w:val="005D536A"/>
    <w:rsid w:val="005D6135"/>
    <w:rsid w:val="005D6B5C"/>
    <w:rsid w:val="005D705D"/>
    <w:rsid w:val="005D797B"/>
    <w:rsid w:val="005D7C3E"/>
    <w:rsid w:val="005D7F1C"/>
    <w:rsid w:val="005E085B"/>
    <w:rsid w:val="005E09F2"/>
    <w:rsid w:val="005E0D80"/>
    <w:rsid w:val="005E13CC"/>
    <w:rsid w:val="005E14C2"/>
    <w:rsid w:val="005E1896"/>
    <w:rsid w:val="005E1ED5"/>
    <w:rsid w:val="005E27FB"/>
    <w:rsid w:val="005E2B34"/>
    <w:rsid w:val="005E326F"/>
    <w:rsid w:val="005E3E9F"/>
    <w:rsid w:val="005E463A"/>
    <w:rsid w:val="005E49A8"/>
    <w:rsid w:val="005E4AFF"/>
    <w:rsid w:val="005E4DF1"/>
    <w:rsid w:val="005E7160"/>
    <w:rsid w:val="005E767D"/>
    <w:rsid w:val="005E789D"/>
    <w:rsid w:val="005E78B7"/>
    <w:rsid w:val="005F066B"/>
    <w:rsid w:val="005F079A"/>
    <w:rsid w:val="005F0FF7"/>
    <w:rsid w:val="005F10F5"/>
    <w:rsid w:val="005F1A83"/>
    <w:rsid w:val="005F2196"/>
    <w:rsid w:val="005F2660"/>
    <w:rsid w:val="005F2FA4"/>
    <w:rsid w:val="005F495A"/>
    <w:rsid w:val="005F4CE9"/>
    <w:rsid w:val="005F505F"/>
    <w:rsid w:val="005F637B"/>
    <w:rsid w:val="005F6562"/>
    <w:rsid w:val="005F6829"/>
    <w:rsid w:val="00600412"/>
    <w:rsid w:val="00600894"/>
    <w:rsid w:val="00600DEC"/>
    <w:rsid w:val="00601196"/>
    <w:rsid w:val="00602413"/>
    <w:rsid w:val="00602462"/>
    <w:rsid w:val="006026AD"/>
    <w:rsid w:val="006030D3"/>
    <w:rsid w:val="0060348C"/>
    <w:rsid w:val="0060367C"/>
    <w:rsid w:val="00603CCF"/>
    <w:rsid w:val="00604671"/>
    <w:rsid w:val="00604811"/>
    <w:rsid w:val="00604B51"/>
    <w:rsid w:val="00604BBF"/>
    <w:rsid w:val="00604FDF"/>
    <w:rsid w:val="00605113"/>
    <w:rsid w:val="00605F8B"/>
    <w:rsid w:val="00606103"/>
    <w:rsid w:val="0060679A"/>
    <w:rsid w:val="006068B4"/>
    <w:rsid w:val="00606F80"/>
    <w:rsid w:val="0060706A"/>
    <w:rsid w:val="00607219"/>
    <w:rsid w:val="006078E4"/>
    <w:rsid w:val="0060798D"/>
    <w:rsid w:val="00607BA5"/>
    <w:rsid w:val="0061097D"/>
    <w:rsid w:val="00610A14"/>
    <w:rsid w:val="0061128F"/>
    <w:rsid w:val="006112FB"/>
    <w:rsid w:val="006114A5"/>
    <w:rsid w:val="006116EA"/>
    <w:rsid w:val="00611732"/>
    <w:rsid w:val="0061180A"/>
    <w:rsid w:val="00611896"/>
    <w:rsid w:val="0061282B"/>
    <w:rsid w:val="00612902"/>
    <w:rsid w:val="006129D2"/>
    <w:rsid w:val="00613251"/>
    <w:rsid w:val="006135D0"/>
    <w:rsid w:val="00613EFD"/>
    <w:rsid w:val="006143A4"/>
    <w:rsid w:val="0061443C"/>
    <w:rsid w:val="0061460F"/>
    <w:rsid w:val="00614966"/>
    <w:rsid w:val="006153A1"/>
    <w:rsid w:val="00615A1F"/>
    <w:rsid w:val="006164C0"/>
    <w:rsid w:val="006165FB"/>
    <w:rsid w:val="00616712"/>
    <w:rsid w:val="00616AC7"/>
    <w:rsid w:val="006174DC"/>
    <w:rsid w:val="00617E14"/>
    <w:rsid w:val="006201B3"/>
    <w:rsid w:val="006205A0"/>
    <w:rsid w:val="006205F7"/>
    <w:rsid w:val="00620635"/>
    <w:rsid w:val="00620B6D"/>
    <w:rsid w:val="006215F9"/>
    <w:rsid w:val="00621992"/>
    <w:rsid w:val="006224EA"/>
    <w:rsid w:val="00622B32"/>
    <w:rsid w:val="00624040"/>
    <w:rsid w:val="00624675"/>
    <w:rsid w:val="00624B54"/>
    <w:rsid w:val="00624C41"/>
    <w:rsid w:val="00624EAC"/>
    <w:rsid w:val="00625B10"/>
    <w:rsid w:val="00626AED"/>
    <w:rsid w:val="00626EB6"/>
    <w:rsid w:val="00627251"/>
    <w:rsid w:val="0063073B"/>
    <w:rsid w:val="00630C52"/>
    <w:rsid w:val="006310BE"/>
    <w:rsid w:val="0063157F"/>
    <w:rsid w:val="006317D6"/>
    <w:rsid w:val="006319B5"/>
    <w:rsid w:val="006322AB"/>
    <w:rsid w:val="006324E9"/>
    <w:rsid w:val="0063285B"/>
    <w:rsid w:val="00632998"/>
    <w:rsid w:val="00632DAB"/>
    <w:rsid w:val="00633507"/>
    <w:rsid w:val="00633EC1"/>
    <w:rsid w:val="00634479"/>
    <w:rsid w:val="0063477B"/>
    <w:rsid w:val="006347B7"/>
    <w:rsid w:val="0063486E"/>
    <w:rsid w:val="00634BCF"/>
    <w:rsid w:val="0063589B"/>
    <w:rsid w:val="00635A7E"/>
    <w:rsid w:val="006364C1"/>
    <w:rsid w:val="006364D0"/>
    <w:rsid w:val="006366AE"/>
    <w:rsid w:val="00636FE6"/>
    <w:rsid w:val="0063708B"/>
    <w:rsid w:val="00637F00"/>
    <w:rsid w:val="006406AF"/>
    <w:rsid w:val="006409CD"/>
    <w:rsid w:val="006414CE"/>
    <w:rsid w:val="006414D0"/>
    <w:rsid w:val="00642046"/>
    <w:rsid w:val="006426D6"/>
    <w:rsid w:val="00642B6C"/>
    <w:rsid w:val="00642FC3"/>
    <w:rsid w:val="0064370C"/>
    <w:rsid w:val="0064442F"/>
    <w:rsid w:val="00644A31"/>
    <w:rsid w:val="00644A36"/>
    <w:rsid w:val="00644C3A"/>
    <w:rsid w:val="006452ED"/>
    <w:rsid w:val="006455DE"/>
    <w:rsid w:val="00646BD9"/>
    <w:rsid w:val="00647115"/>
    <w:rsid w:val="00647279"/>
    <w:rsid w:val="006477F0"/>
    <w:rsid w:val="00647CAC"/>
    <w:rsid w:val="00647F94"/>
    <w:rsid w:val="00650014"/>
    <w:rsid w:val="006503D8"/>
    <w:rsid w:val="006507EF"/>
    <w:rsid w:val="0065163B"/>
    <w:rsid w:val="00654367"/>
    <w:rsid w:val="0065463F"/>
    <w:rsid w:val="00654EAA"/>
    <w:rsid w:val="00655160"/>
    <w:rsid w:val="006552D8"/>
    <w:rsid w:val="00655330"/>
    <w:rsid w:val="00655397"/>
    <w:rsid w:val="0065583C"/>
    <w:rsid w:val="00655D03"/>
    <w:rsid w:val="00655FB3"/>
    <w:rsid w:val="006561E9"/>
    <w:rsid w:val="0065668D"/>
    <w:rsid w:val="00656C25"/>
    <w:rsid w:val="006573FF"/>
    <w:rsid w:val="0066038D"/>
    <w:rsid w:val="00660A80"/>
    <w:rsid w:val="00660B88"/>
    <w:rsid w:val="00660DD5"/>
    <w:rsid w:val="00661179"/>
    <w:rsid w:val="006614DC"/>
    <w:rsid w:val="00661ECE"/>
    <w:rsid w:val="00662170"/>
    <w:rsid w:val="006625BE"/>
    <w:rsid w:val="00662CA0"/>
    <w:rsid w:val="006634C7"/>
    <w:rsid w:val="00663E2F"/>
    <w:rsid w:val="006642D1"/>
    <w:rsid w:val="00664317"/>
    <w:rsid w:val="00664735"/>
    <w:rsid w:val="00664D27"/>
    <w:rsid w:val="0066567A"/>
    <w:rsid w:val="00665E43"/>
    <w:rsid w:val="006664D0"/>
    <w:rsid w:val="006665E0"/>
    <w:rsid w:val="0066688C"/>
    <w:rsid w:val="0066690A"/>
    <w:rsid w:val="006669BD"/>
    <w:rsid w:val="00666B12"/>
    <w:rsid w:val="00666C21"/>
    <w:rsid w:val="0066727D"/>
    <w:rsid w:val="00670D71"/>
    <w:rsid w:val="006711A4"/>
    <w:rsid w:val="00671705"/>
    <w:rsid w:val="0067278A"/>
    <w:rsid w:val="00673D66"/>
    <w:rsid w:val="00673E86"/>
    <w:rsid w:val="0067425F"/>
    <w:rsid w:val="00674687"/>
    <w:rsid w:val="0067511D"/>
    <w:rsid w:val="006754F3"/>
    <w:rsid w:val="0067573A"/>
    <w:rsid w:val="00675AA1"/>
    <w:rsid w:val="00675EF1"/>
    <w:rsid w:val="00676030"/>
    <w:rsid w:val="00676249"/>
    <w:rsid w:val="00676B43"/>
    <w:rsid w:val="006771D5"/>
    <w:rsid w:val="006772ED"/>
    <w:rsid w:val="00677973"/>
    <w:rsid w:val="00677A48"/>
    <w:rsid w:val="00677E20"/>
    <w:rsid w:val="0068062E"/>
    <w:rsid w:val="00680987"/>
    <w:rsid w:val="00680A1C"/>
    <w:rsid w:val="00680AFB"/>
    <w:rsid w:val="006814C0"/>
    <w:rsid w:val="006815F3"/>
    <w:rsid w:val="00682103"/>
    <w:rsid w:val="00682751"/>
    <w:rsid w:val="00682CBC"/>
    <w:rsid w:val="00682EFA"/>
    <w:rsid w:val="00683388"/>
    <w:rsid w:val="006834C4"/>
    <w:rsid w:val="006835B7"/>
    <w:rsid w:val="006839CA"/>
    <w:rsid w:val="00683E7F"/>
    <w:rsid w:val="00683EFB"/>
    <w:rsid w:val="00683F84"/>
    <w:rsid w:val="00684A09"/>
    <w:rsid w:val="00684BDA"/>
    <w:rsid w:val="00684DFD"/>
    <w:rsid w:val="00684E94"/>
    <w:rsid w:val="006850F8"/>
    <w:rsid w:val="0068553B"/>
    <w:rsid w:val="00685A37"/>
    <w:rsid w:val="0068632B"/>
    <w:rsid w:val="00686601"/>
    <w:rsid w:val="00686998"/>
    <w:rsid w:val="006869F8"/>
    <w:rsid w:val="00686D43"/>
    <w:rsid w:val="00686F9B"/>
    <w:rsid w:val="00687259"/>
    <w:rsid w:val="00687735"/>
    <w:rsid w:val="006877D1"/>
    <w:rsid w:val="006900AF"/>
    <w:rsid w:val="0069031B"/>
    <w:rsid w:val="006904D3"/>
    <w:rsid w:val="00690818"/>
    <w:rsid w:val="0069085F"/>
    <w:rsid w:val="00690D01"/>
    <w:rsid w:val="006911DD"/>
    <w:rsid w:val="00691422"/>
    <w:rsid w:val="00691872"/>
    <w:rsid w:val="00691B0F"/>
    <w:rsid w:val="006922F4"/>
    <w:rsid w:val="0069244C"/>
    <w:rsid w:val="00692D7B"/>
    <w:rsid w:val="00692D87"/>
    <w:rsid w:val="00695077"/>
    <w:rsid w:val="0069573E"/>
    <w:rsid w:val="00697134"/>
    <w:rsid w:val="00697145"/>
    <w:rsid w:val="006972A3"/>
    <w:rsid w:val="006974D3"/>
    <w:rsid w:val="00697AF8"/>
    <w:rsid w:val="006A01BD"/>
    <w:rsid w:val="006A0E24"/>
    <w:rsid w:val="006A1A43"/>
    <w:rsid w:val="006A1E87"/>
    <w:rsid w:val="006A1F7D"/>
    <w:rsid w:val="006A2299"/>
    <w:rsid w:val="006A2411"/>
    <w:rsid w:val="006A2DAE"/>
    <w:rsid w:val="006A3256"/>
    <w:rsid w:val="006A33F8"/>
    <w:rsid w:val="006A436E"/>
    <w:rsid w:val="006A4D78"/>
    <w:rsid w:val="006A51A0"/>
    <w:rsid w:val="006A5BA3"/>
    <w:rsid w:val="006A600E"/>
    <w:rsid w:val="006A6218"/>
    <w:rsid w:val="006A6A0F"/>
    <w:rsid w:val="006A6A81"/>
    <w:rsid w:val="006A7003"/>
    <w:rsid w:val="006A780A"/>
    <w:rsid w:val="006A7BF5"/>
    <w:rsid w:val="006A7C04"/>
    <w:rsid w:val="006A7FC4"/>
    <w:rsid w:val="006B022B"/>
    <w:rsid w:val="006B0255"/>
    <w:rsid w:val="006B05E6"/>
    <w:rsid w:val="006B0F10"/>
    <w:rsid w:val="006B1230"/>
    <w:rsid w:val="006B13BA"/>
    <w:rsid w:val="006B240D"/>
    <w:rsid w:val="006B2412"/>
    <w:rsid w:val="006B26EA"/>
    <w:rsid w:val="006B2A1B"/>
    <w:rsid w:val="006B414C"/>
    <w:rsid w:val="006B489C"/>
    <w:rsid w:val="006B4BFA"/>
    <w:rsid w:val="006B5948"/>
    <w:rsid w:val="006B5B6E"/>
    <w:rsid w:val="006B77E7"/>
    <w:rsid w:val="006B78C1"/>
    <w:rsid w:val="006B7B5E"/>
    <w:rsid w:val="006B7E52"/>
    <w:rsid w:val="006B7E73"/>
    <w:rsid w:val="006C0257"/>
    <w:rsid w:val="006C1253"/>
    <w:rsid w:val="006C1A2D"/>
    <w:rsid w:val="006C1DC7"/>
    <w:rsid w:val="006C2DF6"/>
    <w:rsid w:val="006C360E"/>
    <w:rsid w:val="006C38A8"/>
    <w:rsid w:val="006C3D08"/>
    <w:rsid w:val="006C3F25"/>
    <w:rsid w:val="006C412F"/>
    <w:rsid w:val="006C483B"/>
    <w:rsid w:val="006C4934"/>
    <w:rsid w:val="006C539C"/>
    <w:rsid w:val="006C5BBE"/>
    <w:rsid w:val="006C71F6"/>
    <w:rsid w:val="006C786F"/>
    <w:rsid w:val="006C78EA"/>
    <w:rsid w:val="006C7BAF"/>
    <w:rsid w:val="006C7E54"/>
    <w:rsid w:val="006D06D6"/>
    <w:rsid w:val="006D0D2F"/>
    <w:rsid w:val="006D0EE0"/>
    <w:rsid w:val="006D12FB"/>
    <w:rsid w:val="006D23A6"/>
    <w:rsid w:val="006D2B6B"/>
    <w:rsid w:val="006D2EB4"/>
    <w:rsid w:val="006D3315"/>
    <w:rsid w:val="006D33E6"/>
    <w:rsid w:val="006D35FC"/>
    <w:rsid w:val="006D3BCF"/>
    <w:rsid w:val="006D412F"/>
    <w:rsid w:val="006D4310"/>
    <w:rsid w:val="006D4343"/>
    <w:rsid w:val="006D43D3"/>
    <w:rsid w:val="006D45DE"/>
    <w:rsid w:val="006D4DC9"/>
    <w:rsid w:val="006D62BF"/>
    <w:rsid w:val="006D71E6"/>
    <w:rsid w:val="006D7801"/>
    <w:rsid w:val="006D7962"/>
    <w:rsid w:val="006E0E9F"/>
    <w:rsid w:val="006E0EB0"/>
    <w:rsid w:val="006E0F54"/>
    <w:rsid w:val="006E15C2"/>
    <w:rsid w:val="006E1730"/>
    <w:rsid w:val="006E1D56"/>
    <w:rsid w:val="006E3320"/>
    <w:rsid w:val="006E3A97"/>
    <w:rsid w:val="006E4078"/>
    <w:rsid w:val="006E41A3"/>
    <w:rsid w:val="006E4529"/>
    <w:rsid w:val="006E499B"/>
    <w:rsid w:val="006E55ED"/>
    <w:rsid w:val="006E56C3"/>
    <w:rsid w:val="006E5A5F"/>
    <w:rsid w:val="006E5C69"/>
    <w:rsid w:val="006E5EC4"/>
    <w:rsid w:val="006E6A02"/>
    <w:rsid w:val="006E6D31"/>
    <w:rsid w:val="006E73E3"/>
    <w:rsid w:val="006E7A8F"/>
    <w:rsid w:val="006F0316"/>
    <w:rsid w:val="006F0A29"/>
    <w:rsid w:val="006F0EDB"/>
    <w:rsid w:val="006F15BD"/>
    <w:rsid w:val="006F1663"/>
    <w:rsid w:val="006F1967"/>
    <w:rsid w:val="006F1F60"/>
    <w:rsid w:val="006F2E5B"/>
    <w:rsid w:val="006F2F0A"/>
    <w:rsid w:val="006F32A9"/>
    <w:rsid w:val="006F34EA"/>
    <w:rsid w:val="006F40FF"/>
    <w:rsid w:val="006F5CD8"/>
    <w:rsid w:val="006F5D0B"/>
    <w:rsid w:val="006F6372"/>
    <w:rsid w:val="006F645C"/>
    <w:rsid w:val="006F68CA"/>
    <w:rsid w:val="006F72FD"/>
    <w:rsid w:val="006F7393"/>
    <w:rsid w:val="006F7557"/>
    <w:rsid w:val="006F78BA"/>
    <w:rsid w:val="0070003B"/>
    <w:rsid w:val="00700190"/>
    <w:rsid w:val="007001A0"/>
    <w:rsid w:val="0070042A"/>
    <w:rsid w:val="00700C39"/>
    <w:rsid w:val="007010F0"/>
    <w:rsid w:val="0070115F"/>
    <w:rsid w:val="00701DE0"/>
    <w:rsid w:val="00701FE5"/>
    <w:rsid w:val="0070224F"/>
    <w:rsid w:val="007025E2"/>
    <w:rsid w:val="00702828"/>
    <w:rsid w:val="007028E7"/>
    <w:rsid w:val="0070293F"/>
    <w:rsid w:val="00702A36"/>
    <w:rsid w:val="007032FD"/>
    <w:rsid w:val="00703CCA"/>
    <w:rsid w:val="00703CF5"/>
    <w:rsid w:val="00703EAA"/>
    <w:rsid w:val="0070462C"/>
    <w:rsid w:val="00704F4C"/>
    <w:rsid w:val="00705609"/>
    <w:rsid w:val="00705708"/>
    <w:rsid w:val="007058E5"/>
    <w:rsid w:val="00705B08"/>
    <w:rsid w:val="00706194"/>
    <w:rsid w:val="00706477"/>
    <w:rsid w:val="00706A52"/>
    <w:rsid w:val="00706BB8"/>
    <w:rsid w:val="00706E4E"/>
    <w:rsid w:val="0070764E"/>
    <w:rsid w:val="007102C5"/>
    <w:rsid w:val="007103EF"/>
    <w:rsid w:val="00710A5B"/>
    <w:rsid w:val="007115F7"/>
    <w:rsid w:val="00711859"/>
    <w:rsid w:val="007119E1"/>
    <w:rsid w:val="00712417"/>
    <w:rsid w:val="00712573"/>
    <w:rsid w:val="00712B65"/>
    <w:rsid w:val="00713E87"/>
    <w:rsid w:val="007141F8"/>
    <w:rsid w:val="007147EB"/>
    <w:rsid w:val="0071481A"/>
    <w:rsid w:val="00714875"/>
    <w:rsid w:val="00715074"/>
    <w:rsid w:val="00715760"/>
    <w:rsid w:val="00715991"/>
    <w:rsid w:val="0071681F"/>
    <w:rsid w:val="00716A1A"/>
    <w:rsid w:val="00717460"/>
    <w:rsid w:val="007201BA"/>
    <w:rsid w:val="00720B29"/>
    <w:rsid w:val="00721B9A"/>
    <w:rsid w:val="00722897"/>
    <w:rsid w:val="0072298B"/>
    <w:rsid w:val="00722F70"/>
    <w:rsid w:val="0072300E"/>
    <w:rsid w:val="00723125"/>
    <w:rsid w:val="0072330C"/>
    <w:rsid w:val="00723CCE"/>
    <w:rsid w:val="00724384"/>
    <w:rsid w:val="007247E0"/>
    <w:rsid w:val="007252DE"/>
    <w:rsid w:val="00725630"/>
    <w:rsid w:val="00726280"/>
    <w:rsid w:val="00726713"/>
    <w:rsid w:val="00726741"/>
    <w:rsid w:val="00726D01"/>
    <w:rsid w:val="00726F3F"/>
    <w:rsid w:val="00730900"/>
    <w:rsid w:val="00730D5D"/>
    <w:rsid w:val="00731088"/>
    <w:rsid w:val="007312A8"/>
    <w:rsid w:val="00731A63"/>
    <w:rsid w:val="00732044"/>
    <w:rsid w:val="007321EC"/>
    <w:rsid w:val="00733049"/>
    <w:rsid w:val="0073319D"/>
    <w:rsid w:val="00733A47"/>
    <w:rsid w:val="00733B54"/>
    <w:rsid w:val="00733C71"/>
    <w:rsid w:val="0073454B"/>
    <w:rsid w:val="00734704"/>
    <w:rsid w:val="0073499C"/>
    <w:rsid w:val="00734C2C"/>
    <w:rsid w:val="0073517F"/>
    <w:rsid w:val="00735276"/>
    <w:rsid w:val="00735CE5"/>
    <w:rsid w:val="00736439"/>
    <w:rsid w:val="007365AA"/>
    <w:rsid w:val="007366E5"/>
    <w:rsid w:val="00736985"/>
    <w:rsid w:val="00736F42"/>
    <w:rsid w:val="007408DD"/>
    <w:rsid w:val="00740B09"/>
    <w:rsid w:val="00740F83"/>
    <w:rsid w:val="00740FD2"/>
    <w:rsid w:val="00741617"/>
    <w:rsid w:val="00741F7F"/>
    <w:rsid w:val="00742B29"/>
    <w:rsid w:val="00742E17"/>
    <w:rsid w:val="00743729"/>
    <w:rsid w:val="007438F7"/>
    <w:rsid w:val="00743EDA"/>
    <w:rsid w:val="00744E4B"/>
    <w:rsid w:val="007455B0"/>
    <w:rsid w:val="0074716C"/>
    <w:rsid w:val="00747374"/>
    <w:rsid w:val="00747406"/>
    <w:rsid w:val="00750209"/>
    <w:rsid w:val="00750269"/>
    <w:rsid w:val="007508E6"/>
    <w:rsid w:val="00750B11"/>
    <w:rsid w:val="00751B57"/>
    <w:rsid w:val="00751E69"/>
    <w:rsid w:val="0075207A"/>
    <w:rsid w:val="00752141"/>
    <w:rsid w:val="007521DA"/>
    <w:rsid w:val="00752358"/>
    <w:rsid w:val="00752FE2"/>
    <w:rsid w:val="007540D5"/>
    <w:rsid w:val="00755334"/>
    <w:rsid w:val="00755B06"/>
    <w:rsid w:val="00755DC9"/>
    <w:rsid w:val="00756143"/>
    <w:rsid w:val="007563DA"/>
    <w:rsid w:val="007565D4"/>
    <w:rsid w:val="0075661F"/>
    <w:rsid w:val="00757311"/>
    <w:rsid w:val="00757346"/>
    <w:rsid w:val="00757A01"/>
    <w:rsid w:val="00757B1C"/>
    <w:rsid w:val="00757C81"/>
    <w:rsid w:val="00757EAC"/>
    <w:rsid w:val="0076023D"/>
    <w:rsid w:val="007602FD"/>
    <w:rsid w:val="00760657"/>
    <w:rsid w:val="00760ED0"/>
    <w:rsid w:val="007615E9"/>
    <w:rsid w:val="00761BC5"/>
    <w:rsid w:val="007621A8"/>
    <w:rsid w:val="00762E49"/>
    <w:rsid w:val="007632EA"/>
    <w:rsid w:val="00764A89"/>
    <w:rsid w:val="00764ED4"/>
    <w:rsid w:val="007652AB"/>
    <w:rsid w:val="00765380"/>
    <w:rsid w:val="007656FF"/>
    <w:rsid w:val="00765725"/>
    <w:rsid w:val="00765D56"/>
    <w:rsid w:val="00765E84"/>
    <w:rsid w:val="00766777"/>
    <w:rsid w:val="00766890"/>
    <w:rsid w:val="007669F1"/>
    <w:rsid w:val="00766C2C"/>
    <w:rsid w:val="00766DB3"/>
    <w:rsid w:val="00766DE5"/>
    <w:rsid w:val="00767324"/>
    <w:rsid w:val="00767426"/>
    <w:rsid w:val="007677FD"/>
    <w:rsid w:val="00767F41"/>
    <w:rsid w:val="0077009B"/>
    <w:rsid w:val="00770FAD"/>
    <w:rsid w:val="00771C34"/>
    <w:rsid w:val="00772C7C"/>
    <w:rsid w:val="00773166"/>
    <w:rsid w:val="007732E4"/>
    <w:rsid w:val="00774B18"/>
    <w:rsid w:val="00774D77"/>
    <w:rsid w:val="00775D0B"/>
    <w:rsid w:val="00775EB3"/>
    <w:rsid w:val="0077603A"/>
    <w:rsid w:val="00776409"/>
    <w:rsid w:val="0077642D"/>
    <w:rsid w:val="00776F14"/>
    <w:rsid w:val="00777904"/>
    <w:rsid w:val="00777970"/>
    <w:rsid w:val="00777B14"/>
    <w:rsid w:val="00777F21"/>
    <w:rsid w:val="0078012B"/>
    <w:rsid w:val="00780454"/>
    <w:rsid w:val="00780C97"/>
    <w:rsid w:val="00780EB7"/>
    <w:rsid w:val="0078102A"/>
    <w:rsid w:val="0078133D"/>
    <w:rsid w:val="007816E7"/>
    <w:rsid w:val="00782402"/>
    <w:rsid w:val="0078243D"/>
    <w:rsid w:val="007829A0"/>
    <w:rsid w:val="00782A8E"/>
    <w:rsid w:val="00782FAD"/>
    <w:rsid w:val="0078338C"/>
    <w:rsid w:val="007837C3"/>
    <w:rsid w:val="00783897"/>
    <w:rsid w:val="00784532"/>
    <w:rsid w:val="0078455F"/>
    <w:rsid w:val="00785682"/>
    <w:rsid w:val="00785689"/>
    <w:rsid w:val="00785AF5"/>
    <w:rsid w:val="00785F6D"/>
    <w:rsid w:val="00786965"/>
    <w:rsid w:val="00786D22"/>
    <w:rsid w:val="00787092"/>
    <w:rsid w:val="00787A59"/>
    <w:rsid w:val="00790B6D"/>
    <w:rsid w:val="0079168D"/>
    <w:rsid w:val="00792473"/>
    <w:rsid w:val="007924AF"/>
    <w:rsid w:val="00792D2F"/>
    <w:rsid w:val="007933C0"/>
    <w:rsid w:val="00793BD1"/>
    <w:rsid w:val="00793DC6"/>
    <w:rsid w:val="00793FEF"/>
    <w:rsid w:val="00794576"/>
    <w:rsid w:val="00794867"/>
    <w:rsid w:val="00794A3D"/>
    <w:rsid w:val="007958A4"/>
    <w:rsid w:val="00795CB8"/>
    <w:rsid w:val="0079632F"/>
    <w:rsid w:val="0079674A"/>
    <w:rsid w:val="00797531"/>
    <w:rsid w:val="0079754B"/>
    <w:rsid w:val="00797DEF"/>
    <w:rsid w:val="00797E18"/>
    <w:rsid w:val="007A099C"/>
    <w:rsid w:val="007A1E6D"/>
    <w:rsid w:val="007A2198"/>
    <w:rsid w:val="007A27EF"/>
    <w:rsid w:val="007A2A95"/>
    <w:rsid w:val="007A2CFB"/>
    <w:rsid w:val="007A3498"/>
    <w:rsid w:val="007A3BCA"/>
    <w:rsid w:val="007A456A"/>
    <w:rsid w:val="007A48E3"/>
    <w:rsid w:val="007A4FA5"/>
    <w:rsid w:val="007A52B4"/>
    <w:rsid w:val="007A5C3A"/>
    <w:rsid w:val="007A613E"/>
    <w:rsid w:val="007A69F5"/>
    <w:rsid w:val="007A6B0A"/>
    <w:rsid w:val="007A6D72"/>
    <w:rsid w:val="007A6DD0"/>
    <w:rsid w:val="007A74C8"/>
    <w:rsid w:val="007A7633"/>
    <w:rsid w:val="007B0388"/>
    <w:rsid w:val="007B0725"/>
    <w:rsid w:val="007B0A31"/>
    <w:rsid w:val="007B0B21"/>
    <w:rsid w:val="007B0C91"/>
    <w:rsid w:val="007B0D49"/>
    <w:rsid w:val="007B0E81"/>
    <w:rsid w:val="007B0EB2"/>
    <w:rsid w:val="007B1A32"/>
    <w:rsid w:val="007B20E4"/>
    <w:rsid w:val="007B27F5"/>
    <w:rsid w:val="007B28A7"/>
    <w:rsid w:val="007B3D3A"/>
    <w:rsid w:val="007B4747"/>
    <w:rsid w:val="007B4DB8"/>
    <w:rsid w:val="007B5052"/>
    <w:rsid w:val="007B50A9"/>
    <w:rsid w:val="007B5429"/>
    <w:rsid w:val="007B679F"/>
    <w:rsid w:val="007B7AE3"/>
    <w:rsid w:val="007C07EB"/>
    <w:rsid w:val="007C07ED"/>
    <w:rsid w:val="007C1544"/>
    <w:rsid w:val="007C1B63"/>
    <w:rsid w:val="007C1EB3"/>
    <w:rsid w:val="007C20E4"/>
    <w:rsid w:val="007C24C6"/>
    <w:rsid w:val="007C2801"/>
    <w:rsid w:val="007C28ED"/>
    <w:rsid w:val="007C2A8A"/>
    <w:rsid w:val="007C2D03"/>
    <w:rsid w:val="007C350B"/>
    <w:rsid w:val="007C3E5A"/>
    <w:rsid w:val="007C4123"/>
    <w:rsid w:val="007C424A"/>
    <w:rsid w:val="007C4852"/>
    <w:rsid w:val="007C5FE2"/>
    <w:rsid w:val="007C6A46"/>
    <w:rsid w:val="007C74BB"/>
    <w:rsid w:val="007C7D4D"/>
    <w:rsid w:val="007D082B"/>
    <w:rsid w:val="007D082D"/>
    <w:rsid w:val="007D0ACF"/>
    <w:rsid w:val="007D0FD4"/>
    <w:rsid w:val="007D1161"/>
    <w:rsid w:val="007D1814"/>
    <w:rsid w:val="007D1941"/>
    <w:rsid w:val="007D1C02"/>
    <w:rsid w:val="007D1D05"/>
    <w:rsid w:val="007D262E"/>
    <w:rsid w:val="007D2A1F"/>
    <w:rsid w:val="007D2D2E"/>
    <w:rsid w:val="007D3084"/>
    <w:rsid w:val="007D40FA"/>
    <w:rsid w:val="007D45C7"/>
    <w:rsid w:val="007D48BD"/>
    <w:rsid w:val="007D49BB"/>
    <w:rsid w:val="007D5182"/>
    <w:rsid w:val="007D535B"/>
    <w:rsid w:val="007D6074"/>
    <w:rsid w:val="007D6080"/>
    <w:rsid w:val="007D661F"/>
    <w:rsid w:val="007D6EB9"/>
    <w:rsid w:val="007E0459"/>
    <w:rsid w:val="007E04FE"/>
    <w:rsid w:val="007E0ABC"/>
    <w:rsid w:val="007E0BD7"/>
    <w:rsid w:val="007E0E00"/>
    <w:rsid w:val="007E0F2B"/>
    <w:rsid w:val="007E153E"/>
    <w:rsid w:val="007E1664"/>
    <w:rsid w:val="007E17CF"/>
    <w:rsid w:val="007E19EE"/>
    <w:rsid w:val="007E1DB7"/>
    <w:rsid w:val="007E36AD"/>
    <w:rsid w:val="007E3AA1"/>
    <w:rsid w:val="007E41AA"/>
    <w:rsid w:val="007E4230"/>
    <w:rsid w:val="007E47A8"/>
    <w:rsid w:val="007E5859"/>
    <w:rsid w:val="007E653A"/>
    <w:rsid w:val="007E6556"/>
    <w:rsid w:val="007E69DB"/>
    <w:rsid w:val="007E6A44"/>
    <w:rsid w:val="007E6AC3"/>
    <w:rsid w:val="007E6F96"/>
    <w:rsid w:val="007E70EE"/>
    <w:rsid w:val="007E7A8F"/>
    <w:rsid w:val="007E7DFF"/>
    <w:rsid w:val="007F0AA1"/>
    <w:rsid w:val="007F14B4"/>
    <w:rsid w:val="007F1CB2"/>
    <w:rsid w:val="007F2065"/>
    <w:rsid w:val="007F2517"/>
    <w:rsid w:val="007F2B0A"/>
    <w:rsid w:val="007F3480"/>
    <w:rsid w:val="007F35E7"/>
    <w:rsid w:val="007F4092"/>
    <w:rsid w:val="007F4D05"/>
    <w:rsid w:val="007F4E15"/>
    <w:rsid w:val="007F526D"/>
    <w:rsid w:val="007F54C0"/>
    <w:rsid w:val="007F570F"/>
    <w:rsid w:val="007F5D1E"/>
    <w:rsid w:val="007F6A2A"/>
    <w:rsid w:val="007F6B3C"/>
    <w:rsid w:val="007F6BFB"/>
    <w:rsid w:val="007F71DD"/>
    <w:rsid w:val="007F7C55"/>
    <w:rsid w:val="007F7D64"/>
    <w:rsid w:val="007F7DE4"/>
    <w:rsid w:val="008000CC"/>
    <w:rsid w:val="008002F8"/>
    <w:rsid w:val="008007FD"/>
    <w:rsid w:val="00800EDC"/>
    <w:rsid w:val="0080181F"/>
    <w:rsid w:val="00801BAD"/>
    <w:rsid w:val="008025E9"/>
    <w:rsid w:val="0080260D"/>
    <w:rsid w:val="0080270B"/>
    <w:rsid w:val="00803490"/>
    <w:rsid w:val="0080372A"/>
    <w:rsid w:val="008037DF"/>
    <w:rsid w:val="008039B5"/>
    <w:rsid w:val="008042A7"/>
    <w:rsid w:val="008044DD"/>
    <w:rsid w:val="00805064"/>
    <w:rsid w:val="00805185"/>
    <w:rsid w:val="00805451"/>
    <w:rsid w:val="00806BA2"/>
    <w:rsid w:val="00806D9D"/>
    <w:rsid w:val="00806DB1"/>
    <w:rsid w:val="00810B6F"/>
    <w:rsid w:val="0081194F"/>
    <w:rsid w:val="008121D6"/>
    <w:rsid w:val="008122D9"/>
    <w:rsid w:val="008123E9"/>
    <w:rsid w:val="00812577"/>
    <w:rsid w:val="00812ED8"/>
    <w:rsid w:val="00813671"/>
    <w:rsid w:val="008136F8"/>
    <w:rsid w:val="00813B86"/>
    <w:rsid w:val="00813ECC"/>
    <w:rsid w:val="00814441"/>
    <w:rsid w:val="00814590"/>
    <w:rsid w:val="00814616"/>
    <w:rsid w:val="008146B7"/>
    <w:rsid w:val="00814704"/>
    <w:rsid w:val="00814E21"/>
    <w:rsid w:val="008150B7"/>
    <w:rsid w:val="00815140"/>
    <w:rsid w:val="00815F8B"/>
    <w:rsid w:val="00816690"/>
    <w:rsid w:val="00816A65"/>
    <w:rsid w:val="00816F8E"/>
    <w:rsid w:val="008171AF"/>
    <w:rsid w:val="00817388"/>
    <w:rsid w:val="008178A3"/>
    <w:rsid w:val="00820518"/>
    <w:rsid w:val="00820729"/>
    <w:rsid w:val="00820FD6"/>
    <w:rsid w:val="00820FE4"/>
    <w:rsid w:val="008213D8"/>
    <w:rsid w:val="00821998"/>
    <w:rsid w:val="00821E2B"/>
    <w:rsid w:val="0082280C"/>
    <w:rsid w:val="00822CE0"/>
    <w:rsid w:val="008232B4"/>
    <w:rsid w:val="0082380C"/>
    <w:rsid w:val="00823859"/>
    <w:rsid w:val="0082464A"/>
    <w:rsid w:val="008248BA"/>
    <w:rsid w:val="00824F84"/>
    <w:rsid w:val="00825C47"/>
    <w:rsid w:val="00825EB5"/>
    <w:rsid w:val="008261A8"/>
    <w:rsid w:val="00826507"/>
    <w:rsid w:val="00826807"/>
    <w:rsid w:val="008272E8"/>
    <w:rsid w:val="00827C68"/>
    <w:rsid w:val="008304CB"/>
    <w:rsid w:val="008305BA"/>
    <w:rsid w:val="008306E5"/>
    <w:rsid w:val="0083089A"/>
    <w:rsid w:val="0083089E"/>
    <w:rsid w:val="00830936"/>
    <w:rsid w:val="008309C2"/>
    <w:rsid w:val="0083158C"/>
    <w:rsid w:val="00831D15"/>
    <w:rsid w:val="00831F3D"/>
    <w:rsid w:val="00832498"/>
    <w:rsid w:val="00834981"/>
    <w:rsid w:val="00834EC3"/>
    <w:rsid w:val="0083500A"/>
    <w:rsid w:val="00835020"/>
    <w:rsid w:val="008361AE"/>
    <w:rsid w:val="00836237"/>
    <w:rsid w:val="00836E51"/>
    <w:rsid w:val="00837E8F"/>
    <w:rsid w:val="00840697"/>
    <w:rsid w:val="008411FB"/>
    <w:rsid w:val="0084138E"/>
    <w:rsid w:val="00841573"/>
    <w:rsid w:val="00841961"/>
    <w:rsid w:val="00841AB1"/>
    <w:rsid w:val="00841C8B"/>
    <w:rsid w:val="0084321D"/>
    <w:rsid w:val="00843413"/>
    <w:rsid w:val="00843BDA"/>
    <w:rsid w:val="00844217"/>
    <w:rsid w:val="00845449"/>
    <w:rsid w:val="00846507"/>
    <w:rsid w:val="008465D1"/>
    <w:rsid w:val="00846ADB"/>
    <w:rsid w:val="0084764A"/>
    <w:rsid w:val="00847DFA"/>
    <w:rsid w:val="00850A95"/>
    <w:rsid w:val="00851B28"/>
    <w:rsid w:val="00852AE6"/>
    <w:rsid w:val="00852CB9"/>
    <w:rsid w:val="008536E3"/>
    <w:rsid w:val="00853C38"/>
    <w:rsid w:val="00854511"/>
    <w:rsid w:val="008548DD"/>
    <w:rsid w:val="00854DB2"/>
    <w:rsid w:val="00855CE5"/>
    <w:rsid w:val="0085622E"/>
    <w:rsid w:val="008564C2"/>
    <w:rsid w:val="0085748E"/>
    <w:rsid w:val="00857C98"/>
    <w:rsid w:val="00857D5C"/>
    <w:rsid w:val="00857F3C"/>
    <w:rsid w:val="00860188"/>
    <w:rsid w:val="0086038E"/>
    <w:rsid w:val="008604DE"/>
    <w:rsid w:val="00860D94"/>
    <w:rsid w:val="008614AA"/>
    <w:rsid w:val="0086176C"/>
    <w:rsid w:val="00861781"/>
    <w:rsid w:val="00861940"/>
    <w:rsid w:val="008626DC"/>
    <w:rsid w:val="00862BF9"/>
    <w:rsid w:val="00862C02"/>
    <w:rsid w:val="00863198"/>
    <w:rsid w:val="00863BFE"/>
    <w:rsid w:val="00863E44"/>
    <w:rsid w:val="00863E9B"/>
    <w:rsid w:val="00864296"/>
    <w:rsid w:val="008648B7"/>
    <w:rsid w:val="0086532A"/>
    <w:rsid w:val="00866087"/>
    <w:rsid w:val="00866236"/>
    <w:rsid w:val="0086633F"/>
    <w:rsid w:val="00866FF3"/>
    <w:rsid w:val="0086757C"/>
    <w:rsid w:val="008706C9"/>
    <w:rsid w:val="0087070B"/>
    <w:rsid w:val="0087094C"/>
    <w:rsid w:val="00870952"/>
    <w:rsid w:val="00870A92"/>
    <w:rsid w:val="00870C9F"/>
    <w:rsid w:val="00870D05"/>
    <w:rsid w:val="0087161E"/>
    <w:rsid w:val="00871E17"/>
    <w:rsid w:val="00871F92"/>
    <w:rsid w:val="00872370"/>
    <w:rsid w:val="00872ABC"/>
    <w:rsid w:val="00872BC9"/>
    <w:rsid w:val="00872CE5"/>
    <w:rsid w:val="00872D6F"/>
    <w:rsid w:val="00873BC8"/>
    <w:rsid w:val="00873D76"/>
    <w:rsid w:val="00874001"/>
    <w:rsid w:val="00874457"/>
    <w:rsid w:val="0087493C"/>
    <w:rsid w:val="00874B4D"/>
    <w:rsid w:val="00875008"/>
    <w:rsid w:val="00875F62"/>
    <w:rsid w:val="00875F9A"/>
    <w:rsid w:val="0087682C"/>
    <w:rsid w:val="00876B26"/>
    <w:rsid w:val="00877354"/>
    <w:rsid w:val="008777BC"/>
    <w:rsid w:val="00877C7F"/>
    <w:rsid w:val="0088016D"/>
    <w:rsid w:val="00880F5E"/>
    <w:rsid w:val="00881186"/>
    <w:rsid w:val="00881573"/>
    <w:rsid w:val="00881774"/>
    <w:rsid w:val="008818A5"/>
    <w:rsid w:val="00881C51"/>
    <w:rsid w:val="00881E5F"/>
    <w:rsid w:val="00881F7C"/>
    <w:rsid w:val="0088230A"/>
    <w:rsid w:val="00882A83"/>
    <w:rsid w:val="00883A7F"/>
    <w:rsid w:val="008841FF"/>
    <w:rsid w:val="00884238"/>
    <w:rsid w:val="008845F3"/>
    <w:rsid w:val="00884EDE"/>
    <w:rsid w:val="00885E78"/>
    <w:rsid w:val="0088608E"/>
    <w:rsid w:val="0088625B"/>
    <w:rsid w:val="00886FA0"/>
    <w:rsid w:val="00887035"/>
    <w:rsid w:val="00890CF5"/>
    <w:rsid w:val="00890F30"/>
    <w:rsid w:val="00890FCC"/>
    <w:rsid w:val="008915BB"/>
    <w:rsid w:val="00892813"/>
    <w:rsid w:val="00892CD6"/>
    <w:rsid w:val="00893010"/>
    <w:rsid w:val="00893159"/>
    <w:rsid w:val="008934D2"/>
    <w:rsid w:val="00893A37"/>
    <w:rsid w:val="00893DA4"/>
    <w:rsid w:val="00894A5D"/>
    <w:rsid w:val="00894C58"/>
    <w:rsid w:val="00894EA7"/>
    <w:rsid w:val="00894ED8"/>
    <w:rsid w:val="0089531F"/>
    <w:rsid w:val="00895596"/>
    <w:rsid w:val="0089573C"/>
    <w:rsid w:val="00896C83"/>
    <w:rsid w:val="008978DA"/>
    <w:rsid w:val="00897BDA"/>
    <w:rsid w:val="00897DA3"/>
    <w:rsid w:val="00897FE4"/>
    <w:rsid w:val="008A0051"/>
    <w:rsid w:val="008A0454"/>
    <w:rsid w:val="008A0943"/>
    <w:rsid w:val="008A1027"/>
    <w:rsid w:val="008A132D"/>
    <w:rsid w:val="008A1624"/>
    <w:rsid w:val="008A184D"/>
    <w:rsid w:val="008A2209"/>
    <w:rsid w:val="008A23B6"/>
    <w:rsid w:val="008A2D70"/>
    <w:rsid w:val="008A2F23"/>
    <w:rsid w:val="008A2F9D"/>
    <w:rsid w:val="008A3433"/>
    <w:rsid w:val="008A3665"/>
    <w:rsid w:val="008A39E2"/>
    <w:rsid w:val="008A4248"/>
    <w:rsid w:val="008A429F"/>
    <w:rsid w:val="008A4913"/>
    <w:rsid w:val="008A518A"/>
    <w:rsid w:val="008A5683"/>
    <w:rsid w:val="008A5DA5"/>
    <w:rsid w:val="008A5E84"/>
    <w:rsid w:val="008A6332"/>
    <w:rsid w:val="008A65B9"/>
    <w:rsid w:val="008A663E"/>
    <w:rsid w:val="008A6FB3"/>
    <w:rsid w:val="008A7396"/>
    <w:rsid w:val="008A7951"/>
    <w:rsid w:val="008A7B14"/>
    <w:rsid w:val="008B048E"/>
    <w:rsid w:val="008B0E19"/>
    <w:rsid w:val="008B129F"/>
    <w:rsid w:val="008B157B"/>
    <w:rsid w:val="008B176B"/>
    <w:rsid w:val="008B17C2"/>
    <w:rsid w:val="008B1BF8"/>
    <w:rsid w:val="008B218B"/>
    <w:rsid w:val="008B21A2"/>
    <w:rsid w:val="008B222F"/>
    <w:rsid w:val="008B2A37"/>
    <w:rsid w:val="008B3598"/>
    <w:rsid w:val="008B388E"/>
    <w:rsid w:val="008B414B"/>
    <w:rsid w:val="008B431D"/>
    <w:rsid w:val="008B4516"/>
    <w:rsid w:val="008B5110"/>
    <w:rsid w:val="008B55CE"/>
    <w:rsid w:val="008B666F"/>
    <w:rsid w:val="008B6742"/>
    <w:rsid w:val="008B71AB"/>
    <w:rsid w:val="008B7238"/>
    <w:rsid w:val="008B7827"/>
    <w:rsid w:val="008C0744"/>
    <w:rsid w:val="008C0D13"/>
    <w:rsid w:val="008C15FE"/>
    <w:rsid w:val="008C1E81"/>
    <w:rsid w:val="008C281A"/>
    <w:rsid w:val="008C2B73"/>
    <w:rsid w:val="008C2BBB"/>
    <w:rsid w:val="008C2D12"/>
    <w:rsid w:val="008C2E5A"/>
    <w:rsid w:val="008C3083"/>
    <w:rsid w:val="008C37AD"/>
    <w:rsid w:val="008C3F94"/>
    <w:rsid w:val="008C3FAC"/>
    <w:rsid w:val="008C46A5"/>
    <w:rsid w:val="008C4B0F"/>
    <w:rsid w:val="008C4DC9"/>
    <w:rsid w:val="008C4E08"/>
    <w:rsid w:val="008C4E55"/>
    <w:rsid w:val="008C4FB1"/>
    <w:rsid w:val="008C5905"/>
    <w:rsid w:val="008C5A01"/>
    <w:rsid w:val="008C5D30"/>
    <w:rsid w:val="008C621D"/>
    <w:rsid w:val="008C65B2"/>
    <w:rsid w:val="008C6624"/>
    <w:rsid w:val="008C68F1"/>
    <w:rsid w:val="008C6D60"/>
    <w:rsid w:val="008C6F76"/>
    <w:rsid w:val="008C7AE0"/>
    <w:rsid w:val="008D02C4"/>
    <w:rsid w:val="008D121E"/>
    <w:rsid w:val="008D126E"/>
    <w:rsid w:val="008D2148"/>
    <w:rsid w:val="008D252E"/>
    <w:rsid w:val="008D2802"/>
    <w:rsid w:val="008D2A4F"/>
    <w:rsid w:val="008D2F3D"/>
    <w:rsid w:val="008D36A4"/>
    <w:rsid w:val="008D381F"/>
    <w:rsid w:val="008D3B58"/>
    <w:rsid w:val="008D4137"/>
    <w:rsid w:val="008D4292"/>
    <w:rsid w:val="008D43F5"/>
    <w:rsid w:val="008D4478"/>
    <w:rsid w:val="008D4543"/>
    <w:rsid w:val="008D4641"/>
    <w:rsid w:val="008D4A68"/>
    <w:rsid w:val="008D4C4D"/>
    <w:rsid w:val="008D4CA2"/>
    <w:rsid w:val="008D515E"/>
    <w:rsid w:val="008D5A4D"/>
    <w:rsid w:val="008D6224"/>
    <w:rsid w:val="008D70EF"/>
    <w:rsid w:val="008D71B8"/>
    <w:rsid w:val="008D72CD"/>
    <w:rsid w:val="008D73E2"/>
    <w:rsid w:val="008D7B2C"/>
    <w:rsid w:val="008E0CFE"/>
    <w:rsid w:val="008E1373"/>
    <w:rsid w:val="008E1940"/>
    <w:rsid w:val="008E19F1"/>
    <w:rsid w:val="008E1B04"/>
    <w:rsid w:val="008E1CAF"/>
    <w:rsid w:val="008E344E"/>
    <w:rsid w:val="008E34F4"/>
    <w:rsid w:val="008E41BA"/>
    <w:rsid w:val="008E4361"/>
    <w:rsid w:val="008E51D4"/>
    <w:rsid w:val="008E5701"/>
    <w:rsid w:val="008E5767"/>
    <w:rsid w:val="008E58E6"/>
    <w:rsid w:val="008E5A45"/>
    <w:rsid w:val="008E5D9E"/>
    <w:rsid w:val="008E67AB"/>
    <w:rsid w:val="008E6DEC"/>
    <w:rsid w:val="008E7446"/>
    <w:rsid w:val="008E74C1"/>
    <w:rsid w:val="008E7AEA"/>
    <w:rsid w:val="008F00B0"/>
    <w:rsid w:val="008F08DB"/>
    <w:rsid w:val="008F1606"/>
    <w:rsid w:val="008F1AA5"/>
    <w:rsid w:val="008F1EC8"/>
    <w:rsid w:val="008F20FF"/>
    <w:rsid w:val="008F3311"/>
    <w:rsid w:val="008F3C56"/>
    <w:rsid w:val="008F424F"/>
    <w:rsid w:val="008F42DA"/>
    <w:rsid w:val="008F448E"/>
    <w:rsid w:val="008F56EE"/>
    <w:rsid w:val="008F63F7"/>
    <w:rsid w:val="008F6D74"/>
    <w:rsid w:val="008F7696"/>
    <w:rsid w:val="008F7C47"/>
    <w:rsid w:val="0090175C"/>
    <w:rsid w:val="00901B91"/>
    <w:rsid w:val="00902301"/>
    <w:rsid w:val="00902881"/>
    <w:rsid w:val="00902C61"/>
    <w:rsid w:val="0090345E"/>
    <w:rsid w:val="00903581"/>
    <w:rsid w:val="00903F76"/>
    <w:rsid w:val="00904591"/>
    <w:rsid w:val="009046B3"/>
    <w:rsid w:val="009046FF"/>
    <w:rsid w:val="009048F5"/>
    <w:rsid w:val="009049DA"/>
    <w:rsid w:val="009049F4"/>
    <w:rsid w:val="00904F14"/>
    <w:rsid w:val="0090547F"/>
    <w:rsid w:val="00905715"/>
    <w:rsid w:val="00906414"/>
    <w:rsid w:val="00906430"/>
    <w:rsid w:val="009064BA"/>
    <w:rsid w:val="0090731E"/>
    <w:rsid w:val="009077FB"/>
    <w:rsid w:val="00907999"/>
    <w:rsid w:val="00907DF6"/>
    <w:rsid w:val="0091050D"/>
    <w:rsid w:val="00910A61"/>
    <w:rsid w:val="00910C08"/>
    <w:rsid w:val="00910CA7"/>
    <w:rsid w:val="00910DBF"/>
    <w:rsid w:val="0091160A"/>
    <w:rsid w:val="0091165C"/>
    <w:rsid w:val="009127BC"/>
    <w:rsid w:val="00913155"/>
    <w:rsid w:val="0091381C"/>
    <w:rsid w:val="00913BAE"/>
    <w:rsid w:val="009140AA"/>
    <w:rsid w:val="0091479C"/>
    <w:rsid w:val="009149D1"/>
    <w:rsid w:val="00914A08"/>
    <w:rsid w:val="00914ED4"/>
    <w:rsid w:val="0091607E"/>
    <w:rsid w:val="0091624C"/>
    <w:rsid w:val="00916EEB"/>
    <w:rsid w:val="00917812"/>
    <w:rsid w:val="00917A87"/>
    <w:rsid w:val="009202E6"/>
    <w:rsid w:val="0092072E"/>
    <w:rsid w:val="0092082C"/>
    <w:rsid w:val="00921128"/>
    <w:rsid w:val="00921505"/>
    <w:rsid w:val="00921803"/>
    <w:rsid w:val="00921EDA"/>
    <w:rsid w:val="00922421"/>
    <w:rsid w:val="00922916"/>
    <w:rsid w:val="00922AD9"/>
    <w:rsid w:val="009230C2"/>
    <w:rsid w:val="009231F4"/>
    <w:rsid w:val="0092337E"/>
    <w:rsid w:val="009235DB"/>
    <w:rsid w:val="00923B7D"/>
    <w:rsid w:val="00923BBA"/>
    <w:rsid w:val="00923C65"/>
    <w:rsid w:val="00924161"/>
    <w:rsid w:val="009243FB"/>
    <w:rsid w:val="00924E32"/>
    <w:rsid w:val="009250A0"/>
    <w:rsid w:val="009254CD"/>
    <w:rsid w:val="00925643"/>
    <w:rsid w:val="0092576C"/>
    <w:rsid w:val="00925891"/>
    <w:rsid w:val="009258BD"/>
    <w:rsid w:val="00925AC1"/>
    <w:rsid w:val="00926095"/>
    <w:rsid w:val="00926503"/>
    <w:rsid w:val="00926ACA"/>
    <w:rsid w:val="00926BFD"/>
    <w:rsid w:val="00926C73"/>
    <w:rsid w:val="009272AE"/>
    <w:rsid w:val="00927662"/>
    <w:rsid w:val="00927AE1"/>
    <w:rsid w:val="00927D52"/>
    <w:rsid w:val="00930320"/>
    <w:rsid w:val="0093044C"/>
    <w:rsid w:val="00930909"/>
    <w:rsid w:val="00930A0A"/>
    <w:rsid w:val="00930AAD"/>
    <w:rsid w:val="00930F3F"/>
    <w:rsid w:val="00931947"/>
    <w:rsid w:val="00931C69"/>
    <w:rsid w:val="00931CE1"/>
    <w:rsid w:val="00932091"/>
    <w:rsid w:val="00932261"/>
    <w:rsid w:val="00932954"/>
    <w:rsid w:val="00933B0A"/>
    <w:rsid w:val="00933C9E"/>
    <w:rsid w:val="00934497"/>
    <w:rsid w:val="00934C86"/>
    <w:rsid w:val="00934E7F"/>
    <w:rsid w:val="00935465"/>
    <w:rsid w:val="00935A37"/>
    <w:rsid w:val="00935E4C"/>
    <w:rsid w:val="009365A1"/>
    <w:rsid w:val="009367D0"/>
    <w:rsid w:val="009378DA"/>
    <w:rsid w:val="00940377"/>
    <w:rsid w:val="0094079B"/>
    <w:rsid w:val="00941DE1"/>
    <w:rsid w:val="00941F48"/>
    <w:rsid w:val="00942D82"/>
    <w:rsid w:val="00943A83"/>
    <w:rsid w:val="00943F1D"/>
    <w:rsid w:val="0094477C"/>
    <w:rsid w:val="009449B2"/>
    <w:rsid w:val="00944BD6"/>
    <w:rsid w:val="009451D2"/>
    <w:rsid w:val="0094565B"/>
    <w:rsid w:val="009457C6"/>
    <w:rsid w:val="00946111"/>
    <w:rsid w:val="00947042"/>
    <w:rsid w:val="009470C7"/>
    <w:rsid w:val="00947638"/>
    <w:rsid w:val="0094771C"/>
    <w:rsid w:val="009478E3"/>
    <w:rsid w:val="009511C4"/>
    <w:rsid w:val="00951449"/>
    <w:rsid w:val="00951CE1"/>
    <w:rsid w:val="00952061"/>
    <w:rsid w:val="0095219F"/>
    <w:rsid w:val="00953171"/>
    <w:rsid w:val="00953779"/>
    <w:rsid w:val="00953782"/>
    <w:rsid w:val="009537FC"/>
    <w:rsid w:val="00953DB3"/>
    <w:rsid w:val="00953F1B"/>
    <w:rsid w:val="009542DB"/>
    <w:rsid w:val="00954E51"/>
    <w:rsid w:val="009553AB"/>
    <w:rsid w:val="009555FE"/>
    <w:rsid w:val="009559A3"/>
    <w:rsid w:val="00955B02"/>
    <w:rsid w:val="00955DE9"/>
    <w:rsid w:val="00955F9C"/>
    <w:rsid w:val="009568ED"/>
    <w:rsid w:val="00956CAD"/>
    <w:rsid w:val="00956FCB"/>
    <w:rsid w:val="0095707C"/>
    <w:rsid w:val="0095755E"/>
    <w:rsid w:val="00961207"/>
    <w:rsid w:val="00961F4A"/>
    <w:rsid w:val="00963688"/>
    <w:rsid w:val="00963CF6"/>
    <w:rsid w:val="00965478"/>
    <w:rsid w:val="009659F9"/>
    <w:rsid w:val="00965B9E"/>
    <w:rsid w:val="00965DFF"/>
    <w:rsid w:val="0096629A"/>
    <w:rsid w:val="009665DB"/>
    <w:rsid w:val="009667D7"/>
    <w:rsid w:val="009667E2"/>
    <w:rsid w:val="0096685B"/>
    <w:rsid w:val="009676EF"/>
    <w:rsid w:val="00967BBA"/>
    <w:rsid w:val="0097015D"/>
    <w:rsid w:val="00970457"/>
    <w:rsid w:val="0097102E"/>
    <w:rsid w:val="009713DE"/>
    <w:rsid w:val="009726BE"/>
    <w:rsid w:val="009726D8"/>
    <w:rsid w:val="0097274B"/>
    <w:rsid w:val="00972783"/>
    <w:rsid w:val="00972E79"/>
    <w:rsid w:val="00973C54"/>
    <w:rsid w:val="0097417B"/>
    <w:rsid w:val="00974365"/>
    <w:rsid w:val="00974AC2"/>
    <w:rsid w:val="009754EF"/>
    <w:rsid w:val="00975760"/>
    <w:rsid w:val="00975D7E"/>
    <w:rsid w:val="00976173"/>
    <w:rsid w:val="00976779"/>
    <w:rsid w:val="00976864"/>
    <w:rsid w:val="00976ECC"/>
    <w:rsid w:val="009773E4"/>
    <w:rsid w:val="00977E3F"/>
    <w:rsid w:val="0098005C"/>
    <w:rsid w:val="00981769"/>
    <w:rsid w:val="009838EB"/>
    <w:rsid w:val="0098393C"/>
    <w:rsid w:val="00984E49"/>
    <w:rsid w:val="0098533E"/>
    <w:rsid w:val="00985BD3"/>
    <w:rsid w:val="00985CEC"/>
    <w:rsid w:val="009860D8"/>
    <w:rsid w:val="00986116"/>
    <w:rsid w:val="00986C50"/>
    <w:rsid w:val="00987F3B"/>
    <w:rsid w:val="00990F02"/>
    <w:rsid w:val="00993562"/>
    <w:rsid w:val="00993AA4"/>
    <w:rsid w:val="00993CFF"/>
    <w:rsid w:val="009948A4"/>
    <w:rsid w:val="00994932"/>
    <w:rsid w:val="00994999"/>
    <w:rsid w:val="00994EAF"/>
    <w:rsid w:val="009956DD"/>
    <w:rsid w:val="009962BB"/>
    <w:rsid w:val="00997094"/>
    <w:rsid w:val="0099761F"/>
    <w:rsid w:val="00997A35"/>
    <w:rsid w:val="00997B7B"/>
    <w:rsid w:val="009A0CF9"/>
    <w:rsid w:val="009A1957"/>
    <w:rsid w:val="009A2617"/>
    <w:rsid w:val="009A2F20"/>
    <w:rsid w:val="009A2F4A"/>
    <w:rsid w:val="009A33DF"/>
    <w:rsid w:val="009A3C1F"/>
    <w:rsid w:val="009A4480"/>
    <w:rsid w:val="009A4F36"/>
    <w:rsid w:val="009A5AD5"/>
    <w:rsid w:val="009A5CD5"/>
    <w:rsid w:val="009A5D60"/>
    <w:rsid w:val="009A6350"/>
    <w:rsid w:val="009A70D3"/>
    <w:rsid w:val="009A7846"/>
    <w:rsid w:val="009B01B1"/>
    <w:rsid w:val="009B0C39"/>
    <w:rsid w:val="009B0FDA"/>
    <w:rsid w:val="009B1E2E"/>
    <w:rsid w:val="009B1F84"/>
    <w:rsid w:val="009B1FD2"/>
    <w:rsid w:val="009B26A6"/>
    <w:rsid w:val="009B2D9C"/>
    <w:rsid w:val="009B2EF4"/>
    <w:rsid w:val="009B3111"/>
    <w:rsid w:val="009B3805"/>
    <w:rsid w:val="009B5135"/>
    <w:rsid w:val="009B51A2"/>
    <w:rsid w:val="009B565C"/>
    <w:rsid w:val="009B5C28"/>
    <w:rsid w:val="009B64D9"/>
    <w:rsid w:val="009B7407"/>
    <w:rsid w:val="009B747B"/>
    <w:rsid w:val="009B7916"/>
    <w:rsid w:val="009B7B92"/>
    <w:rsid w:val="009B7C1F"/>
    <w:rsid w:val="009B7D32"/>
    <w:rsid w:val="009B7EF6"/>
    <w:rsid w:val="009C0197"/>
    <w:rsid w:val="009C01E5"/>
    <w:rsid w:val="009C0897"/>
    <w:rsid w:val="009C08B2"/>
    <w:rsid w:val="009C0D26"/>
    <w:rsid w:val="009C0E3A"/>
    <w:rsid w:val="009C12F9"/>
    <w:rsid w:val="009C1556"/>
    <w:rsid w:val="009C1680"/>
    <w:rsid w:val="009C1868"/>
    <w:rsid w:val="009C18C0"/>
    <w:rsid w:val="009C1A31"/>
    <w:rsid w:val="009C1E5A"/>
    <w:rsid w:val="009C2025"/>
    <w:rsid w:val="009C20A2"/>
    <w:rsid w:val="009C22A0"/>
    <w:rsid w:val="009C23BA"/>
    <w:rsid w:val="009C2718"/>
    <w:rsid w:val="009C2E94"/>
    <w:rsid w:val="009C30BA"/>
    <w:rsid w:val="009C4C1F"/>
    <w:rsid w:val="009C5801"/>
    <w:rsid w:val="009C59CC"/>
    <w:rsid w:val="009C639A"/>
    <w:rsid w:val="009C658C"/>
    <w:rsid w:val="009C69D2"/>
    <w:rsid w:val="009C70DF"/>
    <w:rsid w:val="009C769C"/>
    <w:rsid w:val="009C76E7"/>
    <w:rsid w:val="009D0059"/>
    <w:rsid w:val="009D018A"/>
    <w:rsid w:val="009D03BD"/>
    <w:rsid w:val="009D047B"/>
    <w:rsid w:val="009D0874"/>
    <w:rsid w:val="009D0BFB"/>
    <w:rsid w:val="009D0DB3"/>
    <w:rsid w:val="009D16D1"/>
    <w:rsid w:val="009D17DE"/>
    <w:rsid w:val="009D19D2"/>
    <w:rsid w:val="009D1D5D"/>
    <w:rsid w:val="009D21B6"/>
    <w:rsid w:val="009D2D5D"/>
    <w:rsid w:val="009D2E59"/>
    <w:rsid w:val="009D30A3"/>
    <w:rsid w:val="009D32F4"/>
    <w:rsid w:val="009D36CB"/>
    <w:rsid w:val="009D3937"/>
    <w:rsid w:val="009D3A25"/>
    <w:rsid w:val="009D41FF"/>
    <w:rsid w:val="009D5552"/>
    <w:rsid w:val="009D59FA"/>
    <w:rsid w:val="009D5AFA"/>
    <w:rsid w:val="009D5D1C"/>
    <w:rsid w:val="009D66B8"/>
    <w:rsid w:val="009D68D4"/>
    <w:rsid w:val="009D6E8D"/>
    <w:rsid w:val="009D763E"/>
    <w:rsid w:val="009D7E25"/>
    <w:rsid w:val="009E00E4"/>
    <w:rsid w:val="009E031C"/>
    <w:rsid w:val="009E0864"/>
    <w:rsid w:val="009E0B2C"/>
    <w:rsid w:val="009E0FA0"/>
    <w:rsid w:val="009E1E4E"/>
    <w:rsid w:val="009E2244"/>
    <w:rsid w:val="009E2AD9"/>
    <w:rsid w:val="009E3678"/>
    <w:rsid w:val="009E3B53"/>
    <w:rsid w:val="009E3CCF"/>
    <w:rsid w:val="009E3FA4"/>
    <w:rsid w:val="009E40AC"/>
    <w:rsid w:val="009E46A9"/>
    <w:rsid w:val="009E4F45"/>
    <w:rsid w:val="009E54DB"/>
    <w:rsid w:val="009E553D"/>
    <w:rsid w:val="009E6612"/>
    <w:rsid w:val="009E719B"/>
    <w:rsid w:val="009E7875"/>
    <w:rsid w:val="009E7A2D"/>
    <w:rsid w:val="009F0264"/>
    <w:rsid w:val="009F0595"/>
    <w:rsid w:val="009F0CE0"/>
    <w:rsid w:val="009F0E5B"/>
    <w:rsid w:val="009F0FBA"/>
    <w:rsid w:val="009F155D"/>
    <w:rsid w:val="009F1C06"/>
    <w:rsid w:val="009F1CF6"/>
    <w:rsid w:val="009F1FF9"/>
    <w:rsid w:val="009F24DA"/>
    <w:rsid w:val="009F2A63"/>
    <w:rsid w:val="009F2DF3"/>
    <w:rsid w:val="009F3793"/>
    <w:rsid w:val="009F383F"/>
    <w:rsid w:val="009F3BD3"/>
    <w:rsid w:val="009F3D64"/>
    <w:rsid w:val="009F4111"/>
    <w:rsid w:val="009F4221"/>
    <w:rsid w:val="009F4233"/>
    <w:rsid w:val="009F4309"/>
    <w:rsid w:val="009F4499"/>
    <w:rsid w:val="009F4C7C"/>
    <w:rsid w:val="009F4EAC"/>
    <w:rsid w:val="009F5580"/>
    <w:rsid w:val="009F60D8"/>
    <w:rsid w:val="009F611C"/>
    <w:rsid w:val="009F6361"/>
    <w:rsid w:val="009F6892"/>
    <w:rsid w:val="009F6B70"/>
    <w:rsid w:val="009F6C91"/>
    <w:rsid w:val="009F76DB"/>
    <w:rsid w:val="009F795D"/>
    <w:rsid w:val="009F7AD5"/>
    <w:rsid w:val="009F7C59"/>
    <w:rsid w:val="00A00CCF"/>
    <w:rsid w:val="00A016FC"/>
    <w:rsid w:val="00A0173A"/>
    <w:rsid w:val="00A019D6"/>
    <w:rsid w:val="00A01A40"/>
    <w:rsid w:val="00A01C27"/>
    <w:rsid w:val="00A01E64"/>
    <w:rsid w:val="00A01FA6"/>
    <w:rsid w:val="00A0207F"/>
    <w:rsid w:val="00A021AF"/>
    <w:rsid w:val="00A02414"/>
    <w:rsid w:val="00A02E6D"/>
    <w:rsid w:val="00A02F12"/>
    <w:rsid w:val="00A02F1E"/>
    <w:rsid w:val="00A03D56"/>
    <w:rsid w:val="00A03FA7"/>
    <w:rsid w:val="00A049E5"/>
    <w:rsid w:val="00A04A45"/>
    <w:rsid w:val="00A04D2C"/>
    <w:rsid w:val="00A04DC9"/>
    <w:rsid w:val="00A050BD"/>
    <w:rsid w:val="00A05159"/>
    <w:rsid w:val="00A0531A"/>
    <w:rsid w:val="00A06B4E"/>
    <w:rsid w:val="00A06D8F"/>
    <w:rsid w:val="00A07250"/>
    <w:rsid w:val="00A102AC"/>
    <w:rsid w:val="00A121E1"/>
    <w:rsid w:val="00A1222E"/>
    <w:rsid w:val="00A13554"/>
    <w:rsid w:val="00A13E74"/>
    <w:rsid w:val="00A14786"/>
    <w:rsid w:val="00A14B25"/>
    <w:rsid w:val="00A14BA9"/>
    <w:rsid w:val="00A1604A"/>
    <w:rsid w:val="00A16394"/>
    <w:rsid w:val="00A16852"/>
    <w:rsid w:val="00A214AB"/>
    <w:rsid w:val="00A2201C"/>
    <w:rsid w:val="00A220F6"/>
    <w:rsid w:val="00A229C3"/>
    <w:rsid w:val="00A22CF9"/>
    <w:rsid w:val="00A232C7"/>
    <w:rsid w:val="00A236F6"/>
    <w:rsid w:val="00A2404A"/>
    <w:rsid w:val="00A24425"/>
    <w:rsid w:val="00A24E2B"/>
    <w:rsid w:val="00A24E70"/>
    <w:rsid w:val="00A25879"/>
    <w:rsid w:val="00A25C80"/>
    <w:rsid w:val="00A25C99"/>
    <w:rsid w:val="00A264EE"/>
    <w:rsid w:val="00A26662"/>
    <w:rsid w:val="00A274DD"/>
    <w:rsid w:val="00A27ACA"/>
    <w:rsid w:val="00A3002D"/>
    <w:rsid w:val="00A30097"/>
    <w:rsid w:val="00A303EE"/>
    <w:rsid w:val="00A3047E"/>
    <w:rsid w:val="00A30750"/>
    <w:rsid w:val="00A30B91"/>
    <w:rsid w:val="00A317EA"/>
    <w:rsid w:val="00A31FC3"/>
    <w:rsid w:val="00A32010"/>
    <w:rsid w:val="00A32632"/>
    <w:rsid w:val="00A32C3B"/>
    <w:rsid w:val="00A32D5F"/>
    <w:rsid w:val="00A32E19"/>
    <w:rsid w:val="00A335BE"/>
    <w:rsid w:val="00A335C9"/>
    <w:rsid w:val="00A33700"/>
    <w:rsid w:val="00A33D53"/>
    <w:rsid w:val="00A34F65"/>
    <w:rsid w:val="00A3500A"/>
    <w:rsid w:val="00A35194"/>
    <w:rsid w:val="00A35CA6"/>
    <w:rsid w:val="00A366FA"/>
    <w:rsid w:val="00A3671F"/>
    <w:rsid w:val="00A370E4"/>
    <w:rsid w:val="00A37481"/>
    <w:rsid w:val="00A40216"/>
    <w:rsid w:val="00A411C7"/>
    <w:rsid w:val="00A4199F"/>
    <w:rsid w:val="00A41B2A"/>
    <w:rsid w:val="00A41C89"/>
    <w:rsid w:val="00A41D8C"/>
    <w:rsid w:val="00A42228"/>
    <w:rsid w:val="00A426AC"/>
    <w:rsid w:val="00A435FC"/>
    <w:rsid w:val="00A4399A"/>
    <w:rsid w:val="00A4521C"/>
    <w:rsid w:val="00A45E95"/>
    <w:rsid w:val="00A45F4F"/>
    <w:rsid w:val="00A46164"/>
    <w:rsid w:val="00A46283"/>
    <w:rsid w:val="00A47317"/>
    <w:rsid w:val="00A476FC"/>
    <w:rsid w:val="00A47A22"/>
    <w:rsid w:val="00A50139"/>
    <w:rsid w:val="00A50163"/>
    <w:rsid w:val="00A506BC"/>
    <w:rsid w:val="00A509F5"/>
    <w:rsid w:val="00A50BB8"/>
    <w:rsid w:val="00A5195B"/>
    <w:rsid w:val="00A51CF0"/>
    <w:rsid w:val="00A51E06"/>
    <w:rsid w:val="00A5240F"/>
    <w:rsid w:val="00A52D32"/>
    <w:rsid w:val="00A539D9"/>
    <w:rsid w:val="00A53EB8"/>
    <w:rsid w:val="00A53F6D"/>
    <w:rsid w:val="00A543ED"/>
    <w:rsid w:val="00A548BC"/>
    <w:rsid w:val="00A54A5E"/>
    <w:rsid w:val="00A5504F"/>
    <w:rsid w:val="00A55346"/>
    <w:rsid w:val="00A5624E"/>
    <w:rsid w:val="00A564DE"/>
    <w:rsid w:val="00A57A27"/>
    <w:rsid w:val="00A57C3B"/>
    <w:rsid w:val="00A600A9"/>
    <w:rsid w:val="00A6126D"/>
    <w:rsid w:val="00A61FF2"/>
    <w:rsid w:val="00A6373E"/>
    <w:rsid w:val="00A63D02"/>
    <w:rsid w:val="00A6404C"/>
    <w:rsid w:val="00A641B6"/>
    <w:rsid w:val="00A644A3"/>
    <w:rsid w:val="00A65364"/>
    <w:rsid w:val="00A65875"/>
    <w:rsid w:val="00A658A4"/>
    <w:rsid w:val="00A65913"/>
    <w:rsid w:val="00A65B32"/>
    <w:rsid w:val="00A65FCE"/>
    <w:rsid w:val="00A66288"/>
    <w:rsid w:val="00A66851"/>
    <w:rsid w:val="00A66F92"/>
    <w:rsid w:val="00A6735F"/>
    <w:rsid w:val="00A67D65"/>
    <w:rsid w:val="00A67F9D"/>
    <w:rsid w:val="00A70356"/>
    <w:rsid w:val="00A7058F"/>
    <w:rsid w:val="00A705B1"/>
    <w:rsid w:val="00A70C2E"/>
    <w:rsid w:val="00A71395"/>
    <w:rsid w:val="00A715F0"/>
    <w:rsid w:val="00A719AD"/>
    <w:rsid w:val="00A71A33"/>
    <w:rsid w:val="00A71CBC"/>
    <w:rsid w:val="00A72892"/>
    <w:rsid w:val="00A72AF6"/>
    <w:rsid w:val="00A72DD8"/>
    <w:rsid w:val="00A73392"/>
    <w:rsid w:val="00A745DD"/>
    <w:rsid w:val="00A747EF"/>
    <w:rsid w:val="00A75507"/>
    <w:rsid w:val="00A7554B"/>
    <w:rsid w:val="00A7557D"/>
    <w:rsid w:val="00A75BA1"/>
    <w:rsid w:val="00A75F81"/>
    <w:rsid w:val="00A7615F"/>
    <w:rsid w:val="00A764A6"/>
    <w:rsid w:val="00A76BD7"/>
    <w:rsid w:val="00A76C5F"/>
    <w:rsid w:val="00A77232"/>
    <w:rsid w:val="00A77234"/>
    <w:rsid w:val="00A776F6"/>
    <w:rsid w:val="00A77D1A"/>
    <w:rsid w:val="00A802E4"/>
    <w:rsid w:val="00A8048C"/>
    <w:rsid w:val="00A804BB"/>
    <w:rsid w:val="00A81866"/>
    <w:rsid w:val="00A81EF0"/>
    <w:rsid w:val="00A823FE"/>
    <w:rsid w:val="00A82BA9"/>
    <w:rsid w:val="00A83111"/>
    <w:rsid w:val="00A831CB"/>
    <w:rsid w:val="00A83257"/>
    <w:rsid w:val="00A83562"/>
    <w:rsid w:val="00A83E45"/>
    <w:rsid w:val="00A84065"/>
    <w:rsid w:val="00A841EE"/>
    <w:rsid w:val="00A8495F"/>
    <w:rsid w:val="00A84DF1"/>
    <w:rsid w:val="00A85120"/>
    <w:rsid w:val="00A85585"/>
    <w:rsid w:val="00A859A6"/>
    <w:rsid w:val="00A85E62"/>
    <w:rsid w:val="00A867BA"/>
    <w:rsid w:val="00A868A9"/>
    <w:rsid w:val="00A875DE"/>
    <w:rsid w:val="00A9012B"/>
    <w:rsid w:val="00A9081E"/>
    <w:rsid w:val="00A90B9F"/>
    <w:rsid w:val="00A91DC0"/>
    <w:rsid w:val="00A924F2"/>
    <w:rsid w:val="00A925CB"/>
    <w:rsid w:val="00A92D58"/>
    <w:rsid w:val="00A937A5"/>
    <w:rsid w:val="00A94939"/>
    <w:rsid w:val="00A94A47"/>
    <w:rsid w:val="00A94B38"/>
    <w:rsid w:val="00A96016"/>
    <w:rsid w:val="00A9667A"/>
    <w:rsid w:val="00A96C08"/>
    <w:rsid w:val="00A97531"/>
    <w:rsid w:val="00A97674"/>
    <w:rsid w:val="00A97687"/>
    <w:rsid w:val="00A97C71"/>
    <w:rsid w:val="00AA00FD"/>
    <w:rsid w:val="00AA0490"/>
    <w:rsid w:val="00AA04FC"/>
    <w:rsid w:val="00AA0711"/>
    <w:rsid w:val="00AA07D9"/>
    <w:rsid w:val="00AA0DFB"/>
    <w:rsid w:val="00AA1A51"/>
    <w:rsid w:val="00AA281B"/>
    <w:rsid w:val="00AA2AE5"/>
    <w:rsid w:val="00AA2CE7"/>
    <w:rsid w:val="00AA2E41"/>
    <w:rsid w:val="00AA2E4B"/>
    <w:rsid w:val="00AA36F3"/>
    <w:rsid w:val="00AA3922"/>
    <w:rsid w:val="00AA3DA1"/>
    <w:rsid w:val="00AA3F6E"/>
    <w:rsid w:val="00AA4467"/>
    <w:rsid w:val="00AA513B"/>
    <w:rsid w:val="00AA55B7"/>
    <w:rsid w:val="00AA566D"/>
    <w:rsid w:val="00AA595D"/>
    <w:rsid w:val="00AA5B9E"/>
    <w:rsid w:val="00AA6CE4"/>
    <w:rsid w:val="00AA6D6E"/>
    <w:rsid w:val="00AA6E41"/>
    <w:rsid w:val="00AA735E"/>
    <w:rsid w:val="00AB01D5"/>
    <w:rsid w:val="00AB091A"/>
    <w:rsid w:val="00AB0CA1"/>
    <w:rsid w:val="00AB0E95"/>
    <w:rsid w:val="00AB17B6"/>
    <w:rsid w:val="00AB1B09"/>
    <w:rsid w:val="00AB1FDF"/>
    <w:rsid w:val="00AB228D"/>
    <w:rsid w:val="00AB2407"/>
    <w:rsid w:val="00AB2CE8"/>
    <w:rsid w:val="00AB37E9"/>
    <w:rsid w:val="00AB4501"/>
    <w:rsid w:val="00AB4FF0"/>
    <w:rsid w:val="00AB5260"/>
    <w:rsid w:val="00AB53DF"/>
    <w:rsid w:val="00AB5EAB"/>
    <w:rsid w:val="00AB7484"/>
    <w:rsid w:val="00AB7956"/>
    <w:rsid w:val="00AC005E"/>
    <w:rsid w:val="00AC0487"/>
    <w:rsid w:val="00AC0879"/>
    <w:rsid w:val="00AC1AA6"/>
    <w:rsid w:val="00AC1C6E"/>
    <w:rsid w:val="00AC2189"/>
    <w:rsid w:val="00AC2787"/>
    <w:rsid w:val="00AC2D0E"/>
    <w:rsid w:val="00AC33E5"/>
    <w:rsid w:val="00AC34E9"/>
    <w:rsid w:val="00AC3502"/>
    <w:rsid w:val="00AC35E3"/>
    <w:rsid w:val="00AC3F30"/>
    <w:rsid w:val="00AC3F6E"/>
    <w:rsid w:val="00AC42B9"/>
    <w:rsid w:val="00AC449A"/>
    <w:rsid w:val="00AC4910"/>
    <w:rsid w:val="00AC4D61"/>
    <w:rsid w:val="00AC566D"/>
    <w:rsid w:val="00AC6296"/>
    <w:rsid w:val="00AC6940"/>
    <w:rsid w:val="00AC6D68"/>
    <w:rsid w:val="00AC7AE6"/>
    <w:rsid w:val="00AD005D"/>
    <w:rsid w:val="00AD01B1"/>
    <w:rsid w:val="00AD03B4"/>
    <w:rsid w:val="00AD04A6"/>
    <w:rsid w:val="00AD0714"/>
    <w:rsid w:val="00AD09C1"/>
    <w:rsid w:val="00AD147F"/>
    <w:rsid w:val="00AD1623"/>
    <w:rsid w:val="00AD1E74"/>
    <w:rsid w:val="00AD1E75"/>
    <w:rsid w:val="00AD2104"/>
    <w:rsid w:val="00AD2A7E"/>
    <w:rsid w:val="00AD2CF8"/>
    <w:rsid w:val="00AD2E74"/>
    <w:rsid w:val="00AD32AF"/>
    <w:rsid w:val="00AD3711"/>
    <w:rsid w:val="00AD3901"/>
    <w:rsid w:val="00AD3B1E"/>
    <w:rsid w:val="00AD3BA9"/>
    <w:rsid w:val="00AD3C9C"/>
    <w:rsid w:val="00AD4050"/>
    <w:rsid w:val="00AD43E7"/>
    <w:rsid w:val="00AD5177"/>
    <w:rsid w:val="00AD5335"/>
    <w:rsid w:val="00AD5927"/>
    <w:rsid w:val="00AD5C6C"/>
    <w:rsid w:val="00AD632C"/>
    <w:rsid w:val="00AD6E6D"/>
    <w:rsid w:val="00AD6F42"/>
    <w:rsid w:val="00AD7045"/>
    <w:rsid w:val="00AD789E"/>
    <w:rsid w:val="00AD7916"/>
    <w:rsid w:val="00AE02A6"/>
    <w:rsid w:val="00AE113E"/>
    <w:rsid w:val="00AE1C68"/>
    <w:rsid w:val="00AE1D2D"/>
    <w:rsid w:val="00AE1E0C"/>
    <w:rsid w:val="00AE1E33"/>
    <w:rsid w:val="00AE261E"/>
    <w:rsid w:val="00AE2656"/>
    <w:rsid w:val="00AE29E3"/>
    <w:rsid w:val="00AE3C7D"/>
    <w:rsid w:val="00AE3F7F"/>
    <w:rsid w:val="00AE3FD9"/>
    <w:rsid w:val="00AE401E"/>
    <w:rsid w:val="00AE5F1D"/>
    <w:rsid w:val="00AE6423"/>
    <w:rsid w:val="00AE6C68"/>
    <w:rsid w:val="00AE6C89"/>
    <w:rsid w:val="00AE6E51"/>
    <w:rsid w:val="00AE7070"/>
    <w:rsid w:val="00AE71E9"/>
    <w:rsid w:val="00AE7E2B"/>
    <w:rsid w:val="00AF04E6"/>
    <w:rsid w:val="00AF0573"/>
    <w:rsid w:val="00AF07DE"/>
    <w:rsid w:val="00AF0BC8"/>
    <w:rsid w:val="00AF0C63"/>
    <w:rsid w:val="00AF0D22"/>
    <w:rsid w:val="00AF0D29"/>
    <w:rsid w:val="00AF1FBE"/>
    <w:rsid w:val="00AF2676"/>
    <w:rsid w:val="00AF3C96"/>
    <w:rsid w:val="00AF3DF3"/>
    <w:rsid w:val="00AF43A0"/>
    <w:rsid w:val="00AF49F3"/>
    <w:rsid w:val="00AF5252"/>
    <w:rsid w:val="00AF5554"/>
    <w:rsid w:val="00AF5A14"/>
    <w:rsid w:val="00AF61F0"/>
    <w:rsid w:val="00AF6B77"/>
    <w:rsid w:val="00AF6E52"/>
    <w:rsid w:val="00B006AD"/>
    <w:rsid w:val="00B0096D"/>
    <w:rsid w:val="00B011B0"/>
    <w:rsid w:val="00B01F02"/>
    <w:rsid w:val="00B02B74"/>
    <w:rsid w:val="00B02C79"/>
    <w:rsid w:val="00B04526"/>
    <w:rsid w:val="00B04898"/>
    <w:rsid w:val="00B04F4D"/>
    <w:rsid w:val="00B050DD"/>
    <w:rsid w:val="00B058B3"/>
    <w:rsid w:val="00B0599B"/>
    <w:rsid w:val="00B06003"/>
    <w:rsid w:val="00B06561"/>
    <w:rsid w:val="00B06E58"/>
    <w:rsid w:val="00B072E5"/>
    <w:rsid w:val="00B073D8"/>
    <w:rsid w:val="00B074F0"/>
    <w:rsid w:val="00B07722"/>
    <w:rsid w:val="00B07CCE"/>
    <w:rsid w:val="00B07E5C"/>
    <w:rsid w:val="00B101D8"/>
    <w:rsid w:val="00B102AB"/>
    <w:rsid w:val="00B10B9E"/>
    <w:rsid w:val="00B11612"/>
    <w:rsid w:val="00B11B2F"/>
    <w:rsid w:val="00B11C8A"/>
    <w:rsid w:val="00B1227E"/>
    <w:rsid w:val="00B1272A"/>
    <w:rsid w:val="00B12D8D"/>
    <w:rsid w:val="00B13501"/>
    <w:rsid w:val="00B13758"/>
    <w:rsid w:val="00B13A52"/>
    <w:rsid w:val="00B14B6F"/>
    <w:rsid w:val="00B15554"/>
    <w:rsid w:val="00B15740"/>
    <w:rsid w:val="00B15931"/>
    <w:rsid w:val="00B15BC6"/>
    <w:rsid w:val="00B164D6"/>
    <w:rsid w:val="00B16998"/>
    <w:rsid w:val="00B16DC9"/>
    <w:rsid w:val="00B20EE0"/>
    <w:rsid w:val="00B21A60"/>
    <w:rsid w:val="00B21F29"/>
    <w:rsid w:val="00B22520"/>
    <w:rsid w:val="00B22E35"/>
    <w:rsid w:val="00B2373A"/>
    <w:rsid w:val="00B2388D"/>
    <w:rsid w:val="00B2412B"/>
    <w:rsid w:val="00B248D5"/>
    <w:rsid w:val="00B24912"/>
    <w:rsid w:val="00B264FB"/>
    <w:rsid w:val="00B26BFE"/>
    <w:rsid w:val="00B3035B"/>
    <w:rsid w:val="00B30658"/>
    <w:rsid w:val="00B30793"/>
    <w:rsid w:val="00B3094B"/>
    <w:rsid w:val="00B30ACC"/>
    <w:rsid w:val="00B30AF9"/>
    <w:rsid w:val="00B3105B"/>
    <w:rsid w:val="00B3132A"/>
    <w:rsid w:val="00B318F2"/>
    <w:rsid w:val="00B31A96"/>
    <w:rsid w:val="00B31C3D"/>
    <w:rsid w:val="00B31FC7"/>
    <w:rsid w:val="00B32494"/>
    <w:rsid w:val="00B329E6"/>
    <w:rsid w:val="00B3329E"/>
    <w:rsid w:val="00B33628"/>
    <w:rsid w:val="00B33829"/>
    <w:rsid w:val="00B338AB"/>
    <w:rsid w:val="00B33BD6"/>
    <w:rsid w:val="00B33CF8"/>
    <w:rsid w:val="00B33EC9"/>
    <w:rsid w:val="00B340DE"/>
    <w:rsid w:val="00B34666"/>
    <w:rsid w:val="00B34E6F"/>
    <w:rsid w:val="00B3525D"/>
    <w:rsid w:val="00B35ED0"/>
    <w:rsid w:val="00B3635D"/>
    <w:rsid w:val="00B37990"/>
    <w:rsid w:val="00B37D85"/>
    <w:rsid w:val="00B4043E"/>
    <w:rsid w:val="00B404AE"/>
    <w:rsid w:val="00B405F6"/>
    <w:rsid w:val="00B4086C"/>
    <w:rsid w:val="00B408F3"/>
    <w:rsid w:val="00B40B97"/>
    <w:rsid w:val="00B416E9"/>
    <w:rsid w:val="00B41F95"/>
    <w:rsid w:val="00B42925"/>
    <w:rsid w:val="00B43014"/>
    <w:rsid w:val="00B43071"/>
    <w:rsid w:val="00B43084"/>
    <w:rsid w:val="00B43CD1"/>
    <w:rsid w:val="00B44670"/>
    <w:rsid w:val="00B44F43"/>
    <w:rsid w:val="00B45CF1"/>
    <w:rsid w:val="00B46538"/>
    <w:rsid w:val="00B4689B"/>
    <w:rsid w:val="00B46A3F"/>
    <w:rsid w:val="00B47987"/>
    <w:rsid w:val="00B479BC"/>
    <w:rsid w:val="00B47F1A"/>
    <w:rsid w:val="00B501B6"/>
    <w:rsid w:val="00B50934"/>
    <w:rsid w:val="00B50C0C"/>
    <w:rsid w:val="00B5124F"/>
    <w:rsid w:val="00B5178B"/>
    <w:rsid w:val="00B522AC"/>
    <w:rsid w:val="00B5274B"/>
    <w:rsid w:val="00B533E7"/>
    <w:rsid w:val="00B5423C"/>
    <w:rsid w:val="00B5503F"/>
    <w:rsid w:val="00B55507"/>
    <w:rsid w:val="00B55614"/>
    <w:rsid w:val="00B55E7F"/>
    <w:rsid w:val="00B565FA"/>
    <w:rsid w:val="00B56ABA"/>
    <w:rsid w:val="00B56B8E"/>
    <w:rsid w:val="00B57600"/>
    <w:rsid w:val="00B57FB7"/>
    <w:rsid w:val="00B60AFF"/>
    <w:rsid w:val="00B61140"/>
    <w:rsid w:val="00B61575"/>
    <w:rsid w:val="00B6230F"/>
    <w:rsid w:val="00B63777"/>
    <w:rsid w:val="00B63ABF"/>
    <w:rsid w:val="00B63D41"/>
    <w:rsid w:val="00B6404D"/>
    <w:rsid w:val="00B64505"/>
    <w:rsid w:val="00B64BFD"/>
    <w:rsid w:val="00B650A8"/>
    <w:rsid w:val="00B653B4"/>
    <w:rsid w:val="00B6586A"/>
    <w:rsid w:val="00B66100"/>
    <w:rsid w:val="00B67360"/>
    <w:rsid w:val="00B674F1"/>
    <w:rsid w:val="00B67830"/>
    <w:rsid w:val="00B67A61"/>
    <w:rsid w:val="00B67B9F"/>
    <w:rsid w:val="00B7003C"/>
    <w:rsid w:val="00B70196"/>
    <w:rsid w:val="00B70270"/>
    <w:rsid w:val="00B7078A"/>
    <w:rsid w:val="00B70AD1"/>
    <w:rsid w:val="00B70F08"/>
    <w:rsid w:val="00B715EB"/>
    <w:rsid w:val="00B7236E"/>
    <w:rsid w:val="00B7246F"/>
    <w:rsid w:val="00B724E4"/>
    <w:rsid w:val="00B726A1"/>
    <w:rsid w:val="00B72D8A"/>
    <w:rsid w:val="00B7491E"/>
    <w:rsid w:val="00B7553B"/>
    <w:rsid w:val="00B75CAE"/>
    <w:rsid w:val="00B7693F"/>
    <w:rsid w:val="00B77342"/>
    <w:rsid w:val="00B77BAD"/>
    <w:rsid w:val="00B807A5"/>
    <w:rsid w:val="00B80D45"/>
    <w:rsid w:val="00B81100"/>
    <w:rsid w:val="00B81173"/>
    <w:rsid w:val="00B811BC"/>
    <w:rsid w:val="00B811F7"/>
    <w:rsid w:val="00B81BA6"/>
    <w:rsid w:val="00B8209E"/>
    <w:rsid w:val="00B82AE5"/>
    <w:rsid w:val="00B82B66"/>
    <w:rsid w:val="00B839D2"/>
    <w:rsid w:val="00B83E5F"/>
    <w:rsid w:val="00B853FB"/>
    <w:rsid w:val="00B85519"/>
    <w:rsid w:val="00B85B43"/>
    <w:rsid w:val="00B85F75"/>
    <w:rsid w:val="00B86363"/>
    <w:rsid w:val="00B86985"/>
    <w:rsid w:val="00B86F0A"/>
    <w:rsid w:val="00B87157"/>
    <w:rsid w:val="00B87297"/>
    <w:rsid w:val="00B87E81"/>
    <w:rsid w:val="00B9042B"/>
    <w:rsid w:val="00B909F2"/>
    <w:rsid w:val="00B90F52"/>
    <w:rsid w:val="00B915A6"/>
    <w:rsid w:val="00B91F92"/>
    <w:rsid w:val="00B92979"/>
    <w:rsid w:val="00B92CC5"/>
    <w:rsid w:val="00B939E1"/>
    <w:rsid w:val="00B93D77"/>
    <w:rsid w:val="00B94608"/>
    <w:rsid w:val="00B9490B"/>
    <w:rsid w:val="00B955F7"/>
    <w:rsid w:val="00B95799"/>
    <w:rsid w:val="00B95B83"/>
    <w:rsid w:val="00B95DF1"/>
    <w:rsid w:val="00B967FB"/>
    <w:rsid w:val="00B9716E"/>
    <w:rsid w:val="00B97438"/>
    <w:rsid w:val="00B97CBE"/>
    <w:rsid w:val="00B97D9B"/>
    <w:rsid w:val="00BA0587"/>
    <w:rsid w:val="00BA0B19"/>
    <w:rsid w:val="00BA0B84"/>
    <w:rsid w:val="00BA1062"/>
    <w:rsid w:val="00BA1113"/>
    <w:rsid w:val="00BA1D93"/>
    <w:rsid w:val="00BA2967"/>
    <w:rsid w:val="00BA2B95"/>
    <w:rsid w:val="00BA31B3"/>
    <w:rsid w:val="00BA3951"/>
    <w:rsid w:val="00BA3A73"/>
    <w:rsid w:val="00BA3DF0"/>
    <w:rsid w:val="00BA41AF"/>
    <w:rsid w:val="00BA42B2"/>
    <w:rsid w:val="00BA46A7"/>
    <w:rsid w:val="00BA47BC"/>
    <w:rsid w:val="00BA47F7"/>
    <w:rsid w:val="00BA4A60"/>
    <w:rsid w:val="00BA4B77"/>
    <w:rsid w:val="00BA4FE5"/>
    <w:rsid w:val="00BA54D4"/>
    <w:rsid w:val="00BA5DC6"/>
    <w:rsid w:val="00BA6196"/>
    <w:rsid w:val="00BA6991"/>
    <w:rsid w:val="00BA6D1B"/>
    <w:rsid w:val="00BA6F88"/>
    <w:rsid w:val="00BA704D"/>
    <w:rsid w:val="00BA7AAB"/>
    <w:rsid w:val="00BA7B8F"/>
    <w:rsid w:val="00BA7BC6"/>
    <w:rsid w:val="00BB08DD"/>
    <w:rsid w:val="00BB22AD"/>
    <w:rsid w:val="00BB2C37"/>
    <w:rsid w:val="00BB3255"/>
    <w:rsid w:val="00BB3668"/>
    <w:rsid w:val="00BB3A34"/>
    <w:rsid w:val="00BB3AB1"/>
    <w:rsid w:val="00BB419D"/>
    <w:rsid w:val="00BB4B97"/>
    <w:rsid w:val="00BB504E"/>
    <w:rsid w:val="00BB531E"/>
    <w:rsid w:val="00BB664E"/>
    <w:rsid w:val="00BB6F6B"/>
    <w:rsid w:val="00BB704B"/>
    <w:rsid w:val="00BB71B7"/>
    <w:rsid w:val="00BC01A7"/>
    <w:rsid w:val="00BC06BC"/>
    <w:rsid w:val="00BC17F9"/>
    <w:rsid w:val="00BC1878"/>
    <w:rsid w:val="00BC2615"/>
    <w:rsid w:val="00BC3C63"/>
    <w:rsid w:val="00BC3F40"/>
    <w:rsid w:val="00BC6D8C"/>
    <w:rsid w:val="00BC6F2D"/>
    <w:rsid w:val="00BC73BE"/>
    <w:rsid w:val="00BC750C"/>
    <w:rsid w:val="00BC75CE"/>
    <w:rsid w:val="00BC7DC9"/>
    <w:rsid w:val="00BD0A81"/>
    <w:rsid w:val="00BD0AC4"/>
    <w:rsid w:val="00BD21D8"/>
    <w:rsid w:val="00BD233C"/>
    <w:rsid w:val="00BD2E77"/>
    <w:rsid w:val="00BD31CD"/>
    <w:rsid w:val="00BD3476"/>
    <w:rsid w:val="00BD3574"/>
    <w:rsid w:val="00BD3742"/>
    <w:rsid w:val="00BD386F"/>
    <w:rsid w:val="00BD4D51"/>
    <w:rsid w:val="00BD4ED2"/>
    <w:rsid w:val="00BD5382"/>
    <w:rsid w:val="00BD546D"/>
    <w:rsid w:val="00BD567E"/>
    <w:rsid w:val="00BD6313"/>
    <w:rsid w:val="00BD631E"/>
    <w:rsid w:val="00BD6BD3"/>
    <w:rsid w:val="00BD6EB2"/>
    <w:rsid w:val="00BD7617"/>
    <w:rsid w:val="00BD7A0C"/>
    <w:rsid w:val="00BD7BAD"/>
    <w:rsid w:val="00BD7E57"/>
    <w:rsid w:val="00BD7F69"/>
    <w:rsid w:val="00BE0226"/>
    <w:rsid w:val="00BE028E"/>
    <w:rsid w:val="00BE05F7"/>
    <w:rsid w:val="00BE0A5D"/>
    <w:rsid w:val="00BE0A8B"/>
    <w:rsid w:val="00BE1058"/>
    <w:rsid w:val="00BE17A5"/>
    <w:rsid w:val="00BE31C3"/>
    <w:rsid w:val="00BE3CDD"/>
    <w:rsid w:val="00BE3DE0"/>
    <w:rsid w:val="00BE4454"/>
    <w:rsid w:val="00BE45AC"/>
    <w:rsid w:val="00BE47A3"/>
    <w:rsid w:val="00BE4E15"/>
    <w:rsid w:val="00BE54C2"/>
    <w:rsid w:val="00BE571A"/>
    <w:rsid w:val="00BE6598"/>
    <w:rsid w:val="00BE6656"/>
    <w:rsid w:val="00BE7132"/>
    <w:rsid w:val="00BE71FC"/>
    <w:rsid w:val="00BE79B1"/>
    <w:rsid w:val="00BE7D42"/>
    <w:rsid w:val="00BF02E9"/>
    <w:rsid w:val="00BF038D"/>
    <w:rsid w:val="00BF14F1"/>
    <w:rsid w:val="00BF19A0"/>
    <w:rsid w:val="00BF211F"/>
    <w:rsid w:val="00BF227D"/>
    <w:rsid w:val="00BF2402"/>
    <w:rsid w:val="00BF27DD"/>
    <w:rsid w:val="00BF2CC7"/>
    <w:rsid w:val="00BF2E8F"/>
    <w:rsid w:val="00BF341E"/>
    <w:rsid w:val="00BF3563"/>
    <w:rsid w:val="00BF3AA7"/>
    <w:rsid w:val="00BF4501"/>
    <w:rsid w:val="00BF45A8"/>
    <w:rsid w:val="00BF5370"/>
    <w:rsid w:val="00BF5419"/>
    <w:rsid w:val="00BF54ED"/>
    <w:rsid w:val="00BF553A"/>
    <w:rsid w:val="00BF568D"/>
    <w:rsid w:val="00BF5BD3"/>
    <w:rsid w:val="00BF6054"/>
    <w:rsid w:val="00BF6862"/>
    <w:rsid w:val="00BF6987"/>
    <w:rsid w:val="00BF6D43"/>
    <w:rsid w:val="00BF7065"/>
    <w:rsid w:val="00BF7282"/>
    <w:rsid w:val="00BF7813"/>
    <w:rsid w:val="00BF78A7"/>
    <w:rsid w:val="00BF7AAF"/>
    <w:rsid w:val="00C003F1"/>
    <w:rsid w:val="00C00FD0"/>
    <w:rsid w:val="00C0147C"/>
    <w:rsid w:val="00C01716"/>
    <w:rsid w:val="00C0177B"/>
    <w:rsid w:val="00C0206F"/>
    <w:rsid w:val="00C02908"/>
    <w:rsid w:val="00C02D76"/>
    <w:rsid w:val="00C02F6D"/>
    <w:rsid w:val="00C035A0"/>
    <w:rsid w:val="00C039BE"/>
    <w:rsid w:val="00C03A5D"/>
    <w:rsid w:val="00C03A9F"/>
    <w:rsid w:val="00C03E9B"/>
    <w:rsid w:val="00C042E4"/>
    <w:rsid w:val="00C04531"/>
    <w:rsid w:val="00C04BAC"/>
    <w:rsid w:val="00C0525C"/>
    <w:rsid w:val="00C0577A"/>
    <w:rsid w:val="00C06A41"/>
    <w:rsid w:val="00C06F7A"/>
    <w:rsid w:val="00C07A19"/>
    <w:rsid w:val="00C07E19"/>
    <w:rsid w:val="00C10004"/>
    <w:rsid w:val="00C1136B"/>
    <w:rsid w:val="00C118FA"/>
    <w:rsid w:val="00C1194E"/>
    <w:rsid w:val="00C12269"/>
    <w:rsid w:val="00C122D0"/>
    <w:rsid w:val="00C12BDE"/>
    <w:rsid w:val="00C13027"/>
    <w:rsid w:val="00C1307F"/>
    <w:rsid w:val="00C13836"/>
    <w:rsid w:val="00C14197"/>
    <w:rsid w:val="00C14323"/>
    <w:rsid w:val="00C1528A"/>
    <w:rsid w:val="00C15493"/>
    <w:rsid w:val="00C15C34"/>
    <w:rsid w:val="00C15CB0"/>
    <w:rsid w:val="00C15F4D"/>
    <w:rsid w:val="00C1637E"/>
    <w:rsid w:val="00C16542"/>
    <w:rsid w:val="00C16A5E"/>
    <w:rsid w:val="00C17141"/>
    <w:rsid w:val="00C171A2"/>
    <w:rsid w:val="00C17287"/>
    <w:rsid w:val="00C20046"/>
    <w:rsid w:val="00C200A0"/>
    <w:rsid w:val="00C2085F"/>
    <w:rsid w:val="00C20FCF"/>
    <w:rsid w:val="00C22A24"/>
    <w:rsid w:val="00C22BEC"/>
    <w:rsid w:val="00C22C4D"/>
    <w:rsid w:val="00C22EA2"/>
    <w:rsid w:val="00C23CA7"/>
    <w:rsid w:val="00C23CBE"/>
    <w:rsid w:val="00C242AB"/>
    <w:rsid w:val="00C24337"/>
    <w:rsid w:val="00C24344"/>
    <w:rsid w:val="00C248E2"/>
    <w:rsid w:val="00C24C5B"/>
    <w:rsid w:val="00C2585A"/>
    <w:rsid w:val="00C26A27"/>
    <w:rsid w:val="00C26C52"/>
    <w:rsid w:val="00C272A7"/>
    <w:rsid w:val="00C27672"/>
    <w:rsid w:val="00C30240"/>
    <w:rsid w:val="00C3069F"/>
    <w:rsid w:val="00C30928"/>
    <w:rsid w:val="00C30D84"/>
    <w:rsid w:val="00C312D3"/>
    <w:rsid w:val="00C31709"/>
    <w:rsid w:val="00C3178D"/>
    <w:rsid w:val="00C3228F"/>
    <w:rsid w:val="00C323D1"/>
    <w:rsid w:val="00C33C66"/>
    <w:rsid w:val="00C33FF7"/>
    <w:rsid w:val="00C34006"/>
    <w:rsid w:val="00C34350"/>
    <w:rsid w:val="00C345BE"/>
    <w:rsid w:val="00C3506A"/>
    <w:rsid w:val="00C35ACE"/>
    <w:rsid w:val="00C35FFC"/>
    <w:rsid w:val="00C3668C"/>
    <w:rsid w:val="00C367C2"/>
    <w:rsid w:val="00C367CC"/>
    <w:rsid w:val="00C36A3A"/>
    <w:rsid w:val="00C36DF0"/>
    <w:rsid w:val="00C37349"/>
    <w:rsid w:val="00C37950"/>
    <w:rsid w:val="00C37B87"/>
    <w:rsid w:val="00C37EB5"/>
    <w:rsid w:val="00C407F4"/>
    <w:rsid w:val="00C40A65"/>
    <w:rsid w:val="00C40EBB"/>
    <w:rsid w:val="00C412BF"/>
    <w:rsid w:val="00C41D86"/>
    <w:rsid w:val="00C4215A"/>
    <w:rsid w:val="00C426B1"/>
    <w:rsid w:val="00C4275F"/>
    <w:rsid w:val="00C4280E"/>
    <w:rsid w:val="00C42C0F"/>
    <w:rsid w:val="00C42D1B"/>
    <w:rsid w:val="00C4326F"/>
    <w:rsid w:val="00C437CB"/>
    <w:rsid w:val="00C44183"/>
    <w:rsid w:val="00C44864"/>
    <w:rsid w:val="00C44C5C"/>
    <w:rsid w:val="00C457C7"/>
    <w:rsid w:val="00C46565"/>
    <w:rsid w:val="00C465FE"/>
    <w:rsid w:val="00C46D83"/>
    <w:rsid w:val="00C47082"/>
    <w:rsid w:val="00C47335"/>
    <w:rsid w:val="00C47575"/>
    <w:rsid w:val="00C5082C"/>
    <w:rsid w:val="00C5098A"/>
    <w:rsid w:val="00C50C0D"/>
    <w:rsid w:val="00C50E3E"/>
    <w:rsid w:val="00C51B35"/>
    <w:rsid w:val="00C525DF"/>
    <w:rsid w:val="00C53360"/>
    <w:rsid w:val="00C53805"/>
    <w:rsid w:val="00C53950"/>
    <w:rsid w:val="00C53CB6"/>
    <w:rsid w:val="00C541D4"/>
    <w:rsid w:val="00C54209"/>
    <w:rsid w:val="00C547B0"/>
    <w:rsid w:val="00C54FFB"/>
    <w:rsid w:val="00C55A7F"/>
    <w:rsid w:val="00C56111"/>
    <w:rsid w:val="00C562E7"/>
    <w:rsid w:val="00C563A0"/>
    <w:rsid w:val="00C56651"/>
    <w:rsid w:val="00C5687C"/>
    <w:rsid w:val="00C56BF2"/>
    <w:rsid w:val="00C56C9B"/>
    <w:rsid w:val="00C56CAF"/>
    <w:rsid w:val="00C56D5E"/>
    <w:rsid w:val="00C5706B"/>
    <w:rsid w:val="00C57195"/>
    <w:rsid w:val="00C574E3"/>
    <w:rsid w:val="00C6000B"/>
    <w:rsid w:val="00C6012F"/>
    <w:rsid w:val="00C609BF"/>
    <w:rsid w:val="00C610EF"/>
    <w:rsid w:val="00C610F7"/>
    <w:rsid w:val="00C6165C"/>
    <w:rsid w:val="00C61CED"/>
    <w:rsid w:val="00C62296"/>
    <w:rsid w:val="00C6251E"/>
    <w:rsid w:val="00C62B8D"/>
    <w:rsid w:val="00C62CF7"/>
    <w:rsid w:val="00C62EC3"/>
    <w:rsid w:val="00C6374B"/>
    <w:rsid w:val="00C63849"/>
    <w:rsid w:val="00C63C2A"/>
    <w:rsid w:val="00C6425D"/>
    <w:rsid w:val="00C64CB1"/>
    <w:rsid w:val="00C650A5"/>
    <w:rsid w:val="00C655F7"/>
    <w:rsid w:val="00C65A9B"/>
    <w:rsid w:val="00C65D2F"/>
    <w:rsid w:val="00C66160"/>
    <w:rsid w:val="00C670A7"/>
    <w:rsid w:val="00C678F1"/>
    <w:rsid w:val="00C67DF4"/>
    <w:rsid w:val="00C7030D"/>
    <w:rsid w:val="00C70AF5"/>
    <w:rsid w:val="00C7124F"/>
    <w:rsid w:val="00C71385"/>
    <w:rsid w:val="00C714E5"/>
    <w:rsid w:val="00C7171C"/>
    <w:rsid w:val="00C719F8"/>
    <w:rsid w:val="00C71CA3"/>
    <w:rsid w:val="00C721AC"/>
    <w:rsid w:val="00C72343"/>
    <w:rsid w:val="00C72643"/>
    <w:rsid w:val="00C7273A"/>
    <w:rsid w:val="00C728E4"/>
    <w:rsid w:val="00C72CB2"/>
    <w:rsid w:val="00C72F46"/>
    <w:rsid w:val="00C73C40"/>
    <w:rsid w:val="00C73F62"/>
    <w:rsid w:val="00C74270"/>
    <w:rsid w:val="00C7468A"/>
    <w:rsid w:val="00C74954"/>
    <w:rsid w:val="00C75432"/>
    <w:rsid w:val="00C755CA"/>
    <w:rsid w:val="00C755DA"/>
    <w:rsid w:val="00C75822"/>
    <w:rsid w:val="00C76BF2"/>
    <w:rsid w:val="00C7706A"/>
    <w:rsid w:val="00C7709C"/>
    <w:rsid w:val="00C8015C"/>
    <w:rsid w:val="00C81B3C"/>
    <w:rsid w:val="00C8239E"/>
    <w:rsid w:val="00C83865"/>
    <w:rsid w:val="00C83C06"/>
    <w:rsid w:val="00C84AB3"/>
    <w:rsid w:val="00C84B00"/>
    <w:rsid w:val="00C84BD4"/>
    <w:rsid w:val="00C84E5F"/>
    <w:rsid w:val="00C84ED3"/>
    <w:rsid w:val="00C851EC"/>
    <w:rsid w:val="00C855CF"/>
    <w:rsid w:val="00C859AA"/>
    <w:rsid w:val="00C8604C"/>
    <w:rsid w:val="00C864CD"/>
    <w:rsid w:val="00C865C2"/>
    <w:rsid w:val="00C8670D"/>
    <w:rsid w:val="00C86999"/>
    <w:rsid w:val="00C86B1C"/>
    <w:rsid w:val="00C87B4C"/>
    <w:rsid w:val="00C87D2C"/>
    <w:rsid w:val="00C87E24"/>
    <w:rsid w:val="00C90319"/>
    <w:rsid w:val="00C90491"/>
    <w:rsid w:val="00C90A63"/>
    <w:rsid w:val="00C90AF2"/>
    <w:rsid w:val="00C90D6A"/>
    <w:rsid w:val="00C90D9D"/>
    <w:rsid w:val="00C910C1"/>
    <w:rsid w:val="00C913C2"/>
    <w:rsid w:val="00C9152B"/>
    <w:rsid w:val="00C91BDB"/>
    <w:rsid w:val="00C922B1"/>
    <w:rsid w:val="00C92D41"/>
    <w:rsid w:val="00C93A65"/>
    <w:rsid w:val="00C93E4B"/>
    <w:rsid w:val="00C93FE2"/>
    <w:rsid w:val="00C9480D"/>
    <w:rsid w:val="00C94B4B"/>
    <w:rsid w:val="00C95A31"/>
    <w:rsid w:val="00C95B64"/>
    <w:rsid w:val="00C960F2"/>
    <w:rsid w:val="00C96344"/>
    <w:rsid w:val="00C96642"/>
    <w:rsid w:val="00C967A6"/>
    <w:rsid w:val="00C96823"/>
    <w:rsid w:val="00C9687C"/>
    <w:rsid w:val="00C96A31"/>
    <w:rsid w:val="00C9722C"/>
    <w:rsid w:val="00C97DF6"/>
    <w:rsid w:val="00CA01AC"/>
    <w:rsid w:val="00CA0741"/>
    <w:rsid w:val="00CA07FB"/>
    <w:rsid w:val="00CA09EB"/>
    <w:rsid w:val="00CA11A0"/>
    <w:rsid w:val="00CA1253"/>
    <w:rsid w:val="00CA185F"/>
    <w:rsid w:val="00CA1BB0"/>
    <w:rsid w:val="00CA247E"/>
    <w:rsid w:val="00CA31D3"/>
    <w:rsid w:val="00CA3254"/>
    <w:rsid w:val="00CA3474"/>
    <w:rsid w:val="00CA3909"/>
    <w:rsid w:val="00CA41A1"/>
    <w:rsid w:val="00CA44AD"/>
    <w:rsid w:val="00CA4732"/>
    <w:rsid w:val="00CA49CE"/>
    <w:rsid w:val="00CA4AC8"/>
    <w:rsid w:val="00CA508F"/>
    <w:rsid w:val="00CA5BFF"/>
    <w:rsid w:val="00CA6409"/>
    <w:rsid w:val="00CA6E21"/>
    <w:rsid w:val="00CA6EDF"/>
    <w:rsid w:val="00CA7E19"/>
    <w:rsid w:val="00CB02F2"/>
    <w:rsid w:val="00CB048F"/>
    <w:rsid w:val="00CB0798"/>
    <w:rsid w:val="00CB0C3A"/>
    <w:rsid w:val="00CB0E0D"/>
    <w:rsid w:val="00CB123B"/>
    <w:rsid w:val="00CB14D9"/>
    <w:rsid w:val="00CB176F"/>
    <w:rsid w:val="00CB1B86"/>
    <w:rsid w:val="00CB1D90"/>
    <w:rsid w:val="00CB1F26"/>
    <w:rsid w:val="00CB20D0"/>
    <w:rsid w:val="00CB3227"/>
    <w:rsid w:val="00CB3532"/>
    <w:rsid w:val="00CB36D3"/>
    <w:rsid w:val="00CB3A16"/>
    <w:rsid w:val="00CB3A82"/>
    <w:rsid w:val="00CB3E34"/>
    <w:rsid w:val="00CB3FCA"/>
    <w:rsid w:val="00CB4155"/>
    <w:rsid w:val="00CB41DA"/>
    <w:rsid w:val="00CB43BF"/>
    <w:rsid w:val="00CB45DD"/>
    <w:rsid w:val="00CB48DD"/>
    <w:rsid w:val="00CB4AF0"/>
    <w:rsid w:val="00CB5080"/>
    <w:rsid w:val="00CB53F1"/>
    <w:rsid w:val="00CB5BB7"/>
    <w:rsid w:val="00CB643D"/>
    <w:rsid w:val="00CB6632"/>
    <w:rsid w:val="00CB6DE7"/>
    <w:rsid w:val="00CB6F86"/>
    <w:rsid w:val="00CB6FBC"/>
    <w:rsid w:val="00CB7154"/>
    <w:rsid w:val="00CB7AD2"/>
    <w:rsid w:val="00CC0260"/>
    <w:rsid w:val="00CC039F"/>
    <w:rsid w:val="00CC0B33"/>
    <w:rsid w:val="00CC0CD9"/>
    <w:rsid w:val="00CC24E0"/>
    <w:rsid w:val="00CC2BE7"/>
    <w:rsid w:val="00CC3ED3"/>
    <w:rsid w:val="00CC48CB"/>
    <w:rsid w:val="00CC4A36"/>
    <w:rsid w:val="00CC4CAC"/>
    <w:rsid w:val="00CC5011"/>
    <w:rsid w:val="00CC5519"/>
    <w:rsid w:val="00CC6A61"/>
    <w:rsid w:val="00CC7272"/>
    <w:rsid w:val="00CC72B6"/>
    <w:rsid w:val="00CC7F79"/>
    <w:rsid w:val="00CD00AC"/>
    <w:rsid w:val="00CD0104"/>
    <w:rsid w:val="00CD0469"/>
    <w:rsid w:val="00CD04FE"/>
    <w:rsid w:val="00CD0A78"/>
    <w:rsid w:val="00CD0F08"/>
    <w:rsid w:val="00CD165B"/>
    <w:rsid w:val="00CD20B4"/>
    <w:rsid w:val="00CD235D"/>
    <w:rsid w:val="00CD23BA"/>
    <w:rsid w:val="00CD2544"/>
    <w:rsid w:val="00CD2841"/>
    <w:rsid w:val="00CD30CF"/>
    <w:rsid w:val="00CD3686"/>
    <w:rsid w:val="00CD3AA0"/>
    <w:rsid w:val="00CD3FF7"/>
    <w:rsid w:val="00CD5A1B"/>
    <w:rsid w:val="00CD5C89"/>
    <w:rsid w:val="00CD5D84"/>
    <w:rsid w:val="00CD653A"/>
    <w:rsid w:val="00CD657C"/>
    <w:rsid w:val="00CD6DCC"/>
    <w:rsid w:val="00CD6DFD"/>
    <w:rsid w:val="00CE0395"/>
    <w:rsid w:val="00CE0F0F"/>
    <w:rsid w:val="00CE117B"/>
    <w:rsid w:val="00CE1BAB"/>
    <w:rsid w:val="00CE1BEE"/>
    <w:rsid w:val="00CE23BD"/>
    <w:rsid w:val="00CE2ECE"/>
    <w:rsid w:val="00CE3651"/>
    <w:rsid w:val="00CE3680"/>
    <w:rsid w:val="00CE4182"/>
    <w:rsid w:val="00CE4BFB"/>
    <w:rsid w:val="00CE4C9A"/>
    <w:rsid w:val="00CE4D31"/>
    <w:rsid w:val="00CE5C28"/>
    <w:rsid w:val="00CE5C2A"/>
    <w:rsid w:val="00CE5F7E"/>
    <w:rsid w:val="00CE720C"/>
    <w:rsid w:val="00CE7A7F"/>
    <w:rsid w:val="00CE7B0C"/>
    <w:rsid w:val="00CF154D"/>
    <w:rsid w:val="00CF1686"/>
    <w:rsid w:val="00CF223B"/>
    <w:rsid w:val="00CF23C2"/>
    <w:rsid w:val="00CF2A05"/>
    <w:rsid w:val="00CF2A51"/>
    <w:rsid w:val="00CF2FED"/>
    <w:rsid w:val="00CF32A3"/>
    <w:rsid w:val="00CF3375"/>
    <w:rsid w:val="00CF3412"/>
    <w:rsid w:val="00CF35FC"/>
    <w:rsid w:val="00CF4319"/>
    <w:rsid w:val="00CF44B1"/>
    <w:rsid w:val="00CF4C28"/>
    <w:rsid w:val="00CF4D88"/>
    <w:rsid w:val="00CF52FD"/>
    <w:rsid w:val="00CF61A1"/>
    <w:rsid w:val="00CF66DF"/>
    <w:rsid w:val="00CF693E"/>
    <w:rsid w:val="00CF6E3B"/>
    <w:rsid w:val="00CF71C5"/>
    <w:rsid w:val="00CF740E"/>
    <w:rsid w:val="00CF76DE"/>
    <w:rsid w:val="00CF78FC"/>
    <w:rsid w:val="00CF79D2"/>
    <w:rsid w:val="00CF7D5C"/>
    <w:rsid w:val="00CF7EE1"/>
    <w:rsid w:val="00D00448"/>
    <w:rsid w:val="00D00478"/>
    <w:rsid w:val="00D006F5"/>
    <w:rsid w:val="00D00853"/>
    <w:rsid w:val="00D00A97"/>
    <w:rsid w:val="00D01205"/>
    <w:rsid w:val="00D014CA"/>
    <w:rsid w:val="00D0156E"/>
    <w:rsid w:val="00D019D5"/>
    <w:rsid w:val="00D01FA1"/>
    <w:rsid w:val="00D0218D"/>
    <w:rsid w:val="00D04679"/>
    <w:rsid w:val="00D0480E"/>
    <w:rsid w:val="00D04E65"/>
    <w:rsid w:val="00D05066"/>
    <w:rsid w:val="00D053F6"/>
    <w:rsid w:val="00D055BF"/>
    <w:rsid w:val="00D057A3"/>
    <w:rsid w:val="00D05C28"/>
    <w:rsid w:val="00D05CD5"/>
    <w:rsid w:val="00D06345"/>
    <w:rsid w:val="00D064AE"/>
    <w:rsid w:val="00D0656F"/>
    <w:rsid w:val="00D07367"/>
    <w:rsid w:val="00D073E3"/>
    <w:rsid w:val="00D07444"/>
    <w:rsid w:val="00D076C1"/>
    <w:rsid w:val="00D1093A"/>
    <w:rsid w:val="00D112CA"/>
    <w:rsid w:val="00D12397"/>
    <w:rsid w:val="00D127A3"/>
    <w:rsid w:val="00D12AB0"/>
    <w:rsid w:val="00D12C8A"/>
    <w:rsid w:val="00D130E1"/>
    <w:rsid w:val="00D1380C"/>
    <w:rsid w:val="00D13A23"/>
    <w:rsid w:val="00D13FBC"/>
    <w:rsid w:val="00D14294"/>
    <w:rsid w:val="00D14B55"/>
    <w:rsid w:val="00D156E2"/>
    <w:rsid w:val="00D1594E"/>
    <w:rsid w:val="00D16009"/>
    <w:rsid w:val="00D16CBB"/>
    <w:rsid w:val="00D16D90"/>
    <w:rsid w:val="00D17147"/>
    <w:rsid w:val="00D17C20"/>
    <w:rsid w:val="00D20B1A"/>
    <w:rsid w:val="00D20FE1"/>
    <w:rsid w:val="00D21021"/>
    <w:rsid w:val="00D212BA"/>
    <w:rsid w:val="00D214CD"/>
    <w:rsid w:val="00D218FE"/>
    <w:rsid w:val="00D21D5F"/>
    <w:rsid w:val="00D21E7C"/>
    <w:rsid w:val="00D22C0B"/>
    <w:rsid w:val="00D22E2B"/>
    <w:rsid w:val="00D2364C"/>
    <w:rsid w:val="00D23FBC"/>
    <w:rsid w:val="00D24051"/>
    <w:rsid w:val="00D242AA"/>
    <w:rsid w:val="00D247A4"/>
    <w:rsid w:val="00D249E3"/>
    <w:rsid w:val="00D24ED7"/>
    <w:rsid w:val="00D24FA8"/>
    <w:rsid w:val="00D2570A"/>
    <w:rsid w:val="00D2597B"/>
    <w:rsid w:val="00D25FB5"/>
    <w:rsid w:val="00D2630C"/>
    <w:rsid w:val="00D267FB"/>
    <w:rsid w:val="00D26CB4"/>
    <w:rsid w:val="00D26CD7"/>
    <w:rsid w:val="00D26E0D"/>
    <w:rsid w:val="00D2736C"/>
    <w:rsid w:val="00D30BDF"/>
    <w:rsid w:val="00D30D44"/>
    <w:rsid w:val="00D31740"/>
    <w:rsid w:val="00D31F96"/>
    <w:rsid w:val="00D3222A"/>
    <w:rsid w:val="00D3312F"/>
    <w:rsid w:val="00D33CFF"/>
    <w:rsid w:val="00D33D9A"/>
    <w:rsid w:val="00D3417E"/>
    <w:rsid w:val="00D3453A"/>
    <w:rsid w:val="00D3468D"/>
    <w:rsid w:val="00D349A1"/>
    <w:rsid w:val="00D35624"/>
    <w:rsid w:val="00D35694"/>
    <w:rsid w:val="00D35B01"/>
    <w:rsid w:val="00D35C21"/>
    <w:rsid w:val="00D35E74"/>
    <w:rsid w:val="00D35F1D"/>
    <w:rsid w:val="00D37370"/>
    <w:rsid w:val="00D3751D"/>
    <w:rsid w:val="00D3786F"/>
    <w:rsid w:val="00D37F5C"/>
    <w:rsid w:val="00D4000D"/>
    <w:rsid w:val="00D4004B"/>
    <w:rsid w:val="00D40245"/>
    <w:rsid w:val="00D41AE1"/>
    <w:rsid w:val="00D425E9"/>
    <w:rsid w:val="00D427B7"/>
    <w:rsid w:val="00D42940"/>
    <w:rsid w:val="00D42DA5"/>
    <w:rsid w:val="00D42DEA"/>
    <w:rsid w:val="00D42FF0"/>
    <w:rsid w:val="00D43303"/>
    <w:rsid w:val="00D43F57"/>
    <w:rsid w:val="00D44223"/>
    <w:rsid w:val="00D44239"/>
    <w:rsid w:val="00D44425"/>
    <w:rsid w:val="00D44EE5"/>
    <w:rsid w:val="00D44FC2"/>
    <w:rsid w:val="00D4599A"/>
    <w:rsid w:val="00D45C69"/>
    <w:rsid w:val="00D45D48"/>
    <w:rsid w:val="00D45E58"/>
    <w:rsid w:val="00D460EF"/>
    <w:rsid w:val="00D464F2"/>
    <w:rsid w:val="00D476CE"/>
    <w:rsid w:val="00D47E4A"/>
    <w:rsid w:val="00D50679"/>
    <w:rsid w:val="00D5085E"/>
    <w:rsid w:val="00D50913"/>
    <w:rsid w:val="00D50A39"/>
    <w:rsid w:val="00D50FBD"/>
    <w:rsid w:val="00D52087"/>
    <w:rsid w:val="00D5287D"/>
    <w:rsid w:val="00D528DA"/>
    <w:rsid w:val="00D52998"/>
    <w:rsid w:val="00D5310B"/>
    <w:rsid w:val="00D536F8"/>
    <w:rsid w:val="00D53D88"/>
    <w:rsid w:val="00D5549D"/>
    <w:rsid w:val="00D5579D"/>
    <w:rsid w:val="00D55992"/>
    <w:rsid w:val="00D56343"/>
    <w:rsid w:val="00D563D6"/>
    <w:rsid w:val="00D567AF"/>
    <w:rsid w:val="00D57029"/>
    <w:rsid w:val="00D57B24"/>
    <w:rsid w:val="00D57E39"/>
    <w:rsid w:val="00D57E46"/>
    <w:rsid w:val="00D6055C"/>
    <w:rsid w:val="00D60F04"/>
    <w:rsid w:val="00D61F72"/>
    <w:rsid w:val="00D62A5A"/>
    <w:rsid w:val="00D62B95"/>
    <w:rsid w:val="00D62C3E"/>
    <w:rsid w:val="00D62CBC"/>
    <w:rsid w:val="00D62CFF"/>
    <w:rsid w:val="00D62D53"/>
    <w:rsid w:val="00D63877"/>
    <w:rsid w:val="00D63993"/>
    <w:rsid w:val="00D63BBA"/>
    <w:rsid w:val="00D63EB9"/>
    <w:rsid w:val="00D643B1"/>
    <w:rsid w:val="00D64584"/>
    <w:rsid w:val="00D65DCE"/>
    <w:rsid w:val="00D66007"/>
    <w:rsid w:val="00D6608D"/>
    <w:rsid w:val="00D662B2"/>
    <w:rsid w:val="00D66A49"/>
    <w:rsid w:val="00D66E69"/>
    <w:rsid w:val="00D676B1"/>
    <w:rsid w:val="00D67F67"/>
    <w:rsid w:val="00D705BC"/>
    <w:rsid w:val="00D70B9B"/>
    <w:rsid w:val="00D71785"/>
    <w:rsid w:val="00D71B55"/>
    <w:rsid w:val="00D72107"/>
    <w:rsid w:val="00D722F0"/>
    <w:rsid w:val="00D724AE"/>
    <w:rsid w:val="00D724E6"/>
    <w:rsid w:val="00D727AF"/>
    <w:rsid w:val="00D727B6"/>
    <w:rsid w:val="00D7336C"/>
    <w:rsid w:val="00D73553"/>
    <w:rsid w:val="00D73E13"/>
    <w:rsid w:val="00D746DB"/>
    <w:rsid w:val="00D7486C"/>
    <w:rsid w:val="00D749FF"/>
    <w:rsid w:val="00D74F35"/>
    <w:rsid w:val="00D75261"/>
    <w:rsid w:val="00D77086"/>
    <w:rsid w:val="00D77912"/>
    <w:rsid w:val="00D77C62"/>
    <w:rsid w:val="00D805F7"/>
    <w:rsid w:val="00D809CE"/>
    <w:rsid w:val="00D80A64"/>
    <w:rsid w:val="00D81BE3"/>
    <w:rsid w:val="00D8249D"/>
    <w:rsid w:val="00D824EF"/>
    <w:rsid w:val="00D82FFC"/>
    <w:rsid w:val="00D834D7"/>
    <w:rsid w:val="00D83CD8"/>
    <w:rsid w:val="00D83E4E"/>
    <w:rsid w:val="00D840DA"/>
    <w:rsid w:val="00D844B6"/>
    <w:rsid w:val="00D8499F"/>
    <w:rsid w:val="00D86441"/>
    <w:rsid w:val="00D86ADD"/>
    <w:rsid w:val="00D86E7C"/>
    <w:rsid w:val="00D87029"/>
    <w:rsid w:val="00D87F3E"/>
    <w:rsid w:val="00D90542"/>
    <w:rsid w:val="00D90BEF"/>
    <w:rsid w:val="00D913CE"/>
    <w:rsid w:val="00D918B9"/>
    <w:rsid w:val="00D91A62"/>
    <w:rsid w:val="00D9262A"/>
    <w:rsid w:val="00D92899"/>
    <w:rsid w:val="00D928FD"/>
    <w:rsid w:val="00D92900"/>
    <w:rsid w:val="00D9293C"/>
    <w:rsid w:val="00D92A7C"/>
    <w:rsid w:val="00D93561"/>
    <w:rsid w:val="00D93AD7"/>
    <w:rsid w:val="00D9403F"/>
    <w:rsid w:val="00D94287"/>
    <w:rsid w:val="00D953B6"/>
    <w:rsid w:val="00D95B10"/>
    <w:rsid w:val="00D967DB"/>
    <w:rsid w:val="00D96975"/>
    <w:rsid w:val="00D969EB"/>
    <w:rsid w:val="00D96B14"/>
    <w:rsid w:val="00D972D9"/>
    <w:rsid w:val="00D97BD0"/>
    <w:rsid w:val="00DA01E5"/>
    <w:rsid w:val="00DA121B"/>
    <w:rsid w:val="00DA1B6A"/>
    <w:rsid w:val="00DA22AD"/>
    <w:rsid w:val="00DA23AE"/>
    <w:rsid w:val="00DA241F"/>
    <w:rsid w:val="00DA2529"/>
    <w:rsid w:val="00DA2F57"/>
    <w:rsid w:val="00DA4B35"/>
    <w:rsid w:val="00DA52A0"/>
    <w:rsid w:val="00DA5A49"/>
    <w:rsid w:val="00DA63FF"/>
    <w:rsid w:val="00DA6909"/>
    <w:rsid w:val="00DA6D8E"/>
    <w:rsid w:val="00DA797A"/>
    <w:rsid w:val="00DB040B"/>
    <w:rsid w:val="00DB0436"/>
    <w:rsid w:val="00DB0630"/>
    <w:rsid w:val="00DB0AAB"/>
    <w:rsid w:val="00DB0D11"/>
    <w:rsid w:val="00DB130A"/>
    <w:rsid w:val="00DB1971"/>
    <w:rsid w:val="00DB20BA"/>
    <w:rsid w:val="00DB2EBB"/>
    <w:rsid w:val="00DB3167"/>
    <w:rsid w:val="00DB3618"/>
    <w:rsid w:val="00DB3B32"/>
    <w:rsid w:val="00DB3B73"/>
    <w:rsid w:val="00DB3E84"/>
    <w:rsid w:val="00DB558B"/>
    <w:rsid w:val="00DB5597"/>
    <w:rsid w:val="00DB570F"/>
    <w:rsid w:val="00DB5D17"/>
    <w:rsid w:val="00DB6295"/>
    <w:rsid w:val="00DB62F4"/>
    <w:rsid w:val="00DB63C2"/>
    <w:rsid w:val="00DB63F7"/>
    <w:rsid w:val="00DB6AE6"/>
    <w:rsid w:val="00DB6DDB"/>
    <w:rsid w:val="00DB6F86"/>
    <w:rsid w:val="00DB6FC0"/>
    <w:rsid w:val="00DB6FE5"/>
    <w:rsid w:val="00DB79AD"/>
    <w:rsid w:val="00DB7E31"/>
    <w:rsid w:val="00DC05DD"/>
    <w:rsid w:val="00DC0A7C"/>
    <w:rsid w:val="00DC10A1"/>
    <w:rsid w:val="00DC1488"/>
    <w:rsid w:val="00DC2B09"/>
    <w:rsid w:val="00DC2DA1"/>
    <w:rsid w:val="00DC2FBB"/>
    <w:rsid w:val="00DC43DA"/>
    <w:rsid w:val="00DC4494"/>
    <w:rsid w:val="00DC46D0"/>
    <w:rsid w:val="00DC4939"/>
    <w:rsid w:val="00DC538F"/>
    <w:rsid w:val="00DC5A97"/>
    <w:rsid w:val="00DC5BBB"/>
    <w:rsid w:val="00DC62A4"/>
    <w:rsid w:val="00DC645D"/>
    <w:rsid w:val="00DC655F"/>
    <w:rsid w:val="00DC7761"/>
    <w:rsid w:val="00DC77A2"/>
    <w:rsid w:val="00DC77C5"/>
    <w:rsid w:val="00DC7A11"/>
    <w:rsid w:val="00DC7E34"/>
    <w:rsid w:val="00DC7E83"/>
    <w:rsid w:val="00DD0240"/>
    <w:rsid w:val="00DD057B"/>
    <w:rsid w:val="00DD0652"/>
    <w:rsid w:val="00DD0B59"/>
    <w:rsid w:val="00DD20D3"/>
    <w:rsid w:val="00DD2434"/>
    <w:rsid w:val="00DD2A47"/>
    <w:rsid w:val="00DD2C4A"/>
    <w:rsid w:val="00DD399C"/>
    <w:rsid w:val="00DD3A01"/>
    <w:rsid w:val="00DD4028"/>
    <w:rsid w:val="00DD5345"/>
    <w:rsid w:val="00DD54AF"/>
    <w:rsid w:val="00DD54B8"/>
    <w:rsid w:val="00DD5AD1"/>
    <w:rsid w:val="00DD6593"/>
    <w:rsid w:val="00DD6997"/>
    <w:rsid w:val="00DD69D7"/>
    <w:rsid w:val="00DD7927"/>
    <w:rsid w:val="00DD7DFD"/>
    <w:rsid w:val="00DD7EBD"/>
    <w:rsid w:val="00DD7F80"/>
    <w:rsid w:val="00DE0431"/>
    <w:rsid w:val="00DE1B18"/>
    <w:rsid w:val="00DE1DDC"/>
    <w:rsid w:val="00DE22AB"/>
    <w:rsid w:val="00DE29B7"/>
    <w:rsid w:val="00DE3B2D"/>
    <w:rsid w:val="00DE3B96"/>
    <w:rsid w:val="00DE3D9F"/>
    <w:rsid w:val="00DE44E3"/>
    <w:rsid w:val="00DE49B4"/>
    <w:rsid w:val="00DE4FF6"/>
    <w:rsid w:val="00DE5198"/>
    <w:rsid w:val="00DE523E"/>
    <w:rsid w:val="00DE5590"/>
    <w:rsid w:val="00DE5D77"/>
    <w:rsid w:val="00DE5ECD"/>
    <w:rsid w:val="00DE6338"/>
    <w:rsid w:val="00DE6386"/>
    <w:rsid w:val="00DE67BF"/>
    <w:rsid w:val="00DE6909"/>
    <w:rsid w:val="00DE6BE9"/>
    <w:rsid w:val="00DE6DA9"/>
    <w:rsid w:val="00DE735C"/>
    <w:rsid w:val="00DE73DE"/>
    <w:rsid w:val="00DE7445"/>
    <w:rsid w:val="00DE7838"/>
    <w:rsid w:val="00DE7898"/>
    <w:rsid w:val="00DE7AA1"/>
    <w:rsid w:val="00DF025F"/>
    <w:rsid w:val="00DF19FA"/>
    <w:rsid w:val="00DF1C71"/>
    <w:rsid w:val="00DF2537"/>
    <w:rsid w:val="00DF25DD"/>
    <w:rsid w:val="00DF3707"/>
    <w:rsid w:val="00DF383B"/>
    <w:rsid w:val="00DF40E6"/>
    <w:rsid w:val="00DF4269"/>
    <w:rsid w:val="00DF4BCF"/>
    <w:rsid w:val="00DF5512"/>
    <w:rsid w:val="00DF5FFE"/>
    <w:rsid w:val="00DF62B6"/>
    <w:rsid w:val="00DF693A"/>
    <w:rsid w:val="00DF763D"/>
    <w:rsid w:val="00DF7AFC"/>
    <w:rsid w:val="00E00000"/>
    <w:rsid w:val="00E00978"/>
    <w:rsid w:val="00E009C3"/>
    <w:rsid w:val="00E00A3C"/>
    <w:rsid w:val="00E00B0B"/>
    <w:rsid w:val="00E00C3A"/>
    <w:rsid w:val="00E00D78"/>
    <w:rsid w:val="00E01708"/>
    <w:rsid w:val="00E01736"/>
    <w:rsid w:val="00E01AC2"/>
    <w:rsid w:val="00E01C08"/>
    <w:rsid w:val="00E01D04"/>
    <w:rsid w:val="00E025C7"/>
    <w:rsid w:val="00E0390E"/>
    <w:rsid w:val="00E03AEB"/>
    <w:rsid w:val="00E03D37"/>
    <w:rsid w:val="00E03F9E"/>
    <w:rsid w:val="00E04CB8"/>
    <w:rsid w:val="00E051B3"/>
    <w:rsid w:val="00E05855"/>
    <w:rsid w:val="00E0593D"/>
    <w:rsid w:val="00E05B76"/>
    <w:rsid w:val="00E0603D"/>
    <w:rsid w:val="00E069F8"/>
    <w:rsid w:val="00E07225"/>
    <w:rsid w:val="00E07427"/>
    <w:rsid w:val="00E07D72"/>
    <w:rsid w:val="00E10583"/>
    <w:rsid w:val="00E11765"/>
    <w:rsid w:val="00E11F74"/>
    <w:rsid w:val="00E1248F"/>
    <w:rsid w:val="00E124F0"/>
    <w:rsid w:val="00E126A6"/>
    <w:rsid w:val="00E12A36"/>
    <w:rsid w:val="00E12CE7"/>
    <w:rsid w:val="00E133CC"/>
    <w:rsid w:val="00E1353F"/>
    <w:rsid w:val="00E13D71"/>
    <w:rsid w:val="00E14CCB"/>
    <w:rsid w:val="00E15A98"/>
    <w:rsid w:val="00E15DD0"/>
    <w:rsid w:val="00E16337"/>
    <w:rsid w:val="00E17300"/>
    <w:rsid w:val="00E17F17"/>
    <w:rsid w:val="00E20431"/>
    <w:rsid w:val="00E20AA5"/>
    <w:rsid w:val="00E20D7B"/>
    <w:rsid w:val="00E21CD8"/>
    <w:rsid w:val="00E22135"/>
    <w:rsid w:val="00E22861"/>
    <w:rsid w:val="00E22BF0"/>
    <w:rsid w:val="00E23B49"/>
    <w:rsid w:val="00E2499A"/>
    <w:rsid w:val="00E24B51"/>
    <w:rsid w:val="00E24B6C"/>
    <w:rsid w:val="00E25104"/>
    <w:rsid w:val="00E25411"/>
    <w:rsid w:val="00E25653"/>
    <w:rsid w:val="00E25B04"/>
    <w:rsid w:val="00E263F9"/>
    <w:rsid w:val="00E266C4"/>
    <w:rsid w:val="00E26FE0"/>
    <w:rsid w:val="00E2777B"/>
    <w:rsid w:val="00E304D8"/>
    <w:rsid w:val="00E3151D"/>
    <w:rsid w:val="00E31644"/>
    <w:rsid w:val="00E3189D"/>
    <w:rsid w:val="00E319C4"/>
    <w:rsid w:val="00E31BA1"/>
    <w:rsid w:val="00E31E04"/>
    <w:rsid w:val="00E31F81"/>
    <w:rsid w:val="00E31F93"/>
    <w:rsid w:val="00E32855"/>
    <w:rsid w:val="00E332A7"/>
    <w:rsid w:val="00E3339A"/>
    <w:rsid w:val="00E33C0B"/>
    <w:rsid w:val="00E34B3C"/>
    <w:rsid w:val="00E34CE5"/>
    <w:rsid w:val="00E34FBC"/>
    <w:rsid w:val="00E35A63"/>
    <w:rsid w:val="00E35D16"/>
    <w:rsid w:val="00E36DBE"/>
    <w:rsid w:val="00E37362"/>
    <w:rsid w:val="00E37810"/>
    <w:rsid w:val="00E37E2E"/>
    <w:rsid w:val="00E401FF"/>
    <w:rsid w:val="00E40787"/>
    <w:rsid w:val="00E40CC5"/>
    <w:rsid w:val="00E41014"/>
    <w:rsid w:val="00E4168F"/>
    <w:rsid w:val="00E41836"/>
    <w:rsid w:val="00E41A4E"/>
    <w:rsid w:val="00E42115"/>
    <w:rsid w:val="00E42261"/>
    <w:rsid w:val="00E4269A"/>
    <w:rsid w:val="00E428CD"/>
    <w:rsid w:val="00E42D7D"/>
    <w:rsid w:val="00E43030"/>
    <w:rsid w:val="00E4380D"/>
    <w:rsid w:val="00E43961"/>
    <w:rsid w:val="00E43B77"/>
    <w:rsid w:val="00E443C3"/>
    <w:rsid w:val="00E44F86"/>
    <w:rsid w:val="00E45694"/>
    <w:rsid w:val="00E45B0A"/>
    <w:rsid w:val="00E45C8D"/>
    <w:rsid w:val="00E45DFD"/>
    <w:rsid w:val="00E465BF"/>
    <w:rsid w:val="00E46835"/>
    <w:rsid w:val="00E46BE2"/>
    <w:rsid w:val="00E470E2"/>
    <w:rsid w:val="00E4772D"/>
    <w:rsid w:val="00E47DF4"/>
    <w:rsid w:val="00E50789"/>
    <w:rsid w:val="00E513A1"/>
    <w:rsid w:val="00E51B5F"/>
    <w:rsid w:val="00E52162"/>
    <w:rsid w:val="00E52333"/>
    <w:rsid w:val="00E52789"/>
    <w:rsid w:val="00E52F43"/>
    <w:rsid w:val="00E533BD"/>
    <w:rsid w:val="00E53423"/>
    <w:rsid w:val="00E536D6"/>
    <w:rsid w:val="00E53B45"/>
    <w:rsid w:val="00E5409F"/>
    <w:rsid w:val="00E56291"/>
    <w:rsid w:val="00E5647A"/>
    <w:rsid w:val="00E57C39"/>
    <w:rsid w:val="00E57D61"/>
    <w:rsid w:val="00E6017B"/>
    <w:rsid w:val="00E602D9"/>
    <w:rsid w:val="00E60348"/>
    <w:rsid w:val="00E611EC"/>
    <w:rsid w:val="00E61260"/>
    <w:rsid w:val="00E630D0"/>
    <w:rsid w:val="00E65329"/>
    <w:rsid w:val="00E65589"/>
    <w:rsid w:val="00E65F25"/>
    <w:rsid w:val="00E6631C"/>
    <w:rsid w:val="00E665FD"/>
    <w:rsid w:val="00E66DBE"/>
    <w:rsid w:val="00E66FCE"/>
    <w:rsid w:val="00E67832"/>
    <w:rsid w:val="00E67E1E"/>
    <w:rsid w:val="00E70225"/>
    <w:rsid w:val="00E70C7F"/>
    <w:rsid w:val="00E70D38"/>
    <w:rsid w:val="00E717FE"/>
    <w:rsid w:val="00E7281D"/>
    <w:rsid w:val="00E72870"/>
    <w:rsid w:val="00E72FA4"/>
    <w:rsid w:val="00E7347B"/>
    <w:rsid w:val="00E7357F"/>
    <w:rsid w:val="00E73841"/>
    <w:rsid w:val="00E74BC2"/>
    <w:rsid w:val="00E74D6E"/>
    <w:rsid w:val="00E75369"/>
    <w:rsid w:val="00E7693C"/>
    <w:rsid w:val="00E7701E"/>
    <w:rsid w:val="00E77D10"/>
    <w:rsid w:val="00E80085"/>
    <w:rsid w:val="00E80379"/>
    <w:rsid w:val="00E804CF"/>
    <w:rsid w:val="00E810E8"/>
    <w:rsid w:val="00E813F0"/>
    <w:rsid w:val="00E816EE"/>
    <w:rsid w:val="00E82107"/>
    <w:rsid w:val="00E828CE"/>
    <w:rsid w:val="00E82A6B"/>
    <w:rsid w:val="00E82E57"/>
    <w:rsid w:val="00E8386E"/>
    <w:rsid w:val="00E83939"/>
    <w:rsid w:val="00E8456D"/>
    <w:rsid w:val="00E84631"/>
    <w:rsid w:val="00E84F65"/>
    <w:rsid w:val="00E8544B"/>
    <w:rsid w:val="00E86687"/>
    <w:rsid w:val="00E867C7"/>
    <w:rsid w:val="00E8690E"/>
    <w:rsid w:val="00E87309"/>
    <w:rsid w:val="00E87E6F"/>
    <w:rsid w:val="00E90474"/>
    <w:rsid w:val="00E90664"/>
    <w:rsid w:val="00E90F53"/>
    <w:rsid w:val="00E90F67"/>
    <w:rsid w:val="00E914CC"/>
    <w:rsid w:val="00E916FD"/>
    <w:rsid w:val="00E91C1C"/>
    <w:rsid w:val="00E91C89"/>
    <w:rsid w:val="00E927F2"/>
    <w:rsid w:val="00E9332A"/>
    <w:rsid w:val="00E937F1"/>
    <w:rsid w:val="00E93C8D"/>
    <w:rsid w:val="00E947E1"/>
    <w:rsid w:val="00E94968"/>
    <w:rsid w:val="00E95721"/>
    <w:rsid w:val="00E9591C"/>
    <w:rsid w:val="00E95A07"/>
    <w:rsid w:val="00E9626A"/>
    <w:rsid w:val="00E962FB"/>
    <w:rsid w:val="00E963F2"/>
    <w:rsid w:val="00E9694A"/>
    <w:rsid w:val="00E96969"/>
    <w:rsid w:val="00E96B87"/>
    <w:rsid w:val="00E96B8C"/>
    <w:rsid w:val="00E978B5"/>
    <w:rsid w:val="00E97B78"/>
    <w:rsid w:val="00E97E57"/>
    <w:rsid w:val="00E97E5F"/>
    <w:rsid w:val="00E97EA6"/>
    <w:rsid w:val="00EA04A8"/>
    <w:rsid w:val="00EA07A1"/>
    <w:rsid w:val="00EA07D2"/>
    <w:rsid w:val="00EA1300"/>
    <w:rsid w:val="00EA1579"/>
    <w:rsid w:val="00EA1929"/>
    <w:rsid w:val="00EA22D8"/>
    <w:rsid w:val="00EA2309"/>
    <w:rsid w:val="00EA2724"/>
    <w:rsid w:val="00EA2C78"/>
    <w:rsid w:val="00EA2D85"/>
    <w:rsid w:val="00EA2F5F"/>
    <w:rsid w:val="00EA3286"/>
    <w:rsid w:val="00EA3499"/>
    <w:rsid w:val="00EA3705"/>
    <w:rsid w:val="00EA380C"/>
    <w:rsid w:val="00EA3BAB"/>
    <w:rsid w:val="00EA48A2"/>
    <w:rsid w:val="00EA58EF"/>
    <w:rsid w:val="00EA6F15"/>
    <w:rsid w:val="00EA7145"/>
    <w:rsid w:val="00EA7251"/>
    <w:rsid w:val="00EA7C5E"/>
    <w:rsid w:val="00EA7DB3"/>
    <w:rsid w:val="00EA7E38"/>
    <w:rsid w:val="00EB0235"/>
    <w:rsid w:val="00EB02F3"/>
    <w:rsid w:val="00EB0343"/>
    <w:rsid w:val="00EB0403"/>
    <w:rsid w:val="00EB0493"/>
    <w:rsid w:val="00EB04E2"/>
    <w:rsid w:val="00EB078D"/>
    <w:rsid w:val="00EB0AB1"/>
    <w:rsid w:val="00EB184C"/>
    <w:rsid w:val="00EB1E6B"/>
    <w:rsid w:val="00EB2265"/>
    <w:rsid w:val="00EB2558"/>
    <w:rsid w:val="00EB2A6E"/>
    <w:rsid w:val="00EB2C93"/>
    <w:rsid w:val="00EB2CC2"/>
    <w:rsid w:val="00EB3DD6"/>
    <w:rsid w:val="00EB63D9"/>
    <w:rsid w:val="00EB66BA"/>
    <w:rsid w:val="00EB774E"/>
    <w:rsid w:val="00EB7CF6"/>
    <w:rsid w:val="00EB7D23"/>
    <w:rsid w:val="00EC06FE"/>
    <w:rsid w:val="00EC08D6"/>
    <w:rsid w:val="00EC09EC"/>
    <w:rsid w:val="00EC0A59"/>
    <w:rsid w:val="00EC1E58"/>
    <w:rsid w:val="00EC236F"/>
    <w:rsid w:val="00EC242A"/>
    <w:rsid w:val="00EC2C32"/>
    <w:rsid w:val="00EC3AD0"/>
    <w:rsid w:val="00EC434A"/>
    <w:rsid w:val="00EC43E2"/>
    <w:rsid w:val="00EC4606"/>
    <w:rsid w:val="00EC4A6E"/>
    <w:rsid w:val="00EC5167"/>
    <w:rsid w:val="00EC5457"/>
    <w:rsid w:val="00EC57E7"/>
    <w:rsid w:val="00EC5E01"/>
    <w:rsid w:val="00EC6810"/>
    <w:rsid w:val="00EC681A"/>
    <w:rsid w:val="00EC68F0"/>
    <w:rsid w:val="00EC6AE0"/>
    <w:rsid w:val="00EC6C6B"/>
    <w:rsid w:val="00EC7075"/>
    <w:rsid w:val="00EC7C7A"/>
    <w:rsid w:val="00ED057D"/>
    <w:rsid w:val="00ED08B7"/>
    <w:rsid w:val="00ED096F"/>
    <w:rsid w:val="00ED0B48"/>
    <w:rsid w:val="00ED0CDC"/>
    <w:rsid w:val="00ED0CF9"/>
    <w:rsid w:val="00ED1396"/>
    <w:rsid w:val="00ED2091"/>
    <w:rsid w:val="00ED239F"/>
    <w:rsid w:val="00ED241F"/>
    <w:rsid w:val="00ED2E78"/>
    <w:rsid w:val="00ED2EE0"/>
    <w:rsid w:val="00ED30A0"/>
    <w:rsid w:val="00ED322E"/>
    <w:rsid w:val="00ED3614"/>
    <w:rsid w:val="00ED4B05"/>
    <w:rsid w:val="00ED4E25"/>
    <w:rsid w:val="00ED5194"/>
    <w:rsid w:val="00ED51E2"/>
    <w:rsid w:val="00ED6579"/>
    <w:rsid w:val="00ED6BA1"/>
    <w:rsid w:val="00ED72A3"/>
    <w:rsid w:val="00ED72D8"/>
    <w:rsid w:val="00ED7304"/>
    <w:rsid w:val="00ED7BEF"/>
    <w:rsid w:val="00ED7CA9"/>
    <w:rsid w:val="00ED7EC3"/>
    <w:rsid w:val="00EE000D"/>
    <w:rsid w:val="00EE01F0"/>
    <w:rsid w:val="00EE0349"/>
    <w:rsid w:val="00EE0568"/>
    <w:rsid w:val="00EE086F"/>
    <w:rsid w:val="00EE0D67"/>
    <w:rsid w:val="00EE1195"/>
    <w:rsid w:val="00EE1D4B"/>
    <w:rsid w:val="00EE20CE"/>
    <w:rsid w:val="00EE21DD"/>
    <w:rsid w:val="00EE34FA"/>
    <w:rsid w:val="00EE3D6F"/>
    <w:rsid w:val="00EE3F74"/>
    <w:rsid w:val="00EE4674"/>
    <w:rsid w:val="00EE4E70"/>
    <w:rsid w:val="00EE59C0"/>
    <w:rsid w:val="00EE5DDE"/>
    <w:rsid w:val="00EE6488"/>
    <w:rsid w:val="00EE652A"/>
    <w:rsid w:val="00EE6758"/>
    <w:rsid w:val="00EE6A38"/>
    <w:rsid w:val="00EE6BC4"/>
    <w:rsid w:val="00EE6D36"/>
    <w:rsid w:val="00EE6D73"/>
    <w:rsid w:val="00EE76E1"/>
    <w:rsid w:val="00EF0731"/>
    <w:rsid w:val="00EF0797"/>
    <w:rsid w:val="00EF0B1C"/>
    <w:rsid w:val="00EF0D4F"/>
    <w:rsid w:val="00EF1ADB"/>
    <w:rsid w:val="00EF1F95"/>
    <w:rsid w:val="00EF2BE9"/>
    <w:rsid w:val="00EF312A"/>
    <w:rsid w:val="00EF338A"/>
    <w:rsid w:val="00EF3611"/>
    <w:rsid w:val="00EF4775"/>
    <w:rsid w:val="00EF5610"/>
    <w:rsid w:val="00EF56AB"/>
    <w:rsid w:val="00EF5FB5"/>
    <w:rsid w:val="00EF612D"/>
    <w:rsid w:val="00EF62C6"/>
    <w:rsid w:val="00EF6478"/>
    <w:rsid w:val="00EF6C20"/>
    <w:rsid w:val="00EF6FAF"/>
    <w:rsid w:val="00EF7D4A"/>
    <w:rsid w:val="00F00C5F"/>
    <w:rsid w:val="00F017D3"/>
    <w:rsid w:val="00F017EA"/>
    <w:rsid w:val="00F01B79"/>
    <w:rsid w:val="00F01C36"/>
    <w:rsid w:val="00F0207C"/>
    <w:rsid w:val="00F021FA"/>
    <w:rsid w:val="00F0225F"/>
    <w:rsid w:val="00F02501"/>
    <w:rsid w:val="00F0260E"/>
    <w:rsid w:val="00F02698"/>
    <w:rsid w:val="00F03167"/>
    <w:rsid w:val="00F046F6"/>
    <w:rsid w:val="00F0503E"/>
    <w:rsid w:val="00F0580F"/>
    <w:rsid w:val="00F058BC"/>
    <w:rsid w:val="00F05DE3"/>
    <w:rsid w:val="00F0706D"/>
    <w:rsid w:val="00F07B4B"/>
    <w:rsid w:val="00F07C0E"/>
    <w:rsid w:val="00F1044B"/>
    <w:rsid w:val="00F10B03"/>
    <w:rsid w:val="00F11100"/>
    <w:rsid w:val="00F11300"/>
    <w:rsid w:val="00F1168E"/>
    <w:rsid w:val="00F1235F"/>
    <w:rsid w:val="00F12822"/>
    <w:rsid w:val="00F12A8E"/>
    <w:rsid w:val="00F12B5C"/>
    <w:rsid w:val="00F12D1C"/>
    <w:rsid w:val="00F1313B"/>
    <w:rsid w:val="00F134DA"/>
    <w:rsid w:val="00F13516"/>
    <w:rsid w:val="00F13EFE"/>
    <w:rsid w:val="00F13FB4"/>
    <w:rsid w:val="00F1496C"/>
    <w:rsid w:val="00F1581D"/>
    <w:rsid w:val="00F16110"/>
    <w:rsid w:val="00F16976"/>
    <w:rsid w:val="00F16FF1"/>
    <w:rsid w:val="00F17365"/>
    <w:rsid w:val="00F205EF"/>
    <w:rsid w:val="00F211FE"/>
    <w:rsid w:val="00F2129E"/>
    <w:rsid w:val="00F21539"/>
    <w:rsid w:val="00F21CA3"/>
    <w:rsid w:val="00F21DB1"/>
    <w:rsid w:val="00F21EA9"/>
    <w:rsid w:val="00F22BA4"/>
    <w:rsid w:val="00F22C5C"/>
    <w:rsid w:val="00F22CE4"/>
    <w:rsid w:val="00F2302C"/>
    <w:rsid w:val="00F23F16"/>
    <w:rsid w:val="00F24A7D"/>
    <w:rsid w:val="00F24DA8"/>
    <w:rsid w:val="00F24F27"/>
    <w:rsid w:val="00F24F60"/>
    <w:rsid w:val="00F26CEC"/>
    <w:rsid w:val="00F302FC"/>
    <w:rsid w:val="00F306D3"/>
    <w:rsid w:val="00F30E0E"/>
    <w:rsid w:val="00F30EDD"/>
    <w:rsid w:val="00F31088"/>
    <w:rsid w:val="00F314C5"/>
    <w:rsid w:val="00F315C3"/>
    <w:rsid w:val="00F320C5"/>
    <w:rsid w:val="00F320CD"/>
    <w:rsid w:val="00F32C35"/>
    <w:rsid w:val="00F33245"/>
    <w:rsid w:val="00F33682"/>
    <w:rsid w:val="00F336BC"/>
    <w:rsid w:val="00F33B48"/>
    <w:rsid w:val="00F342CA"/>
    <w:rsid w:val="00F34732"/>
    <w:rsid w:val="00F34FD7"/>
    <w:rsid w:val="00F35524"/>
    <w:rsid w:val="00F358B0"/>
    <w:rsid w:val="00F36405"/>
    <w:rsid w:val="00F364EF"/>
    <w:rsid w:val="00F3689B"/>
    <w:rsid w:val="00F36ADA"/>
    <w:rsid w:val="00F36B83"/>
    <w:rsid w:val="00F36F12"/>
    <w:rsid w:val="00F37D7C"/>
    <w:rsid w:val="00F4003D"/>
    <w:rsid w:val="00F40980"/>
    <w:rsid w:val="00F41B56"/>
    <w:rsid w:val="00F41B7B"/>
    <w:rsid w:val="00F4210E"/>
    <w:rsid w:val="00F4226D"/>
    <w:rsid w:val="00F424DF"/>
    <w:rsid w:val="00F42657"/>
    <w:rsid w:val="00F42F13"/>
    <w:rsid w:val="00F434B7"/>
    <w:rsid w:val="00F43742"/>
    <w:rsid w:val="00F43D84"/>
    <w:rsid w:val="00F44B02"/>
    <w:rsid w:val="00F4552B"/>
    <w:rsid w:val="00F45FB7"/>
    <w:rsid w:val="00F463C3"/>
    <w:rsid w:val="00F46C30"/>
    <w:rsid w:val="00F47137"/>
    <w:rsid w:val="00F510B4"/>
    <w:rsid w:val="00F5139B"/>
    <w:rsid w:val="00F515D4"/>
    <w:rsid w:val="00F51DA4"/>
    <w:rsid w:val="00F520E9"/>
    <w:rsid w:val="00F524EF"/>
    <w:rsid w:val="00F52954"/>
    <w:rsid w:val="00F536E1"/>
    <w:rsid w:val="00F53F19"/>
    <w:rsid w:val="00F546C7"/>
    <w:rsid w:val="00F54B04"/>
    <w:rsid w:val="00F55881"/>
    <w:rsid w:val="00F558F9"/>
    <w:rsid w:val="00F55927"/>
    <w:rsid w:val="00F55BCF"/>
    <w:rsid w:val="00F55C2F"/>
    <w:rsid w:val="00F56E1B"/>
    <w:rsid w:val="00F576F5"/>
    <w:rsid w:val="00F57947"/>
    <w:rsid w:val="00F57E66"/>
    <w:rsid w:val="00F57F28"/>
    <w:rsid w:val="00F605F6"/>
    <w:rsid w:val="00F610BF"/>
    <w:rsid w:val="00F6256F"/>
    <w:rsid w:val="00F6268C"/>
    <w:rsid w:val="00F626BE"/>
    <w:rsid w:val="00F62A58"/>
    <w:rsid w:val="00F62BE8"/>
    <w:rsid w:val="00F62CC6"/>
    <w:rsid w:val="00F62E97"/>
    <w:rsid w:val="00F62F84"/>
    <w:rsid w:val="00F638C5"/>
    <w:rsid w:val="00F63EBD"/>
    <w:rsid w:val="00F64209"/>
    <w:rsid w:val="00F64F2F"/>
    <w:rsid w:val="00F65CEA"/>
    <w:rsid w:val="00F65F2F"/>
    <w:rsid w:val="00F65F6C"/>
    <w:rsid w:val="00F66444"/>
    <w:rsid w:val="00F66F9D"/>
    <w:rsid w:val="00F66FE7"/>
    <w:rsid w:val="00F678D8"/>
    <w:rsid w:val="00F67E1C"/>
    <w:rsid w:val="00F70011"/>
    <w:rsid w:val="00F7047A"/>
    <w:rsid w:val="00F7125E"/>
    <w:rsid w:val="00F7174B"/>
    <w:rsid w:val="00F71A9B"/>
    <w:rsid w:val="00F72471"/>
    <w:rsid w:val="00F72930"/>
    <w:rsid w:val="00F74101"/>
    <w:rsid w:val="00F748B8"/>
    <w:rsid w:val="00F74DEA"/>
    <w:rsid w:val="00F75336"/>
    <w:rsid w:val="00F756CB"/>
    <w:rsid w:val="00F756FA"/>
    <w:rsid w:val="00F75A6F"/>
    <w:rsid w:val="00F762FF"/>
    <w:rsid w:val="00F76850"/>
    <w:rsid w:val="00F76A31"/>
    <w:rsid w:val="00F76DD4"/>
    <w:rsid w:val="00F76E33"/>
    <w:rsid w:val="00F7786D"/>
    <w:rsid w:val="00F77D09"/>
    <w:rsid w:val="00F8039B"/>
    <w:rsid w:val="00F80CB1"/>
    <w:rsid w:val="00F80DF0"/>
    <w:rsid w:val="00F810F4"/>
    <w:rsid w:val="00F81AE5"/>
    <w:rsid w:val="00F82A8E"/>
    <w:rsid w:val="00F82CEB"/>
    <w:rsid w:val="00F8316C"/>
    <w:rsid w:val="00F83453"/>
    <w:rsid w:val="00F83DE9"/>
    <w:rsid w:val="00F83F5C"/>
    <w:rsid w:val="00F8513C"/>
    <w:rsid w:val="00F85424"/>
    <w:rsid w:val="00F85F81"/>
    <w:rsid w:val="00F8652F"/>
    <w:rsid w:val="00F86F9E"/>
    <w:rsid w:val="00F870A8"/>
    <w:rsid w:val="00F8777F"/>
    <w:rsid w:val="00F87F3B"/>
    <w:rsid w:val="00F903A9"/>
    <w:rsid w:val="00F903B0"/>
    <w:rsid w:val="00F913A3"/>
    <w:rsid w:val="00F91A6E"/>
    <w:rsid w:val="00F91D05"/>
    <w:rsid w:val="00F91F75"/>
    <w:rsid w:val="00F9239F"/>
    <w:rsid w:val="00F925BE"/>
    <w:rsid w:val="00F92820"/>
    <w:rsid w:val="00F93855"/>
    <w:rsid w:val="00F938B8"/>
    <w:rsid w:val="00F93BF5"/>
    <w:rsid w:val="00F94B33"/>
    <w:rsid w:val="00F94E77"/>
    <w:rsid w:val="00F95007"/>
    <w:rsid w:val="00F95071"/>
    <w:rsid w:val="00F96F1F"/>
    <w:rsid w:val="00F97405"/>
    <w:rsid w:val="00F9779C"/>
    <w:rsid w:val="00F977EE"/>
    <w:rsid w:val="00FA02B6"/>
    <w:rsid w:val="00FA04E1"/>
    <w:rsid w:val="00FA06A7"/>
    <w:rsid w:val="00FA13FF"/>
    <w:rsid w:val="00FA1818"/>
    <w:rsid w:val="00FA188D"/>
    <w:rsid w:val="00FA1984"/>
    <w:rsid w:val="00FA2B7C"/>
    <w:rsid w:val="00FA2C61"/>
    <w:rsid w:val="00FA3D8B"/>
    <w:rsid w:val="00FA3F86"/>
    <w:rsid w:val="00FA4073"/>
    <w:rsid w:val="00FA4614"/>
    <w:rsid w:val="00FA596D"/>
    <w:rsid w:val="00FA59D3"/>
    <w:rsid w:val="00FA5F99"/>
    <w:rsid w:val="00FA611C"/>
    <w:rsid w:val="00FA6130"/>
    <w:rsid w:val="00FA6149"/>
    <w:rsid w:val="00FA6684"/>
    <w:rsid w:val="00FA6EF9"/>
    <w:rsid w:val="00FA744A"/>
    <w:rsid w:val="00FA7483"/>
    <w:rsid w:val="00FA7D50"/>
    <w:rsid w:val="00FA7F05"/>
    <w:rsid w:val="00FB03D9"/>
    <w:rsid w:val="00FB07B5"/>
    <w:rsid w:val="00FB084E"/>
    <w:rsid w:val="00FB09A9"/>
    <w:rsid w:val="00FB2204"/>
    <w:rsid w:val="00FB2399"/>
    <w:rsid w:val="00FB2F1F"/>
    <w:rsid w:val="00FB3250"/>
    <w:rsid w:val="00FB3865"/>
    <w:rsid w:val="00FB4B7F"/>
    <w:rsid w:val="00FB504F"/>
    <w:rsid w:val="00FB5680"/>
    <w:rsid w:val="00FB5A3E"/>
    <w:rsid w:val="00FB5A78"/>
    <w:rsid w:val="00FB5C6A"/>
    <w:rsid w:val="00FB617C"/>
    <w:rsid w:val="00FB61D8"/>
    <w:rsid w:val="00FB62B0"/>
    <w:rsid w:val="00FB644C"/>
    <w:rsid w:val="00FB6673"/>
    <w:rsid w:val="00FB6757"/>
    <w:rsid w:val="00FB6C51"/>
    <w:rsid w:val="00FB6C91"/>
    <w:rsid w:val="00FB7197"/>
    <w:rsid w:val="00FB7394"/>
    <w:rsid w:val="00FB748A"/>
    <w:rsid w:val="00FB783E"/>
    <w:rsid w:val="00FB79EB"/>
    <w:rsid w:val="00FC049E"/>
    <w:rsid w:val="00FC2250"/>
    <w:rsid w:val="00FC305B"/>
    <w:rsid w:val="00FC35F8"/>
    <w:rsid w:val="00FC3F08"/>
    <w:rsid w:val="00FC5634"/>
    <w:rsid w:val="00FC574D"/>
    <w:rsid w:val="00FC60F0"/>
    <w:rsid w:val="00FC686B"/>
    <w:rsid w:val="00FC68F4"/>
    <w:rsid w:val="00FC767D"/>
    <w:rsid w:val="00FC76BB"/>
    <w:rsid w:val="00FC77F6"/>
    <w:rsid w:val="00FC783C"/>
    <w:rsid w:val="00FC7A33"/>
    <w:rsid w:val="00FC7F71"/>
    <w:rsid w:val="00FD013B"/>
    <w:rsid w:val="00FD03CF"/>
    <w:rsid w:val="00FD07BA"/>
    <w:rsid w:val="00FD1923"/>
    <w:rsid w:val="00FD202F"/>
    <w:rsid w:val="00FD2361"/>
    <w:rsid w:val="00FD2E16"/>
    <w:rsid w:val="00FD355C"/>
    <w:rsid w:val="00FD3E68"/>
    <w:rsid w:val="00FD3FC2"/>
    <w:rsid w:val="00FD3FC3"/>
    <w:rsid w:val="00FD431E"/>
    <w:rsid w:val="00FD457D"/>
    <w:rsid w:val="00FD48D2"/>
    <w:rsid w:val="00FD5A5D"/>
    <w:rsid w:val="00FD69AF"/>
    <w:rsid w:val="00FD6C60"/>
    <w:rsid w:val="00FD75E9"/>
    <w:rsid w:val="00FD77EC"/>
    <w:rsid w:val="00FD7E6D"/>
    <w:rsid w:val="00FE02BC"/>
    <w:rsid w:val="00FE0BDF"/>
    <w:rsid w:val="00FE0DA3"/>
    <w:rsid w:val="00FE1101"/>
    <w:rsid w:val="00FE2860"/>
    <w:rsid w:val="00FE2B8C"/>
    <w:rsid w:val="00FE2DD7"/>
    <w:rsid w:val="00FE32FE"/>
    <w:rsid w:val="00FE3AEE"/>
    <w:rsid w:val="00FE3D6F"/>
    <w:rsid w:val="00FE43AC"/>
    <w:rsid w:val="00FE549A"/>
    <w:rsid w:val="00FE6070"/>
    <w:rsid w:val="00FE653F"/>
    <w:rsid w:val="00FE66FA"/>
    <w:rsid w:val="00FE6D3A"/>
    <w:rsid w:val="00FE7030"/>
    <w:rsid w:val="00FE755B"/>
    <w:rsid w:val="00FF04F3"/>
    <w:rsid w:val="00FF085E"/>
    <w:rsid w:val="00FF0D74"/>
    <w:rsid w:val="00FF10D7"/>
    <w:rsid w:val="00FF12A2"/>
    <w:rsid w:val="00FF1D20"/>
    <w:rsid w:val="00FF237C"/>
    <w:rsid w:val="00FF2A0F"/>
    <w:rsid w:val="00FF2CF6"/>
    <w:rsid w:val="00FF3357"/>
    <w:rsid w:val="00FF343E"/>
    <w:rsid w:val="00FF3872"/>
    <w:rsid w:val="00FF39C7"/>
    <w:rsid w:val="00FF3C50"/>
    <w:rsid w:val="00FF4AA6"/>
    <w:rsid w:val="00FF4CD7"/>
    <w:rsid w:val="00FF5CBE"/>
    <w:rsid w:val="00FF65BF"/>
    <w:rsid w:val="00FF6625"/>
    <w:rsid w:val="00FF6BAF"/>
    <w:rsid w:val="00FF6C39"/>
    <w:rsid w:val="00FF6CD7"/>
    <w:rsid w:val="00FF7F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C549F44-9DEE-4FA8-A67F-A3609021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712"/>
    <w:pPr>
      <w:widowControl w:val="0"/>
    </w:pPr>
    <w:rPr>
      <w:snapToGrid w:val="0"/>
      <w:kern w:val="28"/>
      <w:sz w:val="22"/>
    </w:rPr>
  </w:style>
  <w:style w:type="paragraph" w:styleId="Heading1">
    <w:name w:val="heading 1"/>
    <w:basedOn w:val="Normal"/>
    <w:next w:val="ParaNum"/>
    <w:link w:val="Heading1Char"/>
    <w:qFormat/>
    <w:rsid w:val="0061671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 Char Char Char Char1 Char,Heading 2 Char1,Heading 2 Char1 Char Char,Heading 2 Char1 Char Char Char Char1 Char,Heading 2 Char1 Char Char1,Heading 2 Char1 Char Char1 Char Char"/>
    <w:basedOn w:val="Normal"/>
    <w:next w:val="ParaNum"/>
    <w:link w:val="Heading2Char2"/>
    <w:autoRedefine/>
    <w:qFormat/>
    <w:rsid w:val="00616712"/>
    <w:pPr>
      <w:keepNext/>
      <w:numPr>
        <w:ilvl w:val="1"/>
        <w:numId w:val="2"/>
      </w:numPr>
      <w:spacing w:after="120"/>
      <w:outlineLvl w:val="1"/>
    </w:pPr>
    <w:rPr>
      <w:b/>
    </w:rPr>
  </w:style>
  <w:style w:type="paragraph" w:styleId="Heading3">
    <w:name w:val="heading 3"/>
    <w:basedOn w:val="Normal"/>
    <w:next w:val="ParaNum"/>
    <w:link w:val="Heading3Char"/>
    <w:qFormat/>
    <w:rsid w:val="00616712"/>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616712"/>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16712"/>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16712"/>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16712"/>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1671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1671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167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6712"/>
  </w:style>
  <w:style w:type="paragraph" w:customStyle="1" w:styleId="ParaNum">
    <w:name w:val="ParaNum"/>
    <w:basedOn w:val="Normal"/>
    <w:link w:val="ParaNumChar1"/>
    <w:rsid w:val="00616712"/>
    <w:pPr>
      <w:numPr>
        <w:numId w:val="1"/>
      </w:numPr>
      <w:tabs>
        <w:tab w:val="clear" w:pos="1080"/>
        <w:tab w:val="num" w:pos="1440"/>
      </w:tabs>
      <w:spacing w:after="120"/>
    </w:pPr>
  </w:style>
  <w:style w:type="paragraph" w:styleId="EndnoteText">
    <w:name w:val="endnote text"/>
    <w:basedOn w:val="Normal"/>
    <w:link w:val="EndnoteTextChar"/>
    <w:semiHidden/>
    <w:rsid w:val="00616712"/>
    <w:rPr>
      <w:sz w:val="20"/>
    </w:rPr>
  </w:style>
  <w:style w:type="character" w:styleId="EndnoteReference">
    <w:name w:val="endnote reference"/>
    <w:semiHidden/>
    <w:rsid w:val="00616712"/>
    <w:rPr>
      <w:vertAlign w:val="superscript"/>
    </w:rPr>
  </w:style>
  <w:style w:type="paragraph" w:styleId="FootnoteText">
    <w:name w:val="footnote text"/>
    <w:aliases w:val="ALTS FOOTNOTE Char Char,ALTS FOOTNOTE Char1,Footnote Text Char Char,Footnote Text Char Char Char Char,Footnote Text Char1,Footnote Text Char1 Char Char,Footnote Text Char2,Footnote Text Char2 Char Char Char Char,f,fn,fn Char Char,fn Char1"/>
    <w:link w:val="FootnoteTextChar"/>
    <w:rsid w:val="0061671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16712"/>
    <w:rPr>
      <w:rFonts w:ascii="Times New Roman" w:hAnsi="Times New Roman"/>
      <w:dstrike w:val="0"/>
      <w:color w:val="auto"/>
      <w:sz w:val="20"/>
      <w:vertAlign w:val="superscript"/>
    </w:rPr>
  </w:style>
  <w:style w:type="paragraph" w:styleId="TOC1">
    <w:name w:val="toc 1"/>
    <w:basedOn w:val="Normal"/>
    <w:next w:val="Normal"/>
    <w:rsid w:val="00616712"/>
    <w:pPr>
      <w:tabs>
        <w:tab w:val="left" w:pos="360"/>
        <w:tab w:val="right" w:leader="dot" w:pos="9360"/>
      </w:tabs>
      <w:suppressAutoHyphens/>
      <w:ind w:left="360" w:right="720" w:hanging="360"/>
    </w:pPr>
    <w:rPr>
      <w:caps/>
      <w:noProof/>
    </w:rPr>
  </w:style>
  <w:style w:type="paragraph" w:styleId="TOC2">
    <w:name w:val="toc 2"/>
    <w:basedOn w:val="Normal"/>
    <w:next w:val="Normal"/>
    <w:rsid w:val="00616712"/>
    <w:pPr>
      <w:tabs>
        <w:tab w:val="left" w:pos="720"/>
        <w:tab w:val="right" w:leader="dot" w:pos="9360"/>
      </w:tabs>
      <w:suppressAutoHyphens/>
      <w:ind w:left="720" w:right="720" w:hanging="360"/>
    </w:pPr>
    <w:rPr>
      <w:noProof/>
    </w:rPr>
  </w:style>
  <w:style w:type="paragraph" w:styleId="TOC3">
    <w:name w:val="toc 3"/>
    <w:basedOn w:val="Normal"/>
    <w:next w:val="Normal"/>
    <w:rsid w:val="0061671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1671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1671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671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671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67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671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16712"/>
    <w:pPr>
      <w:tabs>
        <w:tab w:val="right" w:pos="9360"/>
      </w:tabs>
      <w:suppressAutoHyphens/>
    </w:pPr>
  </w:style>
  <w:style w:type="character" w:customStyle="1" w:styleId="EquationCaption">
    <w:name w:val="_Equation Caption"/>
    <w:rsid w:val="00616712"/>
  </w:style>
  <w:style w:type="paragraph" w:styleId="Header">
    <w:name w:val="header"/>
    <w:basedOn w:val="Normal"/>
    <w:link w:val="HeaderChar"/>
    <w:autoRedefine/>
    <w:rsid w:val="00616712"/>
    <w:pPr>
      <w:tabs>
        <w:tab w:val="center" w:pos="4680"/>
        <w:tab w:val="right" w:pos="9360"/>
      </w:tabs>
    </w:pPr>
    <w:rPr>
      <w:b/>
    </w:rPr>
  </w:style>
  <w:style w:type="paragraph" w:styleId="Footer">
    <w:name w:val="footer"/>
    <w:basedOn w:val="Normal"/>
    <w:link w:val="FooterChar"/>
    <w:uiPriority w:val="99"/>
    <w:rsid w:val="00616712"/>
    <w:pPr>
      <w:tabs>
        <w:tab w:val="center" w:pos="4320"/>
        <w:tab w:val="right" w:pos="8640"/>
      </w:tabs>
    </w:pPr>
  </w:style>
  <w:style w:type="character" w:styleId="PageNumber">
    <w:name w:val="page number"/>
    <w:basedOn w:val="DefaultParagraphFont"/>
    <w:rsid w:val="00616712"/>
  </w:style>
  <w:style w:type="paragraph" w:styleId="BlockText">
    <w:name w:val="Block Text"/>
    <w:basedOn w:val="Normal"/>
    <w:rsid w:val="00616712"/>
    <w:pPr>
      <w:spacing w:after="240"/>
      <w:ind w:left="1440" w:right="1440"/>
    </w:pPr>
  </w:style>
  <w:style w:type="paragraph" w:customStyle="1" w:styleId="Paratitle">
    <w:name w:val="Para title"/>
    <w:basedOn w:val="Normal"/>
    <w:rsid w:val="00616712"/>
    <w:pPr>
      <w:tabs>
        <w:tab w:val="center" w:pos="9270"/>
      </w:tabs>
      <w:spacing w:after="240"/>
    </w:pPr>
    <w:rPr>
      <w:spacing w:val="-2"/>
    </w:rPr>
  </w:style>
  <w:style w:type="paragraph" w:customStyle="1" w:styleId="Bullet">
    <w:name w:val="Bullet"/>
    <w:basedOn w:val="Normal"/>
    <w:rsid w:val="00616712"/>
    <w:pPr>
      <w:tabs>
        <w:tab w:val="left" w:pos="2160"/>
      </w:tabs>
      <w:spacing w:after="220"/>
      <w:ind w:left="2160" w:hanging="720"/>
    </w:pPr>
  </w:style>
  <w:style w:type="paragraph" w:customStyle="1" w:styleId="TableFormat">
    <w:name w:val="TableFormat"/>
    <w:basedOn w:val="Bullet"/>
    <w:rsid w:val="00616712"/>
    <w:pPr>
      <w:tabs>
        <w:tab w:val="clear" w:pos="2160"/>
        <w:tab w:val="left" w:pos="5040"/>
      </w:tabs>
      <w:ind w:left="5040" w:hanging="3600"/>
    </w:pPr>
  </w:style>
  <w:style w:type="paragraph" w:customStyle="1" w:styleId="TOCTitle">
    <w:name w:val="TOC Title"/>
    <w:basedOn w:val="Normal"/>
    <w:rsid w:val="006167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16712"/>
    <w:pPr>
      <w:jc w:val="center"/>
    </w:pPr>
    <w:rPr>
      <w:rFonts w:ascii="Times New Roman Bold" w:hAnsi="Times New Roman Bold"/>
      <w:b/>
      <w:bCs/>
      <w:caps/>
      <w:szCs w:val="22"/>
    </w:rPr>
  </w:style>
  <w:style w:type="character" w:styleId="Hyperlink">
    <w:name w:val="Hyperlink"/>
    <w:rsid w:val="00616712"/>
    <w:rPr>
      <w:color w:val="0000FF"/>
      <w:u w:val="single"/>
    </w:rPr>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ootnote Text Char2 Char,f Char,fn Char"/>
    <w:link w:val="FootnoteText"/>
    <w:rsid w:val="002F74D7"/>
  </w:style>
  <w:style w:type="character" w:customStyle="1" w:styleId="FootnoteTextChar3">
    <w:name w:val="Footnote Text Char3"/>
    <w:aliases w:val="ALTS FOOTNOTE Char Char Char1,ALTS FOOTNOTE Char1 Char1,Footnote Text Char Char Char Char Char1,Footnote Text Char Char Char1,Footnote Text Char1 Char Char Char1,Footnote Text Char1 Char1,fn Char Char Char1,fn Char1 Char1"/>
    <w:rsid w:val="00003900"/>
    <w:rPr>
      <w:rFonts w:ascii="Times New Roman" w:eastAsia="Times New Roman" w:hAnsi="Times New Roman"/>
    </w:rPr>
  </w:style>
  <w:style w:type="paragraph" w:styleId="BalloonText">
    <w:name w:val="Balloon Text"/>
    <w:basedOn w:val="Normal"/>
    <w:link w:val="BalloonTextChar"/>
    <w:rsid w:val="006850F8"/>
    <w:rPr>
      <w:rFonts w:ascii="Segoe UI" w:hAnsi="Segoe UI" w:cs="Segoe UI"/>
      <w:sz w:val="18"/>
      <w:szCs w:val="18"/>
    </w:rPr>
  </w:style>
  <w:style w:type="character" w:customStyle="1" w:styleId="BalloonTextChar">
    <w:name w:val="Balloon Text Char"/>
    <w:link w:val="BalloonText"/>
    <w:rsid w:val="006850F8"/>
    <w:rPr>
      <w:rFonts w:ascii="Segoe UI" w:hAnsi="Segoe UI" w:cs="Segoe UI"/>
      <w:snapToGrid w:val="0"/>
      <w:kern w:val="28"/>
      <w:sz w:val="18"/>
      <w:szCs w:val="18"/>
    </w:rPr>
  </w:style>
  <w:style w:type="character" w:customStyle="1" w:styleId="ParaNumChar1">
    <w:name w:val="ParaNum Char1"/>
    <w:link w:val="ParaNum"/>
    <w:locked/>
    <w:rsid w:val="002E0396"/>
    <w:rPr>
      <w:snapToGrid w:val="0"/>
      <w:kern w:val="28"/>
      <w:sz w:val="22"/>
    </w:rPr>
  </w:style>
  <w:style w:type="character" w:customStyle="1" w:styleId="Heading2Char2">
    <w:name w:val="Heading 2 Char2"/>
    <w:aliases w:val="Heading 2 Char Char,Heading 2 Char Char Char Char Char,Heading 2 Char Char Char Char Char Char1 Char Char,Heading 2 Char1 Char,Heading 2 Char1 Char Char Char,Heading 2 Char1 Char Char Char Char1 Char Char,Heading 2 Char1 Char Char1 Char"/>
    <w:link w:val="Heading2"/>
    <w:rsid w:val="00906414"/>
    <w:rPr>
      <w:b/>
      <w:snapToGrid w:val="0"/>
      <w:kern w:val="28"/>
      <w:sz w:val="22"/>
    </w:rPr>
  </w:style>
  <w:style w:type="character" w:customStyle="1" w:styleId="Heading1Char">
    <w:name w:val="Heading 1 Char"/>
    <w:link w:val="Heading1"/>
    <w:rsid w:val="00874B4D"/>
    <w:rPr>
      <w:rFonts w:ascii="Times New Roman Bold" w:hAnsi="Times New Roman Bold"/>
      <w:b/>
      <w:caps/>
      <w:snapToGrid w:val="0"/>
      <w:kern w:val="28"/>
      <w:sz w:val="22"/>
    </w:rPr>
  </w:style>
  <w:style w:type="character" w:customStyle="1" w:styleId="FooterChar">
    <w:name w:val="Footer Char"/>
    <w:link w:val="Footer"/>
    <w:uiPriority w:val="99"/>
    <w:rsid w:val="00616712"/>
    <w:rPr>
      <w:snapToGrid w:val="0"/>
      <w:kern w:val="28"/>
      <w:sz w:val="22"/>
    </w:rPr>
  </w:style>
  <w:style w:type="character" w:customStyle="1" w:styleId="Heading4Char">
    <w:name w:val="Heading 4 Char"/>
    <w:link w:val="Heading4"/>
    <w:rsid w:val="00D1594E"/>
    <w:rPr>
      <w:b/>
      <w:snapToGrid w:val="0"/>
      <w:kern w:val="28"/>
      <w:sz w:val="22"/>
    </w:rPr>
  </w:style>
  <w:style w:type="table" w:styleId="TableGrid">
    <w:name w:val="Table Grid"/>
    <w:basedOn w:val="TableNormal"/>
    <w:uiPriority w:val="59"/>
    <w:rsid w:val="0087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03D56"/>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styleId="CommentReference">
    <w:name w:val="annotation reference"/>
    <w:basedOn w:val="DefaultParagraphFont"/>
    <w:uiPriority w:val="99"/>
    <w:rsid w:val="00520FC8"/>
    <w:rPr>
      <w:sz w:val="16"/>
      <w:szCs w:val="16"/>
    </w:rPr>
  </w:style>
  <w:style w:type="paragraph" w:styleId="CommentText">
    <w:name w:val="annotation text"/>
    <w:basedOn w:val="Normal"/>
    <w:link w:val="CommentTextChar"/>
    <w:uiPriority w:val="99"/>
    <w:rsid w:val="00520FC8"/>
    <w:rPr>
      <w:sz w:val="20"/>
    </w:rPr>
  </w:style>
  <w:style w:type="character" w:customStyle="1" w:styleId="CommentTextChar">
    <w:name w:val="Comment Text Char"/>
    <w:basedOn w:val="DefaultParagraphFont"/>
    <w:link w:val="CommentText"/>
    <w:uiPriority w:val="99"/>
    <w:rsid w:val="00520FC8"/>
    <w:rPr>
      <w:snapToGrid w:val="0"/>
      <w:kern w:val="28"/>
    </w:rPr>
  </w:style>
  <w:style w:type="paragraph" w:styleId="CommentSubject">
    <w:name w:val="annotation subject"/>
    <w:basedOn w:val="CommentText"/>
    <w:next w:val="CommentText"/>
    <w:link w:val="CommentSubjectChar"/>
    <w:rsid w:val="00520FC8"/>
    <w:rPr>
      <w:b/>
      <w:bCs/>
    </w:rPr>
  </w:style>
  <w:style w:type="character" w:customStyle="1" w:styleId="CommentSubjectChar">
    <w:name w:val="Comment Subject Char"/>
    <w:basedOn w:val="CommentTextChar"/>
    <w:link w:val="CommentSubject"/>
    <w:rsid w:val="00520FC8"/>
    <w:rPr>
      <w:b/>
      <w:bCs/>
      <w:snapToGrid w:val="0"/>
      <w:kern w:val="28"/>
    </w:rPr>
  </w:style>
  <w:style w:type="character" w:customStyle="1" w:styleId="Footnote">
    <w:name w:val="Footnote"/>
    <w:rsid w:val="00133021"/>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133021"/>
    <w:rPr>
      <w:rFonts w:cs="Times New Roman"/>
      <w:lang w:val="en-US" w:eastAsia="en-US" w:bidi="ar-SA"/>
    </w:rPr>
  </w:style>
  <w:style w:type="character" w:customStyle="1" w:styleId="documentbody1">
    <w:name w:val="documentbody1"/>
    <w:rsid w:val="00133021"/>
    <w:rPr>
      <w:rFonts w:ascii="Verdana" w:hAnsi="Verdana" w:cs="Times New Roman"/>
      <w:sz w:val="19"/>
      <w:szCs w:val="19"/>
    </w:rPr>
  </w:style>
  <w:style w:type="character" w:customStyle="1" w:styleId="footnotemark">
    <w:name w:val="footnote mark"/>
    <w:hidden/>
    <w:rsid w:val="00232EB9"/>
    <w:rPr>
      <w:rFonts w:ascii="Times New Roman" w:eastAsia="Times New Roman" w:hAnsi="Times New Roman" w:cs="Times New Roman"/>
      <w:color w:val="000000"/>
      <w:sz w:val="20"/>
      <w:vertAlign w:val="superscript"/>
    </w:rPr>
  </w:style>
  <w:style w:type="character" w:customStyle="1" w:styleId="Heading3Char">
    <w:name w:val="Heading 3 Char"/>
    <w:basedOn w:val="DefaultParagraphFont"/>
    <w:link w:val="Heading3"/>
    <w:rsid w:val="00ED5194"/>
    <w:rPr>
      <w:b/>
      <w:snapToGrid w:val="0"/>
      <w:kern w:val="28"/>
      <w:sz w:val="22"/>
    </w:rPr>
  </w:style>
  <w:style w:type="character" w:customStyle="1" w:styleId="Heading5Char">
    <w:name w:val="Heading 5 Char"/>
    <w:basedOn w:val="DefaultParagraphFont"/>
    <w:link w:val="Heading5"/>
    <w:rsid w:val="00ED5194"/>
    <w:rPr>
      <w:b/>
      <w:snapToGrid w:val="0"/>
      <w:kern w:val="28"/>
      <w:sz w:val="22"/>
    </w:rPr>
  </w:style>
  <w:style w:type="character" w:customStyle="1" w:styleId="Heading6Char">
    <w:name w:val="Heading 6 Char"/>
    <w:aliases w:val="h6 Char"/>
    <w:basedOn w:val="DefaultParagraphFont"/>
    <w:link w:val="Heading6"/>
    <w:rsid w:val="00ED5194"/>
    <w:rPr>
      <w:b/>
      <w:snapToGrid w:val="0"/>
      <w:kern w:val="28"/>
      <w:sz w:val="22"/>
    </w:rPr>
  </w:style>
  <w:style w:type="character" w:customStyle="1" w:styleId="Heading7Char">
    <w:name w:val="Heading 7 Char"/>
    <w:basedOn w:val="DefaultParagraphFont"/>
    <w:link w:val="Heading7"/>
    <w:rsid w:val="00ED5194"/>
    <w:rPr>
      <w:b/>
      <w:snapToGrid w:val="0"/>
      <w:kern w:val="28"/>
      <w:sz w:val="22"/>
    </w:rPr>
  </w:style>
  <w:style w:type="character" w:customStyle="1" w:styleId="Heading8Char">
    <w:name w:val="Heading 8 Char"/>
    <w:basedOn w:val="DefaultParagraphFont"/>
    <w:link w:val="Heading8"/>
    <w:rsid w:val="00ED5194"/>
    <w:rPr>
      <w:b/>
      <w:snapToGrid w:val="0"/>
      <w:kern w:val="28"/>
      <w:sz w:val="22"/>
    </w:rPr>
  </w:style>
  <w:style w:type="character" w:customStyle="1" w:styleId="Heading9Char">
    <w:name w:val="Heading 9 Char"/>
    <w:basedOn w:val="DefaultParagraphFont"/>
    <w:link w:val="Heading9"/>
    <w:rsid w:val="00ED5194"/>
    <w:rPr>
      <w:b/>
      <w:snapToGrid w:val="0"/>
      <w:kern w:val="28"/>
      <w:sz w:val="22"/>
    </w:rPr>
  </w:style>
  <w:style w:type="paragraph" w:styleId="Caption">
    <w:name w:val="caption"/>
    <w:basedOn w:val="Normal"/>
    <w:next w:val="Normal"/>
    <w:qFormat/>
    <w:rsid w:val="00ED5194"/>
    <w:pPr>
      <w:spacing w:before="120" w:after="120"/>
    </w:pPr>
    <w:rPr>
      <w:b/>
    </w:rPr>
  </w:style>
  <w:style w:type="character" w:customStyle="1" w:styleId="HeaderChar">
    <w:name w:val="Header Char"/>
    <w:basedOn w:val="DefaultParagraphFont"/>
    <w:link w:val="Header"/>
    <w:rsid w:val="00ED5194"/>
    <w:rPr>
      <w:b/>
      <w:snapToGrid w:val="0"/>
      <w:kern w:val="28"/>
      <w:sz w:val="22"/>
    </w:rPr>
  </w:style>
  <w:style w:type="paragraph" w:customStyle="1" w:styleId="NumberedList">
    <w:name w:val="Numbered List"/>
    <w:basedOn w:val="Normal"/>
    <w:rsid w:val="00ED5194"/>
    <w:pPr>
      <w:numPr>
        <w:numId w:val="5"/>
      </w:numPr>
      <w:tabs>
        <w:tab w:val="clear" w:pos="1080"/>
      </w:tabs>
      <w:spacing w:after="220"/>
      <w:ind w:firstLine="0"/>
    </w:pPr>
  </w:style>
  <w:style w:type="paragraph" w:styleId="Title">
    <w:name w:val="Title"/>
    <w:basedOn w:val="Normal"/>
    <w:link w:val="TitleChar"/>
    <w:qFormat/>
    <w:rsid w:val="00ED5194"/>
    <w:pPr>
      <w:jc w:val="center"/>
    </w:pPr>
    <w:rPr>
      <w:b/>
    </w:rPr>
  </w:style>
  <w:style w:type="character" w:customStyle="1" w:styleId="TitleChar">
    <w:name w:val="Title Char"/>
    <w:basedOn w:val="DefaultParagraphFont"/>
    <w:link w:val="Title"/>
    <w:rsid w:val="00ED5194"/>
    <w:rPr>
      <w:b/>
      <w:snapToGrid w:val="0"/>
      <w:kern w:val="28"/>
      <w:sz w:val="22"/>
    </w:rPr>
  </w:style>
  <w:style w:type="paragraph" w:styleId="HTMLPreformatted">
    <w:name w:val="HTML Preformatted"/>
    <w:basedOn w:val="Normal"/>
    <w:link w:val="HTMLPreformattedChar"/>
    <w:rsid w:val="00ED5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ED5194"/>
    <w:rPr>
      <w:rFonts w:ascii="Courier New" w:hAnsi="Courier New" w:cs="Courier New"/>
      <w:snapToGrid w:val="0"/>
      <w:kern w:val="28"/>
    </w:rPr>
  </w:style>
  <w:style w:type="paragraph" w:customStyle="1" w:styleId="Standard">
    <w:name w:val="Standard"/>
    <w:basedOn w:val="Normal"/>
    <w:rsid w:val="00ED5194"/>
    <w:pPr>
      <w:keepLines/>
      <w:spacing w:after="120" w:line="260" w:lineRule="atLeast"/>
      <w:ind w:right="-288"/>
      <w:jc w:val="both"/>
    </w:pPr>
    <w:rPr>
      <w:spacing w:val="-2"/>
      <w:sz w:val="24"/>
    </w:rPr>
  </w:style>
  <w:style w:type="paragraph" w:styleId="List">
    <w:name w:val="List"/>
    <w:basedOn w:val="Normal"/>
    <w:next w:val="Normal"/>
    <w:rsid w:val="00ED5194"/>
    <w:pPr>
      <w:keepNext/>
      <w:keepLines/>
      <w:spacing w:line="260" w:lineRule="atLeast"/>
      <w:ind w:left="734" w:hanging="302"/>
    </w:pPr>
    <w:rPr>
      <w:spacing w:val="-2"/>
      <w:sz w:val="24"/>
    </w:rPr>
  </w:style>
  <w:style w:type="paragraph" w:customStyle="1" w:styleId="APHeading3">
    <w:name w:val="AP Heading 3"/>
    <w:basedOn w:val="Heading3"/>
    <w:next w:val="Normal"/>
    <w:rsid w:val="00ED5194"/>
    <w:pPr>
      <w:keepLines/>
      <w:widowControl/>
      <w:numPr>
        <w:ilvl w:val="0"/>
        <w:numId w:val="0"/>
      </w:numPr>
      <w:spacing w:before="120" w:after="180" w:line="300" w:lineRule="exact"/>
      <w:outlineLvl w:val="9"/>
    </w:pPr>
    <w:rPr>
      <w:rFonts w:ascii="Arial Narrow" w:hAnsi="Arial Narrow"/>
      <w:spacing w:val="-6"/>
    </w:rPr>
  </w:style>
  <w:style w:type="paragraph" w:customStyle="1" w:styleId="Checklist">
    <w:name w:val="Checklist"/>
    <w:basedOn w:val="Standard"/>
    <w:rsid w:val="00ED5194"/>
    <w:pPr>
      <w:numPr>
        <w:numId w:val="11"/>
      </w:numPr>
      <w:spacing w:line="240" w:lineRule="atLeast"/>
      <w:ind w:left="0" w:right="346" w:firstLine="0"/>
      <w:jc w:val="left"/>
    </w:pPr>
  </w:style>
  <w:style w:type="paragraph" w:customStyle="1" w:styleId="ChecklistBullet">
    <w:name w:val="Checklist_Bullet"/>
    <w:basedOn w:val="Checklist"/>
    <w:rsid w:val="00ED5194"/>
    <w:pPr>
      <w:spacing w:after="180"/>
      <w:ind w:right="0"/>
      <w:jc w:val="right"/>
    </w:pPr>
    <w:rPr>
      <w:rFonts w:ascii="ZapfDingbats" w:hAnsi="ZapfDingbats"/>
    </w:rPr>
  </w:style>
  <w:style w:type="paragraph" w:customStyle="1" w:styleId="CheckSpace">
    <w:name w:val="CheckSpace"/>
    <w:basedOn w:val="Standard"/>
    <w:rsid w:val="00ED5194"/>
    <w:pPr>
      <w:spacing w:after="0" w:line="240" w:lineRule="auto"/>
      <w:ind w:left="-187"/>
    </w:pPr>
    <w:rPr>
      <w:rFonts w:ascii="Arial" w:hAnsi="Arial"/>
      <w:sz w:val="12"/>
    </w:rPr>
  </w:style>
  <w:style w:type="paragraph" w:customStyle="1" w:styleId="coverpicture">
    <w:name w:val="cover_picture"/>
    <w:basedOn w:val="Normal"/>
    <w:rsid w:val="00ED5194"/>
    <w:pPr>
      <w:ind w:left="-43"/>
    </w:pPr>
  </w:style>
  <w:style w:type="paragraph" w:customStyle="1" w:styleId="CoverStandard">
    <w:name w:val="Cover_Standard"/>
    <w:basedOn w:val="Normal"/>
    <w:rsid w:val="00ED5194"/>
    <w:pPr>
      <w:keepLines/>
      <w:spacing w:after="120" w:line="260" w:lineRule="atLeast"/>
      <w:ind w:left="630" w:right="-288"/>
      <w:jc w:val="both"/>
    </w:pPr>
    <w:rPr>
      <w:spacing w:val="-2"/>
      <w:sz w:val="26"/>
    </w:rPr>
  </w:style>
  <w:style w:type="paragraph" w:customStyle="1" w:styleId="DataFileHead">
    <w:name w:val="DataFileHead"/>
    <w:basedOn w:val="Normal"/>
    <w:next w:val="Normal"/>
    <w:rsid w:val="00ED5194"/>
    <w:pPr>
      <w:keepNext/>
      <w:spacing w:before="120"/>
      <w:jc w:val="center"/>
    </w:pPr>
    <w:rPr>
      <w:caps/>
      <w:color w:val="FFFFFF"/>
      <w:sz w:val="28"/>
    </w:rPr>
  </w:style>
  <w:style w:type="paragraph" w:customStyle="1" w:styleId="EarlyLate">
    <w:name w:val="Early_Late"/>
    <w:basedOn w:val="Normal"/>
    <w:rsid w:val="00ED5194"/>
    <w:pPr>
      <w:keepNext/>
      <w:keepLines/>
      <w:framePr w:w="2088" w:hSpace="187" w:vSpace="187" w:wrap="auto" w:vAnchor="text" w:hAnchor="margin" w:x="-2879" w:y="1" w:anchorLock="1"/>
      <w:spacing w:after="120" w:line="220" w:lineRule="atLeast"/>
      <w:ind w:left="-72"/>
    </w:pPr>
    <w:rPr>
      <w:rFonts w:ascii="Arial Narrow" w:hAnsi="Arial Narrow"/>
      <w:b/>
      <w:spacing w:val="-2"/>
      <w:sz w:val="20"/>
    </w:rPr>
  </w:style>
  <w:style w:type="paragraph" w:customStyle="1" w:styleId="ExerciseHead">
    <w:name w:val="ExerciseHead"/>
    <w:basedOn w:val="Normal"/>
    <w:rsid w:val="00ED5194"/>
    <w:pPr>
      <w:keepNext/>
      <w:keepLines/>
      <w:tabs>
        <w:tab w:val="right" w:pos="7434"/>
      </w:tabs>
      <w:spacing w:before="120" w:after="180"/>
    </w:pPr>
    <w:rPr>
      <w:rFonts w:ascii="Arial" w:hAnsi="Arial"/>
      <w:b/>
      <w:spacing w:val="6"/>
    </w:rPr>
  </w:style>
  <w:style w:type="paragraph" w:customStyle="1" w:styleId="Glossary">
    <w:name w:val="Glossary"/>
    <w:basedOn w:val="Standard"/>
    <w:rsid w:val="00ED5194"/>
    <w:pPr>
      <w:spacing w:before="120" w:line="240" w:lineRule="atLeast"/>
      <w:ind w:right="72"/>
      <w:jc w:val="left"/>
    </w:pPr>
    <w:rPr>
      <w:rFonts w:ascii="Arial Narrow" w:hAnsi="Arial Narrow"/>
      <w:noProof/>
      <w:spacing w:val="0"/>
      <w:sz w:val="22"/>
    </w:rPr>
  </w:style>
  <w:style w:type="paragraph" w:customStyle="1" w:styleId="TableHead">
    <w:name w:val="Table Head"/>
    <w:basedOn w:val="Normal"/>
    <w:rsid w:val="00ED5194"/>
    <w:pPr>
      <w:keepNext/>
      <w:keepLines/>
      <w:spacing w:before="60" w:after="60"/>
    </w:pPr>
    <w:rPr>
      <w:rFonts w:ascii="Arial Narrow" w:hAnsi="Arial Narrow"/>
      <w:b/>
      <w:i/>
      <w:caps/>
      <w:spacing w:val="-2"/>
    </w:rPr>
  </w:style>
  <w:style w:type="paragraph" w:customStyle="1" w:styleId="GlossBar">
    <w:name w:val="GlossBar"/>
    <w:basedOn w:val="TableHead"/>
    <w:rsid w:val="00ED5194"/>
    <w:rPr>
      <w:i w:val="0"/>
      <w:color w:val="FFFFFF"/>
    </w:rPr>
  </w:style>
  <w:style w:type="paragraph" w:customStyle="1" w:styleId="Hint">
    <w:name w:val="Hint"/>
    <w:next w:val="ListBullet"/>
    <w:rsid w:val="00ED5194"/>
    <w:pPr>
      <w:keepNext/>
      <w:keepLines/>
      <w:widowControl w:val="0"/>
      <w:spacing w:after="180" w:line="260" w:lineRule="atLeast"/>
      <w:ind w:left="446"/>
    </w:pPr>
    <w:rPr>
      <w:i/>
      <w:noProof/>
      <w:spacing w:val="-2"/>
      <w:sz w:val="24"/>
    </w:rPr>
  </w:style>
  <w:style w:type="paragraph" w:styleId="ListBullet">
    <w:name w:val="List Bullet"/>
    <w:basedOn w:val="List"/>
    <w:next w:val="Normal"/>
    <w:autoRedefine/>
    <w:rsid w:val="00ED5194"/>
    <w:pPr>
      <w:keepNext w:val="0"/>
      <w:tabs>
        <w:tab w:val="num" w:pos="1080"/>
      </w:tabs>
      <w:spacing w:after="120"/>
      <w:ind w:left="0" w:firstLine="0"/>
    </w:pPr>
  </w:style>
  <w:style w:type="paragraph" w:customStyle="1" w:styleId="HowToHead">
    <w:name w:val="How To Head"/>
    <w:basedOn w:val="Normal"/>
    <w:rsid w:val="00ED5194"/>
    <w:pPr>
      <w:keepNext/>
      <w:keepLines/>
      <w:tabs>
        <w:tab w:val="right" w:pos="7272"/>
      </w:tabs>
      <w:spacing w:before="120" w:after="120"/>
      <w:ind w:left="-144"/>
    </w:pPr>
    <w:rPr>
      <w:rFonts w:ascii="Arial" w:hAnsi="Arial"/>
      <w:b/>
      <w:spacing w:val="6"/>
    </w:rPr>
  </w:style>
  <w:style w:type="paragraph" w:customStyle="1" w:styleId="ListAlone">
    <w:name w:val="List Alone"/>
    <w:basedOn w:val="Normal"/>
    <w:next w:val="List"/>
    <w:rsid w:val="00ED5194"/>
    <w:pPr>
      <w:keepLines/>
      <w:spacing w:after="180" w:line="260" w:lineRule="atLeast"/>
      <w:ind w:left="734" w:hanging="302"/>
    </w:pPr>
    <w:rPr>
      <w:spacing w:val="-2"/>
      <w:sz w:val="24"/>
    </w:rPr>
  </w:style>
  <w:style w:type="paragraph" w:customStyle="1" w:styleId="HowToList">
    <w:name w:val="How To List"/>
    <w:basedOn w:val="ListAlone"/>
    <w:rsid w:val="00ED5194"/>
    <w:pPr>
      <w:numPr>
        <w:numId w:val="13"/>
      </w:numPr>
      <w:tabs>
        <w:tab w:val="clear" w:pos="0"/>
        <w:tab w:val="left" w:pos="360"/>
      </w:tabs>
      <w:spacing w:after="120"/>
      <w:ind w:left="720" w:right="720" w:hanging="360"/>
    </w:pPr>
    <w:rPr>
      <w:rFonts w:ascii="Arial Narrow" w:hAnsi="Arial Narrow"/>
      <w:sz w:val="22"/>
    </w:rPr>
  </w:style>
  <w:style w:type="paragraph" w:customStyle="1" w:styleId="HowToLead">
    <w:name w:val="How To Lead"/>
    <w:basedOn w:val="HowToList"/>
    <w:rsid w:val="00ED5194"/>
    <w:pPr>
      <w:spacing w:after="0"/>
      <w:ind w:left="504" w:right="2851"/>
    </w:pPr>
  </w:style>
  <w:style w:type="paragraph" w:customStyle="1" w:styleId="HowTo">
    <w:name w:val="HowTo"/>
    <w:basedOn w:val="Normal"/>
    <w:rsid w:val="00ED5194"/>
    <w:pPr>
      <w:keepLines/>
      <w:tabs>
        <w:tab w:val="left" w:pos="342"/>
        <w:tab w:val="right" w:pos="7272"/>
      </w:tabs>
      <w:spacing w:before="120"/>
      <w:ind w:left="-144"/>
    </w:pPr>
    <w:rPr>
      <w:rFonts w:ascii="Arial Narrow" w:hAnsi="Arial Narrow"/>
      <w:b/>
      <w:spacing w:val="6"/>
    </w:rPr>
  </w:style>
  <w:style w:type="paragraph" w:customStyle="1" w:styleId="TableText">
    <w:name w:val="Table Text"/>
    <w:rsid w:val="00ED5194"/>
    <w:pPr>
      <w:spacing w:before="60" w:after="60"/>
    </w:pPr>
    <w:rPr>
      <w:rFonts w:ascii="Arial Narrow" w:hAnsi="Arial Narrow"/>
    </w:rPr>
  </w:style>
  <w:style w:type="paragraph" w:customStyle="1" w:styleId="HowToIcon">
    <w:name w:val="HowToIcon"/>
    <w:basedOn w:val="TableText"/>
    <w:rsid w:val="00ED5194"/>
    <w:pPr>
      <w:keepNext/>
      <w:spacing w:before="120" w:after="0"/>
      <w:ind w:left="-43"/>
      <w:jc w:val="center"/>
    </w:pPr>
  </w:style>
  <w:style w:type="paragraph" w:customStyle="1" w:styleId="HowToQuestion">
    <w:name w:val="HowToQuestion"/>
    <w:basedOn w:val="Normal"/>
    <w:rsid w:val="00ED5194"/>
    <w:pPr>
      <w:keepNext/>
      <w:keepLines/>
      <w:tabs>
        <w:tab w:val="right" w:pos="7272"/>
      </w:tabs>
      <w:spacing w:before="120" w:after="120" w:line="320" w:lineRule="exact"/>
    </w:pPr>
    <w:rPr>
      <w:rFonts w:ascii="Arial Narrow" w:hAnsi="Arial Narrow"/>
      <w:b/>
      <w:spacing w:val="6"/>
      <w:sz w:val="26"/>
    </w:rPr>
  </w:style>
  <w:style w:type="paragraph" w:customStyle="1" w:styleId="IGNote">
    <w:name w:val="IG Note"/>
    <w:basedOn w:val="Standard"/>
    <w:rsid w:val="00ED5194"/>
    <w:pPr>
      <w:keepNext/>
      <w:framePr w:w="2088" w:hSpace="187" w:vSpace="187" w:wrap="auto" w:vAnchor="text" w:hAnchor="margin" w:x="-2879" w:y="1" w:anchorLock="1"/>
      <w:numPr>
        <w:numId w:val="4"/>
      </w:numPr>
      <w:spacing w:after="0" w:line="220" w:lineRule="atLeast"/>
      <w:ind w:right="0"/>
      <w:jc w:val="left"/>
    </w:pPr>
    <w:rPr>
      <w:rFonts w:ascii="Arial Narrow" w:hAnsi="Arial Narrow"/>
      <w:sz w:val="20"/>
    </w:rPr>
  </w:style>
  <w:style w:type="paragraph" w:customStyle="1" w:styleId="IGButton">
    <w:name w:val="IG_Button"/>
    <w:next w:val="Normal"/>
    <w:rsid w:val="00ED5194"/>
    <w:pPr>
      <w:keepNext/>
      <w:keepLines/>
      <w:framePr w:w="2088" w:hSpace="187" w:vSpace="187" w:wrap="auto" w:vAnchor="text" w:hAnchor="margin" w:x="-2879" w:y="1" w:anchorLock="1"/>
      <w:spacing w:line="280" w:lineRule="atLeast"/>
      <w:jc w:val="right"/>
    </w:pPr>
    <w:rPr>
      <w:rFonts w:ascii="Arial Narrow" w:hAnsi="Arial Narrow"/>
      <w:b/>
      <w:i/>
      <w:noProof/>
      <w:spacing w:val="-2"/>
      <w:position w:val="4"/>
    </w:rPr>
  </w:style>
  <w:style w:type="paragraph" w:customStyle="1" w:styleId="IGButtonOdd">
    <w:name w:val="IG_ButtonOdd"/>
    <w:basedOn w:val="IGButton"/>
    <w:rsid w:val="00ED5194"/>
    <w:pPr>
      <w:framePr w:wrap="auto"/>
    </w:pPr>
  </w:style>
  <w:style w:type="paragraph" w:customStyle="1" w:styleId="IGNoteOdd">
    <w:name w:val="IG_NoteOdd"/>
    <w:basedOn w:val="IGNote"/>
    <w:rsid w:val="00ED5194"/>
    <w:pPr>
      <w:framePr w:wrap="auto"/>
      <w:numPr>
        <w:numId w:val="12"/>
      </w:numPr>
      <w:ind w:firstLine="0"/>
    </w:pPr>
    <w:rPr>
      <w:rFonts w:ascii="Helvetica Condensed" w:hAnsi="Helvetica Condensed"/>
      <w:caps/>
    </w:rPr>
  </w:style>
  <w:style w:type="paragraph" w:customStyle="1" w:styleId="INList">
    <w:name w:val="IN List"/>
    <w:basedOn w:val="Normal"/>
    <w:rsid w:val="00ED5194"/>
    <w:pPr>
      <w:keepLines/>
      <w:spacing w:after="120"/>
      <w:ind w:left="604" w:right="-288" w:hanging="302"/>
    </w:pPr>
    <w:rPr>
      <w:spacing w:val="-2"/>
      <w:sz w:val="24"/>
    </w:rPr>
  </w:style>
  <w:style w:type="paragraph" w:customStyle="1" w:styleId="INList2D">
    <w:name w:val="IN List 2D"/>
    <w:basedOn w:val="Normal"/>
    <w:rsid w:val="00ED5194"/>
    <w:pPr>
      <w:keepLines/>
      <w:spacing w:line="360" w:lineRule="auto"/>
      <w:ind w:left="720" w:right="-288" w:hanging="418"/>
    </w:pPr>
    <w:rPr>
      <w:spacing w:val="-2"/>
      <w:sz w:val="24"/>
    </w:rPr>
  </w:style>
  <w:style w:type="paragraph" w:customStyle="1" w:styleId="InThis">
    <w:name w:val="In This"/>
    <w:basedOn w:val="IGNote"/>
    <w:rsid w:val="00ED5194"/>
    <w:pPr>
      <w:framePr w:wrap="auto"/>
      <w:numPr>
        <w:numId w:val="0"/>
      </w:numPr>
    </w:pPr>
  </w:style>
  <w:style w:type="paragraph" w:customStyle="1" w:styleId="InThis0">
    <w:name w:val="InThis"/>
    <w:basedOn w:val="Standard"/>
    <w:rsid w:val="00ED5194"/>
    <w:pPr>
      <w:keepNext/>
      <w:framePr w:w="2088" w:hSpace="187" w:vSpace="187" w:wrap="auto" w:vAnchor="page" w:hAnchor="margin" w:x="-2879" w:y="1873" w:anchorLock="1"/>
      <w:spacing w:after="0" w:line="220" w:lineRule="atLeast"/>
      <w:ind w:right="0"/>
      <w:jc w:val="left"/>
    </w:pPr>
    <w:rPr>
      <w:rFonts w:ascii="Arial Narrow" w:hAnsi="Arial Narrow"/>
      <w:b/>
      <w:sz w:val="20"/>
    </w:rPr>
  </w:style>
  <w:style w:type="paragraph" w:customStyle="1" w:styleId="InThisText">
    <w:name w:val="InThisText"/>
    <w:basedOn w:val="Normal"/>
    <w:rsid w:val="00ED5194"/>
    <w:pPr>
      <w:keepNext/>
      <w:keepLines/>
      <w:framePr w:w="2088" w:hSpace="187" w:vSpace="187" w:wrap="auto" w:vAnchor="page" w:hAnchor="margin" w:x="-2879" w:y="1873" w:anchorLock="1"/>
      <w:spacing w:line="220" w:lineRule="atLeast"/>
    </w:pPr>
    <w:rPr>
      <w:rFonts w:ascii="Helvetica Condensed" w:hAnsi="Helvetica Condensed"/>
      <w:b/>
      <w:caps/>
      <w:spacing w:val="-2"/>
    </w:rPr>
  </w:style>
  <w:style w:type="paragraph" w:styleId="List2">
    <w:name w:val="List 2"/>
    <w:basedOn w:val="Normal"/>
    <w:rsid w:val="00ED5194"/>
    <w:pPr>
      <w:keepNext/>
      <w:ind w:left="720" w:hanging="360"/>
    </w:pPr>
  </w:style>
  <w:style w:type="paragraph" w:customStyle="1" w:styleId="List2D">
    <w:name w:val="List 2D"/>
    <w:basedOn w:val="Normal"/>
    <w:next w:val="Normal"/>
    <w:rsid w:val="00ED5194"/>
    <w:pPr>
      <w:keepNext/>
      <w:keepLines/>
      <w:spacing w:line="260" w:lineRule="atLeast"/>
      <w:ind w:left="720" w:right="-288" w:hanging="418"/>
    </w:pPr>
    <w:rPr>
      <w:spacing w:val="-2"/>
      <w:sz w:val="24"/>
    </w:rPr>
  </w:style>
  <w:style w:type="paragraph" w:customStyle="1" w:styleId="List2DA">
    <w:name w:val="List 2DA"/>
    <w:basedOn w:val="List2D"/>
    <w:next w:val="List2D"/>
    <w:rsid w:val="00ED5194"/>
    <w:pPr>
      <w:keepNext w:val="0"/>
      <w:spacing w:after="187"/>
    </w:pPr>
  </w:style>
  <w:style w:type="paragraph" w:customStyle="1" w:styleId="ListItalic">
    <w:name w:val="List Italic"/>
    <w:basedOn w:val="List"/>
    <w:next w:val="List"/>
    <w:rsid w:val="00ED5194"/>
    <w:pPr>
      <w:keepNext w:val="0"/>
      <w:spacing w:after="180"/>
      <w:ind w:firstLine="0"/>
    </w:pPr>
    <w:rPr>
      <w:i/>
    </w:rPr>
  </w:style>
  <w:style w:type="paragraph" w:customStyle="1" w:styleId="ListItalic2D">
    <w:name w:val="List Italic 2D"/>
    <w:basedOn w:val="ListItalic"/>
    <w:next w:val="List2D"/>
    <w:rsid w:val="00ED5194"/>
  </w:style>
  <w:style w:type="paragraph" w:customStyle="1" w:styleId="ListSub">
    <w:name w:val="ListSub"/>
    <w:basedOn w:val="Normal"/>
    <w:rsid w:val="00ED5194"/>
    <w:pPr>
      <w:keepLines/>
      <w:spacing w:after="180" w:line="260" w:lineRule="atLeast"/>
      <w:ind w:left="1425" w:hanging="302"/>
    </w:pPr>
    <w:rPr>
      <w:rFonts w:ascii="Helvetica CondensedLight" w:hAnsi="Helvetica CondensedLight"/>
      <w:spacing w:val="-2"/>
      <w:sz w:val="24"/>
    </w:rPr>
  </w:style>
  <w:style w:type="paragraph" w:customStyle="1" w:styleId="Modrecap">
    <w:name w:val="Modrecap"/>
    <w:basedOn w:val="Normal"/>
    <w:rsid w:val="00ED5194"/>
    <w:pPr>
      <w:keepLines/>
      <w:framePr w:w="1891" w:h="1440" w:hRule="exact" w:hSpace="187" w:vSpace="187" w:wrap="auto" w:vAnchor="page" w:hAnchor="page" w:x="1081" w:y="2541"/>
      <w:spacing w:line="220" w:lineRule="atLeast"/>
      <w:ind w:hanging="360"/>
    </w:pPr>
    <w:rPr>
      <w:spacing w:val="-2"/>
    </w:rPr>
  </w:style>
  <w:style w:type="paragraph" w:customStyle="1" w:styleId="ModSkills">
    <w:name w:val="ModSkills"/>
    <w:basedOn w:val="ListBullet"/>
    <w:rsid w:val="00ED5194"/>
    <w:pPr>
      <w:numPr>
        <w:numId w:val="6"/>
      </w:numPr>
      <w:tabs>
        <w:tab w:val="left" w:pos="720"/>
      </w:tabs>
      <w:ind w:left="0" w:firstLine="0"/>
    </w:pPr>
  </w:style>
  <w:style w:type="paragraph" w:customStyle="1" w:styleId="MOUSHd">
    <w:name w:val="MOUS_Hd"/>
    <w:rsid w:val="00ED5194"/>
    <w:pPr>
      <w:keepNext/>
      <w:framePr w:w="2088" w:hSpace="187" w:vSpace="187" w:wrap="auto" w:vAnchor="text" w:hAnchor="margin" w:x="-2879" w:y="1" w:anchorLock="1"/>
      <w:widowControl w:val="0"/>
      <w:pBdr>
        <w:bottom w:val="single" w:sz="12" w:space="1" w:color="auto"/>
      </w:pBdr>
    </w:pPr>
    <w:rPr>
      <w:rFonts w:ascii="Arial Narrow" w:hAnsi="Arial Narrow"/>
      <w:b/>
      <w:i/>
      <w:caps/>
      <w:color w:val="000000"/>
      <w:sz w:val="22"/>
    </w:rPr>
  </w:style>
  <w:style w:type="paragraph" w:customStyle="1" w:styleId="MOUSText">
    <w:name w:val="MOUS_Text"/>
    <w:basedOn w:val="Normal"/>
    <w:rsid w:val="00ED5194"/>
    <w:pPr>
      <w:keepNext/>
      <w:framePr w:w="2088" w:hSpace="187" w:vSpace="187" w:wrap="auto" w:vAnchor="text" w:hAnchor="margin" w:x="-2879" w:y="1" w:anchorLock="1"/>
      <w:spacing w:line="240" w:lineRule="atLeast"/>
    </w:pPr>
    <w:rPr>
      <w:i/>
      <w:spacing w:val="-6"/>
      <w:sz w:val="18"/>
    </w:rPr>
  </w:style>
  <w:style w:type="paragraph" w:customStyle="1" w:styleId="MouseTask">
    <w:name w:val="Mouse Task"/>
    <w:basedOn w:val="Heading3"/>
    <w:next w:val="Normal"/>
    <w:rsid w:val="00ED5194"/>
    <w:pPr>
      <w:keepLines/>
      <w:widowControl/>
      <w:numPr>
        <w:ilvl w:val="0"/>
        <w:numId w:val="7"/>
      </w:numPr>
      <w:spacing w:before="120" w:after="240" w:line="260" w:lineRule="atLeast"/>
      <w:ind w:left="0" w:right="-288" w:firstLine="0"/>
      <w:outlineLvl w:val="9"/>
    </w:pPr>
    <w:rPr>
      <w:rFonts w:ascii="Arial Narrow" w:hAnsi="Arial Narrow"/>
      <w:spacing w:val="-2"/>
      <w:position w:val="8"/>
      <w:sz w:val="24"/>
    </w:rPr>
  </w:style>
  <w:style w:type="paragraph" w:styleId="NoteHeading">
    <w:name w:val="Note Heading"/>
    <w:basedOn w:val="Normal"/>
    <w:next w:val="Normal"/>
    <w:link w:val="NoteHeadingChar"/>
    <w:rsid w:val="00ED5194"/>
  </w:style>
  <w:style w:type="character" w:customStyle="1" w:styleId="NoteHeadingChar">
    <w:name w:val="Note Heading Char"/>
    <w:basedOn w:val="DefaultParagraphFont"/>
    <w:link w:val="NoteHeading"/>
    <w:rsid w:val="00ED5194"/>
    <w:rPr>
      <w:snapToGrid w:val="0"/>
      <w:kern w:val="28"/>
      <w:sz w:val="22"/>
    </w:rPr>
  </w:style>
  <w:style w:type="paragraph" w:customStyle="1" w:styleId="Notes">
    <w:name w:val="Notes"/>
    <w:basedOn w:val="Standard"/>
    <w:rsid w:val="00ED5194"/>
    <w:pPr>
      <w:pageBreakBefore/>
      <w:spacing w:before="180"/>
      <w:ind w:left="-2880" w:right="0"/>
      <w:jc w:val="center"/>
    </w:pPr>
    <w:rPr>
      <w:rFonts w:ascii="Arial" w:hAnsi="Arial"/>
      <w:b/>
      <w:sz w:val="28"/>
    </w:rPr>
  </w:style>
  <w:style w:type="paragraph" w:customStyle="1" w:styleId="Overhead">
    <w:name w:val="Overhead"/>
    <w:basedOn w:val="IGNote"/>
    <w:rsid w:val="00ED5194"/>
    <w:pPr>
      <w:framePr w:wrap="auto"/>
      <w:numPr>
        <w:numId w:val="0"/>
      </w:numPr>
    </w:pPr>
  </w:style>
  <w:style w:type="paragraph" w:customStyle="1" w:styleId="ZHeaderOdd">
    <w:name w:val="Z_HeaderOdd"/>
    <w:rsid w:val="00ED5194"/>
    <w:pPr>
      <w:tabs>
        <w:tab w:val="right" w:pos="7290"/>
      </w:tabs>
      <w:spacing w:after="120" w:line="260" w:lineRule="atLeast"/>
      <w:ind w:left="-2880" w:right="-288"/>
      <w:jc w:val="right"/>
    </w:pPr>
    <w:rPr>
      <w:rFonts w:ascii="Arial Narrow" w:hAnsi="Arial Narrow"/>
      <w:sz w:val="22"/>
    </w:rPr>
  </w:style>
  <w:style w:type="paragraph" w:customStyle="1" w:styleId="PageNumber0">
    <w:name w:val="PageNumber"/>
    <w:basedOn w:val="ZHeaderOdd"/>
    <w:rsid w:val="00ED5194"/>
    <w:rPr>
      <w:b/>
    </w:rPr>
  </w:style>
  <w:style w:type="paragraph" w:customStyle="1" w:styleId="VersionText">
    <w:name w:val="Version Text"/>
    <w:rsid w:val="00ED5194"/>
    <w:pPr>
      <w:keepNext/>
      <w:framePr w:w="2088" w:hSpace="187" w:vSpace="187" w:wrap="auto" w:vAnchor="text" w:hAnchor="margin" w:x="-2879" w:y="1" w:anchorLock="1"/>
      <w:widowControl w:val="0"/>
      <w:numPr>
        <w:numId w:val="14"/>
      </w:numPr>
      <w:tabs>
        <w:tab w:val="clear" w:pos="360"/>
      </w:tabs>
      <w:spacing w:before="120" w:line="240" w:lineRule="atLeast"/>
      <w:ind w:left="-43" w:firstLine="0"/>
    </w:pPr>
    <w:rPr>
      <w:rFonts w:ascii="Arial Narrow" w:hAnsi="Arial Narrow"/>
      <w:i/>
      <w:spacing w:val="-6"/>
    </w:rPr>
  </w:style>
  <w:style w:type="paragraph" w:customStyle="1" w:styleId="ParticipantNote">
    <w:name w:val="Participant Note"/>
    <w:basedOn w:val="VersionText"/>
    <w:rsid w:val="00ED5194"/>
    <w:pPr>
      <w:framePr w:wrap="auto"/>
      <w:spacing w:before="0"/>
    </w:pPr>
    <w:rPr>
      <w:i w:val="0"/>
    </w:rPr>
  </w:style>
  <w:style w:type="paragraph" w:customStyle="1" w:styleId="Pg1Standard">
    <w:name w:val="Pg1Standard"/>
    <w:basedOn w:val="Normal"/>
    <w:rsid w:val="00ED5194"/>
    <w:pPr>
      <w:keepLines/>
      <w:spacing w:after="120" w:line="260" w:lineRule="atLeast"/>
      <w:ind w:left="630" w:right="-288"/>
      <w:jc w:val="both"/>
    </w:pPr>
    <w:rPr>
      <w:spacing w:val="-2"/>
      <w:sz w:val="26"/>
    </w:rPr>
  </w:style>
  <w:style w:type="paragraph" w:customStyle="1" w:styleId="Picture">
    <w:name w:val="Picture"/>
    <w:next w:val="Normal"/>
    <w:rsid w:val="00ED5194"/>
    <w:pPr>
      <w:widowControl w:val="0"/>
      <w:numPr>
        <w:numId w:val="15"/>
      </w:numPr>
      <w:tabs>
        <w:tab w:val="clear" w:pos="720"/>
      </w:tabs>
      <w:spacing w:before="360" w:after="480" w:line="240" w:lineRule="atLeast"/>
      <w:ind w:left="576" w:right="-216" w:firstLine="0"/>
      <w:jc w:val="center"/>
    </w:pPr>
    <w:rPr>
      <w:rFonts w:ascii="Arial Narrow" w:hAnsi="Arial Narrow"/>
    </w:rPr>
  </w:style>
  <w:style w:type="paragraph" w:customStyle="1" w:styleId="Picturecode">
    <w:name w:val="Picture code"/>
    <w:next w:val="Normal"/>
    <w:rsid w:val="00ED5194"/>
    <w:pPr>
      <w:widowControl w:val="0"/>
      <w:shd w:val="clear" w:color="FFFF00" w:fill="auto"/>
      <w:ind w:left="605"/>
    </w:pPr>
    <w:rPr>
      <w:rFonts w:ascii="Arial Narrow" w:hAnsi="Arial Narrow"/>
      <w:color w:val="FF0000"/>
      <w:spacing w:val="-4"/>
    </w:rPr>
  </w:style>
  <w:style w:type="paragraph" w:customStyle="1" w:styleId="Pictureicon">
    <w:name w:val="Picture icon"/>
    <w:basedOn w:val="Normal"/>
    <w:rsid w:val="00ED5194"/>
    <w:pPr>
      <w:spacing w:before="240" w:after="240" w:line="240" w:lineRule="atLeast"/>
      <w:ind w:left="576"/>
      <w:jc w:val="center"/>
    </w:pPr>
    <w:rPr>
      <w:rFonts w:ascii="Arial Narrow" w:hAnsi="Arial Narrow"/>
      <w:noProof/>
      <w:sz w:val="20"/>
    </w:rPr>
  </w:style>
  <w:style w:type="paragraph" w:customStyle="1" w:styleId="Picturewywa">
    <w:name w:val="Picture_wywa"/>
    <w:basedOn w:val="Normal"/>
    <w:next w:val="Normal"/>
    <w:rsid w:val="00ED5194"/>
    <w:pPr>
      <w:spacing w:before="360" w:after="480" w:line="240" w:lineRule="atLeast"/>
      <w:jc w:val="center"/>
    </w:pPr>
    <w:rPr>
      <w:rFonts w:ascii="Arial Narrow" w:hAnsi="Arial Narrow"/>
      <w:noProof/>
      <w:sz w:val="20"/>
    </w:rPr>
  </w:style>
  <w:style w:type="paragraph" w:customStyle="1" w:styleId="PictureLeft">
    <w:name w:val="Picture_Left"/>
    <w:basedOn w:val="Picturewywa"/>
    <w:next w:val="Standard"/>
    <w:rsid w:val="00ED5194"/>
  </w:style>
  <w:style w:type="paragraph" w:customStyle="1" w:styleId="PracticeHead">
    <w:name w:val="PracticeHead"/>
    <w:basedOn w:val="HowToHead"/>
    <w:rsid w:val="00ED5194"/>
  </w:style>
  <w:style w:type="paragraph" w:customStyle="1" w:styleId="RCSHead">
    <w:name w:val="RCSHead"/>
    <w:basedOn w:val="Heading1"/>
    <w:rsid w:val="00ED5194"/>
    <w:pPr>
      <w:keepLines/>
      <w:pageBreakBefore/>
      <w:numPr>
        <w:numId w:val="0"/>
      </w:numPr>
      <w:tabs>
        <w:tab w:val="left" w:pos="360"/>
        <w:tab w:val="left" w:pos="720"/>
      </w:tabs>
      <w:suppressAutoHyphens w:val="0"/>
      <w:spacing w:before="240" w:line="480" w:lineRule="atLeast"/>
      <w:ind w:right="-288"/>
    </w:pPr>
    <w:rPr>
      <w:rFonts w:ascii="Arial Narrow" w:hAnsi="Arial Narrow"/>
      <w:caps w:val="0"/>
      <w:noProof/>
      <w:color w:val="FFFFFF"/>
      <w:sz w:val="44"/>
    </w:rPr>
  </w:style>
  <w:style w:type="paragraph" w:customStyle="1" w:styleId="Scenario">
    <w:name w:val="Scenario"/>
    <w:basedOn w:val="Normal"/>
    <w:next w:val="Normal"/>
    <w:rsid w:val="00ED5194"/>
    <w:pPr>
      <w:keepLines/>
      <w:spacing w:after="120" w:line="260" w:lineRule="atLeast"/>
      <w:ind w:right="-288"/>
      <w:jc w:val="both"/>
    </w:pPr>
    <w:rPr>
      <w:b/>
      <w:sz w:val="24"/>
    </w:rPr>
  </w:style>
  <w:style w:type="paragraph" w:customStyle="1" w:styleId="Shortcut">
    <w:name w:val="Shortcut"/>
    <w:basedOn w:val="TableText"/>
    <w:rsid w:val="00ED5194"/>
    <w:rPr>
      <w:rFonts w:ascii="Helvetica Condensed" w:hAnsi="Helvetica Condensed"/>
      <w:b/>
    </w:rPr>
  </w:style>
  <w:style w:type="paragraph" w:customStyle="1" w:styleId="SkillCheck">
    <w:name w:val="SkillCheck"/>
    <w:basedOn w:val="Normal"/>
    <w:rsid w:val="00ED5194"/>
    <w:pPr>
      <w:keepLines/>
      <w:numPr>
        <w:numId w:val="8"/>
      </w:numPr>
      <w:tabs>
        <w:tab w:val="left" w:pos="702"/>
      </w:tabs>
      <w:spacing w:before="120" w:after="120"/>
      <w:ind w:left="0" w:firstLine="0"/>
    </w:pPr>
    <w:rPr>
      <w:spacing w:val="-2"/>
      <w:sz w:val="24"/>
    </w:rPr>
  </w:style>
  <w:style w:type="paragraph" w:customStyle="1" w:styleId="SkillHead">
    <w:name w:val="SkillHead"/>
    <w:basedOn w:val="Normal"/>
    <w:rsid w:val="00ED5194"/>
    <w:pPr>
      <w:keepLines/>
      <w:spacing w:before="60" w:after="60"/>
    </w:pPr>
    <w:rPr>
      <w:rFonts w:ascii="Arial Narrow" w:hAnsi="Arial Narrow"/>
      <w:b/>
      <w:i/>
      <w:caps/>
      <w:color w:val="FFFFFF"/>
      <w:sz w:val="24"/>
    </w:rPr>
  </w:style>
  <w:style w:type="paragraph" w:customStyle="1" w:styleId="TableHead2">
    <w:name w:val="Table Head2"/>
    <w:basedOn w:val="TableHead"/>
    <w:next w:val="Normal"/>
    <w:rsid w:val="00ED5194"/>
    <w:rPr>
      <w:caps w:val="0"/>
      <w:spacing w:val="0"/>
    </w:rPr>
  </w:style>
  <w:style w:type="paragraph" w:customStyle="1" w:styleId="TableHead3">
    <w:name w:val="Table Head3"/>
    <w:rsid w:val="00ED5194"/>
  </w:style>
  <w:style w:type="paragraph" w:customStyle="1" w:styleId="Taglines">
    <w:name w:val="Taglines"/>
    <w:next w:val="Standard"/>
    <w:rsid w:val="00ED5194"/>
    <w:pPr>
      <w:widowControl w:val="0"/>
      <w:spacing w:after="240"/>
      <w:ind w:left="605"/>
    </w:pPr>
    <w:rPr>
      <w:rFonts w:ascii="Arial Narrow" w:hAnsi="Arial Narrow"/>
      <w:color w:val="0000FF"/>
      <w:spacing w:val="-4"/>
    </w:rPr>
  </w:style>
  <w:style w:type="paragraph" w:customStyle="1" w:styleId="Task">
    <w:name w:val="Task"/>
    <w:basedOn w:val="MouseTask"/>
    <w:rsid w:val="00ED5194"/>
    <w:pPr>
      <w:numPr>
        <w:numId w:val="0"/>
      </w:numPr>
    </w:pPr>
  </w:style>
  <w:style w:type="paragraph" w:customStyle="1" w:styleId="TaskDescription">
    <w:name w:val="Task Description"/>
    <w:basedOn w:val="Standard"/>
    <w:rsid w:val="00ED5194"/>
    <w:pPr>
      <w:keepNext/>
      <w:spacing w:after="180"/>
      <w:ind w:left="432" w:right="0"/>
    </w:pPr>
  </w:style>
  <w:style w:type="paragraph" w:customStyle="1" w:styleId="TaskHead">
    <w:name w:val="Task Head"/>
    <w:basedOn w:val="TableHead2"/>
    <w:rsid w:val="00ED5194"/>
    <w:pPr>
      <w:ind w:left="634" w:hanging="634"/>
    </w:pPr>
    <w:rPr>
      <w:i w:val="0"/>
      <w:caps/>
      <w:spacing w:val="-2"/>
      <w:sz w:val="24"/>
    </w:rPr>
  </w:style>
  <w:style w:type="paragraph" w:customStyle="1" w:styleId="TaskText">
    <w:name w:val="Task Text"/>
    <w:basedOn w:val="TaskHead"/>
    <w:rsid w:val="00ED5194"/>
    <w:pPr>
      <w:ind w:left="-72" w:firstLine="0"/>
    </w:pPr>
    <w:rPr>
      <w:b w:val="0"/>
      <w:caps w:val="0"/>
    </w:rPr>
  </w:style>
  <w:style w:type="character" w:customStyle="1" w:styleId="TimeEstimate">
    <w:name w:val="Time Estimate"/>
    <w:rsid w:val="00ED5194"/>
    <w:rPr>
      <w:rFonts w:ascii="Arial Narrow" w:hAnsi="Arial Narrow"/>
      <w:b/>
      <w:sz w:val="20"/>
    </w:rPr>
  </w:style>
  <w:style w:type="paragraph" w:customStyle="1" w:styleId="TimeEstimatex">
    <w:name w:val="Time Estimatex"/>
    <w:basedOn w:val="Normal"/>
    <w:rsid w:val="00ED5194"/>
    <w:pPr>
      <w:keepNext/>
      <w:keepLines/>
      <w:framePr w:w="2088" w:hSpace="187" w:vSpace="187" w:wrap="auto" w:vAnchor="text" w:hAnchor="margin" w:x="-2879" w:y="1" w:anchorLock="1"/>
      <w:spacing w:line="220" w:lineRule="atLeast"/>
      <w:ind w:left="-72"/>
    </w:pPr>
    <w:rPr>
      <w:rFonts w:ascii="Arial Narrow" w:hAnsi="Arial Narrow"/>
      <w:b/>
      <w:spacing w:val="-2"/>
      <w:sz w:val="20"/>
    </w:rPr>
  </w:style>
  <w:style w:type="paragraph" w:customStyle="1" w:styleId="TinySpace">
    <w:name w:val="TinySpace"/>
    <w:next w:val="Normal"/>
    <w:rsid w:val="00ED5194"/>
    <w:pPr>
      <w:spacing w:line="60" w:lineRule="exact"/>
    </w:pPr>
    <w:rPr>
      <w:rFonts w:ascii="Arial" w:hAnsi="Arial"/>
      <w:noProof/>
      <w:sz w:val="16"/>
    </w:rPr>
  </w:style>
  <w:style w:type="paragraph" w:customStyle="1" w:styleId="VersionHead">
    <w:name w:val="Version Head"/>
    <w:next w:val="VersionText"/>
    <w:rsid w:val="00ED5194"/>
    <w:pPr>
      <w:keepNext/>
      <w:framePr w:w="2088" w:hSpace="187" w:vSpace="187" w:wrap="auto" w:vAnchor="text" w:hAnchor="margin" w:x="-2879" w:y="1" w:anchorLock="1"/>
      <w:widowControl w:val="0"/>
      <w:pBdr>
        <w:bottom w:val="single" w:sz="4" w:space="1" w:color="auto"/>
      </w:pBdr>
      <w:ind w:left="-43"/>
    </w:pPr>
    <w:rPr>
      <w:rFonts w:ascii="Arial Narrow" w:hAnsi="Arial Narrow"/>
      <w:caps/>
      <w:color w:val="000000"/>
    </w:rPr>
  </w:style>
  <w:style w:type="paragraph" w:customStyle="1" w:styleId="WhiteBoardHead">
    <w:name w:val="White Board Head"/>
    <w:basedOn w:val="Normal"/>
    <w:next w:val="Normal"/>
    <w:rsid w:val="00ED5194"/>
    <w:pPr>
      <w:keepLines/>
      <w:framePr w:w="2088" w:hSpace="187" w:vSpace="187" w:wrap="auto" w:vAnchor="text" w:hAnchor="margin" w:x="-2879" w:y="1" w:anchorLock="1"/>
      <w:pBdr>
        <w:top w:val="single" w:sz="6" w:space="0" w:color="auto"/>
        <w:left w:val="single" w:sz="6" w:space="0" w:color="auto"/>
        <w:bottom w:val="single" w:sz="6" w:space="0" w:color="auto"/>
        <w:right w:val="single" w:sz="6" w:space="0" w:color="auto"/>
      </w:pBdr>
      <w:shd w:val="solid" w:color="FFFFFF" w:fill="auto"/>
      <w:tabs>
        <w:tab w:val="left" w:pos="360"/>
      </w:tabs>
      <w:spacing w:before="40" w:line="220" w:lineRule="atLeast"/>
    </w:pPr>
    <w:rPr>
      <w:rFonts w:ascii="Arial Narrow" w:hAnsi="Arial Narrow"/>
      <w:b/>
      <w:caps/>
      <w:spacing w:val="-4"/>
    </w:rPr>
  </w:style>
  <w:style w:type="paragraph" w:customStyle="1" w:styleId="WhiteBoardText">
    <w:name w:val="White Board Text"/>
    <w:basedOn w:val="WhiteBoardHead"/>
    <w:rsid w:val="00ED5194"/>
    <w:pPr>
      <w:framePr w:wrap="auto"/>
      <w:numPr>
        <w:numId w:val="9"/>
      </w:numPr>
      <w:spacing w:before="60"/>
      <w:ind w:left="0" w:firstLine="0"/>
    </w:pPr>
    <w:rPr>
      <w:b w:val="0"/>
      <w:sz w:val="20"/>
    </w:rPr>
  </w:style>
  <w:style w:type="paragraph" w:customStyle="1" w:styleId="ZApplication">
    <w:name w:val="Z_Application"/>
    <w:basedOn w:val="Normal"/>
    <w:next w:val="Normal"/>
    <w:rsid w:val="00ED5194"/>
    <w:pPr>
      <w:keepLines/>
      <w:spacing w:before="480" w:line="480" w:lineRule="atLeast"/>
      <w:ind w:right="-288"/>
    </w:pPr>
    <w:rPr>
      <w:rFonts w:ascii="Arial" w:hAnsi="Arial"/>
      <w:b/>
      <w:i/>
      <w:sz w:val="44"/>
    </w:rPr>
  </w:style>
  <w:style w:type="paragraph" w:customStyle="1" w:styleId="ZBoxTitle">
    <w:name w:val="Z_BoxTitle"/>
    <w:basedOn w:val="Normal"/>
    <w:next w:val="Standard"/>
    <w:rsid w:val="00ED5194"/>
    <w:pPr>
      <w:spacing w:before="420" w:line="400" w:lineRule="exact"/>
    </w:pPr>
    <w:rPr>
      <w:rFonts w:ascii="Arial" w:hAnsi="Arial"/>
      <w:b/>
      <w:spacing w:val="-6"/>
      <w:sz w:val="40"/>
    </w:rPr>
  </w:style>
  <w:style w:type="paragraph" w:customStyle="1" w:styleId="ZCallout">
    <w:name w:val="Z_Callout"/>
    <w:rsid w:val="00ED5194"/>
    <w:pPr>
      <w:widowControl w:val="0"/>
    </w:pPr>
    <w:rPr>
      <w:rFonts w:ascii="Arial Narrow" w:hAnsi="Arial Narrow"/>
      <w:sz w:val="18"/>
    </w:rPr>
  </w:style>
  <w:style w:type="paragraph" w:customStyle="1" w:styleId="ZCalloutR">
    <w:name w:val="Z_CalloutR"/>
    <w:basedOn w:val="Normal"/>
    <w:rsid w:val="00ED5194"/>
    <w:pPr>
      <w:jc w:val="right"/>
    </w:pPr>
    <w:rPr>
      <w:rFonts w:ascii="Arial Narrow" w:hAnsi="Arial Narrow"/>
      <w:sz w:val="18"/>
    </w:rPr>
  </w:style>
  <w:style w:type="paragraph" w:customStyle="1" w:styleId="ZClock">
    <w:name w:val="Z_Clock"/>
    <w:rsid w:val="00ED5194"/>
    <w:pPr>
      <w:framePr w:w="2088" w:wrap="auto" w:vAnchor="text" w:hAnchor="margin" w:x="-2879" w:y="1"/>
      <w:pBdr>
        <w:top w:val="single" w:sz="6" w:space="1" w:color="auto"/>
        <w:left w:val="single" w:sz="6" w:space="1" w:color="auto"/>
        <w:bottom w:val="single" w:sz="6" w:space="1" w:color="auto"/>
        <w:right w:val="single" w:sz="6" w:space="1" w:color="auto"/>
      </w:pBdr>
      <w:tabs>
        <w:tab w:val="left" w:pos="360"/>
      </w:tabs>
      <w:spacing w:after="120"/>
      <w:jc w:val="center"/>
    </w:pPr>
    <w:rPr>
      <w:rFonts w:ascii="Arial" w:hAnsi="Arial"/>
      <w:sz w:val="18"/>
    </w:rPr>
  </w:style>
  <w:style w:type="paragraph" w:customStyle="1" w:styleId="ZClockTime">
    <w:name w:val="Z_ClockTime"/>
    <w:basedOn w:val="ZClock"/>
    <w:rsid w:val="00ED5194"/>
    <w:pPr>
      <w:framePr w:wrap="auto"/>
    </w:pPr>
    <w:rPr>
      <w:b/>
      <w:sz w:val="36"/>
    </w:rPr>
  </w:style>
  <w:style w:type="paragraph" w:customStyle="1" w:styleId="zCoverPicture">
    <w:name w:val="z_CoverPicture"/>
    <w:basedOn w:val="Normal"/>
    <w:rsid w:val="00ED5194"/>
  </w:style>
  <w:style w:type="paragraph" w:customStyle="1" w:styleId="ZDataFileHead">
    <w:name w:val="Z_DataFileHead"/>
    <w:basedOn w:val="Normal"/>
    <w:next w:val="Normal"/>
    <w:rsid w:val="00ED5194"/>
    <w:pPr>
      <w:spacing w:before="120"/>
      <w:jc w:val="center"/>
    </w:pPr>
    <w:rPr>
      <w:rFonts w:ascii="Arial Narrow" w:hAnsi="Arial Narrow"/>
      <w:caps/>
      <w:color w:val="FFFFFF"/>
      <w:sz w:val="28"/>
    </w:rPr>
  </w:style>
  <w:style w:type="paragraph" w:customStyle="1" w:styleId="ZDataFiles">
    <w:name w:val="Z_DataFiles"/>
    <w:basedOn w:val="Normal"/>
    <w:rsid w:val="00ED5194"/>
    <w:pPr>
      <w:spacing w:before="120"/>
      <w:jc w:val="center"/>
    </w:pPr>
    <w:rPr>
      <w:rFonts w:ascii="Arial Narrow" w:hAnsi="Arial Narrow"/>
      <w:b/>
      <w:caps/>
      <w:color w:val="FFFFFF"/>
      <w:sz w:val="20"/>
    </w:rPr>
  </w:style>
  <w:style w:type="paragraph" w:customStyle="1" w:styleId="ZEarlylateText">
    <w:name w:val="Z_Early/late Text"/>
    <w:basedOn w:val="ZClock"/>
    <w:next w:val="Normal"/>
    <w:rsid w:val="00ED5194"/>
    <w:pPr>
      <w:framePr w:hSpace="187" w:vSpace="187" w:wrap="auto" w:vAnchor="margin" w:hAnchor="text" w:yAlign="bottom"/>
      <w:pBdr>
        <w:top w:val="none" w:sz="0" w:space="0" w:color="auto"/>
        <w:left w:val="none" w:sz="0" w:space="0" w:color="auto"/>
        <w:bottom w:val="none" w:sz="0" w:space="0" w:color="auto"/>
        <w:right w:val="none" w:sz="0" w:space="0" w:color="auto"/>
      </w:pBdr>
      <w:jc w:val="left"/>
    </w:pPr>
  </w:style>
  <w:style w:type="paragraph" w:customStyle="1" w:styleId="ZEarlylateBullet">
    <w:name w:val="Z_Early/late Bullet"/>
    <w:basedOn w:val="ZEarlylateText"/>
    <w:rsid w:val="00ED5194"/>
    <w:pPr>
      <w:framePr w:wrap="auto"/>
      <w:numPr>
        <w:numId w:val="10"/>
      </w:numPr>
      <w:tabs>
        <w:tab w:val="clear" w:pos="360"/>
      </w:tabs>
      <w:ind w:left="0" w:firstLine="0"/>
    </w:pPr>
  </w:style>
  <w:style w:type="paragraph" w:customStyle="1" w:styleId="ZEndnote">
    <w:name w:val="Z_Endnote"/>
    <w:basedOn w:val="Standard"/>
    <w:rsid w:val="00ED5194"/>
    <w:pPr>
      <w:pageBreakBefore/>
      <w:spacing w:before="240" w:line="259" w:lineRule="exact"/>
      <w:ind w:left="-3355"/>
      <w:jc w:val="center"/>
    </w:pPr>
    <w:rPr>
      <w:rFonts w:ascii="Arial Narrow" w:hAnsi="Arial Narrow"/>
      <w:b/>
      <w:spacing w:val="0"/>
      <w:sz w:val="32"/>
    </w:rPr>
  </w:style>
  <w:style w:type="paragraph" w:customStyle="1" w:styleId="ZFooterOdd">
    <w:name w:val="Z_FooterOdd"/>
    <w:rsid w:val="00ED5194"/>
    <w:pPr>
      <w:tabs>
        <w:tab w:val="right" w:pos="7380"/>
      </w:tabs>
      <w:spacing w:before="120" w:line="260" w:lineRule="atLeast"/>
      <w:ind w:left="-2880" w:right="-360"/>
    </w:pPr>
    <w:rPr>
      <w:rFonts w:ascii="Arial Narrow" w:hAnsi="Arial Narrow"/>
      <w:sz w:val="22"/>
    </w:rPr>
  </w:style>
  <w:style w:type="paragraph" w:customStyle="1" w:styleId="ZFirstFooterOdd">
    <w:name w:val="Z_First FooterOdd"/>
    <w:basedOn w:val="ZFooterOdd"/>
    <w:rsid w:val="00ED5194"/>
    <w:pPr>
      <w:numPr>
        <w:numId w:val="16"/>
      </w:numPr>
      <w:ind w:left="-2880" w:right="-662" w:firstLine="0"/>
      <w:jc w:val="right"/>
    </w:pPr>
    <w:rPr>
      <w:caps/>
    </w:rPr>
  </w:style>
  <w:style w:type="paragraph" w:customStyle="1" w:styleId="ZFirstHeaderOdd">
    <w:name w:val="Z_FirstHeaderOdd"/>
    <w:basedOn w:val="ZHeaderOdd"/>
    <w:rsid w:val="00ED5194"/>
    <w:pPr>
      <w:tabs>
        <w:tab w:val="clear" w:pos="7290"/>
        <w:tab w:val="right" w:pos="7560"/>
      </w:tabs>
      <w:ind w:left="0" w:right="-576"/>
    </w:pPr>
  </w:style>
  <w:style w:type="paragraph" w:customStyle="1" w:styleId="ZFooterEven">
    <w:name w:val="Z_Footer Even"/>
    <w:basedOn w:val="ZFirstFooterOdd"/>
    <w:rsid w:val="00ED5194"/>
    <w:pPr>
      <w:jc w:val="left"/>
    </w:pPr>
  </w:style>
  <w:style w:type="paragraph" w:customStyle="1" w:styleId="ZFooterEven0">
    <w:name w:val="Z_FooterEven"/>
    <w:rsid w:val="00ED5194"/>
    <w:pPr>
      <w:widowControl w:val="0"/>
      <w:tabs>
        <w:tab w:val="right" w:pos="7290"/>
      </w:tabs>
      <w:spacing w:before="120" w:line="260" w:lineRule="atLeast"/>
      <w:ind w:left="-2880" w:right="-288"/>
    </w:pPr>
    <w:rPr>
      <w:rFonts w:ascii="Arial Narrow" w:hAnsi="Arial Narrow"/>
      <w:sz w:val="22"/>
    </w:rPr>
  </w:style>
  <w:style w:type="paragraph" w:customStyle="1" w:styleId="ZFRCopyright">
    <w:name w:val="Z_FR Copyright"/>
    <w:basedOn w:val="Normal"/>
    <w:rsid w:val="00ED5194"/>
    <w:pPr>
      <w:framePr w:w="2520" w:hSpace="245" w:wrap="auto" w:vAnchor="text" w:hAnchor="page" w:x="951" w:y="1"/>
      <w:spacing w:line="260" w:lineRule="atLeast"/>
      <w:jc w:val="right"/>
    </w:pPr>
    <w:rPr>
      <w:rFonts w:ascii="Arial" w:hAnsi="Arial"/>
      <w:b/>
      <w:sz w:val="26"/>
    </w:rPr>
  </w:style>
  <w:style w:type="paragraph" w:customStyle="1" w:styleId="ZGlossaryBar">
    <w:name w:val="Z_GlossaryBar"/>
    <w:basedOn w:val="Glossary"/>
    <w:rsid w:val="00ED5194"/>
    <w:pPr>
      <w:keepNext/>
      <w:shd w:val="clear" w:color="auto" w:fill="000000"/>
      <w:spacing w:after="0" w:line="200" w:lineRule="exact"/>
      <w:ind w:right="0"/>
      <w:jc w:val="center"/>
    </w:pPr>
    <w:rPr>
      <w:caps/>
      <w:color w:val="FFFFFF"/>
      <w:spacing w:val="60"/>
      <w:sz w:val="20"/>
    </w:rPr>
  </w:style>
  <w:style w:type="paragraph" w:customStyle="1" w:styleId="ZHeaderEven">
    <w:name w:val="Z_HeaderEven"/>
    <w:rsid w:val="00ED5194"/>
    <w:pPr>
      <w:tabs>
        <w:tab w:val="right" w:pos="7290"/>
      </w:tabs>
      <w:spacing w:after="120" w:line="260" w:lineRule="atLeast"/>
      <w:ind w:left="-2880" w:right="-288"/>
    </w:pPr>
    <w:rPr>
      <w:rFonts w:ascii="Arial Narrow" w:hAnsi="Arial Narrow"/>
      <w:sz w:val="22"/>
    </w:rPr>
  </w:style>
  <w:style w:type="paragraph" w:customStyle="1" w:styleId="ZLine">
    <w:name w:val="Z_Line"/>
    <w:basedOn w:val="Normal"/>
    <w:next w:val="Normal"/>
    <w:rsid w:val="00ED5194"/>
    <w:pPr>
      <w:pBdr>
        <w:bottom w:val="single" w:sz="30" w:space="0" w:color="auto"/>
      </w:pBdr>
      <w:tabs>
        <w:tab w:val="right" w:pos="7830"/>
      </w:tabs>
      <w:spacing w:before="4140"/>
      <w:ind w:left="720" w:right="288"/>
    </w:pPr>
  </w:style>
  <w:style w:type="paragraph" w:customStyle="1" w:styleId="ZModNumber">
    <w:name w:val="Z_ModNumber"/>
    <w:basedOn w:val="Normal"/>
    <w:rsid w:val="00ED5194"/>
    <w:pPr>
      <w:spacing w:before="7320" w:line="400" w:lineRule="exact"/>
      <w:jc w:val="center"/>
    </w:pPr>
    <w:rPr>
      <w:rFonts w:ascii="Arial Narrow" w:hAnsi="Arial Narrow"/>
      <w:color w:val="FFFFFF"/>
      <w:spacing w:val="-6"/>
      <w:sz w:val="172"/>
    </w:rPr>
  </w:style>
  <w:style w:type="paragraph" w:customStyle="1" w:styleId="ZModObj">
    <w:name w:val="Z_ModObj"/>
    <w:rsid w:val="00ED5194"/>
    <w:pPr>
      <w:tabs>
        <w:tab w:val="left" w:pos="3789"/>
      </w:tabs>
      <w:spacing w:before="120" w:after="120"/>
      <w:ind w:left="720" w:right="274"/>
      <w:jc w:val="right"/>
    </w:pPr>
    <w:rPr>
      <w:rFonts w:ascii="Arial Narrow" w:hAnsi="Arial Narrow"/>
      <w:b/>
      <w:sz w:val="36"/>
    </w:rPr>
  </w:style>
  <w:style w:type="paragraph" w:customStyle="1" w:styleId="ZModuleName">
    <w:name w:val="Z_ModuleName"/>
    <w:basedOn w:val="Normal"/>
    <w:rsid w:val="00ED5194"/>
    <w:pPr>
      <w:keepLines/>
      <w:spacing w:before="360" w:after="360" w:line="820" w:lineRule="exact"/>
      <w:ind w:left="346" w:right="274"/>
      <w:jc w:val="right"/>
    </w:pPr>
    <w:rPr>
      <w:rFonts w:ascii="Arial Narrow" w:hAnsi="Arial Narrow"/>
      <w:b/>
      <w:sz w:val="64"/>
    </w:rPr>
  </w:style>
  <w:style w:type="paragraph" w:customStyle="1" w:styleId="ZNotesHeader">
    <w:name w:val="Z_NotesHeader"/>
    <w:basedOn w:val="ZHeaderEven"/>
    <w:rsid w:val="00ED5194"/>
    <w:pPr>
      <w:numPr>
        <w:numId w:val="17"/>
      </w:numPr>
      <w:pBdr>
        <w:bottom w:val="single" w:sz="6" w:space="1" w:color="auto"/>
      </w:pBdr>
      <w:tabs>
        <w:tab w:val="clear" w:pos="360"/>
      </w:tabs>
      <w:ind w:left="-2880" w:firstLine="0"/>
    </w:pPr>
  </w:style>
  <w:style w:type="paragraph" w:customStyle="1" w:styleId="ZPerformanceObjective">
    <w:name w:val="Z_PerformanceObjective"/>
    <w:basedOn w:val="Normal"/>
    <w:rsid w:val="00ED5194"/>
    <w:pPr>
      <w:pBdr>
        <w:top w:val="single" w:sz="6" w:space="5" w:color="C0C0C0"/>
        <w:bottom w:val="single" w:sz="6" w:space="5" w:color="C0C0C0"/>
      </w:pBdr>
      <w:spacing w:before="180" w:after="180"/>
      <w:ind w:left="734" w:right="259"/>
      <w:jc w:val="right"/>
    </w:pPr>
    <w:rPr>
      <w:rFonts w:ascii="Arial Narrow" w:hAnsi="Arial Narrow"/>
      <w:i/>
      <w:sz w:val="28"/>
    </w:rPr>
  </w:style>
  <w:style w:type="paragraph" w:customStyle="1" w:styleId="ZSkill">
    <w:name w:val="Z_Skill"/>
    <w:basedOn w:val="ZPerformanceObjective"/>
    <w:rsid w:val="00ED5194"/>
    <w:pPr>
      <w:jc w:val="left"/>
    </w:pPr>
    <w:rPr>
      <w:b/>
      <w:i w:val="0"/>
    </w:rPr>
  </w:style>
  <w:style w:type="paragraph" w:customStyle="1" w:styleId="ZSoftware">
    <w:name w:val="Z_Software"/>
    <w:basedOn w:val="Standard"/>
    <w:rsid w:val="00ED5194"/>
    <w:pPr>
      <w:spacing w:after="0" w:line="259" w:lineRule="atLeast"/>
      <w:jc w:val="left"/>
    </w:pPr>
    <w:rPr>
      <w:rFonts w:ascii="Arial" w:hAnsi="Arial"/>
      <w:b/>
      <w:caps/>
    </w:rPr>
  </w:style>
  <w:style w:type="paragraph" w:customStyle="1" w:styleId="ZSpaceAfter">
    <w:name w:val="Z_SpaceAfter"/>
    <w:next w:val="Normal"/>
    <w:rsid w:val="00ED5194"/>
    <w:pPr>
      <w:widowControl w:val="0"/>
      <w:tabs>
        <w:tab w:val="num" w:pos="1080"/>
      </w:tabs>
      <w:spacing w:line="360" w:lineRule="exact"/>
    </w:pPr>
    <w:rPr>
      <w:rFonts w:ascii="Courier" w:hAnsi="Courier"/>
      <w:sz w:val="22"/>
    </w:rPr>
  </w:style>
  <w:style w:type="paragraph" w:customStyle="1" w:styleId="ZSpaceBefore">
    <w:name w:val="Z_SpaceBefore"/>
    <w:rsid w:val="00ED5194"/>
    <w:pPr>
      <w:keepNext/>
      <w:tabs>
        <w:tab w:val="left" w:pos="3870"/>
      </w:tabs>
      <w:spacing w:line="240" w:lineRule="exact"/>
    </w:pPr>
    <w:rPr>
      <w:rFonts w:ascii="Courier" w:hAnsi="Courier"/>
      <w:sz w:val="22"/>
    </w:rPr>
  </w:style>
  <w:style w:type="paragraph" w:customStyle="1" w:styleId="ParaNumCharCharCharCharChar">
    <w:name w:val="ParaNum Char Char Char Char Char"/>
    <w:basedOn w:val="Normal"/>
    <w:rsid w:val="00ED5194"/>
    <w:pPr>
      <w:tabs>
        <w:tab w:val="num" w:pos="990"/>
      </w:tabs>
      <w:spacing w:after="220"/>
      <w:ind w:left="-90" w:firstLine="720"/>
      <w:jc w:val="both"/>
    </w:pPr>
    <w:rPr>
      <w:snapToGrid/>
    </w:rPr>
  </w:style>
  <w:style w:type="character" w:customStyle="1" w:styleId="StyleParaNum12ptBoldCharChar">
    <w:name w:val="Style ParaNum + 12 pt Bold Char Char"/>
    <w:rsid w:val="00ED5194"/>
    <w:rPr>
      <w:b/>
      <w:bCs/>
      <w:snapToGrid w:val="0"/>
      <w:kern w:val="28"/>
      <w:sz w:val="24"/>
      <w:lang w:val="en-US" w:eastAsia="en-US" w:bidi="ar-SA"/>
    </w:rPr>
  </w:style>
  <w:style w:type="paragraph" w:customStyle="1" w:styleId="ParaNumChar">
    <w:name w:val="ParaNum Char"/>
    <w:basedOn w:val="Normal"/>
    <w:rsid w:val="00ED5194"/>
    <w:pPr>
      <w:tabs>
        <w:tab w:val="num" w:pos="990"/>
      </w:tabs>
      <w:spacing w:after="220"/>
      <w:ind w:left="-90" w:firstLine="720"/>
      <w:jc w:val="both"/>
    </w:pPr>
    <w:rPr>
      <w:snapToGrid/>
    </w:rPr>
  </w:style>
  <w:style w:type="character" w:styleId="Emphasis">
    <w:name w:val="Emphasis"/>
    <w:qFormat/>
    <w:rsid w:val="00ED5194"/>
    <w:rPr>
      <w:i/>
      <w:iCs/>
    </w:rPr>
  </w:style>
  <w:style w:type="paragraph" w:customStyle="1" w:styleId="ParaNumCharCharChar">
    <w:name w:val="ParaNum Char Char Char"/>
    <w:basedOn w:val="Normal"/>
    <w:rsid w:val="00ED5194"/>
    <w:pPr>
      <w:tabs>
        <w:tab w:val="num" w:pos="990"/>
      </w:tabs>
      <w:spacing w:after="220"/>
      <w:ind w:left="-90" w:firstLine="720"/>
      <w:jc w:val="both"/>
    </w:pPr>
    <w:rPr>
      <w:snapToGrid/>
    </w:rPr>
  </w:style>
  <w:style w:type="paragraph" w:customStyle="1" w:styleId="Style11ptJustifiedFirstline05After11pt">
    <w:name w:val="Style 11 pt Justified First line:  0.5&quot; After:  11 pt"/>
    <w:basedOn w:val="Normal"/>
    <w:rsid w:val="00ED5194"/>
    <w:pPr>
      <w:tabs>
        <w:tab w:val="num" w:pos="720"/>
      </w:tabs>
      <w:spacing w:after="220"/>
      <w:ind w:left="720" w:hanging="360"/>
      <w:jc w:val="both"/>
    </w:pPr>
    <w:rPr>
      <w:rFonts w:eastAsia="Batang"/>
      <w:sz w:val="24"/>
      <w:lang w:eastAsia="ko-KR"/>
    </w:rPr>
  </w:style>
  <w:style w:type="character" w:customStyle="1" w:styleId="searchterm3">
    <w:name w:val="searchterm3"/>
    <w:rsid w:val="00ED5194"/>
    <w:rPr>
      <w:rFonts w:ascii="Verdana" w:hAnsi="Verdana" w:hint="default"/>
      <w:b/>
      <w:bCs/>
      <w:sz w:val="19"/>
      <w:szCs w:val="19"/>
      <w:shd w:val="clear" w:color="auto" w:fill="FFFF00"/>
    </w:rPr>
  </w:style>
  <w:style w:type="character" w:customStyle="1" w:styleId="FootnoteTextCharCharCharCharChar1Cha">
    <w:name w:val="Footnote Text Char Char Char Char Char1 Cha"/>
    <w:rsid w:val="00ED5194"/>
    <w:rPr>
      <w:lang w:val="en-US" w:eastAsia="en-US" w:bidi="ar-SA"/>
    </w:rPr>
  </w:style>
  <w:style w:type="character" w:customStyle="1" w:styleId="documentbody">
    <w:name w:val="documentbody"/>
    <w:basedOn w:val="DefaultParagraphFont"/>
    <w:rsid w:val="00ED5194"/>
  </w:style>
  <w:style w:type="character" w:customStyle="1" w:styleId="searchterm">
    <w:name w:val="searchterm"/>
    <w:basedOn w:val="DefaultParagraphFont"/>
    <w:rsid w:val="00ED5194"/>
  </w:style>
  <w:style w:type="character" w:customStyle="1" w:styleId="starpage">
    <w:name w:val="starpage"/>
    <w:basedOn w:val="DefaultParagraphFont"/>
    <w:rsid w:val="00ED5194"/>
  </w:style>
  <w:style w:type="character" w:styleId="Strong">
    <w:name w:val="Strong"/>
    <w:qFormat/>
    <w:rsid w:val="00ED5194"/>
    <w:rPr>
      <w:b/>
      <w:bCs/>
    </w:rPr>
  </w:style>
  <w:style w:type="paragraph" w:styleId="BodyText">
    <w:name w:val="Body Text"/>
    <w:basedOn w:val="Normal"/>
    <w:link w:val="BodyTextChar"/>
    <w:unhideWhenUsed/>
    <w:rsid w:val="00ED5194"/>
    <w:pPr>
      <w:spacing w:after="120"/>
    </w:pPr>
  </w:style>
  <w:style w:type="character" w:customStyle="1" w:styleId="BodyTextChar">
    <w:name w:val="Body Text Char"/>
    <w:basedOn w:val="DefaultParagraphFont"/>
    <w:link w:val="BodyText"/>
    <w:rsid w:val="00ED5194"/>
    <w:rPr>
      <w:snapToGrid w:val="0"/>
      <w:kern w:val="28"/>
      <w:sz w:val="22"/>
    </w:rPr>
  </w:style>
  <w:style w:type="character" w:customStyle="1" w:styleId="EndnoteTextChar">
    <w:name w:val="Endnote Text Char"/>
    <w:basedOn w:val="DefaultParagraphFont"/>
    <w:link w:val="EndnoteText"/>
    <w:semiHidden/>
    <w:rsid w:val="00ED5194"/>
    <w:rPr>
      <w:snapToGrid w:val="0"/>
      <w:kern w:val="28"/>
    </w:rPr>
  </w:style>
  <w:style w:type="paragraph" w:styleId="ListParagraph">
    <w:name w:val="List Paragraph"/>
    <w:basedOn w:val="Normal"/>
    <w:uiPriority w:val="34"/>
    <w:qFormat/>
    <w:rsid w:val="00ED5194"/>
    <w:pPr>
      <w:ind w:left="720"/>
      <w:contextualSpacing/>
    </w:pPr>
  </w:style>
  <w:style w:type="character" w:styleId="FollowedHyperlink">
    <w:name w:val="FollowedHyperlink"/>
    <w:basedOn w:val="DefaultParagraphFont"/>
    <w:uiPriority w:val="99"/>
    <w:unhideWhenUsed/>
    <w:rsid w:val="00ED5194"/>
    <w:rPr>
      <w:color w:val="954F72" w:themeColor="followedHyperlink"/>
      <w:u w:val="single"/>
    </w:rPr>
  </w:style>
  <w:style w:type="paragraph" w:styleId="Revision">
    <w:name w:val="Revision"/>
    <w:hidden/>
    <w:uiPriority w:val="99"/>
    <w:semiHidden/>
    <w:rsid w:val="00ED5194"/>
    <w:rPr>
      <w:snapToGrid w:val="0"/>
      <w:kern w:val="28"/>
      <w:sz w:val="22"/>
    </w:rPr>
  </w:style>
  <w:style w:type="paragraph" w:customStyle="1" w:styleId="footnotedescription">
    <w:name w:val="footnote description"/>
    <w:next w:val="Normal"/>
    <w:link w:val="footnotedescriptionChar"/>
    <w:hidden/>
    <w:rsid w:val="00ED5194"/>
    <w:pPr>
      <w:spacing w:after="115" w:line="259" w:lineRule="auto"/>
    </w:pPr>
    <w:rPr>
      <w:color w:val="000000"/>
      <w:szCs w:val="22"/>
    </w:rPr>
  </w:style>
  <w:style w:type="character" w:customStyle="1" w:styleId="footnotedescriptionChar">
    <w:name w:val="footnote description Char"/>
    <w:link w:val="footnotedescription"/>
    <w:rsid w:val="00ED5194"/>
    <w:rPr>
      <w:color w:val="000000"/>
      <w:szCs w:val="22"/>
    </w:rPr>
  </w:style>
  <w:style w:type="character" w:customStyle="1" w:styleId="UnresolvedMention1">
    <w:name w:val="Unresolved Mention1"/>
    <w:basedOn w:val="DefaultParagraphFont"/>
    <w:uiPriority w:val="99"/>
    <w:semiHidden/>
    <w:unhideWhenUsed/>
    <w:rsid w:val="00ED5194"/>
    <w:rPr>
      <w:color w:val="808080"/>
      <w:shd w:val="clear" w:color="auto" w:fill="E6E6E6"/>
    </w:rPr>
  </w:style>
  <w:style w:type="character" w:customStyle="1" w:styleId="UnresolvedMention2">
    <w:name w:val="Unresolved Mention2"/>
    <w:basedOn w:val="DefaultParagraphFont"/>
    <w:uiPriority w:val="99"/>
    <w:semiHidden/>
    <w:unhideWhenUsed/>
    <w:rsid w:val="00410CB3"/>
    <w:rPr>
      <w:color w:val="605E5C"/>
      <w:shd w:val="clear" w:color="auto" w:fill="E1DFDD"/>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ootnote Text Char2 Char Char Char Char1,f Char1"/>
    <w:basedOn w:val="DefaultParagraphFont"/>
    <w:semiHidden/>
    <w:locked/>
    <w:rsid w:val="00930909"/>
  </w:style>
  <w:style w:type="paragraph" w:styleId="NoSpacing">
    <w:name w:val="No Spacing"/>
    <w:uiPriority w:val="1"/>
    <w:qFormat/>
    <w:rsid w:val="00F80CB1"/>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1.next.westlaw.com/Link/Document/FullText?findType=L&amp;pubNum=1000547&amp;cite=47CFRS1.1102&amp;originatingDoc=N8F8DDB20154711E8996896A5CCA290F5&amp;refType=VP&amp;originationContext=document&amp;transitionType=DocumentItem&amp;contextData=(sc.UserEnteredCitation)" TargetMode="External" /><Relationship Id="rId11" Type="http://schemas.openxmlformats.org/officeDocument/2006/relationships/hyperlink" Target="https://1.next.westlaw.com/Link/Document/FullText?findType=L&amp;pubNum=1000547&amp;cite=47CFRS1.1109&amp;originatingDoc=N8F8DDB20154711E8996896A5CCA290F5&amp;refType=VP&amp;originationContext=document&amp;transitionType=DocumentItem&amp;contextData=(sc.UserEnteredCitation)" TargetMode="External" /><Relationship Id="rId12" Type="http://schemas.openxmlformats.org/officeDocument/2006/relationships/hyperlink" Target="https://1.next.westlaw.com/Link/Document/FullText?findType=L&amp;pubNum=1000547&amp;cite=47CFRS1.1105&amp;originatingDoc=N8F8DDB20154711E8996896A5CCA290F5&amp;refType=VP&amp;originationContext=document&amp;transitionType=DocumentItem&amp;contextData=(sc.UserEnteredCitation)" TargetMode="External" /><Relationship Id="rId13" Type="http://schemas.openxmlformats.org/officeDocument/2006/relationships/hyperlink" Target="https://1.next.westlaw.com/Link/Document/FullText?findType=L&amp;pubNum=1000547&amp;cite=47CFRS1.1119&amp;originatingDoc=N8F8DDB20154711E8996896A5CCA290F5&amp;refType=VB&amp;originationContext=document&amp;transitionType=DocumentItem&amp;contextData=(sc.UserEnteredCitation)" TargetMode="External" /><Relationship Id="rId14" Type="http://schemas.openxmlformats.org/officeDocument/2006/relationships/hyperlink" Target="https://1.next.westlaw.com/Link/Document/FullText?findType=L&amp;pubNum=1000546&amp;cite=47USCAS158&amp;originatingDoc=N8F8DDB20154711E8996896A5CCA290F5&amp;refType=RB&amp;originationContext=document&amp;transitionType=DocumentItem&amp;contextData=(sc.UserEnteredCitation)" TargetMode="External" /><Relationship Id="rId15" Type="http://schemas.openxmlformats.org/officeDocument/2006/relationships/hyperlink" Target="https://1.next.westlaw.com/Link/Document/FullText?findType=L&amp;pubNum=1000547&amp;cite=47CFRS1.1116&amp;originatingDoc=N8F8DDB20154711E8996896A5CCA290F5&amp;refType=VP&amp;originationContext=document&amp;transitionType=DocumentItem&amp;contextData=(sc.UserEnteredCitation)" TargetMode="External" /><Relationship Id="rId16" Type="http://schemas.openxmlformats.org/officeDocument/2006/relationships/hyperlink" Target="https://1.next.westlaw.com/Link/Document/FullText?findType=L&amp;pubNum=1000547&amp;cite=47CFRS0.401&amp;originatingDoc=N8F8DDB20154711E8996896A5CCA290F5&amp;refType=VB&amp;originationContext=document&amp;transitionType=DocumentItem&amp;contextData=(sc.UserEnteredCitation)" TargetMode="External" /><Relationship Id="rId17" Type="http://schemas.openxmlformats.org/officeDocument/2006/relationships/hyperlink" Target="https://1.next.westlaw.com/Link/Document/FullText?findType=L&amp;pubNum=1000547&amp;cite=47CFRS1.934&amp;originatingDoc=N8F8DDB20154711E8996896A5CCA290F5&amp;refType=VP&amp;originationContext=document&amp;transitionType=DocumentItem&amp;contextData=(sc.UserEnteredCitation)" TargetMode="External" /><Relationship Id="rId18" Type="http://schemas.openxmlformats.org/officeDocument/2006/relationships/hyperlink" Target="https://1.next.westlaw.com/Link/Document/FullText?findType=L&amp;pubNum=1000547&amp;cite=47CFRS1.1111&amp;originatingDoc=N8F8DDB20154711E8996896A5CCA290F5&amp;refType=VP&amp;originationContext=document&amp;transitionType=DocumentItem&amp;contextData=(sc.UserEnteredCitation)" TargetMode="External" /><Relationship Id="rId19" Type="http://schemas.openxmlformats.org/officeDocument/2006/relationships/hyperlink" Target="https://1.next.westlaw.com/Link/Document/FullText?findType=l&amp;pubNum=0001037&amp;cite=UUID(I8A6B02D0E7A211DD86A8D8FBEE24D148)&amp;originatingDoc=N99CB73B0E91711DD9EA9C3808A8CEC6D&amp;refType=CP&amp;fi=co_pp_sp_1037_3446&amp;originationContext=document&amp;transitionType=DocumentItem&amp;contextData=(sc.UserEnteredCitation)" TargetMode="External" /><Relationship Id="rId2" Type="http://schemas.openxmlformats.org/officeDocument/2006/relationships/settings" Target="settings.xml" /><Relationship Id="rId20" Type="http://schemas.openxmlformats.org/officeDocument/2006/relationships/hyperlink" Target="https://1.next.westlaw.com/Link/Document/FullText?findType=L&amp;pubNum=1000547&amp;cite=47CFRS1.1102&amp;originatingDoc=NAB145920E91711DD9EA9C3808A8CEC6D&amp;refType=VP&amp;originationContext=document&amp;transitionType=DocumentItem&amp;contextData=(sc.UserEnteredCitation)" TargetMode="External" /><Relationship Id="rId21" Type="http://schemas.openxmlformats.org/officeDocument/2006/relationships/hyperlink" Target="https://1.next.westlaw.com/Link/Document/FullText?findType=L&amp;pubNum=1000547&amp;cite=47CFRS1.1109&amp;originatingDoc=NAB145920E91711DD9EA9C3808A8CEC6D&amp;refType=VP&amp;originationContext=document&amp;transitionType=DocumentItem&amp;contextData=(sc.UserEnteredCitation)" TargetMode="External" /><Relationship Id="rId22" Type="http://schemas.openxmlformats.org/officeDocument/2006/relationships/hyperlink" Target="https://1.next.westlaw.com/Link/Document/FullText?findType=L&amp;pubNum=1000547&amp;cite=47CFRS1.1111&amp;originatingDoc=NBA7E6C70E91711DD9EA9C3808A8CEC6D&amp;refType=VB&amp;originationContext=document&amp;transitionType=DocumentItem&amp;contextData=(sc.UserEnteredCitation)" TargetMode="External" /><Relationship Id="rId23" Type="http://schemas.openxmlformats.org/officeDocument/2006/relationships/hyperlink" Target="https://1.next.westlaw.com/Link/Document/FullText?findType=l&amp;pubNum=1077005&amp;cite=UUID(I6FE253208D-8E43BAB093D-5915409AE30)&amp;originatingDoc=NBA7E6C70E91711DD9EA9C3808A8CEC6D&amp;refType=SL&amp;originationContext=document&amp;transitionType=DocumentItem&amp;contextData=(sc.UserEnteredCitation)" TargetMode="External" /><Relationship Id="rId24" Type="http://schemas.openxmlformats.org/officeDocument/2006/relationships/hyperlink" Target="https://1.next.westlaw.com/Link/Document/FullText?findType=L&amp;pubNum=1000546&amp;cite=31USCAS3711&amp;originatingDoc=NBA7E6C70E91711DD9EA9C3808A8CEC6D&amp;refType=LQ&amp;originationContext=document&amp;transitionType=DocumentItem&amp;contextData=(sc.UserEnteredCitation)" TargetMode="External" /><Relationship Id="rId25" Type="http://schemas.openxmlformats.org/officeDocument/2006/relationships/hyperlink" Target="https://1.next.westlaw.com/Link/Document/FullText?findType=L&amp;pubNum=1000547&amp;cite=47CFRS1.1901&amp;originatingDoc=NBA7E6C70E91711DD9EA9C3808A8CEC6D&amp;refType=VP&amp;originationContext=document&amp;transitionType=DocumentItem&amp;contextData=(sc.UserEnteredCitation)" TargetMode="External" /><Relationship Id="rId26" Type="http://schemas.openxmlformats.org/officeDocument/2006/relationships/hyperlink" Target="https://1.next.westlaw.com/Link/Document/FullText?findType=L&amp;pubNum=1000547&amp;cite=47CFRS1.1952&amp;originatingDoc=NBA7E6C70E91711DD9EA9C3808A8CEC6D&amp;refType=VP&amp;originationContext=document&amp;transitionType=DocumentItem&amp;contextData=(sc.UserEnteredCitation)" TargetMode="External" /><Relationship Id="rId27" Type="http://schemas.openxmlformats.org/officeDocument/2006/relationships/hyperlink" Target="https://1.next.westlaw.com/Link/Document/FullText?findType=L&amp;pubNum=1000547&amp;cite=47CFRS1.1102&amp;originatingDoc=NB6670C50154A11E89A279C1B8681A8DC&amp;refType=VP&amp;originationContext=document&amp;transitionType=DocumentItem&amp;contextData=(sc.UserEnteredCitation)" TargetMode="External" /><Relationship Id="rId28" Type="http://schemas.openxmlformats.org/officeDocument/2006/relationships/hyperlink" Target="https://1.next.westlaw.com/Link/Document/FullText?findType=L&amp;pubNum=1000547&amp;cite=47CFRS1.1107&amp;originatingDoc=NB6670C50154A11E89A279C1B8681A8DC&amp;refType=VP&amp;originationContext=document&amp;transitionType=DocumentItem&amp;contextData=(sc.UserEnteredCitation)" TargetMode="External" /><Relationship Id="rId29" Type="http://schemas.openxmlformats.org/officeDocument/2006/relationships/hyperlink" Target="https://1.next.westlaw.com/Link/Document/FullText?findType=L&amp;pubNum=1000547&amp;cite=47CFRS1.1111&amp;originatingDoc=NB6670C50154A11E89A279C1B8681A8DC&amp;refType=VP&amp;originationContext=document&amp;transitionType=DocumentItem&amp;contextData=(sc.UserEnteredCitation)" TargetMode="External" /><Relationship Id="rId3" Type="http://schemas.openxmlformats.org/officeDocument/2006/relationships/webSettings" Target="webSettings.xml" /><Relationship Id="rId30" Type="http://schemas.openxmlformats.org/officeDocument/2006/relationships/hyperlink" Target="https://1.next.westlaw.com/Link/Document/FullText?findType=L&amp;pubNum=1000547&amp;cite=47CFRS1.1118&amp;originatingDoc=NBE0B8AD0E91711DD9AF1AF1B24AE4D5A&amp;refType=VP&amp;originationContext=document&amp;transitionType=DocumentItem&amp;contextData=(sc.UserEnteredCitation)" TargetMode="External" /><Relationship Id="rId31" Type="http://schemas.openxmlformats.org/officeDocument/2006/relationships/hyperlink" Target="https://1.next.westlaw.com/Link/Document/FullText?findType=L&amp;pubNum=1000547&amp;cite=47CFRS1.106&amp;originatingDoc=NBE0B8AD0E91711DD9AF1AF1B24AE4D5A&amp;refType=VP&amp;originationContext=document&amp;transitionType=DocumentItem&amp;contextData=(sc.UserEnteredCitation)" TargetMode="External" /><Relationship Id="rId32" Type="http://schemas.openxmlformats.org/officeDocument/2006/relationships/hyperlink" Target="https://1.next.westlaw.com/Link/Document/FullText?findType=L&amp;pubNum=1000547&amp;cite=47CFRS1.115&amp;originatingDoc=NBE0B8AD0E91711DD9AF1AF1B24AE4D5A&amp;refType=VP&amp;originationContext=document&amp;transitionType=DocumentItem&amp;contextData=(sc.UserEnteredCitation)" TargetMode="External" /><Relationship Id="rId33" Type="http://schemas.openxmlformats.org/officeDocument/2006/relationships/header" Target="header1.xml" /><Relationship Id="rId34" Type="http://schemas.openxmlformats.org/officeDocument/2006/relationships/footer" Target="footer1.xml" /><Relationship Id="rId35" Type="http://schemas.openxmlformats.org/officeDocument/2006/relationships/footer" Target="footer2.xml" /><Relationship Id="rId36" Type="http://schemas.openxmlformats.org/officeDocument/2006/relationships/header" Target="header2.xml" /><Relationship Id="rId37" Type="http://schemas.openxmlformats.org/officeDocument/2006/relationships/footer" Target="footer3.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1.next.westlaw.com/Link/Document/FullText?findType=L&amp;pubNum=1000547&amp;cite=47CFRS1.1152&amp;originatingDoc=NC879ABF0971311E8AEE1CF856FA93907&amp;refType=VP&amp;originationContext=document&amp;transitionType=DocumentItem&amp;contextData=(sc.UserEnteredCitation)" TargetMode="External" /><Relationship Id="rId8" Type="http://schemas.openxmlformats.org/officeDocument/2006/relationships/hyperlink" Target="http://www.fcc.gov/feefiler" TargetMode="External" /><Relationship Id="rId9" Type="http://schemas.openxmlformats.org/officeDocument/2006/relationships/hyperlink" Target="http://www.fcc.gov/licensing-databases/fees"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nasa.gov/content/what-are-smallsats-and-cubesats" TargetMode="External" /><Relationship Id="rId10" Type="http://schemas.openxmlformats.org/officeDocument/2006/relationships/hyperlink" Target="https://docs.fcc.gov/public/attachments/DOC-356607A1.pdf" TargetMode="External" /><Relationship Id="rId11" Type="http://schemas.openxmlformats.org/officeDocument/2006/relationships/hyperlink" Target="https://www.fcc.gov/document/fcc-closes-headquarters-open-window-and-changes-hand-delivery-policy" TargetMode="External" /><Relationship Id="rId12" Type="http://schemas.openxmlformats.org/officeDocument/2006/relationships/hyperlink" Target="https://www.sba.gov/sites/default/files/advocacy/SB-FAQ-2016_WEB.pdf" TargetMode="External" /><Relationship Id="rId13" Type="http://schemas.openxmlformats.org/officeDocument/2006/relationships/hyperlink" Target="http://nccs.urban.org/sites/all/nccs-archive/html/tablewiz/tw.php" TargetMode="External" /><Relationship Id="rId14" Type="http://schemas.openxmlformats.org/officeDocument/2006/relationships/hyperlink" Target="https://factfinder.census.gov/faces/affhelp/jsf/pages/metadata.xhtml?lang=en&amp;type=program&amp;id=program.en.COG" TargetMode="External" /><Relationship Id="rId15" Type="http://schemas.openxmlformats.org/officeDocument/2006/relationships/hyperlink" Target="https://factfinder.census.gov/bkmk/table/1.0/en/COG/2012/ORG02.US01" TargetMode="External" /><Relationship Id="rId16" Type="http://schemas.openxmlformats.org/officeDocument/2006/relationships/hyperlink" Target="https://factfinder.census.gov/bkmk/table/1.0/en/COG/2012/ORG06.US01" TargetMode="External" /><Relationship Id="rId17" Type="http://schemas.openxmlformats.org/officeDocument/2006/relationships/hyperlink" Target="https://factfinder.census.gov/bkmk/table/1.0/en/COG/2012/ORG07.US01" TargetMode="External" /><Relationship Id="rId18" Type="http://schemas.openxmlformats.org/officeDocument/2006/relationships/hyperlink" Target="https://factfinder.census.gov/bkmk/table/1.0/en/COG/2012/ORG11.US01" TargetMode="External" /><Relationship Id="rId19" Type="http://schemas.openxmlformats.org/officeDocument/2006/relationships/hyperlink" Target="https://factfinder.census.gov/bkmk/table/1.0/en/COG/2012/ORG09.US01" TargetMode="External" /><Relationship Id="rId2" Type="http://schemas.openxmlformats.org/officeDocument/2006/relationships/hyperlink" Target="https://www.fcc.gov/media" TargetMode="External" /><Relationship Id="rId20" Type="http://schemas.openxmlformats.org/officeDocument/2006/relationships/hyperlink" Target="https://www.census.gov/cgi-bin/sssd/naics/naicsrch?code=517311&amp;search=2017" TargetMode="External" /><Relationship Id="rId21" Type="http://schemas.openxmlformats.org/officeDocument/2006/relationships/hyperlink" Target="https://factfinder.census.gov/bkmk/table/1.0/en/ECN/2012_US/51SSSZ5//naics~517110" TargetMode="External" /><Relationship Id="rId22" Type="http://schemas.openxmlformats.org/officeDocument/2006/relationships/hyperlink" Target="https://apps.fcc.gov/edocs_public/attachmatch/DOC-301823A1.pdf" TargetMode="External" /><Relationship Id="rId23" Type="http://schemas.openxmlformats.org/officeDocument/2006/relationships/hyperlink" Target="https://www.census.gov/cgi-bin/sssd/naics/naicsrch?code=517911&amp;search=2017%20NAICS%20Search" TargetMode="External" /><Relationship Id="rId24" Type="http://schemas.openxmlformats.org/officeDocument/2006/relationships/hyperlink" Target="https://factfinder.census.gov/bkmk/table/1.0/en/ECN/2012_US/51SSSZ5//naics~517911" TargetMode="External" /><Relationship Id="rId25" Type="http://schemas.openxmlformats.org/officeDocument/2006/relationships/hyperlink" Target="https://factfinder.census.gov/faces/affhelp/jsf/pages/metadata.xhtml?lang=en&amp;type=ib&amp;id=ib.en./ECN.NAICS2012.517210" TargetMode="External" /><Relationship Id="rId26" Type="http://schemas.openxmlformats.org/officeDocument/2006/relationships/hyperlink" Target="https://factfinder.census.gov/bkmk/table/1.0/en/ECN/2012_US/51SSSZ5//naics~517210" TargetMode="External" /><Relationship Id="rId27" Type="http://schemas.openxmlformats.org/officeDocument/2006/relationships/hyperlink" Target="https://www.census.gov/cgi-bin/sssd/naics/naicsrch?input=515120&amp;search=2017+NAICS+Search&amp;search=2017" TargetMode="External" /><Relationship Id="rId28" Type="http://schemas.openxmlformats.org/officeDocument/2006/relationships/hyperlink" Target="https://factfinder.census.gov/bkmk/table/1.0/en/ECN/2012_US/51SSSZ4//naics~515120" TargetMode="External" /><Relationship Id="rId29" Type="http://schemas.openxmlformats.org/officeDocument/2006/relationships/hyperlink" Target="https://docs.fcc.gov/public/attachments/DOC-352168A1.pdf" TargetMode="External" /><Relationship Id="rId3" Type="http://schemas.openxmlformats.org/officeDocument/2006/relationships/hyperlink" Target="https://www.fcc.gov/engineering-technology" TargetMode="External" /><Relationship Id="rId30" Type="http://schemas.openxmlformats.org/officeDocument/2006/relationships/hyperlink" Target="https://factfinder.census.gov/faces/affhelp/jsf/pages/metadata.xhtml?lang=en&amp;type=ib&amp;id=ib.en./ECN.NAICS2012.515112" TargetMode="External" /><Relationship Id="rId31" Type="http://schemas.openxmlformats.org/officeDocument/2006/relationships/hyperlink" Target="https://www.census.gov/cgi-bin/sssd/naics/naicsrch?input=515112&amp;search=2017+NAICS+Search&amp;search=2017" TargetMode="External" /><Relationship Id="rId32" Type="http://schemas.openxmlformats.org/officeDocument/2006/relationships/hyperlink" Target="https://factfinder.census.gov/bkmk/table/1.0/en/ECN/2012_US/51SSSZ4//naics~515112" TargetMode="External" /><Relationship Id="rId33" Type="http://schemas.openxmlformats.org/officeDocument/2006/relationships/hyperlink" Target="https://www.census.gov/cgi-bin/sssd/naics/naicsrch?input=517919&amp;search=2017+NAICS+Search&amp;search=2017" TargetMode="External" /><Relationship Id="rId34" Type="http://schemas.openxmlformats.org/officeDocument/2006/relationships/hyperlink" Target="https://factfinder.census.gov/bkmk/table/1.0/en/ECN/2012_US/51SSSZ4//naics~517919" TargetMode="External" /><Relationship Id="rId4" Type="http://schemas.openxmlformats.org/officeDocument/2006/relationships/hyperlink" Target="https://consumercomplaints.fcc.gov/hc/en-us" TargetMode="External" /><Relationship Id="rId5" Type="http://schemas.openxmlformats.org/officeDocument/2006/relationships/hyperlink" Target="https://www.fcc.gov/international" TargetMode="External" /><Relationship Id="rId6" Type="http://schemas.openxmlformats.org/officeDocument/2006/relationships/hyperlink" Target="https://www.itu.int/rec/T-REC-X.121/en" TargetMode="External" /><Relationship Id="rId7" Type="http://schemas.openxmlformats.org/officeDocument/2006/relationships/hyperlink" Target="https://www.itu.int/net/ITU-R/asp/terminology-definition.asp?lang=en&amp;rlink=%7bEAA8C660-C702-4B47-A23E-20812661AC3A%7d;%20%20Q.708" TargetMode="External" /><Relationship Id="rId8" Type="http://schemas.openxmlformats.org/officeDocument/2006/relationships/hyperlink" Target="https://www.itu.int/rec/T-REC-Q.708/en" TargetMode="External" /><Relationship Id="rId9" Type="http://schemas.openxmlformats.org/officeDocument/2006/relationships/hyperlink" Target="https://docs.fcc.gov/public/attachments/DOC-360844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