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95A9940" w14:textId="55DDD883">
      <w:pPr>
        <w:jc w:val="center"/>
        <w:rPr>
          <w:b/>
        </w:rPr>
      </w:pPr>
      <w:r w:rsidRPr="0070224F">
        <w:rPr>
          <w:rFonts w:ascii="Times New Roman Bold" w:hAnsi="Times New Roman Bold"/>
          <w:b/>
          <w:kern w:val="0"/>
          <w:szCs w:val="22"/>
        </w:rPr>
        <w:t>Before</w:t>
      </w:r>
      <w:r>
        <w:rPr>
          <w:b/>
        </w:rPr>
        <w:t xml:space="preserve"> the</w:t>
      </w:r>
    </w:p>
    <w:p w:rsidR="00921803" w:rsidP="00921803" w14:paraId="73B5DEE6" w14:textId="77777777">
      <w:pPr>
        <w:pStyle w:val="StyleBoldCentered"/>
      </w:pPr>
      <w:r>
        <w:t>F</w:t>
      </w:r>
      <w:r>
        <w:rPr>
          <w:caps w:val="0"/>
        </w:rPr>
        <w:t>ederal Communications Commission</w:t>
      </w:r>
    </w:p>
    <w:p w:rsidR="004C2EE3" w:rsidP="00096D8C" w14:paraId="233515AB" w14:textId="77777777">
      <w:pPr>
        <w:pStyle w:val="StyleBoldCentered"/>
      </w:pPr>
      <w:r>
        <w:rPr>
          <w:caps w:val="0"/>
        </w:rPr>
        <w:t>Washington, D.C. 20554</w:t>
      </w:r>
    </w:p>
    <w:p w:rsidR="004C2EE3" w:rsidP="0070224F" w14:paraId="468CFB31" w14:textId="77777777"/>
    <w:p w:rsidR="004C2EE3" w:rsidP="0070224F" w14:paraId="298D57E0" w14:textId="77777777"/>
    <w:tbl>
      <w:tblPr>
        <w:tblW w:w="0" w:type="auto"/>
        <w:tblLayout w:type="fixed"/>
        <w:tblLook w:val="0000"/>
      </w:tblPr>
      <w:tblGrid>
        <w:gridCol w:w="4698"/>
        <w:gridCol w:w="630"/>
        <w:gridCol w:w="4248"/>
      </w:tblGrid>
      <w:tr w14:paraId="23A67FF9" w14:textId="77777777">
        <w:tblPrEx>
          <w:tblW w:w="0" w:type="auto"/>
          <w:tblLayout w:type="fixed"/>
          <w:tblLook w:val="0000"/>
        </w:tblPrEx>
        <w:tc>
          <w:tcPr>
            <w:tcW w:w="4698" w:type="dxa"/>
          </w:tcPr>
          <w:p w:rsidR="004C2EE3" w14:paraId="2E70F462" w14:textId="77777777">
            <w:pPr>
              <w:tabs>
                <w:tab w:val="center" w:pos="4680"/>
              </w:tabs>
              <w:suppressAutoHyphens/>
              <w:rPr>
                <w:spacing w:val="-2"/>
              </w:rPr>
            </w:pPr>
            <w:r>
              <w:rPr>
                <w:spacing w:val="-2"/>
              </w:rPr>
              <w:t>In the Matter of</w:t>
            </w:r>
          </w:p>
          <w:p w:rsidR="004C2EE3" w14:paraId="3E5C1C6F" w14:textId="77777777">
            <w:pPr>
              <w:tabs>
                <w:tab w:val="center" w:pos="4680"/>
              </w:tabs>
              <w:suppressAutoHyphens/>
              <w:rPr>
                <w:spacing w:val="-2"/>
              </w:rPr>
            </w:pPr>
          </w:p>
          <w:p w:rsidR="004C2EE3" w:rsidRPr="00B342C6" w:rsidP="007115F7" w14:paraId="6EBB9714" w14:textId="7B5745EA">
            <w:pPr>
              <w:tabs>
                <w:tab w:val="center" w:pos="4680"/>
              </w:tabs>
              <w:suppressAutoHyphens/>
              <w:rPr>
                <w:spacing w:val="-2"/>
              </w:rPr>
            </w:pPr>
            <w:r w:rsidRPr="00B342C6">
              <w:rPr>
                <w:spacing w:val="-2"/>
              </w:rPr>
              <w:t>Expanding Flexible Use of the 3.7 to 4.2 GHz Band</w:t>
            </w:r>
          </w:p>
        </w:tc>
        <w:tc>
          <w:tcPr>
            <w:tcW w:w="630" w:type="dxa"/>
          </w:tcPr>
          <w:p w:rsidR="004C2EE3" w14:paraId="2D9FC26B" w14:textId="77777777">
            <w:pPr>
              <w:tabs>
                <w:tab w:val="center" w:pos="4680"/>
              </w:tabs>
              <w:suppressAutoHyphens/>
              <w:rPr>
                <w:b/>
                <w:spacing w:val="-2"/>
              </w:rPr>
            </w:pPr>
            <w:r>
              <w:rPr>
                <w:b/>
                <w:spacing w:val="-2"/>
              </w:rPr>
              <w:t>)</w:t>
            </w:r>
          </w:p>
          <w:p w:rsidR="004C2EE3" w14:paraId="64F248ED" w14:textId="77777777">
            <w:pPr>
              <w:tabs>
                <w:tab w:val="center" w:pos="4680"/>
              </w:tabs>
              <w:suppressAutoHyphens/>
              <w:rPr>
                <w:b/>
                <w:spacing w:val="-2"/>
              </w:rPr>
            </w:pPr>
            <w:r>
              <w:rPr>
                <w:b/>
                <w:spacing w:val="-2"/>
              </w:rPr>
              <w:t>)</w:t>
            </w:r>
          </w:p>
          <w:p w:rsidR="004C2EE3" w14:paraId="3DE4A5EE" w14:textId="77777777">
            <w:pPr>
              <w:tabs>
                <w:tab w:val="center" w:pos="4680"/>
              </w:tabs>
              <w:suppressAutoHyphens/>
              <w:rPr>
                <w:b/>
                <w:spacing w:val="-2"/>
              </w:rPr>
            </w:pPr>
            <w:r>
              <w:rPr>
                <w:b/>
                <w:spacing w:val="-2"/>
              </w:rPr>
              <w:t>)</w:t>
            </w:r>
          </w:p>
          <w:p w:rsidR="004C2EE3" w:rsidRPr="00B342C6" w:rsidP="00EF139A" w14:paraId="05439EA4" w14:textId="5B00664F">
            <w:pPr>
              <w:tabs>
                <w:tab w:val="center" w:pos="4680"/>
              </w:tabs>
              <w:suppressAutoHyphens/>
              <w:rPr>
                <w:b/>
                <w:spacing w:val="-2"/>
              </w:rPr>
            </w:pPr>
          </w:p>
        </w:tc>
        <w:tc>
          <w:tcPr>
            <w:tcW w:w="4248" w:type="dxa"/>
          </w:tcPr>
          <w:p w:rsidR="004C2EE3" w14:paraId="0E29A843" w14:textId="77777777">
            <w:pPr>
              <w:tabs>
                <w:tab w:val="center" w:pos="4680"/>
              </w:tabs>
              <w:suppressAutoHyphens/>
              <w:rPr>
                <w:spacing w:val="-2"/>
              </w:rPr>
            </w:pPr>
          </w:p>
          <w:p w:rsidR="004C2EE3" w14:paraId="6F28CC08" w14:textId="77777777">
            <w:pPr>
              <w:pStyle w:val="TOAHeading"/>
              <w:tabs>
                <w:tab w:val="center" w:pos="4680"/>
                <w:tab w:val="clear" w:pos="9360"/>
              </w:tabs>
              <w:rPr>
                <w:spacing w:val="-2"/>
              </w:rPr>
            </w:pPr>
          </w:p>
          <w:p w:rsidR="004C2EE3" w14:paraId="0B2849DE" w14:textId="3524536C">
            <w:pPr>
              <w:tabs>
                <w:tab w:val="center" w:pos="4680"/>
              </w:tabs>
              <w:suppressAutoHyphens/>
              <w:rPr>
                <w:spacing w:val="-2"/>
              </w:rPr>
            </w:pPr>
            <w:r>
              <w:rPr>
                <w:spacing w:val="-2"/>
              </w:rPr>
              <w:t>GN Docket No. 18-122</w:t>
            </w:r>
          </w:p>
        </w:tc>
      </w:tr>
    </w:tbl>
    <w:p w:rsidR="004C2EE3" w:rsidP="0070224F" w14:paraId="45884162" w14:textId="77777777"/>
    <w:p w:rsidR="00841AB1" w:rsidP="00F021FA" w14:paraId="174122D9" w14:textId="6FAC653D">
      <w:pPr>
        <w:pStyle w:val="StyleBoldCentered"/>
      </w:pPr>
      <w:r>
        <w:t>Order</w:t>
      </w:r>
      <w:r w:rsidR="0025340A">
        <w:t xml:space="preserve"> AND ORDER OF MODIFICATION</w:t>
      </w:r>
    </w:p>
    <w:p w:rsidR="004C2EE3" w14:paraId="38E294EE" w14:textId="77777777">
      <w:pPr>
        <w:tabs>
          <w:tab w:val="left" w:pos="-720"/>
        </w:tabs>
        <w:suppressAutoHyphens/>
        <w:spacing w:line="227" w:lineRule="auto"/>
        <w:rPr>
          <w:spacing w:val="-2"/>
        </w:rPr>
      </w:pPr>
    </w:p>
    <w:p w:rsidR="004C2EE3" w:rsidP="00133F79" w14:paraId="67784DD8" w14:textId="32AC1A62">
      <w:pPr>
        <w:tabs>
          <w:tab w:val="left" w:pos="720"/>
          <w:tab w:val="right" w:pos="9360"/>
        </w:tabs>
        <w:suppressAutoHyphens/>
        <w:spacing w:line="227" w:lineRule="auto"/>
        <w:rPr>
          <w:spacing w:val="-2"/>
        </w:rPr>
      </w:pPr>
      <w:r>
        <w:rPr>
          <w:b/>
          <w:spacing w:val="-2"/>
        </w:rPr>
        <w:t xml:space="preserve">Adopted:  </w:t>
      </w:r>
      <w:r w:rsidR="00AB0893">
        <w:rPr>
          <w:b/>
          <w:spacing w:val="-2"/>
        </w:rPr>
        <w:t>August 25,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B0893">
        <w:rPr>
          <w:b/>
          <w:spacing w:val="-2"/>
        </w:rPr>
        <w:t>August 26, 2020</w:t>
      </w:r>
    </w:p>
    <w:p w:rsidR="00822CE0" w14:paraId="0D4F3A14" w14:textId="77777777"/>
    <w:p w:rsidR="004C2EE3" w14:paraId="3373C63E" w14:textId="42038348">
      <w:pPr>
        <w:rPr>
          <w:spacing w:val="-2"/>
        </w:rPr>
      </w:pPr>
      <w:r>
        <w:t xml:space="preserve">By </w:t>
      </w:r>
      <w:r w:rsidR="004E4A22">
        <w:t>the</w:t>
      </w:r>
      <w:r w:rsidR="002A2D2E">
        <w:t xml:space="preserve"> </w:t>
      </w:r>
      <w:r w:rsidR="00B4534B">
        <w:rPr>
          <w:spacing w:val="-2"/>
        </w:rPr>
        <w:t>Commission</w:t>
      </w:r>
      <w:r>
        <w:rPr>
          <w:spacing w:val="-2"/>
        </w:rPr>
        <w:t>:</w:t>
      </w:r>
      <w:r w:rsidR="00AB0893">
        <w:rPr>
          <w:spacing w:val="-2"/>
        </w:rPr>
        <w:t xml:space="preserve">  </w:t>
      </w:r>
      <w:r w:rsidR="00174666">
        <w:t>Commissioner Rosenworcel approving in part, dissenting in part and issuing a statement; Commissioner Starks approving in part and dissenting in part.</w:t>
      </w:r>
    </w:p>
    <w:p w:rsidR="00D11B3E" w14:paraId="60083C83" w14:textId="77777777">
      <w:pPr>
        <w:rPr>
          <w:spacing w:val="-2"/>
        </w:rPr>
      </w:pPr>
    </w:p>
    <w:p w:rsidR="00DA6651" w:rsidP="00DA6651" w14:paraId="407E1C31" w14:textId="53778805">
      <w:pPr>
        <w:pStyle w:val="Heading1"/>
      </w:pPr>
      <w:r>
        <w:t>Introduction</w:t>
      </w:r>
    </w:p>
    <w:p w:rsidR="00EF139A" w:rsidP="00B16AFD" w14:paraId="5BC43E32" w14:textId="49A7C101">
      <w:pPr>
        <w:pStyle w:val="ParaNum"/>
        <w:numPr>
          <w:ilvl w:val="0"/>
          <w:numId w:val="7"/>
        </w:numPr>
      </w:pPr>
      <w:r>
        <w:t xml:space="preserve">In the </w:t>
      </w:r>
      <w:r w:rsidRPr="00B16AFD">
        <w:rPr>
          <w:i/>
          <w:iCs/>
        </w:rPr>
        <w:t xml:space="preserve">3.7 GHz </w:t>
      </w:r>
      <w:r>
        <w:rPr>
          <w:i/>
          <w:iCs/>
        </w:rPr>
        <w:t>R&amp;O</w:t>
      </w:r>
      <w:r>
        <w:t>, the Commission proposed to modify, pursuant to section 316(a) of the Communication Act,</w:t>
      </w:r>
      <w:r>
        <w:rPr>
          <w:rStyle w:val="FootnoteReference"/>
        </w:rPr>
        <w:footnoteReference w:id="3"/>
      </w:r>
      <w:r>
        <w:t xml:space="preserve"> the existing Fixed Satellite Service (FSS) licenses and market access authorizations held by space station operators in the 3.7-4.2 GHz band to require licensees to cease operations in the lower 300 megahertz (3.7-4.0 GHz) by December 8, 2025, and to migrate their operations to the upper 200 megahertz (4.0-4.2 GHz).</w:t>
      </w:r>
      <w:r>
        <w:rPr>
          <w:rStyle w:val="FootnoteReference"/>
        </w:rPr>
        <w:footnoteReference w:id="4"/>
      </w:r>
      <w:r>
        <w:t xml:space="preserve">  On May 22, 2020, the ABS Global Ltd. (ABS), Empresa Argentina de Soluciones Satelitales S.A. (ARSAT), Hispamar </w:t>
      </w:r>
      <w:r w:rsidRPr="00C1266C">
        <w:t>Satélites</w:t>
      </w:r>
      <w:r>
        <w:t xml:space="preserve"> S.A., and Hispasat S.A. (Hispasat) (collectively Small Satellite Operators or SSOs) filed a protest of that Order of Proposed Modification.</w:t>
      </w:r>
      <w:r>
        <w:rPr>
          <w:rStyle w:val="FootnoteReference"/>
        </w:rPr>
        <w:footnoteReference w:id="5"/>
      </w:r>
      <w:r>
        <w:t xml:space="preserve">  As relevant here, the SSOs’ protest argues that “section 316 does not authorize such a fundamental change to their licenses.”</w:t>
      </w:r>
      <w:r>
        <w:rPr>
          <w:rStyle w:val="FootnoteReference"/>
        </w:rPr>
        <w:footnoteReference w:id="6"/>
      </w:r>
      <w:r>
        <w:t xml:space="preserve">  </w:t>
      </w:r>
    </w:p>
    <w:p w:rsidR="00B16AFD" w:rsidP="00B16AFD" w14:paraId="2BAA11D7" w14:textId="1EC81CA6">
      <w:pPr>
        <w:pStyle w:val="ParaNum"/>
        <w:numPr>
          <w:ilvl w:val="0"/>
          <w:numId w:val="7"/>
        </w:numPr>
      </w:pPr>
      <w:r>
        <w:t>By this Order</w:t>
      </w:r>
      <w:r w:rsidR="00BB03A4">
        <w:t>,</w:t>
      </w:r>
      <w:r>
        <w:t xml:space="preserve"> we deny the protest</w:t>
      </w:r>
      <w:r w:rsidR="0054762A">
        <w:t xml:space="preserve"> and</w:t>
      </w:r>
      <w:r w:rsidR="003421AF">
        <w:t xml:space="preserve"> </w:t>
      </w:r>
      <w:r w:rsidR="0054762A">
        <w:t xml:space="preserve">hereby </w:t>
      </w:r>
      <w:r w:rsidR="00300250">
        <w:t xml:space="preserve">adopt the proposed modifications to the SSOs’ licenses set forth in the </w:t>
      </w:r>
      <w:r w:rsidR="00300250">
        <w:rPr>
          <w:i/>
          <w:iCs/>
        </w:rPr>
        <w:t>3.7 GHz R&amp;O</w:t>
      </w:r>
      <w:r w:rsidR="00300250">
        <w:t>.</w:t>
      </w:r>
      <w:r w:rsidR="00300250">
        <w:rPr>
          <w:i/>
          <w:iCs/>
        </w:rPr>
        <w:t xml:space="preserve"> </w:t>
      </w:r>
      <w:r w:rsidR="00D85EF4">
        <w:rPr>
          <w:i/>
          <w:iCs/>
        </w:rPr>
        <w:t xml:space="preserve"> </w:t>
      </w:r>
      <w:r w:rsidR="007757AA">
        <w:t xml:space="preserve">We </w:t>
      </w:r>
      <w:r w:rsidR="00F53939">
        <w:t>dismiss</w:t>
      </w:r>
      <w:r w:rsidR="007757AA">
        <w:t xml:space="preserve"> the protest on procedural grounds</w:t>
      </w:r>
      <w:r w:rsidR="00C95C78">
        <w:t xml:space="preserve"> because it </w:t>
      </w:r>
      <w:r w:rsidR="00F53939">
        <w:t>does not comply with</w:t>
      </w:r>
      <w:r w:rsidR="00C95C78">
        <w:t xml:space="preserve"> the requirements for a protest under the Commission’s rules</w:t>
      </w:r>
      <w:r w:rsidR="007D299B">
        <w:t>.  I</w:t>
      </w:r>
      <w:r w:rsidR="007757AA">
        <w:t>n the alternative,</w:t>
      </w:r>
      <w:r w:rsidR="00B32800">
        <w:t xml:space="preserve"> because the protest </w:t>
      </w:r>
      <w:r w:rsidR="00B20F7D">
        <w:t xml:space="preserve">fails to </w:t>
      </w:r>
      <w:r w:rsidR="00B32800">
        <w:t>raise any new arguments and instead purports only to incorporate arguments made</w:t>
      </w:r>
      <w:r w:rsidR="00C426AC">
        <w:t xml:space="preserve"> and addressed</w:t>
      </w:r>
      <w:r w:rsidR="00B32800">
        <w:t xml:space="preserve"> earlier in this proceeding</w:t>
      </w:r>
      <w:r w:rsidR="00C426AC">
        <w:t>,</w:t>
      </w:r>
      <w:r w:rsidR="007757AA">
        <w:t xml:space="preserve"> </w:t>
      </w:r>
      <w:r w:rsidR="007D299B">
        <w:t xml:space="preserve">we </w:t>
      </w:r>
      <w:r w:rsidR="007757AA">
        <w:t>deny the protest</w:t>
      </w:r>
      <w:r w:rsidR="00AE4E4F">
        <w:t xml:space="preserve"> on the merits</w:t>
      </w:r>
      <w:r w:rsidR="007757AA">
        <w:t xml:space="preserve"> </w:t>
      </w:r>
      <w:r w:rsidR="00B32800">
        <w:t>for the reasons previously set forth</w:t>
      </w:r>
      <w:r w:rsidR="007D299B">
        <w:t xml:space="preserve"> in the </w:t>
      </w:r>
      <w:r w:rsidR="007757AA">
        <w:rPr>
          <w:i/>
          <w:iCs/>
        </w:rPr>
        <w:t xml:space="preserve">3.7 </w:t>
      </w:r>
      <w:r w:rsidR="00F31880">
        <w:rPr>
          <w:i/>
          <w:iCs/>
        </w:rPr>
        <w:t xml:space="preserve">GHz </w:t>
      </w:r>
      <w:r w:rsidR="004B4807">
        <w:rPr>
          <w:i/>
          <w:iCs/>
        </w:rPr>
        <w:t>R&amp;O</w:t>
      </w:r>
      <w:r w:rsidRPr="005D35BA" w:rsidR="007D299B">
        <w:rPr>
          <w:iCs/>
        </w:rPr>
        <w:t xml:space="preserve"> </w:t>
      </w:r>
      <w:r w:rsidR="007D299B">
        <w:t xml:space="preserve">and </w:t>
      </w:r>
      <w:r w:rsidR="00CB663F">
        <w:t xml:space="preserve">the </w:t>
      </w:r>
      <w:r w:rsidR="005C2DA5">
        <w:rPr>
          <w:i/>
        </w:rPr>
        <w:t>SSO Stay Denial</w:t>
      </w:r>
      <w:r w:rsidR="005C2DA5">
        <w:t xml:space="preserve"> </w:t>
      </w:r>
      <w:r w:rsidRPr="00D73243" w:rsidR="007D299B">
        <w:rPr>
          <w:i/>
        </w:rPr>
        <w:t>Order</w:t>
      </w:r>
      <w:r w:rsidR="007757AA">
        <w:t>.</w:t>
      </w:r>
      <w:bookmarkStart w:id="0" w:name="_Ref46533516"/>
      <w:r>
        <w:rPr>
          <w:rStyle w:val="FootnoteReference"/>
        </w:rPr>
        <w:footnoteReference w:id="7"/>
      </w:r>
      <w:bookmarkEnd w:id="0"/>
    </w:p>
    <w:p w:rsidR="00B16AFD" w:rsidP="00B16AFD" w14:paraId="6DE6FE52" w14:textId="3335045B">
      <w:pPr>
        <w:pStyle w:val="Heading1"/>
      </w:pPr>
      <w:r>
        <w:t xml:space="preserve">Background </w:t>
      </w:r>
    </w:p>
    <w:p w:rsidR="007E0BF7" w:rsidP="001E3888" w14:paraId="7E3085DE" w14:textId="74E1FE24">
      <w:pPr>
        <w:pStyle w:val="ParaNum"/>
      </w:pPr>
      <w:r>
        <w:t xml:space="preserve">In the </w:t>
      </w:r>
      <w:r w:rsidRPr="00A371A9" w:rsidR="0057031B">
        <w:rPr>
          <w:i/>
          <w:iCs/>
        </w:rPr>
        <w:t xml:space="preserve">3.7 GHz </w:t>
      </w:r>
      <w:r w:rsidRPr="00A371A9" w:rsidR="004B4807">
        <w:rPr>
          <w:i/>
          <w:iCs/>
        </w:rPr>
        <w:t>R&amp;O</w:t>
      </w:r>
      <w:r w:rsidR="0057031B">
        <w:t xml:space="preserve">, the Commission </w:t>
      </w:r>
      <w:r w:rsidR="009E4C05">
        <w:t xml:space="preserve">proposed to </w:t>
      </w:r>
      <w:r w:rsidR="0057031B">
        <w:t>modif</w:t>
      </w:r>
      <w:r w:rsidR="009E4C05">
        <w:t>y</w:t>
      </w:r>
      <w:r w:rsidR="0057031B">
        <w:t xml:space="preserve"> the authorizations of incumbent space station operators </w:t>
      </w:r>
      <w:r>
        <w:t>in</w:t>
      </w:r>
      <w:r w:rsidR="0057031B">
        <w:t xml:space="preserve"> the 3.7-4.</w:t>
      </w:r>
      <w:r>
        <w:t>2</w:t>
      </w:r>
      <w:r w:rsidR="0057031B">
        <w:t xml:space="preserve"> </w:t>
      </w:r>
      <w:r w:rsidR="00470758">
        <w:t xml:space="preserve">GHz </w:t>
      </w:r>
      <w:r w:rsidR="0057031B">
        <w:t xml:space="preserve">band </w:t>
      </w:r>
      <w:r>
        <w:t>to require them to migrate their operations to the upper 200 megahertz</w:t>
      </w:r>
      <w:r w:rsidR="00A371A9">
        <w:t>,</w:t>
      </w:r>
      <w:r>
        <w:t xml:space="preserve"> and thereby clear the lower 300 megahertz</w:t>
      </w:r>
      <w:r w:rsidR="00A371A9">
        <w:t>, by December 8, 2025</w:t>
      </w:r>
      <w:r w:rsidR="0057031B">
        <w:t>.</w:t>
      </w:r>
      <w:r>
        <w:rPr>
          <w:rStyle w:val="FootnoteReference"/>
        </w:rPr>
        <w:footnoteReference w:id="8"/>
      </w:r>
      <w:r w:rsidR="0057031B">
        <w:t xml:space="preserve"> </w:t>
      </w:r>
      <w:r w:rsidR="0043026E">
        <w:t xml:space="preserve"> </w:t>
      </w:r>
      <w:r w:rsidR="00A371A9">
        <w:t>For licensee</w:t>
      </w:r>
      <w:r w:rsidR="00FC7990">
        <w:t>s</w:t>
      </w:r>
      <w:r w:rsidR="00A371A9">
        <w:t xml:space="preserve"> that did not elect to file </w:t>
      </w:r>
      <w:r w:rsidR="00FC7990">
        <w:t xml:space="preserve">a protest under </w:t>
      </w:r>
      <w:r w:rsidR="00577988">
        <w:t>s</w:t>
      </w:r>
      <w:r w:rsidR="00FC7990">
        <w:t>ection 316(a)</w:t>
      </w:r>
      <w:r w:rsidR="008F1E18">
        <w:t xml:space="preserve">, the modifications took effect </w:t>
      </w:r>
      <w:r w:rsidR="00FC7990">
        <w:t xml:space="preserve">automatically by operation of law </w:t>
      </w:r>
      <w:r w:rsidR="008F1E18">
        <w:t xml:space="preserve">60 days after publication of the </w:t>
      </w:r>
      <w:r w:rsidR="008F1E18">
        <w:rPr>
          <w:i/>
        </w:rPr>
        <w:t>3.7 GHz R&amp;O</w:t>
      </w:r>
      <w:r w:rsidR="00FC7990">
        <w:t>.</w:t>
      </w:r>
      <w:r>
        <w:rPr>
          <w:rStyle w:val="FootnoteReference"/>
        </w:rPr>
        <w:footnoteReference w:id="9"/>
      </w:r>
      <w:r w:rsidR="00FC7990">
        <w:t xml:space="preserve">  </w:t>
      </w:r>
      <w:r w:rsidR="00146887">
        <w:t>Because the SSOs timely filed a protest, the modification did not take effect as to the</w:t>
      </w:r>
      <w:r w:rsidR="00E21A9B">
        <w:t xml:space="preserve">ir </w:t>
      </w:r>
      <w:r w:rsidR="00AC1C5B">
        <w:t>authorizations</w:t>
      </w:r>
      <w:r w:rsidR="00E21A9B">
        <w:t>,</w:t>
      </w:r>
      <w:r w:rsidR="00146887">
        <w:t xml:space="preserve"> pending resolution of their protest.</w:t>
      </w:r>
      <w:r>
        <w:rPr>
          <w:rStyle w:val="FootnoteReference"/>
        </w:rPr>
        <w:footnoteReference w:id="10"/>
      </w:r>
    </w:p>
    <w:p w:rsidR="00416549" w:rsidRPr="00416549" w:rsidP="00E25248" w14:paraId="5DC7AA56" w14:textId="0BAFA577">
      <w:pPr>
        <w:pStyle w:val="ParaNum"/>
      </w:pPr>
      <w:r>
        <w:t>Section 316 give</w:t>
      </w:r>
      <w:r w:rsidR="00E503DB">
        <w:t>s</w:t>
      </w:r>
      <w:r>
        <w:t xml:space="preserve"> t</w:t>
      </w:r>
      <w:r w:rsidR="000327AB">
        <w:t xml:space="preserve">he Commission </w:t>
      </w:r>
      <w:r>
        <w:t xml:space="preserve">broad </w:t>
      </w:r>
      <w:r w:rsidR="0012726B">
        <w:t>authority</w:t>
      </w:r>
      <w:r>
        <w:t xml:space="preserve"> to “modif[y]” </w:t>
      </w:r>
      <w:r w:rsidR="00E503DB">
        <w:t>any license “if, in the judgment of the Commission, such action will promote the public interest, convenience, and necessity.”</w:t>
      </w:r>
      <w:r>
        <w:rPr>
          <w:rStyle w:val="FootnoteReference"/>
        </w:rPr>
        <w:footnoteReference w:id="11"/>
      </w:r>
      <w:r w:rsidR="00E503DB">
        <w:t xml:space="preserve">  </w:t>
      </w:r>
      <w:r w:rsidR="008C4E37">
        <w:t xml:space="preserve">Although the Commission may not use section 316 to effect a “fundamental change” to their licenses, courts have held that </w:t>
      </w:r>
      <w:r w:rsidR="008A18EE">
        <w:t>section 316 allows the Commission to migrate licensees from one spectrum range to another if the licensees will be able to continue providing comparable service in the new spectrum range</w:t>
      </w:r>
      <w:r w:rsidR="0012726B">
        <w:t>.</w:t>
      </w:r>
      <w:r>
        <w:rPr>
          <w:rStyle w:val="FootnoteReference"/>
        </w:rPr>
        <w:footnoteReference w:id="12"/>
      </w:r>
      <w:r w:rsidR="0012726B">
        <w:t xml:space="preserve">  </w:t>
      </w:r>
      <w:r w:rsidR="00F74E0F">
        <w:t xml:space="preserve">Based on the record in this proceeding, the Commission found in the </w:t>
      </w:r>
      <w:r w:rsidRPr="00557F3B" w:rsidR="00F74E0F">
        <w:rPr>
          <w:i/>
        </w:rPr>
        <w:t>3.7 GHz R&amp;O</w:t>
      </w:r>
      <w:r w:rsidR="00F74E0F">
        <w:t xml:space="preserve"> that </w:t>
      </w:r>
      <w:r w:rsidR="0034178E">
        <w:t>satellite operators “will be able to maintain the same services in the upper 200 megahertz as they are currently providing across the full 500 megahertz” by making more efficient use of spectrum through data compression and other readily available technology.</w:t>
      </w:r>
      <w:r>
        <w:rPr>
          <w:rStyle w:val="FootnoteReference"/>
        </w:rPr>
        <w:footnoteReference w:id="13"/>
      </w:r>
      <w:r w:rsidR="00557F3B">
        <w:t xml:space="preserve">  And as to the SSOs specifically, the Commission found that the record shows the SSOs “will be able not only to maintain their current level of service</w:t>
      </w:r>
      <w:r w:rsidR="00B600E2">
        <w:t xml:space="preserve"> after the transition,</w:t>
      </w:r>
      <w:r w:rsidR="00557F3B">
        <w:t xml:space="preserve"> but to potentially serve new clients” </w:t>
      </w:r>
      <w:r w:rsidR="005A3A2D">
        <w:t xml:space="preserve">using </w:t>
      </w:r>
      <w:r w:rsidR="00557F3B">
        <w:t xml:space="preserve">the upper 200 </w:t>
      </w:r>
      <w:r w:rsidR="006B10E6">
        <w:t xml:space="preserve">megahertz </w:t>
      </w:r>
      <w:r w:rsidR="00557F3B">
        <w:t>of spectrum.</w:t>
      </w:r>
      <w:r>
        <w:rPr>
          <w:rStyle w:val="FootnoteReference"/>
        </w:rPr>
        <w:footnoteReference w:id="14"/>
      </w:r>
      <w:r w:rsidR="00557F3B">
        <w:t xml:space="preserve"> </w:t>
      </w:r>
      <w:r w:rsidR="00E25248">
        <w:t xml:space="preserve"> </w:t>
      </w:r>
      <w:r w:rsidR="0034178E">
        <w:t>The Commission therefore concluded</w:t>
      </w:r>
      <w:r>
        <w:t xml:space="preserve"> that </w:t>
      </w:r>
      <w:r w:rsidR="0034178E">
        <w:t xml:space="preserve">it has authority to order </w:t>
      </w:r>
      <w:r>
        <w:t xml:space="preserve">the </w:t>
      </w:r>
      <w:r w:rsidR="0034178E">
        <w:t xml:space="preserve">proposed </w:t>
      </w:r>
      <w:r>
        <w:t>license modification</w:t>
      </w:r>
      <w:r w:rsidR="0034178E">
        <w:t xml:space="preserve">s under </w:t>
      </w:r>
      <w:r w:rsidR="00E25248">
        <w:t>s</w:t>
      </w:r>
      <w:r w:rsidR="0034178E">
        <w:t>ection 316</w:t>
      </w:r>
      <w:r>
        <w:t>.</w:t>
      </w:r>
      <w:r>
        <w:rPr>
          <w:rStyle w:val="FootnoteReference"/>
        </w:rPr>
        <w:footnoteReference w:id="15"/>
      </w:r>
      <w:r w:rsidRPr="00664F20">
        <w:rPr>
          <w:iCs/>
        </w:rPr>
        <w:t xml:space="preserve"> </w:t>
      </w:r>
    </w:p>
    <w:p w:rsidR="001054E7" w:rsidP="002A4C73" w14:paraId="76BE4B3D" w14:textId="00DAF736">
      <w:pPr>
        <w:pStyle w:val="ParaNum"/>
      </w:pPr>
      <w:r>
        <w:t>On May 15,</w:t>
      </w:r>
      <w:r w:rsidR="00D73243">
        <w:t xml:space="preserve"> 2020,</w:t>
      </w:r>
      <w:r>
        <w:t xml:space="preserve"> t</w:t>
      </w:r>
      <w:r w:rsidR="00272712">
        <w:t xml:space="preserve">he SSOs filed a </w:t>
      </w:r>
      <w:r>
        <w:t>petition for</w:t>
      </w:r>
      <w:r w:rsidR="00272712">
        <w:t xml:space="preserve"> stay pending judicial review </w:t>
      </w:r>
      <w:r>
        <w:t xml:space="preserve">of </w:t>
      </w:r>
      <w:r w:rsidR="00272712">
        <w:t xml:space="preserve">the </w:t>
      </w:r>
      <w:r w:rsidR="00272712">
        <w:rPr>
          <w:i/>
          <w:iCs/>
        </w:rPr>
        <w:t xml:space="preserve">3.7 </w:t>
      </w:r>
      <w:r w:rsidR="00272712">
        <w:rPr>
          <w:i/>
          <w:iCs/>
        </w:rPr>
        <w:t xml:space="preserve">GHz </w:t>
      </w:r>
      <w:r w:rsidR="004B4807">
        <w:rPr>
          <w:i/>
          <w:iCs/>
        </w:rPr>
        <w:t>R&amp;O</w:t>
      </w:r>
      <w:r w:rsidRPr="00664F20" w:rsidR="0004271D">
        <w:rPr>
          <w:iCs/>
        </w:rPr>
        <w:t>.</w:t>
      </w:r>
      <w:r>
        <w:rPr>
          <w:rStyle w:val="FootnoteReference"/>
          <w:iCs/>
        </w:rPr>
        <w:footnoteReference w:id="16"/>
      </w:r>
      <w:r w:rsidRPr="00664F20" w:rsidR="0004271D">
        <w:rPr>
          <w:iCs/>
        </w:rPr>
        <w:t xml:space="preserve"> </w:t>
      </w:r>
      <w:r w:rsidR="00706D0C">
        <w:rPr>
          <w:iCs/>
        </w:rPr>
        <w:t xml:space="preserve"> As relevant here, t</w:t>
      </w:r>
      <w:r w:rsidR="0004271D">
        <w:t>he</w:t>
      </w:r>
      <w:r>
        <w:t xml:space="preserve"> SSO Stay Petition</w:t>
      </w:r>
      <w:r w:rsidR="004B4807">
        <w:rPr>
          <w:i/>
          <w:iCs/>
        </w:rPr>
        <w:t xml:space="preserve"> </w:t>
      </w:r>
      <w:r w:rsidR="00272712">
        <w:t>argu</w:t>
      </w:r>
      <w:r w:rsidR="0004271D">
        <w:t>e</w:t>
      </w:r>
      <w:r>
        <w:t>d</w:t>
      </w:r>
      <w:r w:rsidR="00272712">
        <w:t xml:space="preserve"> that </w:t>
      </w:r>
      <w:r w:rsidRPr="00706D0C" w:rsidR="00272712">
        <w:t xml:space="preserve">the Commission </w:t>
      </w:r>
      <w:r w:rsidR="00706D0C">
        <w:t>exceeded its authority</w:t>
      </w:r>
      <w:r w:rsidRPr="00706D0C" w:rsidR="00272712">
        <w:t xml:space="preserve"> </w:t>
      </w:r>
      <w:r w:rsidR="002C3DB9">
        <w:t xml:space="preserve">to </w:t>
      </w:r>
      <w:r w:rsidRPr="00706D0C" w:rsidR="00272712">
        <w:t>modif</w:t>
      </w:r>
      <w:r w:rsidR="00706D0C">
        <w:t>y licenses under section 316</w:t>
      </w:r>
      <w:r w:rsidRPr="00706D0C" w:rsidR="00354F53">
        <w:t xml:space="preserve"> </w:t>
      </w:r>
      <w:r w:rsidR="00E713B0">
        <w:t>by</w:t>
      </w:r>
      <w:r w:rsidRPr="00706D0C" w:rsidR="00354F53">
        <w:t xml:space="preserve"> fundamentally chang</w:t>
      </w:r>
      <w:r w:rsidR="00E713B0">
        <w:t>ing</w:t>
      </w:r>
      <w:r w:rsidRPr="00706D0C" w:rsidR="00354F53">
        <w:t xml:space="preserve"> the</w:t>
      </w:r>
      <w:r w:rsidR="00E713B0">
        <w:t xml:space="preserve"> SSOs’</w:t>
      </w:r>
      <w:r w:rsidRPr="00706D0C" w:rsidR="00354F53">
        <w:t xml:space="preserve"> licenses</w:t>
      </w:r>
      <w:r w:rsidR="00272712">
        <w:t>.</w:t>
      </w:r>
      <w:r>
        <w:rPr>
          <w:rStyle w:val="FootnoteReference"/>
        </w:rPr>
        <w:footnoteReference w:id="17"/>
      </w:r>
      <w:r w:rsidR="003E234A">
        <w:t xml:space="preserve"> </w:t>
      </w:r>
      <w:r w:rsidR="007F1AFC">
        <w:t xml:space="preserve"> </w:t>
      </w:r>
      <w:r w:rsidR="006B3609">
        <w:t>The Wireless Telecommunications Bureau (Bureau) denied the SSO Stay Petition on June 10</w:t>
      </w:r>
      <w:r w:rsidR="006F2C2D">
        <w:t>, 2020</w:t>
      </w:r>
      <w:r w:rsidR="006B3609">
        <w:t>.</w:t>
      </w:r>
      <w:r>
        <w:rPr>
          <w:rStyle w:val="FootnoteReference"/>
        </w:rPr>
        <w:footnoteReference w:id="18"/>
      </w:r>
      <w:r w:rsidR="006B3609">
        <w:t xml:space="preserve">  The SSOs then moved for a judicial stay in the U.S. Court of Appeals for the D.C. Circuit, which likewise denied their stay request on June 23</w:t>
      </w:r>
      <w:r w:rsidR="006F2C2D">
        <w:t>, 2020</w:t>
      </w:r>
      <w:r w:rsidR="006B3609">
        <w:t>.</w:t>
      </w:r>
      <w:r>
        <w:rPr>
          <w:rStyle w:val="FootnoteReference"/>
        </w:rPr>
        <w:footnoteReference w:id="19"/>
      </w:r>
      <w:r w:rsidR="006B3609">
        <w:t xml:space="preserve">  </w:t>
      </w:r>
    </w:p>
    <w:p w:rsidR="001054E7" w:rsidP="00DE3255" w14:paraId="59E81978" w14:textId="6C6B79A1">
      <w:pPr>
        <w:pStyle w:val="ParaNum"/>
      </w:pPr>
      <w:r>
        <w:t>T</w:t>
      </w:r>
      <w:r w:rsidR="003E234A">
        <w:t xml:space="preserve">he SSOs filed </w:t>
      </w:r>
      <w:r w:rsidR="00033984">
        <w:t>the protest at issue here</w:t>
      </w:r>
      <w:r>
        <w:t xml:space="preserve"> on May 22</w:t>
      </w:r>
      <w:r w:rsidR="00EE52B7">
        <w:t>, 2020</w:t>
      </w:r>
      <w:r w:rsidR="0043026E">
        <w:t>.</w:t>
      </w:r>
      <w:r>
        <w:rPr>
          <w:rStyle w:val="FootnoteReference"/>
        </w:rPr>
        <w:footnoteReference w:id="20"/>
      </w:r>
      <w:r w:rsidR="00033984">
        <w:t xml:space="preserve">  Their two-page protest </w:t>
      </w:r>
      <w:r w:rsidR="009F333E">
        <w:t xml:space="preserve">does not raise any new arguments, but instead cites arguments made in their stay petition and in earlier filings presented to and considered by the </w:t>
      </w:r>
      <w:r w:rsidR="001479E6">
        <w:t>C</w:t>
      </w:r>
      <w:r w:rsidR="009F333E">
        <w:t>o</w:t>
      </w:r>
      <w:r w:rsidR="001479E6">
        <w:t>m</w:t>
      </w:r>
      <w:r w:rsidR="009F333E">
        <w:t xml:space="preserve">mission prior to the </w:t>
      </w:r>
      <w:r w:rsidRPr="006B3609" w:rsidR="009F333E">
        <w:rPr>
          <w:i/>
        </w:rPr>
        <w:t>3.7 GHz R&amp;O</w:t>
      </w:r>
      <w:r w:rsidR="009F333E">
        <w:t>.</w:t>
      </w:r>
      <w:r>
        <w:rPr>
          <w:rStyle w:val="FootnoteReference"/>
        </w:rPr>
        <w:footnoteReference w:id="21"/>
      </w:r>
      <w:r w:rsidR="0043026E">
        <w:t xml:space="preserve"> </w:t>
      </w:r>
      <w:r w:rsidR="00B86D15">
        <w:t xml:space="preserve"> </w:t>
      </w:r>
    </w:p>
    <w:p w:rsidR="002A4C73" w:rsidP="002A4C73" w14:paraId="2EBDA3E0" w14:textId="52CF2ABD">
      <w:pPr>
        <w:pStyle w:val="Heading1"/>
      </w:pPr>
      <w:r>
        <w:t>Discussion</w:t>
      </w:r>
    </w:p>
    <w:p w:rsidR="003221B4" w:rsidP="003F7A73" w14:paraId="38FB28C8" w14:textId="4F36B0F3">
      <w:pPr>
        <w:pStyle w:val="ParaNum"/>
      </w:pPr>
      <w:r>
        <w:t xml:space="preserve">We </w:t>
      </w:r>
      <w:r w:rsidR="001479E6">
        <w:t>dismiss</w:t>
      </w:r>
      <w:r>
        <w:t xml:space="preserve"> the SSOs</w:t>
      </w:r>
      <w:r w:rsidR="00502822">
        <w:t>’</w:t>
      </w:r>
      <w:r>
        <w:t xml:space="preserve"> protest in this Order</w:t>
      </w:r>
      <w:r w:rsidR="00F91BDF">
        <w:t xml:space="preserve"> on procedural grounds</w:t>
      </w:r>
      <w:r w:rsidR="002B58AA">
        <w:t xml:space="preserve"> because it </w:t>
      </w:r>
      <w:r w:rsidR="00D7561E">
        <w:t xml:space="preserve">fails to </w:t>
      </w:r>
      <w:r w:rsidR="002B58AA">
        <w:t xml:space="preserve">contain </w:t>
      </w:r>
      <w:r w:rsidRPr="002B58AA" w:rsidR="002B58AA">
        <w:t>specific allegations</w:t>
      </w:r>
      <w:r w:rsidR="002B58AA">
        <w:t xml:space="preserve"> of fact or an affidavit as required by </w:t>
      </w:r>
      <w:r w:rsidR="00311931">
        <w:t xml:space="preserve">statute and </w:t>
      </w:r>
      <w:r w:rsidR="002B58AA">
        <w:t>the</w:t>
      </w:r>
      <w:r w:rsidR="005405B9">
        <w:t xml:space="preserve"> Commission’s</w:t>
      </w:r>
      <w:r w:rsidR="002B58AA">
        <w:t xml:space="preserve"> rules</w:t>
      </w:r>
      <w:r w:rsidR="002514B0">
        <w:t>.  In</w:t>
      </w:r>
      <w:r w:rsidR="00F91BDF">
        <w:t xml:space="preserve"> the alternative, because the SSOs d</w:t>
      </w:r>
      <w:r w:rsidR="00F20F4D">
        <w:t>o</w:t>
      </w:r>
      <w:r w:rsidR="00F91BDF">
        <w:t xml:space="preserve"> not raise any new arguments in the</w:t>
      </w:r>
      <w:r w:rsidR="00F20F4D">
        <w:t>ir</w:t>
      </w:r>
      <w:r w:rsidR="00F91BDF">
        <w:t xml:space="preserve"> protest</w:t>
      </w:r>
      <w:r w:rsidR="00D5026D">
        <w:t xml:space="preserve"> </w:t>
      </w:r>
      <w:r w:rsidR="00F20F4D">
        <w:t>but instead merely cite to arguments made and addressed earlier in this proceeding, we deny the protests</w:t>
      </w:r>
      <w:r w:rsidR="003F7A73">
        <w:t xml:space="preserve"> on the merits</w:t>
      </w:r>
      <w:r w:rsidR="00F20F4D">
        <w:t xml:space="preserve"> </w:t>
      </w:r>
      <w:r w:rsidR="003F7A73">
        <w:t>for the reasons previously set forth</w:t>
      </w:r>
      <w:r w:rsidR="00D5026D">
        <w:t xml:space="preserve"> </w:t>
      </w:r>
      <w:r>
        <w:t xml:space="preserve">in the </w:t>
      </w:r>
      <w:r>
        <w:rPr>
          <w:i/>
          <w:iCs/>
        </w:rPr>
        <w:t xml:space="preserve">3.7 GHz </w:t>
      </w:r>
      <w:r w:rsidR="004B4807">
        <w:rPr>
          <w:i/>
          <w:iCs/>
        </w:rPr>
        <w:t>R&amp;O</w:t>
      </w:r>
      <w:r>
        <w:t xml:space="preserve"> and in the </w:t>
      </w:r>
      <w:r w:rsidRPr="0091180B" w:rsidR="003F7A73">
        <w:rPr>
          <w:i/>
        </w:rPr>
        <w:t xml:space="preserve">SSO </w:t>
      </w:r>
      <w:r w:rsidRPr="0091180B">
        <w:rPr>
          <w:i/>
        </w:rPr>
        <w:t xml:space="preserve">Stay </w:t>
      </w:r>
      <w:r w:rsidRPr="0091180B" w:rsidR="003F7A73">
        <w:rPr>
          <w:i/>
        </w:rPr>
        <w:t>Denial</w:t>
      </w:r>
      <w:r w:rsidRPr="0091180B">
        <w:rPr>
          <w:i/>
        </w:rPr>
        <w:t xml:space="preserve"> Order</w:t>
      </w:r>
      <w:r>
        <w:t xml:space="preserve">.  </w:t>
      </w:r>
    </w:p>
    <w:p w:rsidR="00F91BDF" w:rsidP="00377357" w14:paraId="6FED209E" w14:textId="5E6F291B">
      <w:pPr>
        <w:pStyle w:val="ParaNum"/>
        <w:widowControl/>
      </w:pPr>
      <w:r>
        <w:t>We first dismiss t</w:t>
      </w:r>
      <w:r>
        <w:t xml:space="preserve">he SSOs’ protest </w:t>
      </w:r>
      <w:r>
        <w:t>as</w:t>
      </w:r>
      <w:r>
        <w:t xml:space="preserve"> procedurally deficient. </w:t>
      </w:r>
      <w:r w:rsidR="002E32E2">
        <w:t xml:space="preserve"> </w:t>
      </w:r>
      <w:r w:rsidR="003F7A73">
        <w:t xml:space="preserve">Section 316 provides that “[a] </w:t>
      </w:r>
      <w:r w:rsidRPr="002E32E2" w:rsidR="003F7A73">
        <w:t xml:space="preserve">protest filed pursuant to this subsection shall be subject to the requirements of section 309 of </w:t>
      </w:r>
      <w:r w:rsidR="00377357">
        <w:t xml:space="preserve">[the Act] </w:t>
      </w:r>
      <w:r w:rsidRPr="002E32E2" w:rsidR="003F7A73">
        <w:t>for petitions to deny</w:t>
      </w:r>
      <w:r w:rsidR="00377357">
        <w:t>.”</w:t>
      </w:r>
      <w:r>
        <w:rPr>
          <w:rStyle w:val="FootnoteReference"/>
        </w:rPr>
        <w:footnoteReference w:id="22"/>
      </w:r>
      <w:r w:rsidR="00377357">
        <w:t xml:space="preserve">  Section 309</w:t>
      </w:r>
      <w:r w:rsidR="002E32E2">
        <w:t xml:space="preserve"> </w:t>
      </w:r>
      <w:r w:rsidR="00377357">
        <w:t>in turn requires that any such filing</w:t>
      </w:r>
      <w:r w:rsidR="002E32E2">
        <w:t xml:space="preserve"> must “</w:t>
      </w:r>
      <w:r w:rsidR="006E7036">
        <w:t xml:space="preserve">contain </w:t>
      </w:r>
      <w:r w:rsidR="002E32E2">
        <w:t xml:space="preserve">specific allegations of fact” and </w:t>
      </w:r>
      <w:r w:rsidR="006E7036">
        <w:t xml:space="preserve">must </w:t>
      </w:r>
      <w:r w:rsidR="002E32E2">
        <w:t>“be supported by affidavit.”</w:t>
      </w:r>
      <w:r>
        <w:rPr>
          <w:rStyle w:val="FootnoteReference"/>
        </w:rPr>
        <w:footnoteReference w:id="23"/>
      </w:r>
      <w:r w:rsidR="002E32E2">
        <w:t xml:space="preserve">  </w:t>
      </w:r>
      <w:r w:rsidR="00B7763E">
        <w:t>The SSOs</w:t>
      </w:r>
      <w:r w:rsidR="0087702D">
        <w:t>’ two-page protest</w:t>
      </w:r>
      <w:r w:rsidR="00B7763E">
        <w:t xml:space="preserve"> d</w:t>
      </w:r>
      <w:r w:rsidR="0087702D">
        <w:t>oes</w:t>
      </w:r>
      <w:r w:rsidR="00B7763E">
        <w:t xml:space="preserve"> not </w:t>
      </w:r>
      <w:r w:rsidR="0087702D">
        <w:t>contain</w:t>
      </w:r>
      <w:r w:rsidR="00B7763E">
        <w:t xml:space="preserve"> the</w:t>
      </w:r>
      <w:r w:rsidR="0087702D">
        <w:t>se</w:t>
      </w:r>
      <w:r w:rsidR="00B7763E">
        <w:t xml:space="preserve"> required elements.  </w:t>
      </w:r>
      <w:r w:rsidR="002E32E2">
        <w:t>Rather</w:t>
      </w:r>
      <w:r w:rsidR="00600F36">
        <w:t xml:space="preserve"> than set forth</w:t>
      </w:r>
      <w:r w:rsidR="00264B0A">
        <w:t xml:space="preserve"> any specific facts</w:t>
      </w:r>
      <w:r w:rsidR="00CE0F5A">
        <w:t xml:space="preserve"> in their protest</w:t>
      </w:r>
      <w:r w:rsidR="00EF139A">
        <w:t>, attest to the accuracy of such facts with an affidavit,</w:t>
      </w:r>
      <w:r w:rsidR="00CE0F5A">
        <w:t xml:space="preserve"> </w:t>
      </w:r>
      <w:r w:rsidR="004B5DFA">
        <w:t>or attempt to demonstrate why those facts entitle them to relief</w:t>
      </w:r>
      <w:r w:rsidR="002E32E2">
        <w:t xml:space="preserve">, the SSOs </w:t>
      </w:r>
      <w:r w:rsidR="00D5026D">
        <w:t xml:space="preserve">merely </w:t>
      </w:r>
      <w:r w:rsidR="002E32E2">
        <w:t xml:space="preserve">refer back to </w:t>
      </w:r>
      <w:r w:rsidR="00184A5E">
        <w:t>earlier filings</w:t>
      </w:r>
      <w:r w:rsidR="00B7763E">
        <w:t>.</w:t>
      </w:r>
      <w:r>
        <w:rPr>
          <w:rStyle w:val="FootnoteReference"/>
        </w:rPr>
        <w:footnoteReference w:id="24"/>
      </w:r>
      <w:r w:rsidR="00B7763E">
        <w:t xml:space="preserve">  </w:t>
      </w:r>
      <w:r w:rsidR="002E32E2">
        <w:t xml:space="preserve"> </w:t>
      </w:r>
      <w:r w:rsidR="008C359C">
        <w:t>Because t</w:t>
      </w:r>
      <w:r w:rsidR="002514B0">
        <w:t xml:space="preserve">he SSOs’ protest </w:t>
      </w:r>
      <w:r w:rsidR="008C359C">
        <w:t>does not comply with the applicable requirements,</w:t>
      </w:r>
      <w:r w:rsidR="002514B0">
        <w:t xml:space="preserve"> </w:t>
      </w:r>
      <w:r w:rsidR="00CE0F5A">
        <w:t>we hereby dismiss it</w:t>
      </w:r>
      <w:r w:rsidR="002514B0">
        <w:t>.</w:t>
      </w:r>
    </w:p>
    <w:p w:rsidR="00D740C4" w:rsidP="002A4C73" w14:paraId="399D3646" w14:textId="344193E1">
      <w:pPr>
        <w:pStyle w:val="ParaNum"/>
      </w:pPr>
      <w:r>
        <w:t>In the alternative, we deny the SSOs’ protest</w:t>
      </w:r>
      <w:r w:rsidR="0074553F">
        <w:t xml:space="preserve"> on the merits</w:t>
      </w:r>
      <w:r>
        <w:t xml:space="preserve">.  </w:t>
      </w:r>
      <w:r w:rsidR="00A005C2">
        <w:t>The protest</w:t>
      </w:r>
      <w:r w:rsidR="003D4847">
        <w:t xml:space="preserve"> does not raise any new arguments, but instead merely</w:t>
      </w:r>
      <w:r w:rsidR="00A005C2">
        <w:t xml:space="preserve"> </w:t>
      </w:r>
      <w:r w:rsidR="00D56512">
        <w:t xml:space="preserve">cites back </w:t>
      </w:r>
      <w:r w:rsidR="00A005C2">
        <w:t>arguments</w:t>
      </w:r>
      <w:r w:rsidR="003D4847">
        <w:t xml:space="preserve"> made in earlier filings.</w:t>
      </w:r>
      <w:r>
        <w:rPr>
          <w:rStyle w:val="FootnoteReference"/>
        </w:rPr>
        <w:footnoteReference w:id="25"/>
      </w:r>
      <w:r w:rsidR="00A005C2">
        <w:t xml:space="preserve"> </w:t>
      </w:r>
      <w:r w:rsidR="003D4847">
        <w:t xml:space="preserve"> Those arguments</w:t>
      </w:r>
      <w:r w:rsidR="002B307A">
        <w:t xml:space="preserve"> were </w:t>
      </w:r>
      <w:r w:rsidR="004B5DEE">
        <w:t>already</w:t>
      </w:r>
      <w:r w:rsidR="00D56512">
        <w:t xml:space="preserve"> considered </w:t>
      </w:r>
      <w:r w:rsidR="004B5DFA">
        <w:t>and addressed in the</w:t>
      </w:r>
      <w:r w:rsidR="004B5DEE">
        <w:t xml:space="preserve"> </w:t>
      </w:r>
      <w:r w:rsidR="004B5DEE">
        <w:rPr>
          <w:i/>
        </w:rPr>
        <w:t>3.7 GHz R&amp;O</w:t>
      </w:r>
      <w:r w:rsidR="004B5DEE">
        <w:t xml:space="preserve"> and the </w:t>
      </w:r>
      <w:r w:rsidR="004B5DEE">
        <w:rPr>
          <w:i/>
        </w:rPr>
        <w:t>SSO Stay Denial Order</w:t>
      </w:r>
      <w:r w:rsidR="00A005C2">
        <w:t>.</w:t>
      </w:r>
      <w:r>
        <w:rPr>
          <w:rStyle w:val="FootnoteReference"/>
        </w:rPr>
        <w:footnoteReference w:id="26"/>
      </w:r>
      <w:r w:rsidR="00A005C2">
        <w:t xml:space="preserve"> </w:t>
      </w:r>
      <w:r w:rsidR="00DA189A">
        <w:t xml:space="preserve"> </w:t>
      </w:r>
      <w:r w:rsidR="00CA07E6">
        <w:t>We therefore deny t</w:t>
      </w:r>
      <w:r w:rsidR="00A005C2">
        <w:t xml:space="preserve">he SSOs’ protest </w:t>
      </w:r>
      <w:r w:rsidR="00C1245C">
        <w:t xml:space="preserve">for the same reasons that their identical arguments were previously denied in the </w:t>
      </w:r>
      <w:r w:rsidR="00C1245C">
        <w:rPr>
          <w:i/>
        </w:rPr>
        <w:t>3.7 GHz R&amp;O</w:t>
      </w:r>
      <w:r w:rsidR="00C1245C">
        <w:t xml:space="preserve"> and the </w:t>
      </w:r>
      <w:r w:rsidR="00C1245C">
        <w:rPr>
          <w:i/>
        </w:rPr>
        <w:t>SSO Stay Denial Order</w:t>
      </w:r>
      <w:r w:rsidR="00DA189A">
        <w:t xml:space="preserve">. </w:t>
      </w:r>
    </w:p>
    <w:p w:rsidR="007914F2" w:rsidP="007914F2" w14:paraId="5CDC57CB" w14:textId="5A791586">
      <w:pPr>
        <w:pStyle w:val="Heading1"/>
      </w:pPr>
      <w:r>
        <w:t>ordering claus</w:t>
      </w:r>
      <w:r w:rsidR="00C426AC">
        <w:t>es</w:t>
      </w:r>
    </w:p>
    <w:p w:rsidR="002A4C73" w:rsidP="002A4C73" w14:paraId="70A77996" w14:textId="5F8A1EC1">
      <w:pPr>
        <w:pStyle w:val="ParaNum"/>
      </w:pPr>
      <w:r>
        <w:t>Accordingly, IT IS HEREBY ORDERED</w:t>
      </w:r>
      <w:r w:rsidR="00940029">
        <w:t xml:space="preserve"> </w:t>
      </w:r>
      <w:r>
        <w:t xml:space="preserve">that the protest of </w:t>
      </w:r>
      <w:r w:rsidRPr="00D740C4">
        <w:t>ABS Global Ltd., Empresa Argentina de Soluciones Satelitales S.A., Hispamar Satélites S.A., and Hispasat S.A.</w:t>
      </w:r>
      <w:r>
        <w:t xml:space="preserve"> </w:t>
      </w:r>
      <w:r w:rsidRPr="00200284" w:rsidR="00200284">
        <w:t xml:space="preserve">in GN Docket No. 18-122 </w:t>
      </w:r>
      <w:r>
        <w:t xml:space="preserve">is </w:t>
      </w:r>
      <w:r w:rsidR="009C47AC">
        <w:t>hereby DISMISSE</w:t>
      </w:r>
      <w:r w:rsidR="008D307A">
        <w:t>D</w:t>
      </w:r>
      <w:r w:rsidR="009C47AC">
        <w:t xml:space="preserve">, or alternatively, </w:t>
      </w:r>
      <w:r w:rsidR="007914F2">
        <w:t>DENIED</w:t>
      </w:r>
      <w:r>
        <w:t xml:space="preserve">. </w:t>
      </w:r>
    </w:p>
    <w:p w:rsidR="00D46F76" w:rsidP="002A4C73" w14:paraId="20DDBCCD" w14:textId="2DFC47A4">
      <w:pPr>
        <w:pStyle w:val="ParaNum"/>
      </w:pPr>
      <w:r>
        <w:t xml:space="preserve">IT IS FURTHER ORDERED that the proposed modifications to the SSOs’ licenses set forth in the </w:t>
      </w:r>
      <w:r>
        <w:rPr>
          <w:i/>
        </w:rPr>
        <w:t>3.7 GHz R&amp;O</w:t>
      </w:r>
      <w:r>
        <w:t xml:space="preserve"> are ADOPTED AND MADE FINAL, </w:t>
      </w:r>
      <w:r w:rsidR="002332D3">
        <w:t>and the licenses ARE HEREBY MODIFIED accordingly.</w:t>
      </w:r>
    </w:p>
    <w:p w:rsidR="00D46F76" w:rsidP="002A4C73" w14:paraId="3AB81611" w14:textId="7CA85F4B">
      <w:pPr>
        <w:pStyle w:val="ParaNum"/>
      </w:pPr>
      <w:r>
        <w:t xml:space="preserve">IT IS FURTHER ORDERED </w:t>
      </w:r>
      <w:r w:rsidR="002332D3">
        <w:t>that, pursuant to sections 1.4(b) and 1.103 of the Commission’s rules, 47 CFR §§ 1.4(b), 1.103, this Order SHALL BE EFFECTIVE upon release.</w:t>
      </w:r>
    </w:p>
    <w:p w:rsidR="00473D33" w:rsidP="00473D33" w14:paraId="358CB9A8" w14:textId="1CDF889C">
      <w:pPr>
        <w:pStyle w:val="ParaNum"/>
      </w:pPr>
      <w:r>
        <w:t xml:space="preserve">IT IS FURTHER ORDERED that the </w:t>
      </w:r>
      <w:r w:rsidRPr="006707DC">
        <w:t>Wireless Telecommunications Bureau</w:t>
      </w:r>
      <w:r>
        <w:t xml:space="preserve"> SHALL SEND this </w:t>
      </w:r>
      <w:r w:rsidR="00EE52B7">
        <w:t>O</w:t>
      </w:r>
      <w:r>
        <w:t xml:space="preserve">rder of </w:t>
      </w:r>
      <w:r w:rsidR="00EE52B7">
        <w:t>M</w:t>
      </w:r>
      <w:r>
        <w:t xml:space="preserve">odification by certified mail, return receipt requested to </w:t>
      </w:r>
      <w:r w:rsidRPr="00D740C4">
        <w:t>ABS Global Ltd., Empresa Argentina de Soluciones Satelitales S.A., Hispamar Satélites S.A., and Hispasat S.A.</w:t>
      </w:r>
    </w:p>
    <w:p w:rsidR="00307B10" w:rsidP="00307B10" w14:paraId="6493B654" w14:textId="6339AC94">
      <w:pPr>
        <w:pStyle w:val="ParaNum"/>
        <w:numPr>
          <w:ilvl w:val="0"/>
          <w:numId w:val="0"/>
        </w:numPr>
        <w:jc w:val="right"/>
      </w:pPr>
    </w:p>
    <w:p w:rsidR="00200284" w:rsidP="00200284" w14:paraId="5B91224B" w14:textId="77777777">
      <w:pPr>
        <w:pStyle w:val="ParaNum"/>
        <w:numPr>
          <w:ilvl w:val="0"/>
          <w:numId w:val="0"/>
        </w:numPr>
        <w:ind w:left="4320"/>
      </w:pPr>
    </w:p>
    <w:p w:rsidR="00200284" w:rsidP="00200284" w14:paraId="6F182F1D" w14:textId="69DD737B">
      <w:pPr>
        <w:pStyle w:val="ParaNum"/>
        <w:numPr>
          <w:ilvl w:val="0"/>
          <w:numId w:val="0"/>
        </w:numPr>
        <w:ind w:left="4320"/>
      </w:pPr>
      <w:r>
        <w:t>FEDERAL COMMUNICATIONS COMMISSION</w:t>
      </w:r>
    </w:p>
    <w:p w:rsidR="00200284" w:rsidP="00200284" w14:paraId="6FA42686" w14:textId="0766D1A7">
      <w:pPr>
        <w:pStyle w:val="ParaNum"/>
        <w:numPr>
          <w:ilvl w:val="0"/>
          <w:numId w:val="0"/>
        </w:numPr>
        <w:ind w:left="4320"/>
      </w:pPr>
    </w:p>
    <w:p w:rsidR="00200284" w:rsidP="00200284" w14:paraId="0E85A799" w14:textId="387B4757">
      <w:pPr>
        <w:pStyle w:val="ParaNum"/>
        <w:numPr>
          <w:ilvl w:val="0"/>
          <w:numId w:val="0"/>
        </w:numPr>
        <w:ind w:left="4320"/>
      </w:pPr>
    </w:p>
    <w:p w:rsidR="00200284" w:rsidP="00200284" w14:paraId="534DD3EF" w14:textId="58E525BC">
      <w:pPr>
        <w:pStyle w:val="ParaNum"/>
        <w:numPr>
          <w:ilvl w:val="0"/>
          <w:numId w:val="0"/>
        </w:numPr>
        <w:spacing w:after="0"/>
        <w:ind w:left="4320"/>
      </w:pPr>
      <w:r>
        <w:t>Marlene H. Dortch</w:t>
      </w:r>
    </w:p>
    <w:p w:rsidR="00E128A3" w:rsidP="00200284" w14:paraId="444B8C1F" w14:textId="1EA0AD22">
      <w:pPr>
        <w:pStyle w:val="ParaNum"/>
        <w:numPr>
          <w:ilvl w:val="0"/>
          <w:numId w:val="0"/>
        </w:numPr>
        <w:spacing w:after="0"/>
        <w:ind w:left="4320"/>
      </w:pPr>
      <w:r>
        <w:t>Secretary</w:t>
      </w:r>
    </w:p>
    <w:p w:rsidR="00E128A3" w14:paraId="151EB76A" w14:textId="77777777">
      <w:pPr>
        <w:widowControl/>
      </w:pPr>
      <w:r>
        <w:br w:type="page"/>
      </w:r>
    </w:p>
    <w:p w:rsidR="00E128A3" w:rsidP="00E128A3" w14:paraId="6A8AE829" w14:textId="77777777">
      <w:pPr>
        <w:jc w:val="center"/>
        <w:rPr>
          <w:b/>
          <w:bCs/>
          <w:sz w:val="24"/>
          <w:szCs w:val="24"/>
        </w:rPr>
      </w:pPr>
      <w:r>
        <w:rPr>
          <w:b/>
          <w:bCs/>
          <w:sz w:val="24"/>
          <w:szCs w:val="24"/>
        </w:rPr>
        <w:t>STATEMENT OF</w:t>
      </w:r>
    </w:p>
    <w:p w:rsidR="00E128A3" w:rsidP="00E128A3" w14:paraId="6DF952CB" w14:textId="77777777">
      <w:pPr>
        <w:jc w:val="center"/>
        <w:rPr>
          <w:b/>
          <w:bCs/>
          <w:sz w:val="24"/>
          <w:szCs w:val="24"/>
        </w:rPr>
      </w:pPr>
      <w:r>
        <w:rPr>
          <w:b/>
          <w:bCs/>
          <w:sz w:val="24"/>
          <w:szCs w:val="24"/>
        </w:rPr>
        <w:t>COMMISSIONER JESSICA ROSENWORCEL,</w:t>
      </w:r>
    </w:p>
    <w:p w:rsidR="00E128A3" w:rsidP="00E128A3" w14:paraId="10EA3727" w14:textId="77777777">
      <w:pPr>
        <w:jc w:val="center"/>
        <w:rPr>
          <w:b/>
          <w:bCs/>
          <w:sz w:val="24"/>
          <w:szCs w:val="24"/>
        </w:rPr>
      </w:pPr>
      <w:r>
        <w:rPr>
          <w:b/>
          <w:bCs/>
          <w:sz w:val="24"/>
          <w:szCs w:val="24"/>
        </w:rPr>
        <w:t>APPROVING IN PART, DISSENTING IN PART</w:t>
      </w:r>
    </w:p>
    <w:p w:rsidR="00E128A3" w:rsidP="00E128A3" w14:paraId="04527AF5" w14:textId="77777777">
      <w:pPr>
        <w:jc w:val="center"/>
        <w:rPr>
          <w:b/>
          <w:bCs/>
          <w:sz w:val="24"/>
          <w:szCs w:val="24"/>
        </w:rPr>
      </w:pPr>
    </w:p>
    <w:p w:rsidR="00E128A3" w:rsidP="00E128A3" w14:paraId="6B43CDC9" w14:textId="77777777">
      <w:pPr>
        <w:ind w:left="720" w:hanging="720"/>
        <w:rPr>
          <w:sz w:val="24"/>
          <w:szCs w:val="24"/>
        </w:rPr>
      </w:pPr>
      <w:r>
        <w:rPr>
          <w:sz w:val="24"/>
          <w:szCs w:val="24"/>
        </w:rPr>
        <w:t>Re:</w:t>
      </w:r>
      <w:r>
        <w:rPr>
          <w:sz w:val="24"/>
          <w:szCs w:val="24"/>
        </w:rPr>
        <w:tab/>
      </w:r>
      <w:r>
        <w:rPr>
          <w:i/>
          <w:iCs/>
          <w:sz w:val="24"/>
          <w:szCs w:val="24"/>
        </w:rPr>
        <w:t>Expanding Flexible Use of the 3.7 to 4.2 GHz Band</w:t>
      </w:r>
      <w:r>
        <w:rPr>
          <w:sz w:val="24"/>
          <w:szCs w:val="24"/>
        </w:rPr>
        <w:t>, Order and Order of Modification, GN Docket No. 18-122</w:t>
      </w:r>
    </w:p>
    <w:p w:rsidR="00E128A3" w:rsidP="00E128A3" w14:paraId="233A8E7C" w14:textId="77777777">
      <w:pPr>
        <w:ind w:left="720" w:hanging="720"/>
        <w:rPr>
          <w:sz w:val="24"/>
          <w:szCs w:val="24"/>
        </w:rPr>
      </w:pPr>
    </w:p>
    <w:p w:rsidR="00E128A3" w:rsidP="00E128A3" w14:paraId="1878E545" w14:textId="77777777">
      <w:pPr>
        <w:rPr>
          <w:sz w:val="24"/>
          <w:szCs w:val="24"/>
        </w:rPr>
      </w:pPr>
      <w:r>
        <w:rPr>
          <w:sz w:val="24"/>
          <w:szCs w:val="24"/>
        </w:rPr>
        <w:tab/>
        <w:t xml:space="preserve">In this decision, the Federal Communications Commission denies, largely on procedural grounds, an administrative protest regarding its earlier decision that required small satellite operators to cease operations in the lower 300 megahertz of the 3.7-4.2 GHz band and migrate their operations to the upper 200 megahertz of the same band.  In doing so, the agency clears the way for a court to consider the merits of the FCC’s decision-making in the underlying proceeding.  I support today’s order because I believe we should speed the way for this resolution.  However, I continue to have reservations about the process that led the agency to this point and believe that we missed a golden opportunity to work with Congress to incentivize the repurposing of these airwaves in a manner that would yield a smoother long-term path for spectrum policy and support for much-needed infrastructure projects.  Accordingly, I approve in part and dissent in part.  </w:t>
      </w:r>
    </w:p>
    <w:p w:rsidR="00E128A3" w:rsidP="00E128A3" w14:paraId="710040B6" w14:textId="77777777">
      <w:pPr>
        <w:rPr>
          <w:sz w:val="24"/>
          <w:szCs w:val="24"/>
        </w:rPr>
      </w:pPr>
    </w:p>
    <w:p w:rsidR="006F7B6F" w:rsidRPr="002A4C73" w:rsidP="00200284" w14:paraId="7F133336" w14:textId="77777777">
      <w:pPr>
        <w:pStyle w:val="ParaNum"/>
        <w:numPr>
          <w:ilvl w:val="0"/>
          <w:numId w:val="0"/>
        </w:numPr>
        <w:spacing w:after="0"/>
        <w:ind w:left="43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5E1C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7D6E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936676D" w14:textId="4499FE4E">
    <w:pPr>
      <w:pStyle w:val="Footer"/>
      <w:jc w:val="center"/>
    </w:pPr>
    <w:r>
      <w:fldChar w:fldCharType="begin"/>
    </w:r>
    <w:r>
      <w:instrText xml:space="preserve"> PAGE   \* MERGEFORMAT </w:instrText>
    </w:r>
    <w:r>
      <w:fldChar w:fldCharType="separate"/>
    </w:r>
    <w:r w:rsidR="00CC34CF">
      <w:rPr>
        <w:noProof/>
      </w:rPr>
      <w:t>4</w:t>
    </w:r>
    <w:r>
      <w:rPr>
        <w:noProof/>
      </w:rPr>
      <w:fldChar w:fldCharType="end"/>
    </w:r>
  </w:p>
  <w:p w:rsidR="00D25FB5" w14:paraId="772A9EB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C6F" w14:paraId="5FACA144" w14:textId="2EC9AABE">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4DB" w14:paraId="3D7DC59D" w14:textId="77777777">
      <w:r>
        <w:separator/>
      </w:r>
    </w:p>
  </w:footnote>
  <w:footnote w:type="continuationSeparator" w:id="1">
    <w:p w:rsidR="002614DB" w:rsidP="00C721AC" w14:paraId="7A09D93A" w14:textId="77777777">
      <w:pPr>
        <w:spacing w:before="120"/>
        <w:rPr>
          <w:sz w:val="20"/>
        </w:rPr>
      </w:pPr>
      <w:r>
        <w:rPr>
          <w:sz w:val="20"/>
        </w:rPr>
        <w:t xml:space="preserve">(Continued from previous page)  </w:t>
      </w:r>
      <w:r>
        <w:rPr>
          <w:sz w:val="20"/>
        </w:rPr>
        <w:separator/>
      </w:r>
    </w:p>
  </w:footnote>
  <w:footnote w:type="continuationNotice" w:id="2">
    <w:p w:rsidR="002614DB" w:rsidP="00C721AC" w14:paraId="25F8B6BB" w14:textId="77777777">
      <w:pPr>
        <w:jc w:val="right"/>
        <w:rPr>
          <w:sz w:val="20"/>
        </w:rPr>
      </w:pPr>
      <w:r>
        <w:rPr>
          <w:sz w:val="20"/>
        </w:rPr>
        <w:t>(continued….)</w:t>
      </w:r>
    </w:p>
  </w:footnote>
  <w:footnote w:id="3">
    <w:p w:rsidR="00EF139A" w:rsidP="00EF139A" w14:paraId="74730D66" w14:textId="77777777">
      <w:pPr>
        <w:pStyle w:val="FootnoteText"/>
      </w:pPr>
      <w:r>
        <w:rPr>
          <w:rStyle w:val="FootnoteReference"/>
        </w:rPr>
        <w:footnoteRef/>
      </w:r>
      <w:r>
        <w:t xml:space="preserve"> 47 U.S.C. § 316(a). </w:t>
      </w:r>
    </w:p>
  </w:footnote>
  <w:footnote w:id="4">
    <w:p w:rsidR="00EF139A" w:rsidRPr="00A26B15" w:rsidP="00EF139A" w14:paraId="7895DD93" w14:textId="23951583">
      <w:pPr>
        <w:pStyle w:val="FootnoteText"/>
      </w:pPr>
      <w:r>
        <w:rPr>
          <w:rStyle w:val="FootnoteReference"/>
        </w:rPr>
        <w:footnoteRef/>
      </w:r>
      <w:r>
        <w:t xml:space="preserve"> </w:t>
      </w:r>
      <w:r>
        <w:rPr>
          <w:i/>
          <w:iCs/>
        </w:rPr>
        <w:t>Expan</w:t>
      </w:r>
      <w:r w:rsidRPr="00FE3258">
        <w:rPr>
          <w:i/>
          <w:iCs/>
        </w:rPr>
        <w:t>ding Flexible Use of the 3.7 to 4.2 GHz Band</w:t>
      </w:r>
      <w:r w:rsidRPr="00FE3258">
        <w:t>, Report and Order and Order of Proposed Modification, 35 FCC Rcd 2343</w:t>
      </w:r>
      <w:r>
        <w:t>, 2394-405, 2488-89, paras. 124-146, 409</w:t>
      </w:r>
      <w:r w:rsidRPr="00FE3258">
        <w:t xml:space="preserve"> (2020) (</w:t>
      </w:r>
      <w:r w:rsidRPr="00FE3258">
        <w:rPr>
          <w:i/>
          <w:iCs/>
        </w:rPr>
        <w:t xml:space="preserve">3.7 GHz </w:t>
      </w:r>
      <w:r>
        <w:rPr>
          <w:i/>
          <w:iCs/>
        </w:rPr>
        <w:t>R&amp;O</w:t>
      </w:r>
      <w:r w:rsidRPr="00FE3258">
        <w:t>)</w:t>
      </w:r>
      <w:r>
        <w:t xml:space="preserve">. </w:t>
      </w:r>
    </w:p>
  </w:footnote>
  <w:footnote w:id="5">
    <w:p w:rsidR="00EF139A" w:rsidP="00EF139A" w14:paraId="7EDAFA1C" w14:textId="4688861D">
      <w:pPr>
        <w:pStyle w:val="FootnoteText"/>
      </w:pPr>
      <w:r>
        <w:rPr>
          <w:rStyle w:val="FootnoteReference"/>
        </w:rPr>
        <w:footnoteRef/>
      </w:r>
      <w:r>
        <w:t xml:space="preserve"> </w:t>
      </w:r>
      <w:r>
        <w:rPr>
          <w:i/>
          <w:iCs/>
        </w:rPr>
        <w:t>Expan</w:t>
      </w:r>
      <w:r w:rsidRPr="00FE3258">
        <w:rPr>
          <w:i/>
          <w:iCs/>
        </w:rPr>
        <w:t>ding Flexible Use of the 3.7 to 4.2 GHz Band</w:t>
      </w:r>
      <w:r w:rsidRPr="00FE3258">
        <w:t>, Report and Order and Order of Proposed Modification, 35 FCC Rcd 2343 (2020) (</w:t>
      </w:r>
      <w:r w:rsidRPr="00FE3258">
        <w:rPr>
          <w:i/>
          <w:iCs/>
        </w:rPr>
        <w:t xml:space="preserve">3.7 GHz </w:t>
      </w:r>
      <w:r>
        <w:rPr>
          <w:i/>
          <w:iCs/>
        </w:rPr>
        <w:t>R&amp;O</w:t>
      </w:r>
      <w:r w:rsidRPr="00FE3258">
        <w:t>)</w:t>
      </w:r>
      <w:r w:rsidR="00300250">
        <w:t>;</w:t>
      </w:r>
      <w:r w:rsidRPr="00300250" w:rsidR="00300250">
        <w:t xml:space="preserve"> </w:t>
      </w:r>
      <w:r w:rsidR="00300250">
        <w:t>Letter from Scott Blake Harris et al., Counsel for ABS Global Ltd., Empresa Argentina de Soluciones S.A., Hispamar Sat</w:t>
      </w:r>
      <w:r w:rsidRPr="00A26B15" w:rsidR="00300250">
        <w:t>élite</w:t>
      </w:r>
      <w:r w:rsidR="00300250">
        <w:t xml:space="preserve">s S.A., and Hispasat S.A., to Marlene H. Dortch, Secretary, FCC, GN Docket No. 18-122, at 1 (filed May 22, 2020) (SSO Protest). The Small Satellite Operators filing this protest differ slightly from those who participated in the underlying 3.7-4.2 GHz rulemaking proceeding.  In that proceeding, the group filing as “SSOs” consisted of ABS, Hispasat, and Claro S.A. (Star One); ARSAT did not submit any filings or otherwise participate in the rulemaking.  Note also that in the </w:t>
      </w:r>
      <w:r w:rsidRPr="0058056C" w:rsidR="00300250">
        <w:rPr>
          <w:i/>
          <w:iCs/>
        </w:rPr>
        <w:t>3.7-4.2 Report and Order</w:t>
      </w:r>
      <w:r w:rsidR="00300250">
        <w:t>, the Commission referred to ARSAT as “Empresa.”</w:t>
      </w:r>
    </w:p>
  </w:footnote>
  <w:footnote w:id="6">
    <w:p w:rsidR="00EF139A" w:rsidP="00EF139A" w14:paraId="238C4587" w14:textId="6EE6D13F">
      <w:pPr>
        <w:pStyle w:val="FootnoteText"/>
      </w:pPr>
      <w:r>
        <w:rPr>
          <w:rStyle w:val="FootnoteReference"/>
        </w:rPr>
        <w:footnoteRef/>
      </w:r>
      <w:r>
        <w:t xml:space="preserve"> </w:t>
      </w:r>
      <w:r w:rsidR="00300250">
        <w:t xml:space="preserve"> SSO Protest at 1. </w:t>
      </w:r>
    </w:p>
  </w:footnote>
  <w:footnote w:id="7">
    <w:p w:rsidR="007D299B" w14:paraId="0FEBC597" w14:textId="510E0894">
      <w:pPr>
        <w:pStyle w:val="FootnoteText"/>
      </w:pPr>
      <w:r>
        <w:rPr>
          <w:rStyle w:val="FootnoteReference"/>
        </w:rPr>
        <w:footnoteRef/>
      </w:r>
      <w:r>
        <w:t xml:space="preserve"> </w:t>
      </w:r>
      <w:r w:rsidRPr="00522A01" w:rsidR="00522A01">
        <w:rPr>
          <w:i/>
          <w:iCs/>
        </w:rPr>
        <w:t>Order Denying Stay Petition</w:t>
      </w:r>
      <w:r w:rsidRPr="00522A01" w:rsidR="00522A01">
        <w:t>, Order, DA 20-609, GN Docket No. 18-122 (June 10, 2020) (</w:t>
      </w:r>
      <w:r w:rsidRPr="00DB5A7D" w:rsidR="005C2DA5">
        <w:rPr>
          <w:i/>
        </w:rPr>
        <w:t xml:space="preserve">SSO </w:t>
      </w:r>
      <w:r w:rsidRPr="00DB5A7D" w:rsidR="00522A01">
        <w:rPr>
          <w:i/>
        </w:rPr>
        <w:t xml:space="preserve">Stay </w:t>
      </w:r>
      <w:r w:rsidRPr="00DB5A7D" w:rsidR="00B32800">
        <w:rPr>
          <w:i/>
        </w:rPr>
        <w:t>Denial</w:t>
      </w:r>
      <w:r w:rsidRPr="00DB5A7D" w:rsidR="00522A01">
        <w:rPr>
          <w:i/>
        </w:rPr>
        <w:t xml:space="preserve"> Order</w:t>
      </w:r>
      <w:r w:rsidRPr="00522A01" w:rsidR="00522A01">
        <w:t>)</w:t>
      </w:r>
      <w:r w:rsidR="005C2DA5">
        <w:t xml:space="preserve"> (denying the SSOs’ request for a stay pending appeal)</w:t>
      </w:r>
      <w:r w:rsidRPr="00522A01" w:rsidR="00522A01">
        <w:t>.</w:t>
      </w:r>
    </w:p>
  </w:footnote>
  <w:footnote w:id="8">
    <w:p w:rsidR="0057031B" w:rsidRPr="0057031B" w14:paraId="34C88EEA" w14:textId="0852FA59">
      <w:pPr>
        <w:pStyle w:val="FootnoteText"/>
        <w:rPr>
          <w:i/>
          <w:iCs/>
        </w:rPr>
      </w:pPr>
      <w:r>
        <w:rPr>
          <w:rStyle w:val="FootnoteReference"/>
        </w:rPr>
        <w:footnoteRef/>
      </w:r>
      <w:r>
        <w:t xml:space="preserve"> </w:t>
      </w:r>
      <w:r w:rsidRPr="0057031B">
        <w:rPr>
          <w:i/>
          <w:iCs/>
        </w:rPr>
        <w:t xml:space="preserve">3.7 GHz </w:t>
      </w:r>
      <w:r w:rsidR="004B4807">
        <w:rPr>
          <w:i/>
          <w:iCs/>
        </w:rPr>
        <w:t>R&amp;O</w:t>
      </w:r>
      <w:r w:rsidR="007F7A76">
        <w:t>,</w:t>
      </w:r>
      <w:r w:rsidRPr="0057031B">
        <w:t xml:space="preserve"> 35 FCC Rcd at 2394</w:t>
      </w:r>
      <w:r w:rsidR="00A371A9">
        <w:t>-405</w:t>
      </w:r>
      <w:r w:rsidRPr="0057031B">
        <w:t>, para. 12</w:t>
      </w:r>
      <w:r>
        <w:t>5</w:t>
      </w:r>
      <w:r w:rsidR="00A371A9">
        <w:t xml:space="preserve">-146; </w:t>
      </w:r>
      <w:r w:rsidR="00A371A9">
        <w:rPr>
          <w:i/>
        </w:rPr>
        <w:t>see also</w:t>
      </w:r>
      <w:r w:rsidR="00A371A9">
        <w:t xml:space="preserve"> </w:t>
      </w:r>
      <w:r w:rsidR="00A371A9">
        <w:rPr>
          <w:i/>
        </w:rPr>
        <w:t>id.</w:t>
      </w:r>
      <w:r w:rsidR="00A371A9">
        <w:t xml:space="preserve"> at 2408, para. 155 (establishing relocation deadline of December 8, 2025)</w:t>
      </w:r>
      <w:r w:rsidRPr="0057031B">
        <w:t>.</w:t>
      </w:r>
    </w:p>
  </w:footnote>
  <w:footnote w:id="9">
    <w:p w:rsidR="00FC7990" w:rsidRPr="00FC7990" w14:paraId="5CF18BF9" w14:textId="3E923538">
      <w:pPr>
        <w:pStyle w:val="FootnoteText"/>
      </w:pPr>
      <w:r>
        <w:rPr>
          <w:rStyle w:val="FootnoteReference"/>
        </w:rPr>
        <w:footnoteRef/>
      </w:r>
      <w:r>
        <w:t xml:space="preserve"> </w:t>
      </w:r>
      <w:r>
        <w:rPr>
          <w:i/>
        </w:rPr>
        <w:t>See</w:t>
      </w:r>
      <w:r>
        <w:t xml:space="preserve"> </w:t>
      </w:r>
      <w:r>
        <w:rPr>
          <w:i/>
        </w:rPr>
        <w:t>id.</w:t>
      </w:r>
      <w:r>
        <w:t xml:space="preserve"> at 2488-89, para. 409.  </w:t>
      </w:r>
      <w:r w:rsidR="00146887">
        <w:t>A summary of t</w:t>
      </w:r>
      <w:r>
        <w:t xml:space="preserve">he </w:t>
      </w:r>
      <w:r>
        <w:rPr>
          <w:i/>
        </w:rPr>
        <w:t>3.7 GHz R&amp;O</w:t>
      </w:r>
      <w:r>
        <w:t xml:space="preserve"> was published in the Federal Register on</w:t>
      </w:r>
      <w:r w:rsidR="00146887">
        <w:t xml:space="preserve"> April 23, 2020</w:t>
      </w:r>
      <w:r>
        <w:t xml:space="preserve">, so protests </w:t>
      </w:r>
      <w:r w:rsidR="008F1E18">
        <w:t>were due by May 26</w:t>
      </w:r>
      <w:r w:rsidR="00B56EF4">
        <w:t>, 2020</w:t>
      </w:r>
      <w:r w:rsidR="001A201C">
        <w:t>;</w:t>
      </w:r>
      <w:r w:rsidR="009B12FE">
        <w:t xml:space="preserve"> </w:t>
      </w:r>
      <w:r w:rsidR="008F1E18">
        <w:t xml:space="preserve">for licensees that did not file a protest, the modifications took effect on </w:t>
      </w:r>
      <w:r w:rsidR="00146887">
        <w:t>June 22</w:t>
      </w:r>
      <w:r w:rsidR="00B56EF4">
        <w:t>, 2020</w:t>
      </w:r>
      <w:r w:rsidR="00146887">
        <w:t>.</w:t>
      </w:r>
    </w:p>
  </w:footnote>
  <w:footnote w:id="10">
    <w:p w:rsidR="00146887" w:rsidRPr="00146887" w14:paraId="2562CA40" w14:textId="0BA19797">
      <w:pPr>
        <w:pStyle w:val="FootnoteText"/>
      </w:pPr>
      <w:r>
        <w:rPr>
          <w:rStyle w:val="FootnoteReference"/>
        </w:rPr>
        <w:footnoteRef/>
      </w:r>
      <w:r>
        <w:t xml:space="preserve"> </w:t>
      </w:r>
      <w:r>
        <w:rPr>
          <w:i/>
        </w:rPr>
        <w:t>Id.</w:t>
      </w:r>
      <w:r w:rsidR="000F3E2D">
        <w:t xml:space="preserve">; </w:t>
      </w:r>
      <w:r w:rsidR="000F3E2D">
        <w:rPr>
          <w:i/>
        </w:rPr>
        <w:t>see</w:t>
      </w:r>
      <w:r w:rsidR="000F3E2D">
        <w:t xml:space="preserve"> 47 U.S.C. § 316(a)(1) (“</w:t>
      </w:r>
      <w:r w:rsidRPr="0043026E" w:rsidR="000F3E2D">
        <w:t>No such order of modification shall become final until the holder of the license or permit shall have been notified in writing of the proposed action and the grounds and reasons therefor, and shall be given reasonable opportunity, of at least thirty days</w:t>
      </w:r>
      <w:r w:rsidR="000F3E2D">
        <w:t>, to protest such proposed order of modification.”)</w:t>
      </w:r>
      <w:r w:rsidR="00B600E2">
        <w:t>.</w:t>
      </w:r>
      <w:r>
        <w:t xml:space="preserve"> </w:t>
      </w:r>
    </w:p>
  </w:footnote>
  <w:footnote w:id="11">
    <w:p w:rsidR="00E503DB" w:rsidRPr="00E503DB" w14:paraId="393A11D5" w14:textId="016D0214">
      <w:pPr>
        <w:pStyle w:val="FootnoteText"/>
      </w:pPr>
      <w:r>
        <w:rPr>
          <w:rStyle w:val="FootnoteReference"/>
        </w:rPr>
        <w:footnoteRef/>
      </w:r>
      <w:r>
        <w:t xml:space="preserve"> 47 U.S.C. § 316(a)(1); </w:t>
      </w:r>
      <w:r>
        <w:rPr>
          <w:i/>
        </w:rPr>
        <w:t>Cal. Metro. Mobile Commc’ns, Inc. v. FCC</w:t>
      </w:r>
      <w:r>
        <w:t>, 365 F.3d 38, 45 (D.C. Cir. 2004) (“the Commission need only find that the proposed modification serves the public interest”).</w:t>
      </w:r>
    </w:p>
  </w:footnote>
  <w:footnote w:id="12">
    <w:p w:rsidR="0012726B" w:rsidP="00416549" w14:paraId="0B805E66" w14:textId="2807A496">
      <w:pPr>
        <w:pStyle w:val="FootnoteText"/>
      </w:pPr>
      <w:r>
        <w:rPr>
          <w:rStyle w:val="FootnoteReference"/>
        </w:rPr>
        <w:footnoteRef/>
      </w:r>
      <w:r>
        <w:t xml:space="preserve"> </w:t>
      </w:r>
      <w:r w:rsidR="008A18EE">
        <w:rPr>
          <w:i/>
        </w:rPr>
        <w:t>3.7 GHz R&amp;O</w:t>
      </w:r>
      <w:r w:rsidR="008A18EE">
        <w:t xml:space="preserve">, 35 FCC Rcd. at </w:t>
      </w:r>
      <w:r w:rsidR="00F74E0F">
        <w:t>2396-97, 2399-402</w:t>
      </w:r>
      <w:r w:rsidR="008A18EE">
        <w:t xml:space="preserve">, paras. 129-131, 135-140; </w:t>
      </w:r>
      <w:r w:rsidR="008A18EE">
        <w:rPr>
          <w:i/>
        </w:rPr>
        <w:t>s</w:t>
      </w:r>
      <w:r w:rsidRPr="00416549" w:rsidR="00416549">
        <w:rPr>
          <w:i/>
          <w:iCs/>
        </w:rPr>
        <w:t>ee, e.g.</w:t>
      </w:r>
      <w:r w:rsidRPr="00664F20" w:rsidR="00416549">
        <w:rPr>
          <w:iCs/>
        </w:rPr>
        <w:t>,</w:t>
      </w:r>
      <w:r w:rsidRPr="008A18EE" w:rsidR="00416549">
        <w:t xml:space="preserve"> </w:t>
      </w:r>
      <w:r w:rsidRPr="00416549" w:rsidR="00416549">
        <w:rPr>
          <w:i/>
          <w:iCs/>
        </w:rPr>
        <w:t>Cmty</w:t>
      </w:r>
      <w:r w:rsidR="008A18EE">
        <w:rPr>
          <w:i/>
          <w:iCs/>
        </w:rPr>
        <w:t>.</w:t>
      </w:r>
      <w:r w:rsidRPr="00416549" w:rsidR="00416549">
        <w:rPr>
          <w:i/>
          <w:iCs/>
        </w:rPr>
        <w:t xml:space="preserve"> Television, Inc. v. FCC</w:t>
      </w:r>
      <w:r w:rsidR="00416549">
        <w:t>, 216 F.3d 1133, 11</w:t>
      </w:r>
      <w:r w:rsidR="008A18EE">
        <w:t>39-</w:t>
      </w:r>
      <w:r w:rsidR="00416549">
        <w:t>41(D.C. Cir. 2000).</w:t>
      </w:r>
    </w:p>
  </w:footnote>
  <w:footnote w:id="13">
    <w:p w:rsidR="0034178E" w:rsidRPr="0034178E" w14:paraId="3F6565A4" w14:textId="72DEF5C6">
      <w:pPr>
        <w:pStyle w:val="FootnoteText"/>
      </w:pPr>
      <w:r>
        <w:rPr>
          <w:rStyle w:val="FootnoteReference"/>
        </w:rPr>
        <w:footnoteRef/>
      </w:r>
      <w:r>
        <w:t xml:space="preserve"> </w:t>
      </w:r>
      <w:r>
        <w:rPr>
          <w:i/>
        </w:rPr>
        <w:t>3.7 GHz R&amp;O</w:t>
      </w:r>
      <w:r>
        <w:t xml:space="preserve">, 35 FCC Rcd. </w:t>
      </w:r>
      <w:r w:rsidR="00557F3B">
        <w:t>2353</w:t>
      </w:r>
      <w:r>
        <w:t xml:space="preserve">, para. 20; </w:t>
      </w:r>
      <w:r>
        <w:rPr>
          <w:i/>
        </w:rPr>
        <w:t>see</w:t>
      </w:r>
      <w:r>
        <w:t xml:space="preserve"> </w:t>
      </w:r>
      <w:r>
        <w:rPr>
          <w:i/>
        </w:rPr>
        <w:t>id.</w:t>
      </w:r>
      <w:r>
        <w:t xml:space="preserve"> </w:t>
      </w:r>
      <w:r w:rsidRPr="00CA7AC6">
        <w:t xml:space="preserve">at </w:t>
      </w:r>
      <w:r w:rsidR="00CA7AC6">
        <w:t xml:space="preserve">2397, 2399-401, </w:t>
      </w:r>
      <w:r w:rsidR="005A3A2D">
        <w:t>2423-24</w:t>
      </w:r>
      <w:r w:rsidRPr="00CA7AC6">
        <w:t>, paras. 130, 135, 139-140, 196</w:t>
      </w:r>
      <w:r w:rsidR="00686ED8">
        <w:t>.</w:t>
      </w:r>
    </w:p>
  </w:footnote>
  <w:footnote w:id="14">
    <w:p w:rsidR="00E25248" w:rsidRPr="00E25248" w:rsidP="00AA5541" w14:paraId="44674AD6" w14:textId="159B8220">
      <w:pPr>
        <w:pStyle w:val="FootnoteText"/>
      </w:pPr>
      <w:r>
        <w:rPr>
          <w:rStyle w:val="FootnoteReference"/>
        </w:rPr>
        <w:footnoteRef/>
      </w:r>
      <w:r>
        <w:t xml:space="preserve"> </w:t>
      </w:r>
      <w:r>
        <w:rPr>
          <w:i/>
        </w:rPr>
        <w:t>Id.</w:t>
      </w:r>
      <w:r>
        <w:t xml:space="preserve"> at 2423, para. 196; </w:t>
      </w:r>
      <w:r>
        <w:rPr>
          <w:i/>
        </w:rPr>
        <w:t>accord</w:t>
      </w:r>
      <w:r>
        <w:t xml:space="preserve"> </w:t>
      </w:r>
      <w:r>
        <w:rPr>
          <w:i/>
        </w:rPr>
        <w:t>id.</w:t>
      </w:r>
      <w:r>
        <w:t xml:space="preserve"> at 2359, para. 32 (“As ABS [and] Hispasat . . . acknowledge, </w:t>
      </w:r>
      <w:r w:rsidRPr="00AA5541" w:rsidR="00AA5541">
        <w:t>because of compression and filtering technologies, incumbent space station operators will be able to deliver the equivalent quality of service and even expand that service in the remaining 200 megahertz</w:t>
      </w:r>
      <w:r w:rsidR="00AA5541">
        <w:t>”</w:t>
      </w:r>
      <w:r>
        <w:t>);</w:t>
      </w:r>
      <w:r w:rsidR="00CA7AC6">
        <w:t xml:space="preserve"> </w:t>
      </w:r>
      <w:r w:rsidR="00CA7AC6">
        <w:rPr>
          <w:i/>
        </w:rPr>
        <w:t>id.</w:t>
      </w:r>
      <w:r w:rsidR="00CA7AC6">
        <w:t xml:space="preserve"> at 2399-400, para. 135 (“For the Small Satellite Operators, the record clearly demonstrates that . . . the remaining 200 megahertz of spectrum available after the transition period exceeds any reasonable estimate of their needs.”);</w:t>
      </w:r>
      <w:r>
        <w:t xml:space="preserve"> </w:t>
      </w:r>
      <w:r>
        <w:rPr>
          <w:i/>
        </w:rPr>
        <w:t>id.</w:t>
      </w:r>
      <w:r>
        <w:t xml:space="preserve"> at 2401</w:t>
      </w:r>
      <w:r w:rsidR="00AA5541">
        <w:t>-02</w:t>
      </w:r>
      <w:r>
        <w:t>, para. 139 (</w:t>
      </w:r>
      <w:r w:rsidR="003A6B37">
        <w:t>the SSOs</w:t>
      </w:r>
      <w:r w:rsidR="00AA5541">
        <w:t xml:space="preserve"> </w:t>
      </w:r>
      <w:r w:rsidR="005A3A2D">
        <w:t xml:space="preserve">will be able </w:t>
      </w:r>
      <w:r w:rsidR="00AA5541">
        <w:t>“to continue to serve existing customers and to obtain new customers”</w:t>
      </w:r>
      <w:r w:rsidR="005A3A2D">
        <w:t xml:space="preserve"> using the upper 200 megahertz of spectrum</w:t>
      </w:r>
      <w:r>
        <w:t>).</w:t>
      </w:r>
    </w:p>
  </w:footnote>
  <w:footnote w:id="15">
    <w:p w:rsidR="00416549" w:rsidRPr="00416549" w14:paraId="4762AAEC" w14:textId="29F46238">
      <w:pPr>
        <w:pStyle w:val="FootnoteText"/>
      </w:pPr>
      <w:r>
        <w:rPr>
          <w:rStyle w:val="FootnoteReference"/>
        </w:rPr>
        <w:footnoteRef/>
      </w:r>
      <w:r>
        <w:t xml:space="preserve"> </w:t>
      </w:r>
      <w:r w:rsidR="003A6B37">
        <w:rPr>
          <w:i/>
        </w:rPr>
        <w:t>Id.</w:t>
      </w:r>
      <w:r w:rsidRPr="00664F20" w:rsidR="007F7A76">
        <w:rPr>
          <w:iCs/>
        </w:rPr>
        <w:t xml:space="preserve"> </w:t>
      </w:r>
      <w:r w:rsidRPr="003A6B37">
        <w:t>at</w:t>
      </w:r>
      <w:r w:rsidRPr="003A6B37" w:rsidR="00171568">
        <w:t xml:space="preserve"> 23</w:t>
      </w:r>
      <w:r w:rsidR="003A6B37">
        <w:t>96-</w:t>
      </w:r>
      <w:r w:rsidRPr="003A6B37" w:rsidR="00171568">
        <w:t>97</w:t>
      </w:r>
      <w:r w:rsidR="003A6B37">
        <w:t>, 2399-402</w:t>
      </w:r>
      <w:r w:rsidRPr="003A6B37" w:rsidR="00171568">
        <w:t>,</w:t>
      </w:r>
      <w:r w:rsidRPr="003A6B37">
        <w:t xml:space="preserve"> para</w:t>
      </w:r>
      <w:r w:rsidR="003A6B37">
        <w:t>s</w:t>
      </w:r>
      <w:r w:rsidRPr="003A6B37">
        <w:t xml:space="preserve">. </w:t>
      </w:r>
      <w:r w:rsidR="003A6B37">
        <w:t>129-131, 135-140</w:t>
      </w:r>
      <w:r w:rsidRPr="003A6B37">
        <w:t>.</w:t>
      </w:r>
      <w:r>
        <w:t xml:space="preserve"> </w:t>
      </w:r>
    </w:p>
  </w:footnote>
  <w:footnote w:id="16">
    <w:p w:rsidR="00746D01" w14:paraId="2068D2C4" w14:textId="422C0D0F">
      <w:pPr>
        <w:pStyle w:val="FootnoteText"/>
      </w:pPr>
      <w:r>
        <w:rPr>
          <w:rStyle w:val="FootnoteReference"/>
        </w:rPr>
        <w:footnoteRef/>
      </w:r>
      <w:r>
        <w:t xml:space="preserve"> </w:t>
      </w:r>
      <w:r w:rsidRPr="00746D01">
        <w:t>Joint Petition for Stay of Report and Order and Order of Proposed Modification Pending Judicial Review of ABS Global Ltd., Empresa Argentina de Soluciones Satelitales S.A., Hispamar Satélites S.A., and Hispasat S.A., GN Docket No. 18-122 (filed May 15, 2020) (</w:t>
      </w:r>
      <w:r w:rsidR="000F3E2D">
        <w:t xml:space="preserve">SSO </w:t>
      </w:r>
      <w:r w:rsidRPr="00746D01">
        <w:t>Stay Petition).</w:t>
      </w:r>
    </w:p>
  </w:footnote>
  <w:footnote w:id="17">
    <w:p w:rsidR="00272712" w:rsidRPr="00746D01" w:rsidP="007F7A76" w14:paraId="6E1465AD" w14:textId="2EFDD36A">
      <w:pPr>
        <w:pStyle w:val="FootnoteText"/>
      </w:pPr>
      <w:r>
        <w:rPr>
          <w:rStyle w:val="FootnoteReference"/>
        </w:rPr>
        <w:footnoteRef/>
      </w:r>
      <w:r>
        <w:t xml:space="preserve"> </w:t>
      </w:r>
      <w:r w:rsidR="00746D01">
        <w:rPr>
          <w:i/>
          <w:iCs/>
        </w:rPr>
        <w:t>Id.</w:t>
      </w:r>
      <w:r w:rsidR="00746D01">
        <w:t xml:space="preserve"> at </w:t>
      </w:r>
      <w:r w:rsidR="00A16479">
        <w:t>10-12</w:t>
      </w:r>
      <w:r w:rsidR="00746D01">
        <w:t>.</w:t>
      </w:r>
    </w:p>
  </w:footnote>
  <w:footnote w:id="18">
    <w:p w:rsidR="006B3609" w:rsidP="006B3609" w14:paraId="19113704" w14:textId="3C57583E">
      <w:pPr>
        <w:pStyle w:val="FootnoteText"/>
      </w:pPr>
      <w:r>
        <w:rPr>
          <w:rStyle w:val="FootnoteReference"/>
        </w:rPr>
        <w:footnoteRef/>
      </w:r>
      <w:r>
        <w:t xml:space="preserve"> </w:t>
      </w:r>
      <w:r w:rsidRPr="00E70033">
        <w:rPr>
          <w:i/>
        </w:rPr>
        <w:t>SSO Stay Denial Order</w:t>
      </w:r>
      <w:r>
        <w:t xml:space="preserve">, </w:t>
      </w:r>
      <w:r>
        <w:rPr>
          <w:i/>
        </w:rPr>
        <w:t>supra</w:t>
      </w:r>
      <w:r>
        <w:t xml:space="preserve"> note </w:t>
      </w:r>
      <w:r w:rsidR="00B36474">
        <w:t>6</w:t>
      </w:r>
      <w:r>
        <w:t>.</w:t>
      </w:r>
    </w:p>
  </w:footnote>
  <w:footnote w:id="19">
    <w:p w:rsidR="006B3609" w:rsidP="006B3609" w14:paraId="1A47E50A" w14:textId="77777777">
      <w:pPr>
        <w:pStyle w:val="FootnoteText"/>
      </w:pPr>
      <w:r>
        <w:rPr>
          <w:rStyle w:val="FootnoteReference"/>
        </w:rPr>
        <w:footnoteRef/>
      </w:r>
      <w:r>
        <w:t xml:space="preserve"> Order, </w:t>
      </w:r>
      <w:r>
        <w:rPr>
          <w:i/>
        </w:rPr>
        <w:t>PSSI Glob. Servs., L.L.C. v. FCC</w:t>
      </w:r>
      <w:r>
        <w:t>, Nos. 20-1142 et al. (D.C. Cir. June 23, 2020).</w:t>
      </w:r>
    </w:p>
  </w:footnote>
  <w:footnote w:id="20">
    <w:p w:rsidR="0043026E" w14:paraId="15BEEC62" w14:textId="46079AFD">
      <w:pPr>
        <w:pStyle w:val="FootnoteText"/>
      </w:pPr>
      <w:r>
        <w:rPr>
          <w:rStyle w:val="FootnoteReference"/>
        </w:rPr>
        <w:footnoteRef/>
      </w:r>
      <w:r>
        <w:t xml:space="preserve"> SSO Protest</w:t>
      </w:r>
      <w:r w:rsidR="00033984">
        <w:t xml:space="preserve">, </w:t>
      </w:r>
      <w:r w:rsidR="00033984">
        <w:rPr>
          <w:i/>
        </w:rPr>
        <w:t>supra</w:t>
      </w:r>
      <w:r w:rsidR="00033984">
        <w:t xml:space="preserve"> note</w:t>
      </w:r>
      <w:r w:rsidR="00C92197">
        <w:t xml:space="preserve"> 3</w:t>
      </w:r>
      <w:bookmarkStart w:id="1" w:name="_GoBack"/>
      <w:bookmarkEnd w:id="1"/>
      <w:r>
        <w:t xml:space="preserve">. </w:t>
      </w:r>
    </w:p>
  </w:footnote>
  <w:footnote w:id="21">
    <w:p w:rsidR="00922EE7" w:rsidRPr="00922EE7" w14:paraId="7E8C123D" w14:textId="156EB12F">
      <w:pPr>
        <w:pStyle w:val="FootnoteText"/>
      </w:pPr>
      <w:r>
        <w:rPr>
          <w:rStyle w:val="FootnoteReference"/>
        </w:rPr>
        <w:footnoteRef/>
      </w:r>
      <w:r>
        <w:t xml:space="preserve"> </w:t>
      </w:r>
      <w:r>
        <w:rPr>
          <w:i/>
        </w:rPr>
        <w:t>Id.</w:t>
      </w:r>
      <w:r>
        <w:t xml:space="preserve"> at 1 &amp; n.</w:t>
      </w:r>
      <w:r w:rsidR="00993568">
        <w:t>5.</w:t>
      </w:r>
    </w:p>
  </w:footnote>
  <w:footnote w:id="22">
    <w:p w:rsidR="00377357" w14:paraId="151DB73B" w14:textId="5E423BC8">
      <w:pPr>
        <w:pStyle w:val="FootnoteText"/>
      </w:pPr>
      <w:r>
        <w:rPr>
          <w:rStyle w:val="FootnoteReference"/>
        </w:rPr>
        <w:footnoteRef/>
      </w:r>
      <w:r>
        <w:t xml:space="preserve"> </w:t>
      </w:r>
      <w:r w:rsidRPr="002E32E2">
        <w:t xml:space="preserve">47 </w:t>
      </w:r>
      <w:r>
        <w:t>U.S.C.</w:t>
      </w:r>
      <w:r w:rsidRPr="002E32E2">
        <w:t xml:space="preserve"> §</w:t>
      </w:r>
      <w:r>
        <w:t> </w:t>
      </w:r>
      <w:r w:rsidRPr="002E32E2">
        <w:t>316(a)(3)</w:t>
      </w:r>
      <w:r w:rsidR="006E7036">
        <w:t xml:space="preserve">; </w:t>
      </w:r>
      <w:r w:rsidR="006E7036">
        <w:rPr>
          <w:i/>
        </w:rPr>
        <w:t>see also</w:t>
      </w:r>
      <w:r w:rsidR="006E7036">
        <w:t xml:space="preserve"> 47 CFR § 1.87(d) (same)</w:t>
      </w:r>
      <w:r>
        <w:t>.</w:t>
      </w:r>
    </w:p>
  </w:footnote>
  <w:footnote w:id="23">
    <w:p w:rsidR="002E32E2" w14:paraId="25315A25" w14:textId="6CB57F55">
      <w:pPr>
        <w:pStyle w:val="FootnoteText"/>
      </w:pPr>
      <w:r>
        <w:rPr>
          <w:rStyle w:val="FootnoteReference"/>
        </w:rPr>
        <w:footnoteRef/>
      </w:r>
      <w:r>
        <w:t xml:space="preserve"> </w:t>
      </w:r>
      <w:r w:rsidRPr="002E32E2" w:rsidR="006E7036">
        <w:t xml:space="preserve">47 </w:t>
      </w:r>
      <w:r w:rsidR="006E7036">
        <w:t>U.S.C.</w:t>
      </w:r>
      <w:r w:rsidRPr="002E32E2" w:rsidR="006E7036">
        <w:t xml:space="preserve"> §</w:t>
      </w:r>
      <w:r w:rsidR="001C21B5">
        <w:t xml:space="preserve"> </w:t>
      </w:r>
      <w:r w:rsidRPr="002E32E2" w:rsidR="006E7036">
        <w:t>309(d)(1)</w:t>
      </w:r>
      <w:r w:rsidR="00473D33">
        <w:t xml:space="preserve">; </w:t>
      </w:r>
      <w:r w:rsidR="00473D33">
        <w:rPr>
          <w:i/>
        </w:rPr>
        <w:t>see also</w:t>
      </w:r>
      <w:r w:rsidR="00473D33">
        <w:t xml:space="preserve"> </w:t>
      </w:r>
      <w:r w:rsidR="00311931">
        <w:t>47 CFR § 1.939 (Commission rules governing content, filing, and processing of petitions to deny)</w:t>
      </w:r>
      <w:r w:rsidRPr="002E32E2" w:rsidR="006E7036">
        <w:t>.</w:t>
      </w:r>
    </w:p>
  </w:footnote>
  <w:footnote w:id="24">
    <w:p w:rsidR="00B7763E" w14:paraId="3B51E49C" w14:textId="1BDAC996">
      <w:pPr>
        <w:pStyle w:val="FootnoteText"/>
      </w:pPr>
      <w:r>
        <w:rPr>
          <w:rStyle w:val="FootnoteReference"/>
        </w:rPr>
        <w:footnoteRef/>
      </w:r>
      <w:r>
        <w:t xml:space="preserve"> </w:t>
      </w:r>
      <w:r w:rsidR="009E6507">
        <w:t>SSO Protest at 1</w:t>
      </w:r>
      <w:r w:rsidR="00184A5E">
        <w:t xml:space="preserve"> &amp;</w:t>
      </w:r>
      <w:r w:rsidR="000D2382">
        <w:t xml:space="preserve"> n.5.</w:t>
      </w:r>
      <w:r w:rsidR="000A7E0A">
        <w:t xml:space="preserve"> </w:t>
      </w:r>
    </w:p>
  </w:footnote>
  <w:footnote w:id="25">
    <w:p w:rsidR="003D4847" w:rsidP="003D4847" w14:paraId="08413962" w14:textId="7DE11C0F">
      <w:pPr>
        <w:pStyle w:val="FootnoteText"/>
      </w:pPr>
      <w:r>
        <w:rPr>
          <w:rStyle w:val="FootnoteReference"/>
        </w:rPr>
        <w:footnoteRef/>
      </w:r>
      <w:r>
        <w:t xml:space="preserve"> </w:t>
      </w:r>
      <w:r w:rsidRPr="00B36474" w:rsidR="00B36474">
        <w:rPr>
          <w:i/>
          <w:iCs/>
        </w:rPr>
        <w:t>Id</w:t>
      </w:r>
      <w:r w:rsidR="00B36474">
        <w:t>.</w:t>
      </w:r>
      <w:r>
        <w:t xml:space="preserve"> (citing to arguments made in the SSO Stay Petition and to earlier filings presented to and considered by the Commission prior to the </w:t>
      </w:r>
      <w:r w:rsidRPr="006B3609">
        <w:rPr>
          <w:i/>
        </w:rPr>
        <w:t>3.7 GHz R&amp;O</w:t>
      </w:r>
      <w:r>
        <w:t>).</w:t>
      </w:r>
    </w:p>
  </w:footnote>
  <w:footnote w:id="26">
    <w:p w:rsidR="00A005C2" w14:paraId="323DC412" w14:textId="1763F653">
      <w:pPr>
        <w:pStyle w:val="FootnoteText"/>
      </w:pPr>
      <w:r>
        <w:rPr>
          <w:rStyle w:val="FootnoteReference"/>
        </w:rPr>
        <w:footnoteRef/>
      </w:r>
      <w:r>
        <w:t xml:space="preserve"> </w:t>
      </w:r>
      <w:r w:rsidR="003D4847">
        <w:rPr>
          <w:i/>
        </w:rPr>
        <w:t>See</w:t>
      </w:r>
      <w:r w:rsidR="00CA07E6">
        <w:rPr>
          <w:i/>
        </w:rPr>
        <w:t>, e.g.</w:t>
      </w:r>
      <w:r w:rsidR="00CA07E6">
        <w:t xml:space="preserve">, </w:t>
      </w:r>
      <w:r w:rsidR="00CA07E6">
        <w:rPr>
          <w:i/>
        </w:rPr>
        <w:t>3.7 GHz R&amp;O</w:t>
      </w:r>
      <w:r w:rsidR="00CA07E6">
        <w:t xml:space="preserve">, 35 FCC Rcd. at 2396-97, 2399-402, paras. 129-131, 135-140; </w:t>
      </w:r>
      <w:r w:rsidR="00CA07E6">
        <w:rPr>
          <w:i/>
        </w:rPr>
        <w:t>SSO Stay Denial Order</w:t>
      </w:r>
      <w:r w:rsidR="00CA07E6">
        <w:t>, DA 20-609, at 8-10, paras. 17-20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98AA43" w14:textId="63D41223">
    <w:pPr>
      <w:pStyle w:val="Header"/>
      <w:rPr>
        <w:b w:val="0"/>
      </w:rPr>
    </w:pPr>
    <w:r>
      <w:tab/>
      <w:t>Federal Communications Commission</w:t>
    </w:r>
    <w:r>
      <w:tab/>
    </w:r>
    <w:r w:rsidR="00AB0893">
      <w:t>FCC 20-118</w:t>
    </w:r>
  </w:p>
  <w:p w:rsidR="00D25FB5" w14:paraId="34C88968" w14:textId="2DCE947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C4C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8A12A7" w14:textId="0F7CEB7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B0893">
      <w:rPr>
        <w:spacing w:val="-2"/>
      </w:rPr>
      <w:t>FCC 20-118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C6"/>
    <w:rsid w:val="00000EE9"/>
    <w:rsid w:val="000255EF"/>
    <w:rsid w:val="000327AB"/>
    <w:rsid w:val="00033984"/>
    <w:rsid w:val="00036039"/>
    <w:rsid w:val="00037F90"/>
    <w:rsid w:val="0004271D"/>
    <w:rsid w:val="0004772B"/>
    <w:rsid w:val="00063918"/>
    <w:rsid w:val="00064821"/>
    <w:rsid w:val="000872CA"/>
    <w:rsid w:val="000875BF"/>
    <w:rsid w:val="00096D8C"/>
    <w:rsid w:val="000A7E0A"/>
    <w:rsid w:val="000C0B65"/>
    <w:rsid w:val="000C5CD5"/>
    <w:rsid w:val="000D1932"/>
    <w:rsid w:val="000D2382"/>
    <w:rsid w:val="000D3024"/>
    <w:rsid w:val="000E05FE"/>
    <w:rsid w:val="000E3D42"/>
    <w:rsid w:val="000E47E0"/>
    <w:rsid w:val="000E6298"/>
    <w:rsid w:val="000F1CE1"/>
    <w:rsid w:val="000F3E2D"/>
    <w:rsid w:val="001054E7"/>
    <w:rsid w:val="00105CA8"/>
    <w:rsid w:val="00115D47"/>
    <w:rsid w:val="001206E3"/>
    <w:rsid w:val="00122BD5"/>
    <w:rsid w:val="0012726B"/>
    <w:rsid w:val="00132044"/>
    <w:rsid w:val="00133F79"/>
    <w:rsid w:val="00146887"/>
    <w:rsid w:val="001479E6"/>
    <w:rsid w:val="00157DB2"/>
    <w:rsid w:val="00171568"/>
    <w:rsid w:val="00174666"/>
    <w:rsid w:val="00184A5E"/>
    <w:rsid w:val="00194A66"/>
    <w:rsid w:val="001964B0"/>
    <w:rsid w:val="001A201C"/>
    <w:rsid w:val="001C21B5"/>
    <w:rsid w:val="001D6BCF"/>
    <w:rsid w:val="001D7207"/>
    <w:rsid w:val="001E01CA"/>
    <w:rsid w:val="001E3888"/>
    <w:rsid w:val="00200284"/>
    <w:rsid w:val="00202133"/>
    <w:rsid w:val="00223D21"/>
    <w:rsid w:val="002332D3"/>
    <w:rsid w:val="00241CB5"/>
    <w:rsid w:val="00243A92"/>
    <w:rsid w:val="002514B0"/>
    <w:rsid w:val="0025340A"/>
    <w:rsid w:val="00253B52"/>
    <w:rsid w:val="002614DB"/>
    <w:rsid w:val="00264B0A"/>
    <w:rsid w:val="002660BD"/>
    <w:rsid w:val="00272712"/>
    <w:rsid w:val="00275CF5"/>
    <w:rsid w:val="0028301F"/>
    <w:rsid w:val="00285017"/>
    <w:rsid w:val="002A2D2E"/>
    <w:rsid w:val="002A4C73"/>
    <w:rsid w:val="002B307A"/>
    <w:rsid w:val="002B4D5B"/>
    <w:rsid w:val="002B58AA"/>
    <w:rsid w:val="002C00E8"/>
    <w:rsid w:val="002C3DB9"/>
    <w:rsid w:val="002C6ED8"/>
    <w:rsid w:val="002D193C"/>
    <w:rsid w:val="002D3402"/>
    <w:rsid w:val="002D38EB"/>
    <w:rsid w:val="002E08D4"/>
    <w:rsid w:val="002E32E2"/>
    <w:rsid w:val="00300250"/>
    <w:rsid w:val="00307B10"/>
    <w:rsid w:val="00311931"/>
    <w:rsid w:val="003221B4"/>
    <w:rsid w:val="0034178E"/>
    <w:rsid w:val="003421AF"/>
    <w:rsid w:val="00343749"/>
    <w:rsid w:val="00354F53"/>
    <w:rsid w:val="00364ADD"/>
    <w:rsid w:val="003660ED"/>
    <w:rsid w:val="00377357"/>
    <w:rsid w:val="003844D2"/>
    <w:rsid w:val="003A6B37"/>
    <w:rsid w:val="003B0550"/>
    <w:rsid w:val="003B0A32"/>
    <w:rsid w:val="003B694F"/>
    <w:rsid w:val="003D4847"/>
    <w:rsid w:val="003E234A"/>
    <w:rsid w:val="003F171C"/>
    <w:rsid w:val="003F7A73"/>
    <w:rsid w:val="00412FC5"/>
    <w:rsid w:val="00416549"/>
    <w:rsid w:val="00422276"/>
    <w:rsid w:val="004235BF"/>
    <w:rsid w:val="004242F1"/>
    <w:rsid w:val="0043026E"/>
    <w:rsid w:val="00434EE4"/>
    <w:rsid w:val="00440425"/>
    <w:rsid w:val="00445A00"/>
    <w:rsid w:val="00451B0F"/>
    <w:rsid w:val="00470758"/>
    <w:rsid w:val="00473D33"/>
    <w:rsid w:val="00496C2C"/>
    <w:rsid w:val="004A1D42"/>
    <w:rsid w:val="004A4A08"/>
    <w:rsid w:val="004A6EA5"/>
    <w:rsid w:val="004B0DE6"/>
    <w:rsid w:val="004B2B53"/>
    <w:rsid w:val="004B4704"/>
    <w:rsid w:val="004B4807"/>
    <w:rsid w:val="004B5DEE"/>
    <w:rsid w:val="004B5DFA"/>
    <w:rsid w:val="004C2EE3"/>
    <w:rsid w:val="004C413D"/>
    <w:rsid w:val="004E4A22"/>
    <w:rsid w:val="00502822"/>
    <w:rsid w:val="00511968"/>
    <w:rsid w:val="00516ACE"/>
    <w:rsid w:val="00522A01"/>
    <w:rsid w:val="0053320F"/>
    <w:rsid w:val="005405B9"/>
    <w:rsid w:val="0054762A"/>
    <w:rsid w:val="00551AE2"/>
    <w:rsid w:val="0055614C"/>
    <w:rsid w:val="00557F3B"/>
    <w:rsid w:val="00566D06"/>
    <w:rsid w:val="0057031B"/>
    <w:rsid w:val="00577988"/>
    <w:rsid w:val="0058056C"/>
    <w:rsid w:val="00597529"/>
    <w:rsid w:val="005A3A2D"/>
    <w:rsid w:val="005B400C"/>
    <w:rsid w:val="005B4052"/>
    <w:rsid w:val="005C2DA5"/>
    <w:rsid w:val="005D35BA"/>
    <w:rsid w:val="005D4B51"/>
    <w:rsid w:val="005E14C2"/>
    <w:rsid w:val="005E43A1"/>
    <w:rsid w:val="005F563A"/>
    <w:rsid w:val="00600F36"/>
    <w:rsid w:val="00603DBF"/>
    <w:rsid w:val="00607BA5"/>
    <w:rsid w:val="0061180A"/>
    <w:rsid w:val="00612599"/>
    <w:rsid w:val="00617D6E"/>
    <w:rsid w:val="00626EB6"/>
    <w:rsid w:val="00633D87"/>
    <w:rsid w:val="00655D03"/>
    <w:rsid w:val="00660B38"/>
    <w:rsid w:val="00664F20"/>
    <w:rsid w:val="006707DC"/>
    <w:rsid w:val="00683388"/>
    <w:rsid w:val="00683F84"/>
    <w:rsid w:val="00686ED8"/>
    <w:rsid w:val="006A6A81"/>
    <w:rsid w:val="006B10E6"/>
    <w:rsid w:val="006B3609"/>
    <w:rsid w:val="006C5024"/>
    <w:rsid w:val="006E2000"/>
    <w:rsid w:val="006E7036"/>
    <w:rsid w:val="006F2C2D"/>
    <w:rsid w:val="006F3426"/>
    <w:rsid w:val="006F7393"/>
    <w:rsid w:val="006F7B6F"/>
    <w:rsid w:val="0070224F"/>
    <w:rsid w:val="00706D0C"/>
    <w:rsid w:val="007115F7"/>
    <w:rsid w:val="00716C20"/>
    <w:rsid w:val="0072264B"/>
    <w:rsid w:val="00726844"/>
    <w:rsid w:val="007362F2"/>
    <w:rsid w:val="0074553F"/>
    <w:rsid w:val="00746D01"/>
    <w:rsid w:val="00762C06"/>
    <w:rsid w:val="00764ECA"/>
    <w:rsid w:val="00767068"/>
    <w:rsid w:val="007729F4"/>
    <w:rsid w:val="007757AA"/>
    <w:rsid w:val="0077728D"/>
    <w:rsid w:val="00785689"/>
    <w:rsid w:val="007914F2"/>
    <w:rsid w:val="0079754B"/>
    <w:rsid w:val="007A1E6D"/>
    <w:rsid w:val="007A1EAA"/>
    <w:rsid w:val="007B0EB2"/>
    <w:rsid w:val="007B21C0"/>
    <w:rsid w:val="007C701D"/>
    <w:rsid w:val="007D299B"/>
    <w:rsid w:val="007D34BA"/>
    <w:rsid w:val="007D4777"/>
    <w:rsid w:val="007E0BF7"/>
    <w:rsid w:val="007E2472"/>
    <w:rsid w:val="007E5CA7"/>
    <w:rsid w:val="007E7669"/>
    <w:rsid w:val="007F1AFC"/>
    <w:rsid w:val="007F7A76"/>
    <w:rsid w:val="008027A6"/>
    <w:rsid w:val="00810B6F"/>
    <w:rsid w:val="00811EF1"/>
    <w:rsid w:val="00822CE0"/>
    <w:rsid w:val="00841AB1"/>
    <w:rsid w:val="00852B59"/>
    <w:rsid w:val="00857804"/>
    <w:rsid w:val="008648E2"/>
    <w:rsid w:val="0087702D"/>
    <w:rsid w:val="008A18EE"/>
    <w:rsid w:val="008A2739"/>
    <w:rsid w:val="008B0D18"/>
    <w:rsid w:val="008B59E6"/>
    <w:rsid w:val="008B66ED"/>
    <w:rsid w:val="008B66F6"/>
    <w:rsid w:val="008C359C"/>
    <w:rsid w:val="008C4E37"/>
    <w:rsid w:val="008C68F1"/>
    <w:rsid w:val="008D307A"/>
    <w:rsid w:val="008D58E7"/>
    <w:rsid w:val="008E51D7"/>
    <w:rsid w:val="008F1E18"/>
    <w:rsid w:val="0091180B"/>
    <w:rsid w:val="009166EF"/>
    <w:rsid w:val="00921803"/>
    <w:rsid w:val="00922EE7"/>
    <w:rsid w:val="009238B2"/>
    <w:rsid w:val="00923DB1"/>
    <w:rsid w:val="00926503"/>
    <w:rsid w:val="0093304E"/>
    <w:rsid w:val="00940029"/>
    <w:rsid w:val="00970E71"/>
    <w:rsid w:val="009726D8"/>
    <w:rsid w:val="00972B12"/>
    <w:rsid w:val="00977AB5"/>
    <w:rsid w:val="00977D23"/>
    <w:rsid w:val="009843AD"/>
    <w:rsid w:val="00984736"/>
    <w:rsid w:val="00993568"/>
    <w:rsid w:val="009A18FD"/>
    <w:rsid w:val="009B12FE"/>
    <w:rsid w:val="009B7EDC"/>
    <w:rsid w:val="009C47AC"/>
    <w:rsid w:val="009C51DF"/>
    <w:rsid w:val="009D7308"/>
    <w:rsid w:val="009E4C05"/>
    <w:rsid w:val="009E60DA"/>
    <w:rsid w:val="009E6507"/>
    <w:rsid w:val="009F333E"/>
    <w:rsid w:val="009F5627"/>
    <w:rsid w:val="009F76DB"/>
    <w:rsid w:val="00A005C2"/>
    <w:rsid w:val="00A16479"/>
    <w:rsid w:val="00A26B15"/>
    <w:rsid w:val="00A32C3B"/>
    <w:rsid w:val="00A36DC4"/>
    <w:rsid w:val="00A371A9"/>
    <w:rsid w:val="00A40095"/>
    <w:rsid w:val="00A45F4F"/>
    <w:rsid w:val="00A600A9"/>
    <w:rsid w:val="00AA5541"/>
    <w:rsid w:val="00AA55B7"/>
    <w:rsid w:val="00AA5B9E"/>
    <w:rsid w:val="00AB0893"/>
    <w:rsid w:val="00AB2407"/>
    <w:rsid w:val="00AB53DF"/>
    <w:rsid w:val="00AC1C5B"/>
    <w:rsid w:val="00AE0D85"/>
    <w:rsid w:val="00AE4E4F"/>
    <w:rsid w:val="00AF3C31"/>
    <w:rsid w:val="00B07E5C"/>
    <w:rsid w:val="00B16AFD"/>
    <w:rsid w:val="00B20F7D"/>
    <w:rsid w:val="00B23F1A"/>
    <w:rsid w:val="00B32800"/>
    <w:rsid w:val="00B342C6"/>
    <w:rsid w:val="00B36474"/>
    <w:rsid w:val="00B4534B"/>
    <w:rsid w:val="00B479BD"/>
    <w:rsid w:val="00B528D4"/>
    <w:rsid w:val="00B56EF4"/>
    <w:rsid w:val="00B600E2"/>
    <w:rsid w:val="00B7763E"/>
    <w:rsid w:val="00B811F7"/>
    <w:rsid w:val="00B86D15"/>
    <w:rsid w:val="00BA5DC6"/>
    <w:rsid w:val="00BA6196"/>
    <w:rsid w:val="00BB03A4"/>
    <w:rsid w:val="00BC6D8C"/>
    <w:rsid w:val="00BD26E6"/>
    <w:rsid w:val="00BF054B"/>
    <w:rsid w:val="00C1245C"/>
    <w:rsid w:val="00C1266C"/>
    <w:rsid w:val="00C242F2"/>
    <w:rsid w:val="00C25D21"/>
    <w:rsid w:val="00C34006"/>
    <w:rsid w:val="00C36B4C"/>
    <w:rsid w:val="00C37E28"/>
    <w:rsid w:val="00C426AC"/>
    <w:rsid w:val="00C426B1"/>
    <w:rsid w:val="00C66160"/>
    <w:rsid w:val="00C721AC"/>
    <w:rsid w:val="00C7392A"/>
    <w:rsid w:val="00C805AB"/>
    <w:rsid w:val="00C90D6A"/>
    <w:rsid w:val="00C92197"/>
    <w:rsid w:val="00C93305"/>
    <w:rsid w:val="00C95C78"/>
    <w:rsid w:val="00CA07E6"/>
    <w:rsid w:val="00CA247E"/>
    <w:rsid w:val="00CA6D21"/>
    <w:rsid w:val="00CA7AC6"/>
    <w:rsid w:val="00CB663F"/>
    <w:rsid w:val="00CC1BC4"/>
    <w:rsid w:val="00CC34CF"/>
    <w:rsid w:val="00CC72B6"/>
    <w:rsid w:val="00CE0CCD"/>
    <w:rsid w:val="00CE0F5A"/>
    <w:rsid w:val="00CE1C5F"/>
    <w:rsid w:val="00CF4DDD"/>
    <w:rsid w:val="00D0218D"/>
    <w:rsid w:val="00D03FA8"/>
    <w:rsid w:val="00D11B3E"/>
    <w:rsid w:val="00D12E77"/>
    <w:rsid w:val="00D22B97"/>
    <w:rsid w:val="00D25FB5"/>
    <w:rsid w:val="00D44223"/>
    <w:rsid w:val="00D46F76"/>
    <w:rsid w:val="00D5026D"/>
    <w:rsid w:val="00D504F3"/>
    <w:rsid w:val="00D56512"/>
    <w:rsid w:val="00D73243"/>
    <w:rsid w:val="00D740C4"/>
    <w:rsid w:val="00D7561E"/>
    <w:rsid w:val="00D85EF4"/>
    <w:rsid w:val="00DA189A"/>
    <w:rsid w:val="00DA1B99"/>
    <w:rsid w:val="00DA2529"/>
    <w:rsid w:val="00DA6651"/>
    <w:rsid w:val="00DB130A"/>
    <w:rsid w:val="00DB2EBB"/>
    <w:rsid w:val="00DB5A7D"/>
    <w:rsid w:val="00DC10A1"/>
    <w:rsid w:val="00DC655F"/>
    <w:rsid w:val="00DD0B59"/>
    <w:rsid w:val="00DD4B57"/>
    <w:rsid w:val="00DD7EBD"/>
    <w:rsid w:val="00DE3255"/>
    <w:rsid w:val="00DF3E45"/>
    <w:rsid w:val="00DF62B6"/>
    <w:rsid w:val="00E07225"/>
    <w:rsid w:val="00E078AC"/>
    <w:rsid w:val="00E128A3"/>
    <w:rsid w:val="00E13F6E"/>
    <w:rsid w:val="00E21A9B"/>
    <w:rsid w:val="00E25248"/>
    <w:rsid w:val="00E40C6F"/>
    <w:rsid w:val="00E503DB"/>
    <w:rsid w:val="00E5226B"/>
    <w:rsid w:val="00E5409F"/>
    <w:rsid w:val="00E70033"/>
    <w:rsid w:val="00E713B0"/>
    <w:rsid w:val="00E8168D"/>
    <w:rsid w:val="00E831C4"/>
    <w:rsid w:val="00EC1032"/>
    <w:rsid w:val="00ED6C74"/>
    <w:rsid w:val="00EE52B7"/>
    <w:rsid w:val="00EE6488"/>
    <w:rsid w:val="00EF139A"/>
    <w:rsid w:val="00F021FA"/>
    <w:rsid w:val="00F0239F"/>
    <w:rsid w:val="00F20F4D"/>
    <w:rsid w:val="00F2183B"/>
    <w:rsid w:val="00F31880"/>
    <w:rsid w:val="00F40FB8"/>
    <w:rsid w:val="00F52CD8"/>
    <w:rsid w:val="00F53939"/>
    <w:rsid w:val="00F62E97"/>
    <w:rsid w:val="00F64209"/>
    <w:rsid w:val="00F74E0F"/>
    <w:rsid w:val="00F82DF9"/>
    <w:rsid w:val="00F91BDF"/>
    <w:rsid w:val="00F93BF5"/>
    <w:rsid w:val="00FB4098"/>
    <w:rsid w:val="00FC6DCB"/>
    <w:rsid w:val="00FC7990"/>
    <w:rsid w:val="00FE32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820BB6-4378-485D-BF0C-0D392448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97"/>
    <w:pPr>
      <w:widowControl w:val="0"/>
    </w:pPr>
    <w:rPr>
      <w:snapToGrid w:val="0"/>
      <w:kern w:val="28"/>
      <w:sz w:val="22"/>
    </w:rPr>
  </w:style>
  <w:style w:type="paragraph" w:styleId="Heading1">
    <w:name w:val="heading 1"/>
    <w:basedOn w:val="Normal"/>
    <w:next w:val="ParaNum"/>
    <w:qFormat/>
    <w:rsid w:val="00C921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92197"/>
    <w:pPr>
      <w:keepNext/>
      <w:numPr>
        <w:ilvl w:val="1"/>
        <w:numId w:val="3"/>
      </w:numPr>
      <w:spacing w:after="120"/>
      <w:outlineLvl w:val="1"/>
    </w:pPr>
    <w:rPr>
      <w:b/>
    </w:rPr>
  </w:style>
  <w:style w:type="paragraph" w:styleId="Heading3">
    <w:name w:val="heading 3"/>
    <w:basedOn w:val="Normal"/>
    <w:next w:val="ParaNum"/>
    <w:qFormat/>
    <w:rsid w:val="00C92197"/>
    <w:pPr>
      <w:keepNext/>
      <w:numPr>
        <w:ilvl w:val="2"/>
        <w:numId w:val="3"/>
      </w:numPr>
      <w:tabs>
        <w:tab w:val="left" w:pos="2160"/>
      </w:tabs>
      <w:spacing w:after="120"/>
      <w:outlineLvl w:val="2"/>
    </w:pPr>
    <w:rPr>
      <w:b/>
    </w:rPr>
  </w:style>
  <w:style w:type="paragraph" w:styleId="Heading4">
    <w:name w:val="heading 4"/>
    <w:basedOn w:val="Normal"/>
    <w:next w:val="ParaNum"/>
    <w:qFormat/>
    <w:rsid w:val="00C92197"/>
    <w:pPr>
      <w:keepNext/>
      <w:numPr>
        <w:ilvl w:val="3"/>
        <w:numId w:val="3"/>
      </w:numPr>
      <w:tabs>
        <w:tab w:val="left" w:pos="2880"/>
      </w:tabs>
      <w:spacing w:after="120"/>
      <w:outlineLvl w:val="3"/>
    </w:pPr>
    <w:rPr>
      <w:b/>
    </w:rPr>
  </w:style>
  <w:style w:type="paragraph" w:styleId="Heading5">
    <w:name w:val="heading 5"/>
    <w:basedOn w:val="Normal"/>
    <w:next w:val="ParaNum"/>
    <w:qFormat/>
    <w:rsid w:val="00C9219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2197"/>
    <w:pPr>
      <w:numPr>
        <w:ilvl w:val="5"/>
        <w:numId w:val="3"/>
      </w:numPr>
      <w:tabs>
        <w:tab w:val="left" w:pos="4320"/>
      </w:tabs>
      <w:spacing w:after="120"/>
      <w:outlineLvl w:val="5"/>
    </w:pPr>
    <w:rPr>
      <w:b/>
    </w:rPr>
  </w:style>
  <w:style w:type="paragraph" w:styleId="Heading7">
    <w:name w:val="heading 7"/>
    <w:basedOn w:val="Normal"/>
    <w:next w:val="ParaNum"/>
    <w:qFormat/>
    <w:rsid w:val="00C921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219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921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2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2197"/>
  </w:style>
  <w:style w:type="paragraph" w:customStyle="1" w:styleId="ParaNum">
    <w:name w:val="ParaNum"/>
    <w:basedOn w:val="Normal"/>
    <w:rsid w:val="00C92197"/>
    <w:pPr>
      <w:numPr>
        <w:numId w:val="2"/>
      </w:numPr>
      <w:tabs>
        <w:tab w:val="clear" w:pos="1080"/>
        <w:tab w:val="num" w:pos="1440"/>
      </w:tabs>
      <w:spacing w:after="120"/>
    </w:pPr>
  </w:style>
  <w:style w:type="paragraph" w:styleId="EndnoteText">
    <w:name w:val="endnote text"/>
    <w:basedOn w:val="Normal"/>
    <w:semiHidden/>
    <w:rsid w:val="00C92197"/>
    <w:rPr>
      <w:sz w:val="20"/>
    </w:rPr>
  </w:style>
  <w:style w:type="character" w:styleId="EndnoteReference">
    <w:name w:val="endnote reference"/>
    <w:semiHidden/>
    <w:rsid w:val="00C92197"/>
    <w:rPr>
      <w:vertAlign w:val="superscript"/>
    </w:rPr>
  </w:style>
  <w:style w:type="paragraph" w:styleId="FootnoteText">
    <w:name w:val="footnote text"/>
    <w:rsid w:val="00C92197"/>
    <w:pPr>
      <w:spacing w:after="120"/>
    </w:pPr>
  </w:style>
  <w:style w:type="character" w:styleId="FootnoteReference">
    <w:name w:val="footnote reference"/>
    <w:rsid w:val="00C92197"/>
    <w:rPr>
      <w:rFonts w:ascii="Times New Roman" w:hAnsi="Times New Roman"/>
      <w:dstrike w:val="0"/>
      <w:color w:val="auto"/>
      <w:sz w:val="20"/>
      <w:vertAlign w:val="superscript"/>
    </w:rPr>
  </w:style>
  <w:style w:type="paragraph" w:styleId="TOC1">
    <w:name w:val="toc 1"/>
    <w:basedOn w:val="Normal"/>
    <w:next w:val="Normal"/>
    <w:semiHidden/>
    <w:rsid w:val="00C9219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2197"/>
    <w:pPr>
      <w:tabs>
        <w:tab w:val="left" w:pos="720"/>
        <w:tab w:val="right" w:leader="dot" w:pos="9360"/>
      </w:tabs>
      <w:suppressAutoHyphens/>
      <w:ind w:left="720" w:right="720" w:hanging="360"/>
    </w:pPr>
    <w:rPr>
      <w:noProof/>
    </w:rPr>
  </w:style>
  <w:style w:type="paragraph" w:styleId="TOC3">
    <w:name w:val="toc 3"/>
    <w:basedOn w:val="Normal"/>
    <w:next w:val="Normal"/>
    <w:semiHidden/>
    <w:rsid w:val="00C921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21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21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21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21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21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21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2197"/>
    <w:pPr>
      <w:tabs>
        <w:tab w:val="right" w:pos="9360"/>
      </w:tabs>
      <w:suppressAutoHyphens/>
    </w:pPr>
  </w:style>
  <w:style w:type="character" w:customStyle="1" w:styleId="EquationCaption">
    <w:name w:val="_Equation Caption"/>
    <w:rsid w:val="00C92197"/>
  </w:style>
  <w:style w:type="paragraph" w:styleId="Header">
    <w:name w:val="header"/>
    <w:basedOn w:val="Normal"/>
    <w:autoRedefine/>
    <w:rsid w:val="00C92197"/>
    <w:pPr>
      <w:tabs>
        <w:tab w:val="center" w:pos="4680"/>
        <w:tab w:val="right" w:pos="9360"/>
      </w:tabs>
    </w:pPr>
    <w:rPr>
      <w:b/>
    </w:rPr>
  </w:style>
  <w:style w:type="paragraph" w:styleId="Footer">
    <w:name w:val="footer"/>
    <w:basedOn w:val="Normal"/>
    <w:link w:val="FooterChar"/>
    <w:uiPriority w:val="99"/>
    <w:rsid w:val="00C92197"/>
    <w:pPr>
      <w:tabs>
        <w:tab w:val="center" w:pos="4320"/>
        <w:tab w:val="right" w:pos="8640"/>
      </w:tabs>
    </w:pPr>
  </w:style>
  <w:style w:type="character" w:styleId="PageNumber">
    <w:name w:val="page number"/>
    <w:basedOn w:val="DefaultParagraphFont"/>
    <w:rsid w:val="00C92197"/>
  </w:style>
  <w:style w:type="paragraph" w:styleId="BlockText">
    <w:name w:val="Block Text"/>
    <w:basedOn w:val="Normal"/>
    <w:rsid w:val="00C92197"/>
    <w:pPr>
      <w:spacing w:after="240"/>
      <w:ind w:left="1440" w:right="1440"/>
    </w:pPr>
  </w:style>
  <w:style w:type="paragraph" w:customStyle="1" w:styleId="Paratitle">
    <w:name w:val="Para title"/>
    <w:basedOn w:val="Normal"/>
    <w:rsid w:val="00C92197"/>
    <w:pPr>
      <w:tabs>
        <w:tab w:val="center" w:pos="9270"/>
      </w:tabs>
      <w:spacing w:after="240"/>
    </w:pPr>
    <w:rPr>
      <w:spacing w:val="-2"/>
    </w:rPr>
  </w:style>
  <w:style w:type="paragraph" w:customStyle="1" w:styleId="Bullet">
    <w:name w:val="Bullet"/>
    <w:basedOn w:val="Normal"/>
    <w:rsid w:val="00C92197"/>
    <w:pPr>
      <w:tabs>
        <w:tab w:val="left" w:pos="2160"/>
      </w:tabs>
      <w:spacing w:after="220"/>
      <w:ind w:left="2160" w:hanging="720"/>
    </w:pPr>
  </w:style>
  <w:style w:type="paragraph" w:customStyle="1" w:styleId="TableFormat">
    <w:name w:val="TableFormat"/>
    <w:basedOn w:val="Bullet"/>
    <w:rsid w:val="00C92197"/>
    <w:pPr>
      <w:tabs>
        <w:tab w:val="clear" w:pos="2160"/>
        <w:tab w:val="left" w:pos="5040"/>
      </w:tabs>
      <w:ind w:left="5040" w:hanging="3600"/>
    </w:pPr>
  </w:style>
  <w:style w:type="paragraph" w:customStyle="1" w:styleId="TOCTitle">
    <w:name w:val="TOC Title"/>
    <w:basedOn w:val="Normal"/>
    <w:rsid w:val="00C921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2197"/>
    <w:pPr>
      <w:jc w:val="center"/>
    </w:pPr>
    <w:rPr>
      <w:rFonts w:ascii="Times New Roman Bold" w:hAnsi="Times New Roman Bold"/>
      <w:b/>
      <w:bCs/>
      <w:caps/>
      <w:szCs w:val="22"/>
    </w:rPr>
  </w:style>
  <w:style w:type="character" w:styleId="Hyperlink">
    <w:name w:val="Hyperlink"/>
    <w:rsid w:val="00C92197"/>
    <w:rPr>
      <w:color w:val="0000FF"/>
      <w:u w:val="single"/>
    </w:rPr>
  </w:style>
  <w:style w:type="character" w:customStyle="1" w:styleId="FooterChar">
    <w:name w:val="Footer Char"/>
    <w:link w:val="Footer"/>
    <w:uiPriority w:val="99"/>
    <w:rsid w:val="00C92197"/>
    <w:rPr>
      <w:snapToGrid w:val="0"/>
      <w:kern w:val="28"/>
      <w:sz w:val="22"/>
    </w:rPr>
  </w:style>
  <w:style w:type="paragraph" w:styleId="BalloonText">
    <w:name w:val="Balloon Text"/>
    <w:basedOn w:val="Normal"/>
    <w:link w:val="BalloonTextChar"/>
    <w:rsid w:val="00B342C6"/>
    <w:rPr>
      <w:rFonts w:ascii="Segoe UI" w:hAnsi="Segoe UI" w:cs="Segoe UI"/>
      <w:sz w:val="18"/>
      <w:szCs w:val="18"/>
    </w:rPr>
  </w:style>
  <w:style w:type="character" w:customStyle="1" w:styleId="BalloonTextChar">
    <w:name w:val="Balloon Text Char"/>
    <w:basedOn w:val="DefaultParagraphFont"/>
    <w:link w:val="BalloonText"/>
    <w:rsid w:val="00B342C6"/>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202133"/>
    <w:rPr>
      <w:color w:val="605E5C"/>
      <w:shd w:val="clear" w:color="auto" w:fill="E1DFDD"/>
    </w:rPr>
  </w:style>
  <w:style w:type="character" w:styleId="CommentReference">
    <w:name w:val="annotation reference"/>
    <w:basedOn w:val="DefaultParagraphFont"/>
    <w:rsid w:val="00C93305"/>
    <w:rPr>
      <w:sz w:val="16"/>
      <w:szCs w:val="16"/>
    </w:rPr>
  </w:style>
  <w:style w:type="paragraph" w:styleId="CommentText">
    <w:name w:val="annotation text"/>
    <w:basedOn w:val="Normal"/>
    <w:link w:val="CommentTextChar"/>
    <w:rsid w:val="00C93305"/>
    <w:rPr>
      <w:sz w:val="20"/>
    </w:rPr>
  </w:style>
  <w:style w:type="character" w:customStyle="1" w:styleId="CommentTextChar">
    <w:name w:val="Comment Text Char"/>
    <w:basedOn w:val="DefaultParagraphFont"/>
    <w:link w:val="CommentText"/>
    <w:rsid w:val="00C93305"/>
    <w:rPr>
      <w:snapToGrid w:val="0"/>
      <w:kern w:val="28"/>
    </w:rPr>
  </w:style>
  <w:style w:type="paragraph" w:styleId="CommentSubject">
    <w:name w:val="annotation subject"/>
    <w:basedOn w:val="CommentText"/>
    <w:next w:val="CommentText"/>
    <w:link w:val="CommentSubjectChar"/>
    <w:rsid w:val="00C93305"/>
    <w:rPr>
      <w:b/>
      <w:bCs/>
    </w:rPr>
  </w:style>
  <w:style w:type="character" w:customStyle="1" w:styleId="CommentSubjectChar">
    <w:name w:val="Comment Subject Char"/>
    <w:basedOn w:val="CommentTextChar"/>
    <w:link w:val="CommentSubject"/>
    <w:rsid w:val="00C93305"/>
    <w:rPr>
      <w:b/>
      <w:bCs/>
      <w:snapToGrid w:val="0"/>
      <w:kern w:val="28"/>
    </w:rPr>
  </w:style>
  <w:style w:type="paragraph" w:styleId="NormalWeb">
    <w:name w:val="Normal (Web)"/>
    <w:basedOn w:val="Normal"/>
    <w:uiPriority w:val="99"/>
    <w:unhideWhenUsed/>
    <w:rsid w:val="00557F3B"/>
    <w:pPr>
      <w:widowControl/>
      <w:spacing w:before="100" w:beforeAutospacing="1" w:after="100" w:afterAutospacing="1"/>
    </w:pPr>
    <w:rPr>
      <w:snapToGrid/>
      <w:kern w:val="0"/>
      <w:sz w:val="24"/>
      <w:szCs w:val="24"/>
    </w:rPr>
  </w:style>
  <w:style w:type="paragraph" w:styleId="Revision">
    <w:name w:val="Revision"/>
    <w:hidden/>
    <w:uiPriority w:val="99"/>
    <w:semiHidden/>
    <w:rsid w:val="007729F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