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84CDC" w:rsidP="00584CDC" w14:paraId="6FD12148" w14:textId="77777777">
      <w:pPr>
        <w:jc w:val="center"/>
        <w:rPr>
          <w:b/>
        </w:rPr>
      </w:pPr>
      <w:r w:rsidRPr="0070224F">
        <w:rPr>
          <w:rFonts w:ascii="Times New Roman Bold" w:hAnsi="Times New Roman Bold"/>
          <w:b/>
          <w:kern w:val="0"/>
          <w:szCs w:val="22"/>
        </w:rPr>
        <w:t>Before</w:t>
      </w:r>
      <w:r>
        <w:rPr>
          <w:b/>
        </w:rPr>
        <w:t xml:space="preserve"> the</w:t>
      </w:r>
    </w:p>
    <w:p w:rsidR="00584CDC" w:rsidP="00584CDC" w14:paraId="44F6A8B7" w14:textId="77777777">
      <w:pPr>
        <w:pStyle w:val="StyleBoldCentered"/>
      </w:pPr>
      <w:r>
        <w:t>F</w:t>
      </w:r>
      <w:r>
        <w:rPr>
          <w:caps w:val="0"/>
        </w:rPr>
        <w:t>ederal Communications Commission</w:t>
      </w:r>
    </w:p>
    <w:p w:rsidR="00584CDC" w:rsidP="00584CDC" w14:paraId="45B33B23" w14:textId="77777777">
      <w:pPr>
        <w:pStyle w:val="StyleBoldCentered"/>
      </w:pPr>
      <w:r>
        <w:rPr>
          <w:caps w:val="0"/>
        </w:rPr>
        <w:t>Washington, D.C. 20554</w:t>
      </w:r>
    </w:p>
    <w:p w:rsidR="00584CDC" w:rsidP="00584CDC" w14:paraId="07F09292" w14:textId="77777777"/>
    <w:p w:rsidR="00584CDC" w:rsidP="00584CDC" w14:paraId="3333B13F" w14:textId="77777777"/>
    <w:tbl>
      <w:tblPr>
        <w:tblW w:w="9576" w:type="dxa"/>
        <w:tblInd w:w="-90" w:type="dxa"/>
        <w:tblLayout w:type="fixed"/>
        <w:tblLook w:val="0000"/>
      </w:tblPr>
      <w:tblGrid>
        <w:gridCol w:w="4698"/>
        <w:gridCol w:w="630"/>
        <w:gridCol w:w="4248"/>
      </w:tblGrid>
      <w:tr w14:paraId="33282426" w14:textId="77777777" w:rsidTr="00D66682">
        <w:tblPrEx>
          <w:tblW w:w="9576" w:type="dxa"/>
          <w:tblInd w:w="-90" w:type="dxa"/>
          <w:tblLayout w:type="fixed"/>
          <w:tblLook w:val="0000"/>
        </w:tblPrEx>
        <w:tc>
          <w:tcPr>
            <w:tcW w:w="4698" w:type="dxa"/>
          </w:tcPr>
          <w:p w:rsidR="00584CDC" w:rsidP="00E42C66" w14:paraId="61239F4B" w14:textId="77777777">
            <w:pPr>
              <w:tabs>
                <w:tab w:val="center" w:pos="4680"/>
              </w:tabs>
              <w:suppressAutoHyphens/>
              <w:rPr>
                <w:spacing w:val="-2"/>
              </w:rPr>
            </w:pPr>
            <w:r>
              <w:rPr>
                <w:spacing w:val="-2"/>
              </w:rPr>
              <w:t>In the Matter of</w:t>
            </w:r>
          </w:p>
          <w:p w:rsidR="00584CDC" w:rsidP="00E42C66" w14:paraId="2EA2DF2E" w14:textId="77777777">
            <w:pPr>
              <w:tabs>
                <w:tab w:val="center" w:pos="4680"/>
              </w:tabs>
              <w:suppressAutoHyphens/>
              <w:rPr>
                <w:spacing w:val="-2"/>
              </w:rPr>
            </w:pPr>
          </w:p>
          <w:p w:rsidR="00584CDC" w:rsidRPr="007115F7" w:rsidP="00E42C66" w14:paraId="3958C6DF" w14:textId="77777777">
            <w:pPr>
              <w:tabs>
                <w:tab w:val="center" w:pos="4680"/>
              </w:tabs>
              <w:suppressAutoHyphens/>
              <w:rPr>
                <w:spacing w:val="-2"/>
              </w:rPr>
            </w:pPr>
            <w:r>
              <w:rPr>
                <w:spacing w:val="-2"/>
              </w:rPr>
              <w:t>Assessment and Collection of Regulatory Fees for Fiscal Year 2020</w:t>
            </w:r>
          </w:p>
        </w:tc>
        <w:tc>
          <w:tcPr>
            <w:tcW w:w="630" w:type="dxa"/>
          </w:tcPr>
          <w:p w:rsidR="00584CDC" w:rsidP="00E42C66" w14:paraId="1DD226B7" w14:textId="77777777">
            <w:pPr>
              <w:tabs>
                <w:tab w:val="center" w:pos="4680"/>
              </w:tabs>
              <w:suppressAutoHyphens/>
              <w:rPr>
                <w:b/>
                <w:spacing w:val="-2"/>
              </w:rPr>
            </w:pPr>
            <w:r>
              <w:rPr>
                <w:b/>
                <w:spacing w:val="-2"/>
              </w:rPr>
              <w:t>)</w:t>
            </w:r>
          </w:p>
          <w:p w:rsidR="00584CDC" w:rsidP="00E42C66" w14:paraId="2223FBD2" w14:textId="77777777">
            <w:pPr>
              <w:tabs>
                <w:tab w:val="center" w:pos="4680"/>
              </w:tabs>
              <w:suppressAutoHyphens/>
              <w:rPr>
                <w:b/>
                <w:spacing w:val="-2"/>
              </w:rPr>
            </w:pPr>
            <w:r>
              <w:rPr>
                <w:b/>
                <w:spacing w:val="-2"/>
              </w:rPr>
              <w:t>)</w:t>
            </w:r>
          </w:p>
          <w:p w:rsidR="00584CDC" w:rsidP="00E42C66" w14:paraId="598069C0" w14:textId="77777777">
            <w:pPr>
              <w:tabs>
                <w:tab w:val="center" w:pos="4680"/>
              </w:tabs>
              <w:suppressAutoHyphens/>
              <w:rPr>
                <w:b/>
                <w:spacing w:val="-2"/>
              </w:rPr>
            </w:pPr>
            <w:r>
              <w:rPr>
                <w:b/>
                <w:spacing w:val="-2"/>
              </w:rPr>
              <w:t>)</w:t>
            </w:r>
          </w:p>
          <w:p w:rsidR="00584CDC" w:rsidP="00E42C66" w14:paraId="2E65C903" w14:textId="77777777">
            <w:pPr>
              <w:tabs>
                <w:tab w:val="center" w:pos="4680"/>
              </w:tabs>
              <w:suppressAutoHyphens/>
              <w:rPr>
                <w:b/>
                <w:spacing w:val="-2"/>
              </w:rPr>
            </w:pPr>
            <w:r>
              <w:rPr>
                <w:b/>
                <w:spacing w:val="-2"/>
              </w:rPr>
              <w:t>)</w:t>
            </w:r>
          </w:p>
          <w:p w:rsidR="00584CDC" w:rsidP="00E42C66" w14:paraId="11DD3EE6" w14:textId="77777777">
            <w:pPr>
              <w:tabs>
                <w:tab w:val="center" w:pos="4680"/>
              </w:tabs>
              <w:suppressAutoHyphens/>
              <w:rPr>
                <w:spacing w:val="-2"/>
              </w:rPr>
            </w:pPr>
            <w:r>
              <w:rPr>
                <w:b/>
                <w:spacing w:val="-2"/>
              </w:rPr>
              <w:t>)</w:t>
            </w:r>
          </w:p>
        </w:tc>
        <w:tc>
          <w:tcPr>
            <w:tcW w:w="4248" w:type="dxa"/>
          </w:tcPr>
          <w:p w:rsidR="00584CDC" w:rsidP="00E42C66" w14:paraId="6FC2C9FB" w14:textId="77777777">
            <w:pPr>
              <w:tabs>
                <w:tab w:val="center" w:pos="4680"/>
              </w:tabs>
              <w:suppressAutoHyphens/>
              <w:rPr>
                <w:spacing w:val="-2"/>
              </w:rPr>
            </w:pPr>
          </w:p>
          <w:p w:rsidR="00584CDC" w:rsidP="00E42C66" w14:paraId="1ECB8684" w14:textId="77777777">
            <w:pPr>
              <w:pStyle w:val="TOAHeading"/>
              <w:tabs>
                <w:tab w:val="center" w:pos="4680"/>
                <w:tab w:val="clear" w:pos="9360"/>
              </w:tabs>
              <w:rPr>
                <w:spacing w:val="-2"/>
              </w:rPr>
            </w:pPr>
          </w:p>
          <w:p w:rsidR="00584CDC" w:rsidP="00E42C66" w14:paraId="00F431D3" w14:textId="77777777">
            <w:pPr>
              <w:tabs>
                <w:tab w:val="center" w:pos="4680"/>
              </w:tabs>
              <w:suppressAutoHyphens/>
              <w:rPr>
                <w:spacing w:val="-2"/>
              </w:rPr>
            </w:pPr>
            <w:r>
              <w:rPr>
                <w:spacing w:val="-2"/>
              </w:rPr>
              <w:t>MD Docket No. 20-105</w:t>
            </w:r>
          </w:p>
        </w:tc>
      </w:tr>
    </w:tbl>
    <w:p w:rsidR="00584CDC" w:rsidP="00584CDC" w14:paraId="25FF9E00" w14:textId="77777777"/>
    <w:p w:rsidR="00584CDC" w:rsidP="00584CDC" w14:paraId="5A5D1CF5" w14:textId="77777777">
      <w:pPr>
        <w:pStyle w:val="StyleBoldCentered"/>
      </w:pPr>
      <w:r>
        <w:t>report and order and further notice of proposed rulemaking</w:t>
      </w:r>
    </w:p>
    <w:p w:rsidR="00584CDC" w:rsidP="00584CDC" w14:paraId="412CD8FB" w14:textId="77777777">
      <w:pPr>
        <w:tabs>
          <w:tab w:val="left" w:pos="-720"/>
        </w:tabs>
        <w:suppressAutoHyphens/>
        <w:spacing w:line="227" w:lineRule="auto"/>
        <w:rPr>
          <w:spacing w:val="-2"/>
        </w:rPr>
      </w:pPr>
    </w:p>
    <w:p w:rsidR="00584CDC" w:rsidP="00584CDC" w14:paraId="708CDB9D" w14:textId="13CC6E21">
      <w:pPr>
        <w:tabs>
          <w:tab w:val="left" w:pos="720"/>
          <w:tab w:val="right" w:pos="9360"/>
        </w:tabs>
        <w:suppressAutoHyphens/>
        <w:spacing w:line="227" w:lineRule="auto"/>
        <w:rPr>
          <w:b/>
          <w:spacing w:val="-2"/>
        </w:rPr>
      </w:pPr>
      <w:r>
        <w:rPr>
          <w:b/>
          <w:spacing w:val="-2"/>
        </w:rPr>
        <w:t xml:space="preserve">Adopted:  </w:t>
      </w:r>
      <w:r w:rsidR="00DC49D8">
        <w:rPr>
          <w:b/>
          <w:spacing w:val="-2"/>
        </w:rPr>
        <w:t>August 31, 2020</w:t>
      </w:r>
      <w:r>
        <w:rPr>
          <w:b/>
          <w:spacing w:val="-2"/>
        </w:rPr>
        <w:tab/>
        <w:t xml:space="preserve">Released:  </w:t>
      </w:r>
      <w:r w:rsidR="00DC49D8">
        <w:rPr>
          <w:b/>
          <w:spacing w:val="-2"/>
        </w:rPr>
        <w:t>August 31, 2020</w:t>
      </w:r>
    </w:p>
    <w:p w:rsidR="00584CDC" w:rsidP="00584CDC" w14:paraId="66D20C58" w14:textId="77777777">
      <w:pPr>
        <w:tabs>
          <w:tab w:val="left" w:pos="720"/>
          <w:tab w:val="right" w:pos="9360"/>
        </w:tabs>
        <w:suppressAutoHyphens/>
        <w:spacing w:line="227" w:lineRule="auto"/>
        <w:rPr>
          <w:b/>
          <w:spacing w:val="-2"/>
        </w:rPr>
      </w:pPr>
    </w:p>
    <w:p w:rsidR="00584CDC" w:rsidRPr="00E42C66" w:rsidP="00584CDC" w14:paraId="233084FB" w14:textId="77777777">
      <w:pPr>
        <w:tabs>
          <w:tab w:val="left" w:pos="2160"/>
        </w:tabs>
        <w:suppressAutoHyphens/>
        <w:spacing w:line="227" w:lineRule="auto"/>
        <w:rPr>
          <w:b/>
          <w:bCs/>
          <w:spacing w:val="-2"/>
          <w:szCs w:val="22"/>
        </w:rPr>
      </w:pPr>
      <w:r>
        <w:rPr>
          <w:b/>
          <w:spacing w:val="-2"/>
        </w:rPr>
        <w:t>Comment Date:</w:t>
      </w:r>
      <w:r w:rsidRPr="00BA408F">
        <w:rPr>
          <w:spacing w:val="-2"/>
          <w:szCs w:val="22"/>
        </w:rPr>
        <w:t xml:space="preserve"> </w:t>
      </w:r>
      <w:r w:rsidR="00E42C66">
        <w:rPr>
          <w:spacing w:val="-2"/>
          <w:szCs w:val="22"/>
        </w:rPr>
        <w:t xml:space="preserve">  </w:t>
      </w:r>
      <w:r w:rsidRPr="00E42C66">
        <w:rPr>
          <w:b/>
          <w:bCs/>
          <w:spacing w:val="-2"/>
          <w:szCs w:val="22"/>
        </w:rPr>
        <w:t>[[30</w:t>
      </w:r>
      <w:r w:rsidRPr="00E42C66" w:rsidR="00E42C66">
        <w:rPr>
          <w:b/>
          <w:bCs/>
          <w:spacing w:val="-2"/>
          <w:szCs w:val="22"/>
        </w:rPr>
        <w:t>]]</w:t>
      </w:r>
      <w:r w:rsidRPr="00E42C66">
        <w:rPr>
          <w:b/>
          <w:bCs/>
          <w:spacing w:val="-2"/>
          <w:szCs w:val="22"/>
        </w:rPr>
        <w:t xml:space="preserve"> </w:t>
      </w:r>
      <w:r w:rsidR="00E42C66">
        <w:rPr>
          <w:b/>
          <w:bCs/>
        </w:rPr>
        <w:t>days after date of publication in the Federal Register</w:t>
      </w:r>
    </w:p>
    <w:p w:rsidR="00584CDC" w:rsidRPr="00E42C66" w:rsidP="00584CDC" w14:paraId="176A5213" w14:textId="77777777">
      <w:pPr>
        <w:tabs>
          <w:tab w:val="left" w:pos="2160"/>
          <w:tab w:val="right" w:pos="9360"/>
        </w:tabs>
        <w:suppressAutoHyphens/>
        <w:spacing w:line="227" w:lineRule="auto"/>
        <w:rPr>
          <w:b/>
          <w:bCs/>
          <w:spacing w:val="-2"/>
          <w:szCs w:val="22"/>
        </w:rPr>
      </w:pPr>
      <w:r w:rsidRPr="00E42C66">
        <w:rPr>
          <w:b/>
          <w:bCs/>
          <w:spacing w:val="-2"/>
        </w:rPr>
        <w:t>Reply Comment Date:</w:t>
      </w:r>
      <w:r w:rsidRPr="00E42C66">
        <w:rPr>
          <w:b/>
          <w:bCs/>
          <w:spacing w:val="-2"/>
          <w:szCs w:val="22"/>
        </w:rPr>
        <w:tab/>
        <w:t>[[45</w:t>
      </w:r>
      <w:r w:rsidRPr="00E42C66" w:rsidR="00E42C66">
        <w:rPr>
          <w:b/>
          <w:bCs/>
          <w:spacing w:val="-2"/>
          <w:szCs w:val="22"/>
        </w:rPr>
        <w:t>]]</w:t>
      </w:r>
      <w:r w:rsidRPr="00E42C66">
        <w:rPr>
          <w:b/>
          <w:bCs/>
          <w:spacing w:val="-2"/>
          <w:szCs w:val="22"/>
        </w:rPr>
        <w:t xml:space="preserve"> </w:t>
      </w:r>
      <w:r w:rsidR="00E42C66">
        <w:rPr>
          <w:b/>
          <w:bCs/>
        </w:rPr>
        <w:t>days after date of publication in the Federal Register</w:t>
      </w:r>
    </w:p>
    <w:p w:rsidR="00584CDC" w:rsidP="00584CDC" w14:paraId="64DB61EA" w14:textId="77777777"/>
    <w:p w:rsidR="00584CDC" w:rsidP="00584CDC" w14:paraId="4F4844FE" w14:textId="77777777">
      <w:pPr>
        <w:rPr>
          <w:spacing w:val="-2"/>
        </w:rPr>
      </w:pPr>
      <w:r>
        <w:t>By the</w:t>
      </w:r>
      <w:r>
        <w:rPr>
          <w:spacing w:val="-2"/>
        </w:rPr>
        <w:t xml:space="preserve"> Commission:</w:t>
      </w:r>
    </w:p>
    <w:p w:rsidR="00573746" w:rsidP="00573746" w14:paraId="2C8C4AF3" w14:textId="0ED71E93">
      <w:pPr>
        <w:pStyle w:val="TOCTitle"/>
      </w:pPr>
      <w:bookmarkStart w:id="0" w:name="TOChere"/>
      <w:r>
        <w:t>Table of Contents</w:t>
      </w:r>
    </w:p>
    <w:p w:rsidR="00573746" w:rsidRPr="005A1475" w:rsidP="00573746" w14:paraId="0A85DCEB" w14:textId="1A305F71">
      <w:pPr>
        <w:pStyle w:val="TOC1"/>
        <w:rPr>
          <w:rFonts w:asciiTheme="minorHAnsi" w:eastAsiaTheme="minorEastAsia" w:hAnsiTheme="minorHAnsi"/>
          <w:caps w:val="0"/>
          <w:kern w:val="0"/>
        </w:rPr>
      </w:pPr>
      <w:r>
        <w:t>I.</w:t>
      </w:r>
      <w:r w:rsidRPr="005A1475">
        <w:rPr>
          <w:rFonts w:asciiTheme="minorHAnsi" w:eastAsiaTheme="minorEastAsia" w:hAnsiTheme="minorHAnsi"/>
          <w:caps w:val="0"/>
          <w:kern w:val="0"/>
        </w:rPr>
        <w:tab/>
      </w:r>
      <w:r>
        <w:t>introduction</w:t>
      </w:r>
      <w:r>
        <w:tab/>
        <w:t>1</w:t>
      </w:r>
    </w:p>
    <w:p w:rsidR="00573746" w:rsidRPr="005A1475" w:rsidP="00573746" w14:paraId="4C78E409" w14:textId="518198BC">
      <w:pPr>
        <w:pStyle w:val="TOC1"/>
        <w:rPr>
          <w:rFonts w:asciiTheme="minorHAnsi" w:eastAsiaTheme="minorEastAsia" w:hAnsiTheme="minorHAnsi"/>
          <w:caps w:val="0"/>
          <w:kern w:val="0"/>
        </w:rPr>
      </w:pPr>
      <w:r>
        <w:t>II.</w:t>
      </w:r>
      <w:r w:rsidRPr="005A1475">
        <w:rPr>
          <w:rFonts w:asciiTheme="minorHAnsi" w:eastAsiaTheme="minorEastAsia" w:hAnsiTheme="minorHAnsi"/>
          <w:caps w:val="0"/>
          <w:kern w:val="0"/>
        </w:rPr>
        <w:tab/>
      </w:r>
      <w:r>
        <w:t>background</w:t>
      </w:r>
      <w:r>
        <w:tab/>
        <w:t>2</w:t>
      </w:r>
    </w:p>
    <w:p w:rsidR="00573746" w:rsidRPr="005A1475" w:rsidP="00573746" w14:paraId="54D0FDBE" w14:textId="189B51FA">
      <w:pPr>
        <w:pStyle w:val="TOC1"/>
        <w:rPr>
          <w:rFonts w:asciiTheme="minorHAnsi" w:eastAsiaTheme="minorEastAsia" w:hAnsiTheme="minorHAnsi"/>
          <w:caps w:val="0"/>
          <w:kern w:val="0"/>
        </w:rPr>
      </w:pPr>
      <w:r>
        <w:t>III.</w:t>
      </w:r>
      <w:r w:rsidRPr="005A1475">
        <w:rPr>
          <w:rFonts w:asciiTheme="minorHAnsi" w:eastAsiaTheme="minorEastAsia" w:hAnsiTheme="minorHAnsi"/>
          <w:caps w:val="0"/>
          <w:kern w:val="0"/>
        </w:rPr>
        <w:tab/>
      </w:r>
      <w:r>
        <w:t>report and order</w:t>
      </w:r>
      <w:r>
        <w:tab/>
        <w:t>5</w:t>
      </w:r>
    </w:p>
    <w:p w:rsidR="00573746" w:rsidRPr="005A1475" w:rsidP="00573746" w14:paraId="70A33F02" w14:textId="343B805F">
      <w:pPr>
        <w:pStyle w:val="TOC2"/>
        <w:tabs>
          <w:tab w:val="left" w:pos="360"/>
        </w:tabs>
        <w:rPr>
          <w:rFonts w:asciiTheme="minorHAnsi" w:eastAsiaTheme="minorEastAsia" w:hAnsiTheme="minorHAnsi"/>
          <w:kern w:val="0"/>
        </w:rPr>
      </w:pPr>
      <w:r>
        <w:t>A.</w:t>
      </w:r>
      <w:r w:rsidRPr="005A1475">
        <w:rPr>
          <w:rFonts w:asciiTheme="minorHAnsi" w:eastAsiaTheme="minorEastAsia" w:hAnsiTheme="minorHAnsi"/>
          <w:kern w:val="0"/>
        </w:rPr>
        <w:tab/>
      </w:r>
      <w:r>
        <w:t>Allocating FTEs</w:t>
      </w:r>
      <w:r>
        <w:tab/>
        <w:t>6</w:t>
      </w:r>
    </w:p>
    <w:p w:rsidR="00573746" w:rsidRPr="005A1475" w:rsidP="00573746" w14:paraId="41B51987" w14:textId="586FB7E5">
      <w:pPr>
        <w:pStyle w:val="TOC2"/>
        <w:tabs>
          <w:tab w:val="left" w:pos="360"/>
        </w:tabs>
        <w:rPr>
          <w:rFonts w:asciiTheme="minorHAnsi" w:eastAsiaTheme="minorEastAsia" w:hAnsiTheme="minorHAnsi"/>
          <w:kern w:val="0"/>
        </w:rPr>
      </w:pPr>
      <w:r>
        <w:t>B.</w:t>
      </w:r>
      <w:r w:rsidRPr="005A1475">
        <w:rPr>
          <w:rFonts w:asciiTheme="minorHAnsi" w:eastAsiaTheme="minorEastAsia" w:hAnsiTheme="minorHAnsi"/>
          <w:kern w:val="0"/>
        </w:rPr>
        <w:tab/>
      </w:r>
      <w:r>
        <w:t>Direct Broadcast Satellite Regulatory Fees</w:t>
      </w:r>
      <w:r>
        <w:tab/>
        <w:t>12</w:t>
      </w:r>
    </w:p>
    <w:p w:rsidR="00573746" w:rsidRPr="005A1475" w:rsidP="00573746" w14:paraId="5BA115CD" w14:textId="50EEAF8C">
      <w:pPr>
        <w:pStyle w:val="TOC2"/>
        <w:tabs>
          <w:tab w:val="left" w:pos="360"/>
        </w:tabs>
        <w:rPr>
          <w:rFonts w:asciiTheme="minorHAnsi" w:eastAsiaTheme="minorEastAsia" w:hAnsiTheme="minorHAnsi"/>
          <w:kern w:val="0"/>
        </w:rPr>
      </w:pPr>
      <w:r>
        <w:t>C.</w:t>
      </w:r>
      <w:r w:rsidRPr="005A1475">
        <w:rPr>
          <w:rFonts w:asciiTheme="minorHAnsi" w:eastAsiaTheme="minorEastAsia" w:hAnsiTheme="minorHAnsi"/>
          <w:kern w:val="0"/>
        </w:rPr>
        <w:tab/>
      </w:r>
      <w:r>
        <w:t>Television Broadcaster Regulatory Fees</w:t>
      </w:r>
      <w:r>
        <w:tab/>
        <w:t>18</w:t>
      </w:r>
    </w:p>
    <w:p w:rsidR="00573746" w:rsidP="00573746" w14:paraId="4DCE376F" w14:textId="6FD1622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Radio Broadcaster Regulatory Fees</w:t>
      </w:r>
      <w:r>
        <w:tab/>
        <w:t>24</w:t>
      </w:r>
    </w:p>
    <w:p w:rsidR="00573746" w:rsidRPr="005A1475" w:rsidP="00573746" w14:paraId="7B316E9E" w14:textId="4EAF5945">
      <w:pPr>
        <w:pStyle w:val="TOC2"/>
        <w:tabs>
          <w:tab w:val="left" w:pos="360"/>
        </w:tabs>
        <w:rPr>
          <w:rFonts w:asciiTheme="minorHAnsi" w:eastAsiaTheme="minorEastAsia" w:hAnsiTheme="minorHAnsi"/>
          <w:kern w:val="0"/>
        </w:rPr>
      </w:pPr>
      <w:r>
        <w:t>E.</w:t>
      </w:r>
      <w:r w:rsidRPr="005A1475">
        <w:rPr>
          <w:rFonts w:asciiTheme="minorHAnsi" w:eastAsiaTheme="minorEastAsia" w:hAnsiTheme="minorHAnsi"/>
          <w:kern w:val="0"/>
        </w:rPr>
        <w:tab/>
      </w:r>
      <w:r>
        <w:t>Toll Free Numbering Regulatory Fees</w:t>
      </w:r>
      <w:r>
        <w:tab/>
        <w:t>28</w:t>
      </w:r>
    </w:p>
    <w:p w:rsidR="00573746" w:rsidRPr="005A1475" w:rsidP="00573746" w14:paraId="326DA6AD" w14:textId="06C1EB18">
      <w:pPr>
        <w:pStyle w:val="TOC2"/>
        <w:tabs>
          <w:tab w:val="left" w:pos="360"/>
        </w:tabs>
        <w:rPr>
          <w:rFonts w:asciiTheme="minorHAnsi" w:eastAsiaTheme="minorEastAsia" w:hAnsiTheme="minorHAnsi"/>
          <w:kern w:val="0"/>
        </w:rPr>
      </w:pPr>
      <w:r>
        <w:t>F.</w:t>
      </w:r>
      <w:r w:rsidRPr="005A1475">
        <w:rPr>
          <w:rFonts w:asciiTheme="minorHAnsi" w:eastAsiaTheme="minorEastAsia" w:hAnsiTheme="minorHAnsi"/>
          <w:kern w:val="0"/>
        </w:rPr>
        <w:tab/>
      </w:r>
      <w:r>
        <w:t>Market Access Space Station Regulatory Fees</w:t>
      </w:r>
      <w:r>
        <w:tab/>
        <w:t>30</w:t>
      </w:r>
    </w:p>
    <w:p w:rsidR="00573746" w:rsidRPr="005A1475" w:rsidP="00573746" w14:paraId="339FF751" w14:textId="2B7B12A5">
      <w:pPr>
        <w:pStyle w:val="TOC2"/>
        <w:tabs>
          <w:tab w:val="left" w:pos="360"/>
        </w:tabs>
        <w:rPr>
          <w:rFonts w:asciiTheme="minorHAnsi" w:eastAsiaTheme="minorEastAsia" w:hAnsiTheme="minorHAnsi"/>
          <w:kern w:val="0"/>
        </w:rPr>
      </w:pPr>
      <w:r>
        <w:t>G.</w:t>
      </w:r>
      <w:r w:rsidRPr="005A1475">
        <w:rPr>
          <w:rFonts w:asciiTheme="minorHAnsi" w:eastAsiaTheme="minorEastAsia" w:hAnsiTheme="minorHAnsi"/>
          <w:kern w:val="0"/>
        </w:rPr>
        <w:tab/>
      </w:r>
      <w:r>
        <w:t>Non-Geostationary Orbit Space Station Regulatory Fees</w:t>
      </w:r>
      <w:r>
        <w:tab/>
        <w:t>48</w:t>
      </w:r>
    </w:p>
    <w:p w:rsidR="00573746" w:rsidRPr="005A1475" w:rsidP="00573746" w14:paraId="1ADFA84F" w14:textId="7715EFC7">
      <w:pPr>
        <w:pStyle w:val="TOC2"/>
        <w:tabs>
          <w:tab w:val="left" w:pos="360"/>
        </w:tabs>
        <w:rPr>
          <w:rFonts w:asciiTheme="minorHAnsi" w:eastAsiaTheme="minorEastAsia" w:hAnsiTheme="minorHAnsi"/>
          <w:kern w:val="0"/>
        </w:rPr>
      </w:pPr>
      <w:r>
        <w:t>H.</w:t>
      </w:r>
      <w:r w:rsidRPr="005A1475">
        <w:rPr>
          <w:rFonts w:asciiTheme="minorHAnsi" w:eastAsiaTheme="minorEastAsia" w:hAnsiTheme="minorHAnsi"/>
          <w:kern w:val="0"/>
        </w:rPr>
        <w:tab/>
      </w:r>
      <w:r>
        <w:t>International Bearer Circuit Regulatory Fees</w:t>
      </w:r>
      <w:r>
        <w:tab/>
        <w:t>53</w:t>
      </w:r>
    </w:p>
    <w:p w:rsidR="00573746" w:rsidRPr="005A1475" w:rsidP="00573746" w14:paraId="114895ED" w14:textId="1F9C96F6">
      <w:pPr>
        <w:pStyle w:val="TOC3"/>
        <w:tabs>
          <w:tab w:val="left" w:pos="360"/>
        </w:tabs>
        <w:rPr>
          <w:rFonts w:asciiTheme="minorHAnsi" w:eastAsiaTheme="minorEastAsia" w:hAnsiTheme="minorHAnsi"/>
          <w:kern w:val="0"/>
        </w:rPr>
      </w:pPr>
      <w:r>
        <w:t>1.</w:t>
      </w:r>
      <w:r w:rsidRPr="005A1475">
        <w:rPr>
          <w:rFonts w:asciiTheme="minorHAnsi" w:eastAsiaTheme="minorEastAsia" w:hAnsiTheme="minorHAnsi"/>
          <w:kern w:val="0"/>
        </w:rPr>
        <w:tab/>
      </w:r>
      <w:r>
        <w:t>Using Capacity to Assess IBC Regulatory Fees</w:t>
      </w:r>
      <w:r>
        <w:tab/>
        <w:t>56</w:t>
      </w:r>
    </w:p>
    <w:p w:rsidR="00573746" w:rsidRPr="005A1475" w:rsidP="00573746" w14:paraId="28AC538E" w14:textId="555823F9">
      <w:pPr>
        <w:pStyle w:val="TOC3"/>
        <w:tabs>
          <w:tab w:val="left" w:pos="360"/>
        </w:tabs>
        <w:rPr>
          <w:rFonts w:asciiTheme="minorHAnsi" w:eastAsiaTheme="minorEastAsia" w:hAnsiTheme="minorHAnsi"/>
          <w:kern w:val="0"/>
        </w:rPr>
      </w:pPr>
      <w:r>
        <w:t>2.</w:t>
      </w:r>
      <w:r w:rsidRPr="005A1475">
        <w:rPr>
          <w:rFonts w:asciiTheme="minorHAnsi" w:eastAsiaTheme="minorEastAsia" w:hAnsiTheme="minorHAnsi"/>
          <w:kern w:val="0"/>
        </w:rPr>
        <w:tab/>
      </w:r>
      <w:r>
        <w:t>Division of IBC Regulatory Fees</w:t>
      </w:r>
      <w:r>
        <w:tab/>
        <w:t>61</w:t>
      </w:r>
    </w:p>
    <w:p w:rsidR="00573746" w:rsidRPr="005A1475" w:rsidP="00573746" w14:paraId="760E39BC" w14:textId="3168E1AC">
      <w:pPr>
        <w:pStyle w:val="TOC3"/>
        <w:tabs>
          <w:tab w:val="left" w:pos="360"/>
        </w:tabs>
        <w:rPr>
          <w:rFonts w:asciiTheme="minorHAnsi" w:eastAsiaTheme="minorEastAsia" w:hAnsiTheme="minorHAnsi"/>
          <w:kern w:val="0"/>
        </w:rPr>
      </w:pPr>
      <w:r>
        <w:t>3.</w:t>
      </w:r>
      <w:r w:rsidRPr="005A1475">
        <w:rPr>
          <w:rFonts w:asciiTheme="minorHAnsi" w:eastAsiaTheme="minorEastAsia" w:hAnsiTheme="minorHAnsi"/>
          <w:kern w:val="0"/>
        </w:rPr>
        <w:tab/>
      </w:r>
      <w:r>
        <w:t>IBC Regulatory Fee Tiers</w:t>
      </w:r>
      <w:r>
        <w:tab/>
        <w:t>64</w:t>
      </w:r>
    </w:p>
    <w:p w:rsidR="00573746" w:rsidRPr="005A1475" w:rsidP="00573746" w14:paraId="1AC9E89F" w14:textId="1FA651A3">
      <w:pPr>
        <w:pStyle w:val="TOC3"/>
        <w:tabs>
          <w:tab w:val="left" w:pos="360"/>
        </w:tabs>
        <w:rPr>
          <w:rFonts w:asciiTheme="minorHAnsi" w:eastAsiaTheme="minorEastAsia" w:hAnsiTheme="minorHAnsi"/>
          <w:kern w:val="0"/>
        </w:rPr>
      </w:pPr>
      <w:r>
        <w:t>4.</w:t>
      </w:r>
      <w:r w:rsidRPr="005A1475">
        <w:rPr>
          <w:rFonts w:asciiTheme="minorHAnsi" w:eastAsiaTheme="minorEastAsia" w:hAnsiTheme="minorHAnsi"/>
          <w:kern w:val="0"/>
        </w:rPr>
        <w:tab/>
      </w:r>
      <w:r>
        <w:t>Submarine Cable IBC Regulatory Fees</w:t>
      </w:r>
      <w:r>
        <w:tab/>
        <w:t>68</w:t>
      </w:r>
    </w:p>
    <w:p w:rsidR="00573746" w:rsidRPr="005A1475" w:rsidP="00573746" w14:paraId="4EEDD109" w14:textId="0F5E931A">
      <w:pPr>
        <w:pStyle w:val="TOC2"/>
        <w:tabs>
          <w:tab w:val="left" w:pos="360"/>
        </w:tabs>
        <w:rPr>
          <w:rFonts w:asciiTheme="minorHAnsi" w:eastAsiaTheme="minorEastAsia" w:hAnsiTheme="minorHAnsi"/>
          <w:kern w:val="0"/>
        </w:rPr>
      </w:pPr>
      <w:r>
        <w:t>I.</w:t>
      </w:r>
      <w:r w:rsidRPr="005A1475">
        <w:rPr>
          <w:rFonts w:asciiTheme="minorHAnsi" w:eastAsiaTheme="minorEastAsia" w:hAnsiTheme="minorHAnsi"/>
          <w:kern w:val="0"/>
        </w:rPr>
        <w:tab/>
      </w:r>
      <w:r>
        <w:t>Flexibility for Regulatory Payors Given the COVID-19 Pandemic</w:t>
      </w:r>
      <w:r>
        <w:tab/>
        <w:t>76</w:t>
      </w:r>
    </w:p>
    <w:p w:rsidR="00573746" w:rsidRPr="005A1475" w:rsidP="00573746" w14:paraId="147925BB" w14:textId="3A3E0697">
      <w:pPr>
        <w:pStyle w:val="TOC1"/>
        <w:rPr>
          <w:rFonts w:asciiTheme="minorHAnsi" w:eastAsiaTheme="minorEastAsia" w:hAnsiTheme="minorHAnsi"/>
          <w:caps w:val="0"/>
          <w:kern w:val="0"/>
        </w:rPr>
      </w:pPr>
      <w:r>
        <w:t>IV.</w:t>
      </w:r>
      <w:r w:rsidRPr="005A1475">
        <w:rPr>
          <w:rFonts w:asciiTheme="minorHAnsi" w:eastAsiaTheme="minorEastAsia" w:hAnsiTheme="minorHAnsi"/>
          <w:caps w:val="0"/>
          <w:kern w:val="0"/>
        </w:rPr>
        <w:tab/>
      </w:r>
      <w:r>
        <w:t>further notice of proposed rulemaking</w:t>
      </w:r>
      <w:r>
        <w:tab/>
        <w:t>88</w:t>
      </w:r>
    </w:p>
    <w:p w:rsidR="00573746" w:rsidRPr="005A1475" w:rsidP="00573746" w14:paraId="06A93A26" w14:textId="788FA6E5">
      <w:pPr>
        <w:pStyle w:val="TOC1"/>
        <w:rPr>
          <w:rFonts w:asciiTheme="minorHAnsi" w:eastAsiaTheme="minorEastAsia" w:hAnsiTheme="minorHAnsi"/>
          <w:caps w:val="0"/>
          <w:kern w:val="0"/>
        </w:rPr>
      </w:pPr>
      <w:r w:rsidRPr="00372869">
        <w:t>V.</w:t>
      </w:r>
      <w:r w:rsidRPr="005A1475">
        <w:rPr>
          <w:rFonts w:asciiTheme="minorHAnsi" w:eastAsiaTheme="minorEastAsia" w:hAnsiTheme="minorHAnsi"/>
          <w:caps w:val="0"/>
          <w:kern w:val="0"/>
        </w:rPr>
        <w:tab/>
      </w:r>
      <w:r w:rsidRPr="00372869">
        <w:t>Procedural Matters</w:t>
      </w:r>
      <w:r>
        <w:tab/>
        <w:t>94</w:t>
      </w:r>
    </w:p>
    <w:p w:rsidR="00573746" w:rsidRPr="005A1475" w:rsidP="00573746" w14:paraId="252874A9" w14:textId="3A028971">
      <w:pPr>
        <w:pStyle w:val="TOC1"/>
        <w:rPr>
          <w:rFonts w:asciiTheme="minorHAnsi" w:eastAsiaTheme="minorEastAsia" w:hAnsiTheme="minorHAnsi"/>
          <w:caps w:val="0"/>
          <w:kern w:val="0"/>
        </w:rPr>
      </w:pPr>
      <w:r w:rsidRPr="00372869">
        <w:t>VI.</w:t>
      </w:r>
      <w:r w:rsidRPr="005A1475">
        <w:rPr>
          <w:rFonts w:asciiTheme="minorHAnsi" w:eastAsiaTheme="minorEastAsia" w:hAnsiTheme="minorHAnsi"/>
          <w:caps w:val="0"/>
          <w:kern w:val="0"/>
        </w:rPr>
        <w:tab/>
      </w:r>
      <w:r w:rsidRPr="00372869">
        <w:t>Ordering clauses</w:t>
      </w:r>
      <w:r>
        <w:tab/>
        <w:t>113</w:t>
      </w:r>
    </w:p>
    <w:bookmarkEnd w:id="0"/>
    <w:p w:rsidR="00584CDC" w:rsidP="00584CDC" w14:paraId="588F14E6" w14:textId="3A14018D">
      <w:r>
        <w:t>APPENDIX A—LIST OF COMMENTERS</w:t>
      </w:r>
    </w:p>
    <w:p w:rsidR="00584CDC" w:rsidP="00584CDC" w14:paraId="04219120" w14:textId="77777777">
      <w:r>
        <w:t>APPENDIX B—CALCULATION OF FY 2020 REVENUE REQUIREMENTS AND PRO-RATA FEES</w:t>
      </w:r>
    </w:p>
    <w:p w:rsidR="00584CDC" w:rsidP="00584CDC" w14:paraId="16C93CBD" w14:textId="77777777">
      <w:r>
        <w:t>APPENDIX C—FY 2020 REGULATORY FEES</w:t>
      </w:r>
    </w:p>
    <w:p w:rsidR="00584CDC" w:rsidP="00584CDC" w14:paraId="412BD668" w14:textId="77777777">
      <w:r>
        <w:t>APPENDIX D—SOURCES OF PAYMENT UNIT ESTIMATES FOR FY 2020</w:t>
      </w:r>
    </w:p>
    <w:p w:rsidR="00584CDC" w:rsidP="00584CDC" w14:paraId="49CD3304" w14:textId="77777777">
      <w:pPr>
        <w:ind w:left="1530" w:hanging="1530"/>
      </w:pPr>
      <w:r>
        <w:t>APPENDIX E—FACTORS, MEASUREMENTS, AND CALCULATIONS THAT DETERMINE SIGNAL CONTOURS AND ASSOCIATED POPULATION COVERAGES</w:t>
      </w:r>
    </w:p>
    <w:p w:rsidR="00584CDC" w:rsidP="00584CDC" w14:paraId="602AF51F" w14:textId="77777777">
      <w:r>
        <w:t>APPENDIX F—SATELLITE CHARTS</w:t>
      </w:r>
    </w:p>
    <w:p w:rsidR="00584CDC" w:rsidP="00584CDC" w14:paraId="6B0A89D7" w14:textId="77777777">
      <w:r>
        <w:t>APPENDIX G—FY 2020 FULL-SERVICE BROADCAST TELEVISION STATIONS, BY CALL SIGN</w:t>
      </w:r>
    </w:p>
    <w:p w:rsidR="00584CDC" w:rsidP="00584CDC" w14:paraId="0E56E64F" w14:textId="77777777">
      <w:r>
        <w:t>APPENDIX H—FY 2019 REGULATORY FEES</w:t>
      </w:r>
    </w:p>
    <w:p w:rsidR="00584CDC" w:rsidP="00584CDC" w14:paraId="36CE1913" w14:textId="77777777">
      <w:r>
        <w:t>APPENDIX I—FINAL REGULATORY FLEXIBILITY ANALYSIS</w:t>
      </w:r>
    </w:p>
    <w:p w:rsidR="00584CDC" w:rsidP="00584CDC" w14:paraId="1BA4C678" w14:textId="77777777">
      <w:r>
        <w:t>APPENDIX J—INITIAL REGULATORY FLEXIBILITY ANALYSIS</w:t>
      </w:r>
    </w:p>
    <w:p w:rsidR="00584CDC" w:rsidP="00584CDC" w14:paraId="1B5EB7E5" w14:textId="77777777">
      <w:r>
        <w:t>APPENDIX K—RULE CHANGES</w:t>
      </w:r>
    </w:p>
    <w:p w:rsidR="00584CDC" w:rsidRPr="00C932C7" w:rsidP="00584CDC" w14:paraId="1BC19EEA" w14:textId="77777777"/>
    <w:p w:rsidR="00584CDC" w:rsidRPr="005F6BC2" w:rsidP="00584CDC" w14:paraId="6DFA3EDD" w14:textId="77777777">
      <w:pPr>
        <w:pStyle w:val="Heading1"/>
      </w:pPr>
      <w:bookmarkStart w:id="1" w:name="_Toc14783725"/>
      <w:bookmarkStart w:id="2" w:name="_Toc14976668"/>
      <w:bookmarkStart w:id="3" w:name="_Toc15590996"/>
      <w:bookmarkStart w:id="4" w:name="_Toc44602733"/>
      <w:bookmarkStart w:id="5" w:name="_Toc44608821"/>
      <w:bookmarkStart w:id="6" w:name="_Toc46764649"/>
      <w:bookmarkStart w:id="7" w:name="_Toc47539498"/>
      <w:bookmarkStart w:id="8" w:name="_Toc47692770"/>
      <w:bookmarkStart w:id="9" w:name="_Toc48832336"/>
      <w:bookmarkStart w:id="10" w:name="_Toc48919577"/>
      <w:r w:rsidRPr="005F6BC2">
        <w:t>introduction</w:t>
      </w:r>
      <w:bookmarkEnd w:id="1"/>
      <w:bookmarkEnd w:id="2"/>
      <w:bookmarkEnd w:id="3"/>
      <w:bookmarkEnd w:id="4"/>
      <w:bookmarkEnd w:id="5"/>
      <w:bookmarkEnd w:id="6"/>
      <w:bookmarkEnd w:id="7"/>
      <w:bookmarkEnd w:id="8"/>
      <w:bookmarkEnd w:id="9"/>
      <w:bookmarkEnd w:id="10"/>
    </w:p>
    <w:p w:rsidR="00584CDC" w:rsidRPr="005F6BC2" w:rsidP="00584CDC" w14:paraId="344A858B" w14:textId="77777777">
      <w:pPr>
        <w:pStyle w:val="ParaNum"/>
      </w:pPr>
      <w:r>
        <w:t xml:space="preserve">Each year, the Commission must adopt a new schedule of regulatory fees for regulatory payors, i.e., those entities required to fund the Commission’s activities.  </w:t>
      </w:r>
      <w:r w:rsidRPr="005F6BC2">
        <w:rPr>
          <w:szCs w:val="22"/>
        </w:rPr>
        <w:t>In this Report and Order, we adopt a schedule to collect the $339,000,000 in congressionally required regulatory fees for fiscal year (FY) 20</w:t>
      </w:r>
      <w:r>
        <w:rPr>
          <w:szCs w:val="22"/>
        </w:rPr>
        <w:t>20</w:t>
      </w:r>
      <w:r w:rsidRPr="005F6BC2">
        <w:rPr>
          <w:szCs w:val="22"/>
        </w:rPr>
        <w:t>.</w:t>
      </w:r>
      <w:r>
        <w:rPr>
          <w:rStyle w:val="FootnoteReference"/>
          <w:szCs w:val="22"/>
        </w:rPr>
        <w:footnoteReference w:id="3"/>
      </w:r>
      <w:r w:rsidRPr="005F6BC2">
        <w:rPr>
          <w:szCs w:val="22"/>
        </w:rPr>
        <w:t xml:space="preserve">  The regulatory fees for all payors are due </w:t>
      </w:r>
      <w:r>
        <w:rPr>
          <w:szCs w:val="22"/>
        </w:rPr>
        <w:t>in</w:t>
      </w:r>
      <w:r w:rsidRPr="005F6BC2">
        <w:rPr>
          <w:szCs w:val="22"/>
        </w:rPr>
        <w:t xml:space="preserve"> September 20</w:t>
      </w:r>
      <w:r>
        <w:rPr>
          <w:szCs w:val="22"/>
        </w:rPr>
        <w:t>20</w:t>
      </w:r>
      <w:r w:rsidRPr="005F6BC2">
        <w:rPr>
          <w:szCs w:val="22"/>
        </w:rPr>
        <w:t xml:space="preserve">.  </w:t>
      </w:r>
      <w:r>
        <w:rPr>
          <w:szCs w:val="22"/>
        </w:rPr>
        <w:t xml:space="preserve">In the attached Further Notice of Proposed Rulemaking, we seek comment on regulatory fee subcategories for FY 2021, for </w:t>
      </w:r>
      <w:r>
        <w:rPr>
          <w:szCs w:val="22"/>
        </w:rPr>
        <w:t>nongeostationary</w:t>
      </w:r>
      <w:r>
        <w:rPr>
          <w:szCs w:val="22"/>
        </w:rPr>
        <w:t xml:space="preserve"> orbit (NGSO) satellites, as proposed by several commenters.</w:t>
      </w:r>
    </w:p>
    <w:p w:rsidR="00584CDC" w:rsidRPr="005F6BC2" w:rsidP="00584CDC" w14:paraId="29F1F6A5" w14:textId="77777777">
      <w:pPr>
        <w:pStyle w:val="Heading1"/>
      </w:pPr>
      <w:bookmarkStart w:id="11" w:name="_Toc14783726"/>
      <w:bookmarkStart w:id="12" w:name="_Toc14976669"/>
      <w:bookmarkStart w:id="13" w:name="_Toc15590997"/>
      <w:bookmarkStart w:id="14" w:name="_Toc44602734"/>
      <w:bookmarkStart w:id="15" w:name="_Toc44608822"/>
      <w:bookmarkStart w:id="16" w:name="_Toc46764650"/>
      <w:bookmarkStart w:id="17" w:name="_Toc47539499"/>
      <w:bookmarkStart w:id="18" w:name="_Toc47692771"/>
      <w:bookmarkStart w:id="19" w:name="_Toc48832337"/>
      <w:bookmarkStart w:id="20" w:name="_Toc48919578"/>
      <w:r w:rsidRPr="005F6BC2">
        <w:t>background</w:t>
      </w:r>
      <w:bookmarkEnd w:id="11"/>
      <w:bookmarkEnd w:id="12"/>
      <w:bookmarkEnd w:id="13"/>
      <w:bookmarkEnd w:id="14"/>
      <w:bookmarkEnd w:id="15"/>
      <w:bookmarkEnd w:id="16"/>
      <w:bookmarkEnd w:id="17"/>
      <w:bookmarkEnd w:id="18"/>
      <w:bookmarkEnd w:id="19"/>
      <w:bookmarkEnd w:id="20"/>
    </w:p>
    <w:p w:rsidR="00584CDC" w:rsidRPr="005F6BC2" w:rsidP="00584CDC" w14:paraId="428FE6EA" w14:textId="77777777">
      <w:pPr>
        <w:pStyle w:val="ParaNum"/>
      </w:pPr>
      <w:r w:rsidRPr="005F6BC2">
        <w:t>The Commission is required by Congress to assess regulatory fees each year in an amount that can reasonably be expected to equal the amount of its appropriation.</w:t>
      </w:r>
      <w:r>
        <w:rPr>
          <w:rStyle w:val="FootnoteReference"/>
          <w:sz w:val="22"/>
          <w:szCs w:val="22"/>
        </w:rPr>
        <w:footnoteReference w:id="4"/>
      </w:r>
      <w:r w:rsidRPr="005F6BC2">
        <w:t xml:space="preserve">  Regulatory fees recover direct costs, such as salary and expenses</w:t>
      </w:r>
      <w:r>
        <w:t>;</w:t>
      </w:r>
      <w:r w:rsidRPr="005F6BC2">
        <w:t xml:space="preserve"> indirect costs, such as overhead functions</w:t>
      </w:r>
      <w:r>
        <w:t>;</w:t>
      </w:r>
      <w:r w:rsidRPr="005F6BC2">
        <w:t xml:space="preserve"> and support costs, such as rent, utilities, and equipment.</w:t>
      </w:r>
      <w:r>
        <w:rPr>
          <w:rStyle w:val="FootnoteReference"/>
          <w:sz w:val="22"/>
          <w:szCs w:val="22"/>
        </w:rPr>
        <w:footnoteReference w:id="5"/>
      </w:r>
      <w:r w:rsidRPr="005F6BC2">
        <w:t xml:space="preserve">  Regulatory fees also cover the costs incurred in regulating entities that are statutorily exempt from paying regulatory fees (i.e., governmental and nonprofit entities, amateur radio operators, and noncommercial radio and television stations)</w:t>
      </w:r>
      <w:r>
        <w:t>,</w:t>
      </w:r>
      <w:r>
        <w:rPr>
          <w:rStyle w:val="FootnoteReference"/>
          <w:sz w:val="22"/>
          <w:szCs w:val="22"/>
        </w:rPr>
        <w:footnoteReference w:id="6"/>
      </w:r>
      <w:r w:rsidRPr="005F6BC2">
        <w:t xml:space="preserve"> </w:t>
      </w:r>
      <w:r>
        <w:t>de minimis entities,</w:t>
      </w:r>
      <w:r>
        <w:rPr>
          <w:rStyle w:val="FootnoteReference"/>
        </w:rPr>
        <w:footnoteReference w:id="7"/>
      </w:r>
      <w:r>
        <w:t xml:space="preserve"> </w:t>
      </w:r>
      <w:r w:rsidRPr="005F6BC2">
        <w:t>and entities whose regulatory fees are waived.</w:t>
      </w:r>
      <w:r>
        <w:rPr>
          <w:rStyle w:val="FootnoteReference"/>
          <w:sz w:val="22"/>
          <w:szCs w:val="22"/>
        </w:rPr>
        <w:footnoteReference w:id="8"/>
      </w:r>
      <w:r w:rsidRPr="005F6BC2">
        <w:t xml:space="preserve">  </w:t>
      </w:r>
    </w:p>
    <w:p w:rsidR="00584CDC" w:rsidRPr="005F6BC2" w:rsidP="00584CDC" w14:paraId="259A8A15" w14:textId="77777777">
      <w:pPr>
        <w:pStyle w:val="ParaNum"/>
      </w:pPr>
      <w:r w:rsidRPr="005F6BC2">
        <w:t>The Commission’s methodology for assessing 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szCs w:val="22"/>
        </w:rPr>
        <w:footnoteReference w:id="9"/>
      </w:r>
      <w:r w:rsidRPr="005F6BC2">
        <w:t xml:space="preserve">  Since 2012, the Commission has assessed the allocation of full-time equivalents (FTE</w:t>
      </w:r>
      <w:r>
        <w:t>s</w:t>
      </w:r>
      <w:r w:rsidRPr="005F6BC2">
        <w:t>)</w:t>
      </w:r>
      <w:r>
        <w:rPr>
          <w:rStyle w:val="FootnoteReference"/>
        </w:rPr>
        <w:footnoteReference w:id="10"/>
      </w:r>
      <w:r w:rsidRPr="005F6BC2">
        <w:t xml:space="preserve"> by first determining the number of FTEs in each core bureau that carries out licensing activities (i.e., the Wireless Telecommunications Bureau, Media Bureau, Wireline Competition Bureau, and International Bureau) and then attributing all other FTEs to payor categories based on these core FTE allocations.</w:t>
      </w:r>
      <w:r>
        <w:rPr>
          <w:rStyle w:val="FootnoteReference"/>
        </w:rPr>
        <w:footnoteReference w:id="11"/>
      </w:r>
    </w:p>
    <w:p w:rsidR="00584CDC" w:rsidRPr="00677CF6" w:rsidP="00584CDC" w14:paraId="34B010C3" w14:textId="121E8CF9">
      <w:pPr>
        <w:pStyle w:val="ParaNum"/>
        <w:rPr>
          <w:szCs w:val="22"/>
        </w:rPr>
      </w:pPr>
      <w:r>
        <w:rPr>
          <w:szCs w:val="22"/>
        </w:rPr>
        <w:t>Since</w:t>
      </w:r>
      <w:r w:rsidRPr="005F6BC2">
        <w:rPr>
          <w:szCs w:val="22"/>
        </w:rPr>
        <w:t xml:space="preserve"> 2013</w:t>
      </w:r>
      <w:r w:rsidRPr="005F6BC2">
        <w:t>,</w:t>
      </w:r>
      <w:r w:rsidRPr="005F6BC2">
        <w:rPr>
          <w:i/>
        </w:rPr>
        <w:t xml:space="preserve"> </w:t>
      </w:r>
      <w:r w:rsidRPr="005F6BC2">
        <w:t xml:space="preserve">the Commission </w:t>
      </w:r>
      <w:r>
        <w:t>has adopted numerous reforms to the regulatory fee schedule.</w:t>
      </w:r>
      <w:r>
        <w:rPr>
          <w:rStyle w:val="FootnoteReference"/>
        </w:rPr>
        <w:footnoteReference w:id="12"/>
      </w:r>
      <w:r>
        <w:t xml:space="preserve">  Earlier this year, in the </w:t>
      </w:r>
      <w:r>
        <w:rPr>
          <w:i/>
          <w:iCs/>
        </w:rPr>
        <w:t>2020 Regulatory Fee Reform Order</w:t>
      </w:r>
      <w:r>
        <w:t xml:space="preserve">, we adopted several reforms regarding non-U.S. licensed space stations with U.S. market access grants, the apportionment of FTEs within the International Bureau for international bearer circuits and satellite issues, the apportionment of </w:t>
      </w:r>
      <w:r>
        <w:t xml:space="preserve">FTEs within the Satellite Division of the International Bureau for geostationary </w:t>
      </w:r>
      <w:r w:rsidR="00037A95">
        <w:t xml:space="preserve">orbit </w:t>
      </w:r>
      <w:r>
        <w:t xml:space="preserve">(GSO) and </w:t>
      </w:r>
      <w:r w:rsidR="00BF211E">
        <w:t>NGSO</w:t>
      </w:r>
      <w:r>
        <w:t xml:space="preserve"> space station regulatory fee, and we adopted a limitation on population counts for certain VHF television broadcast stations.</w:t>
      </w:r>
      <w:r>
        <w:rPr>
          <w:rStyle w:val="FootnoteReference"/>
        </w:rPr>
        <w:footnoteReference w:id="13"/>
      </w:r>
      <w:r>
        <w:t xml:space="preserve">  In the accompanying </w:t>
      </w:r>
      <w:r w:rsidRPr="0083579A">
        <w:rPr>
          <w:i/>
          <w:iCs/>
        </w:rPr>
        <w:t>FY 2020 NPRM</w:t>
      </w:r>
      <w:r>
        <w:t>, we sought comment on a proposed fee schedule and also on certain issues</w:t>
      </w:r>
      <w:r w:rsidRPr="009B6A19">
        <w:t xml:space="preserve"> </w:t>
      </w:r>
      <w:r>
        <w:t>for International Bureau and Media Bureau regulatees.</w:t>
      </w:r>
      <w:r>
        <w:rPr>
          <w:rStyle w:val="FootnoteReference"/>
        </w:rPr>
        <w:footnoteReference w:id="14"/>
      </w:r>
      <w:r>
        <w:t xml:space="preserve">  Specifically, we sought comment on a schedule of proposed regulatory fees as well as certain issues:  adjusting the allocation of international bearer circuit (IBC) fees between submarine cable and terrestrial and satellite IBCs from 87.6%-12.4% to 95%-5%; combining the submarine cable regulatory fee tiers with new tiers for terrestrial and satellite IBCs in a unified tier structure; basing full-power broadcast television fees on the population covered by the station’s contour; and continuing to increase the direct broadcast satellite (DBS) regulatory fees by 12 cents, to 72 cents, per subscriber, per year.</w:t>
      </w:r>
      <w:r>
        <w:rPr>
          <w:rStyle w:val="FootnoteReference"/>
        </w:rPr>
        <w:footnoteReference w:id="15"/>
      </w:r>
      <w:r>
        <w:t xml:space="preserve">  In addition, we sought comment on economic effects due to the COVID-19 pandemic on regulatory fee payors.</w:t>
      </w:r>
      <w:r>
        <w:rPr>
          <w:rStyle w:val="FootnoteReference"/>
        </w:rPr>
        <w:footnoteReference w:id="16"/>
      </w:r>
      <w:r>
        <w:t xml:space="preserve">  </w:t>
      </w:r>
    </w:p>
    <w:p w:rsidR="00584CDC" w:rsidP="00584CDC" w14:paraId="617FC71B" w14:textId="77777777">
      <w:pPr>
        <w:pStyle w:val="Heading1"/>
      </w:pPr>
      <w:bookmarkStart w:id="22" w:name="_Toc44602735"/>
      <w:bookmarkStart w:id="23" w:name="_Toc44608823"/>
      <w:bookmarkStart w:id="24" w:name="_Toc46764651"/>
      <w:bookmarkStart w:id="25" w:name="_Toc47539500"/>
      <w:bookmarkStart w:id="26" w:name="_Toc47692772"/>
      <w:bookmarkStart w:id="27" w:name="_Toc48832338"/>
      <w:bookmarkStart w:id="28" w:name="_Toc48919579"/>
      <w:r>
        <w:t>report and order</w:t>
      </w:r>
      <w:bookmarkEnd w:id="22"/>
      <w:bookmarkEnd w:id="23"/>
      <w:bookmarkEnd w:id="24"/>
      <w:bookmarkEnd w:id="25"/>
      <w:bookmarkEnd w:id="26"/>
      <w:bookmarkEnd w:id="27"/>
      <w:bookmarkEnd w:id="28"/>
    </w:p>
    <w:p w:rsidR="00584CDC" w:rsidP="00584CDC" w14:paraId="7E062E79" w14:textId="780BCE59">
      <w:pPr>
        <w:pStyle w:val="ParaNum"/>
      </w:pPr>
      <w:r>
        <w:t>Pursuant to section 9 of the Communications Act of 1934, as amended (Communications Act or Act), i</w:t>
      </w:r>
      <w:r w:rsidRPr="005F6BC2">
        <w:t xml:space="preserve">n this </w:t>
      </w:r>
      <w:r w:rsidRPr="00A93FD4">
        <w:rPr>
          <w:iCs/>
        </w:rPr>
        <w:t>Report and Order</w:t>
      </w:r>
      <w:r w:rsidRPr="005F6BC2">
        <w:t xml:space="preserve"> we adopt the regulatory fee schedule proposed in the </w:t>
      </w:r>
      <w:r w:rsidRPr="00631546">
        <w:rPr>
          <w:i/>
        </w:rPr>
        <w:t xml:space="preserve">FY 2020 NPRM </w:t>
      </w:r>
      <w:r w:rsidRPr="005F6BC2">
        <w:t>for FY 20</w:t>
      </w:r>
      <w:r>
        <w:t>20</w:t>
      </w:r>
      <w:r w:rsidRPr="005F6BC2">
        <w:t xml:space="preserve">, as modified </w:t>
      </w:r>
      <w:r>
        <w:t>herein</w:t>
      </w:r>
      <w:r w:rsidRPr="005F6BC2">
        <w:t>, to collect $339,000,000 in regulatory fees</w:t>
      </w:r>
      <w:r>
        <w:t xml:space="preserve"> as required by Congress</w:t>
      </w:r>
      <w:r w:rsidRPr="005F6BC2">
        <w:t>.</w:t>
      </w:r>
      <w:r>
        <w:rPr>
          <w:rStyle w:val="FootnoteReference"/>
        </w:rPr>
        <w:footnoteReference w:id="17"/>
      </w:r>
      <w:r w:rsidRPr="005F6BC2">
        <w:t xml:space="preserve">  </w:t>
      </w:r>
    </w:p>
    <w:p w:rsidR="00584CDC" w:rsidP="00593971" w14:paraId="4E31C5BA" w14:textId="77777777">
      <w:pPr>
        <w:pStyle w:val="Heading2"/>
      </w:pPr>
      <w:bookmarkStart w:id="29" w:name="_Toc14783728"/>
      <w:bookmarkStart w:id="30" w:name="_Toc14976671"/>
      <w:bookmarkStart w:id="31" w:name="_Toc15590999"/>
      <w:bookmarkStart w:id="32" w:name="_Toc44602736"/>
      <w:bookmarkStart w:id="33" w:name="_Toc44608824"/>
      <w:bookmarkStart w:id="34" w:name="_Toc46764652"/>
      <w:bookmarkStart w:id="35" w:name="_Toc47539501"/>
      <w:bookmarkStart w:id="36" w:name="_Toc47692773"/>
      <w:bookmarkStart w:id="37" w:name="_Toc48832339"/>
      <w:bookmarkStart w:id="38" w:name="_Toc48919580"/>
      <w:r>
        <w:t>Allocating FTEs</w:t>
      </w:r>
      <w:bookmarkEnd w:id="29"/>
      <w:bookmarkEnd w:id="30"/>
      <w:bookmarkEnd w:id="31"/>
      <w:bookmarkEnd w:id="32"/>
      <w:bookmarkEnd w:id="33"/>
      <w:bookmarkEnd w:id="34"/>
      <w:bookmarkEnd w:id="35"/>
      <w:bookmarkEnd w:id="36"/>
      <w:bookmarkEnd w:id="37"/>
      <w:bookmarkEnd w:id="38"/>
      <w:r>
        <w:t xml:space="preserve"> </w:t>
      </w:r>
    </w:p>
    <w:p w:rsidR="00584CDC" w:rsidP="00584CDC" w14:paraId="667B4E74" w14:textId="3912F909">
      <w:pPr>
        <w:pStyle w:val="ParaNum"/>
      </w:pPr>
      <w:r>
        <w:rPr>
          <w:szCs w:val="22"/>
        </w:rPr>
        <w:t>I</w:t>
      </w:r>
      <w:r w:rsidRPr="005F6BC2">
        <w:rPr>
          <w:szCs w:val="22"/>
        </w:rPr>
        <w:t xml:space="preserve">n the </w:t>
      </w:r>
      <w:r w:rsidRPr="005F6BC2">
        <w:rPr>
          <w:i/>
          <w:szCs w:val="22"/>
        </w:rPr>
        <w:t>FY 20</w:t>
      </w:r>
      <w:r>
        <w:rPr>
          <w:i/>
          <w:szCs w:val="22"/>
        </w:rPr>
        <w:t>20</w:t>
      </w:r>
      <w:r w:rsidRPr="005F6BC2">
        <w:rPr>
          <w:i/>
          <w:szCs w:val="22"/>
        </w:rPr>
        <w:t xml:space="preserve"> NPRM</w:t>
      </w:r>
      <w:r>
        <w:rPr>
          <w:iCs/>
          <w:szCs w:val="22"/>
        </w:rPr>
        <w:t>,</w:t>
      </w:r>
      <w:r>
        <w:t xml:space="preserve"> the Commission </w:t>
      </w:r>
      <w:r w:rsidRPr="005F6BC2">
        <w:t xml:space="preserve">proposed </w:t>
      </w:r>
      <w:r>
        <w:t>that</w:t>
      </w:r>
      <w:r w:rsidRPr="005F6BC2">
        <w:t xml:space="preserve"> non-auctions funded FTEs will be classified as direct </w:t>
      </w:r>
      <w:r>
        <w:t xml:space="preserve">only </w:t>
      </w:r>
      <w:r w:rsidRPr="005F6BC2">
        <w:t>if in one of the four core bureaus</w:t>
      </w:r>
      <w:r>
        <w:t>, i.e., in the Wireline Competition Bureau, the Wireless Telecommunications Bureau, the Media Bureau, or the International Bureau.</w:t>
      </w:r>
      <w:r>
        <w:rPr>
          <w:rStyle w:val="FootnoteReference"/>
        </w:rPr>
        <w:footnoteReference w:id="18"/>
      </w:r>
      <w:r>
        <w:t xml:space="preserve">  The indirect FTEs are from the following bureaus and offices:  Enforcement Bureau, Consumer and Governmental Affairs Bureau, Public Safety and Homeland Security Bureau, Chairman and Commissioners’ offices, Office of the Managing Director, Office of General Counsel, Office of the Inspector General, Office of Communications Business Opportunities, Office of Engineering and Technology, Office of Legislative Affairs, Office of Workplace Diversity, </w:t>
      </w:r>
      <w:r w:rsidRPr="00CF6908">
        <w:t>Office of Media Relations, Office of Economics and Analytics, and Office of Administrative Law Judges</w:t>
      </w:r>
      <w:r>
        <w:t>, along with some employees in the Wireline Competition Bureau and the International Bureau that the Commission previously classified as indirect</w:t>
      </w:r>
      <w:r w:rsidRPr="00CF6908">
        <w:t>.</w:t>
      </w:r>
      <w:r>
        <w:rPr>
          <w:rStyle w:val="FootnoteReference"/>
        </w:rPr>
        <w:footnoteReference w:id="19"/>
      </w:r>
      <w:r>
        <w:t xml:space="preserve">  </w:t>
      </w:r>
    </w:p>
    <w:p w:rsidR="00584CDC" w:rsidP="00584CDC" w14:paraId="237DA8D6" w14:textId="77777777">
      <w:pPr>
        <w:pStyle w:val="ParaNum"/>
      </w:pPr>
      <w:r>
        <w:t>W</w:t>
      </w:r>
      <w:r w:rsidRPr="005F6BC2">
        <w:t>e will continue to apportion regulatory fee</w:t>
      </w:r>
      <w:r>
        <w:t>s</w:t>
      </w:r>
      <w:r w:rsidRPr="005F6BC2">
        <w:t xml:space="preserve"> across fee categories based on the number of direct FTEs in each core bureau and the proportionate number of indirect FTEs and to take into account factors that are reasonably related to the </w:t>
      </w:r>
      <w:r>
        <w:t xml:space="preserve">payor’s </w:t>
      </w:r>
      <w:r w:rsidRPr="005F6BC2">
        <w:t>benefits.</w:t>
      </w:r>
      <w:r>
        <w:rPr>
          <w:rStyle w:val="FootnoteReference"/>
        </w:rPr>
        <w:footnoteReference w:id="20"/>
      </w:r>
      <w:r>
        <w:t xml:space="preserve">  As a general matter, we expect that the work of the FTEs in the four core bureaus will remain focused on the industry segment regulated by each of those bureaus.  </w:t>
      </w:r>
      <w:r w:rsidRPr="005F6BC2">
        <w:t>The first step</w:t>
      </w:r>
      <w:r>
        <w:t xml:space="preserve"> in this process</w:t>
      </w:r>
      <w:r w:rsidRPr="005F6BC2">
        <w:t xml:space="preserve"> is to allocate appropriated amounts to be recovered proportionally based on the number of direct FTEs within each core bureau</w:t>
      </w:r>
      <w:r>
        <w:t xml:space="preserve"> (with indirect FTEs allocated in proportion to the direct FTEs)</w:t>
      </w:r>
      <w:r w:rsidRPr="005F6BC2">
        <w:t>.</w:t>
      </w:r>
      <w:r>
        <w:rPr>
          <w:rStyle w:val="FootnoteReference"/>
        </w:rPr>
        <w:footnoteReference w:id="21"/>
      </w:r>
      <w:r w:rsidRPr="005F6BC2">
        <w:t xml:space="preserve">  Those proportions are then subdivided within each core bureau into fee categories among the regulatees served by the core bureau.  Finally, within each fee category, the amount to be collected is divided by a unit that allocates the </w:t>
      </w:r>
      <w:r w:rsidRPr="005F6BC2">
        <w:t>regulatee’s</w:t>
      </w:r>
      <w:r w:rsidRPr="005F6BC2">
        <w:t xml:space="preserve"> </w:t>
      </w:r>
      <w:r w:rsidRPr="005F6BC2">
        <w:rPr>
          <w:szCs w:val="22"/>
        </w:rPr>
        <w:t>proportionate share based on an objective measure</w:t>
      </w:r>
      <w:r>
        <w:rPr>
          <w:szCs w:val="22"/>
        </w:rPr>
        <w:t>, such as subscribers or revenue</w:t>
      </w:r>
      <w:r w:rsidRPr="005F6BC2">
        <w:t>.</w:t>
      </w:r>
    </w:p>
    <w:p w:rsidR="00B72A06" w:rsidP="0010607C" w14:paraId="0CAE860F" w14:textId="216F63E7">
      <w:pPr>
        <w:pStyle w:val="ParaNum"/>
      </w:pPr>
      <w:r w:rsidRPr="00EC2B4E">
        <w:t xml:space="preserve">In sum, there were 311 direct FTEs for FY 2020, distributed among the core bureaus as follows: International Bureau (28), Wireless Telecommunications Bureau (73), Wireline Competition Bureau (94), and the Media Bureau (116).  This results in 9.00% of the FTE allocation for International Bureau regulatees; 23.47% of the FTE allocation for Wireless Telecommunications Bureau regulatees; 30.23% of the FTE allocation for Wireline Competition Bureau regulatees; and 37.30% of FTE allocation for Media Bureau regulatees.  There are 911 indirect FTEs that are allocated proportionally to the 311 direct FTEs:  Enforcement Bureau (181), Consumer </w:t>
      </w:r>
      <w:r w:rsidR="0010607C">
        <w:t>and</w:t>
      </w:r>
      <w:r w:rsidRPr="00EC2B4E">
        <w:t xml:space="preserve"> Governmental Affairs Bureau (113), Public Safety and Homeland Security Bureau (89), part of the International Bureau (56), part of the Wireline Competition Bureau (38), Chairman and Commissioners’ offices (23), Office of the Managing Director (132), Office of General Counsel (70), Office of the Inspector General (45), Office of Communications Business Opportunities (8), Office of Engineering and Technology (72), Office of Legislative Affairs (8), Office of Workforce Diversity (6), Office of Media Relations (14), Office of Economics and Analytics (53), and Office of Administrative Law Judges (3).</w:t>
      </w:r>
      <w:r w:rsidRPr="00AC73B6" w:rsidR="00AC73B6">
        <w:t xml:space="preserve"> </w:t>
      </w:r>
      <w:r w:rsidR="00AC73B6">
        <w:t xml:space="preserve"> </w:t>
      </w:r>
      <w:r w:rsidRPr="00AC73B6" w:rsidR="00AC73B6">
        <w:t>Allocating these indirect FTEs based on the direct FTE allocations yields an additional 82.0 FTEs attributable to International Bureau regulatees, 213.8 FTEs attributable to Wireless Telecommunications Bureau regulatees, 275.4 FTEs attributable to Wireline Competition Bureau regulatees, and 339.8 FTEs attributable to Media Bureau regulatees.</w:t>
      </w:r>
    </w:p>
    <w:p w:rsidR="00C52DA6" w:rsidRPr="00DB7F63" w:rsidP="00C52DA6" w14:paraId="0AF7B99E" w14:textId="40A6221E">
      <w:pPr>
        <w:pStyle w:val="ParaNum"/>
        <w:rPr>
          <w:color w:val="201F1E"/>
        </w:rPr>
      </w:pPr>
      <w:r w:rsidRPr="00DB7F63">
        <w:t xml:space="preserve">As in prior years, broadcasters take issue with the Commission’s practice of allocating costs associated with indirect FTEs in proportion to each core bureau’s direct FTEs.  Broadcasters suggest that </w:t>
      </w:r>
      <w:r w:rsidRPr="00DB7F63">
        <w:rPr>
          <w:color w:val="201F1E"/>
        </w:rPr>
        <w:t>the methodology should instead consider whether the functions of specific indirect FTEs benefit specific regulatory fee payors.</w:t>
      </w:r>
      <w:r>
        <w:rPr>
          <w:rStyle w:val="FootnoteReference"/>
          <w:szCs w:val="22"/>
        </w:rPr>
        <w:footnoteReference w:id="22"/>
      </w:r>
      <w:r w:rsidRPr="00DB7F63">
        <w:rPr>
          <w:color w:val="201F1E"/>
        </w:rPr>
        <w:t xml:space="preserve">  We affirm the findings in our FY 2019 regulatory fee proceeding, where we explained in detail our existing methodology for assessing fees, noted the changes in the statute, and sought comment on what changes to our regulatory fee methodology, if any, were necessary to implement </w:t>
      </w:r>
      <w:r w:rsidRPr="00DB7F63">
        <w:rPr>
          <w:color w:val="201F1E"/>
        </w:rPr>
        <w:t>the RAY BAUM’</w:t>
      </w:r>
      <w:r>
        <w:rPr>
          <w:color w:val="201F1E"/>
        </w:rPr>
        <w:t>S</w:t>
      </w:r>
      <w:r w:rsidRPr="00DB7F63">
        <w:rPr>
          <w:color w:val="201F1E"/>
        </w:rPr>
        <w:t xml:space="preserve"> Act amendments to our regulatory fee authority.</w:t>
      </w:r>
      <w:r>
        <w:rPr>
          <w:rStyle w:val="FootnoteReference"/>
          <w:szCs w:val="22"/>
        </w:rPr>
        <w:footnoteReference w:id="23"/>
      </w:r>
      <w:r w:rsidRPr="00DB7F63">
        <w:rPr>
          <w:color w:val="201F1E"/>
        </w:rPr>
        <w:t xml:space="preserve">  After review of the comments received, we determined in the</w:t>
      </w:r>
      <w:r w:rsidRPr="00DB7F63">
        <w:rPr>
          <w:i/>
          <w:iCs/>
          <w:color w:val="201F1E"/>
        </w:rPr>
        <w:t xml:space="preserve"> FY 2019 Report and Order</w:t>
      </w:r>
      <w:r w:rsidRPr="00DB7F63">
        <w:rPr>
          <w:color w:val="201F1E"/>
        </w:rPr>
        <w:t xml:space="preserve"> that because the new section 9 closely aligned to how the Commission assessed and collected fees under the prior section 9, we would hew closely to the existing methodology.</w:t>
      </w:r>
      <w:r>
        <w:rPr>
          <w:rStyle w:val="FootnoteReference"/>
          <w:szCs w:val="22"/>
        </w:rPr>
        <w:footnoteReference w:id="24"/>
      </w:r>
      <w:r w:rsidRPr="00DB7F63">
        <w:rPr>
          <w:color w:val="201F1E"/>
        </w:rPr>
        <w:t xml:space="preserve">  In particular, we expressly rejected any suggestion that the Commission should abandon the step in our process whereby we designate FTEs as either direct or indirect and allocate indirect FTEs in proportion to the direct FTEs </w:t>
      </w:r>
      <w:r w:rsidRPr="00DB7F63">
        <w:t>in each of the core bureaus</w:t>
      </w:r>
      <w:r w:rsidRPr="00DB7F63">
        <w:rPr>
          <w:color w:val="201F1E"/>
        </w:rPr>
        <w:t>.</w:t>
      </w:r>
      <w:r>
        <w:rPr>
          <w:rStyle w:val="FootnoteReference"/>
          <w:szCs w:val="22"/>
        </w:rPr>
        <w:footnoteReference w:id="25"/>
      </w:r>
      <w:r w:rsidRPr="00DB7F63">
        <w:rPr>
          <w:color w:val="201F1E"/>
        </w:rPr>
        <w:t xml:space="preserve">  </w:t>
      </w:r>
      <w:r>
        <w:rPr>
          <w:color w:val="201F1E"/>
        </w:rPr>
        <w:t xml:space="preserve"> </w:t>
      </w:r>
      <w:r w:rsidRPr="00DB7F63">
        <w:rPr>
          <w:color w:val="201F1E"/>
        </w:rPr>
        <w:t xml:space="preserve">As the </w:t>
      </w:r>
      <w:r w:rsidRPr="00DB7F63">
        <w:rPr>
          <w:i/>
          <w:iCs/>
          <w:color w:val="201F1E"/>
        </w:rPr>
        <w:t xml:space="preserve">FY 2019 Report and Order </w:t>
      </w:r>
      <w:r w:rsidRPr="00DB7F63">
        <w:rPr>
          <w:color w:val="201F1E"/>
        </w:rPr>
        <w:t xml:space="preserve">stated, “we must allocate indirect FTEs among regulatees somehow (per Congress’s direction), and relying on the allocation of direct FTEs gives us an objective, easily administrable measure to do just that.  [The broadcasters do not] identify an objective, easily administrable alternative…. </w:t>
      </w:r>
      <w:r>
        <w:rPr>
          <w:color w:val="201F1E"/>
        </w:rPr>
        <w:t xml:space="preserve"> </w:t>
      </w:r>
      <w:r w:rsidRPr="00DB7F63">
        <w:rPr>
          <w:color w:val="201F1E"/>
        </w:rPr>
        <w:t>We have long relied on direct FTE allocations because the Commission has found those allocations because the Commission has found those allocations best reflect the ‘benefits provided to the payor of the fee by the Commission’s activities.’”</w:t>
      </w:r>
      <w:r w:rsidRPr="00DB7F63">
        <w:rPr>
          <w:rStyle w:val="FootnoteReference"/>
          <w:szCs w:val="22"/>
        </w:rPr>
        <w:t xml:space="preserve"> </w:t>
      </w:r>
      <w:r>
        <w:rPr>
          <w:rStyle w:val="FootnoteReference"/>
          <w:szCs w:val="22"/>
        </w:rPr>
        <w:footnoteReference w:id="26"/>
      </w:r>
      <w:r w:rsidRPr="00DB7F63">
        <w:rPr>
          <w:color w:val="201F1E"/>
        </w:rPr>
        <w:t xml:space="preserve"> </w:t>
      </w:r>
    </w:p>
    <w:p w:rsidR="00C52DA6" w:rsidP="00C52DA6" w14:paraId="5C98A05D" w14:textId="13906B23">
      <w:pPr>
        <w:pStyle w:val="ParaNum"/>
        <w:rPr>
          <w:color w:val="201F1E"/>
        </w:rPr>
      </w:pPr>
      <w:r w:rsidRPr="00DB7F63">
        <w:t xml:space="preserve">We affirm those conclusions here.  As we stated in 2019, direct FTE allocations best reflect “the benefits provided to the payor” – in the case of broadcast licensees, the work Media Bureau FTEs do to grant licenses and oversee and regulate their operation.  As the Commission explained in both the </w:t>
      </w:r>
      <w:r w:rsidRPr="00DB7F63">
        <w:rPr>
          <w:i/>
          <w:iCs/>
        </w:rPr>
        <w:t>FY 2015 Report and Order</w:t>
      </w:r>
      <w:r>
        <w:rPr>
          <w:rStyle w:val="FootnoteReference"/>
          <w:szCs w:val="22"/>
        </w:rPr>
        <w:footnoteReference w:id="27"/>
      </w:r>
      <w:r w:rsidRPr="00DB7F63">
        <w:t xml:space="preserve"> and in the </w:t>
      </w:r>
      <w:r w:rsidRPr="00DB7F63">
        <w:rPr>
          <w:i/>
          <w:iCs/>
        </w:rPr>
        <w:t>FY 2019 Report and Order</w:t>
      </w:r>
      <w:r w:rsidRPr="00DB7F63">
        <w:t>,</w:t>
      </w:r>
      <w:r>
        <w:rPr>
          <w:rStyle w:val="FootnoteReference"/>
          <w:szCs w:val="22"/>
        </w:rPr>
        <w:footnoteReference w:id="28"/>
      </w:r>
      <w:r w:rsidRPr="00DB7F63">
        <w:t xml:space="preserve"> FTEs work on a wide range of issues and it is difficult to attribute their work to a specific category.</w:t>
      </w:r>
      <w:r>
        <w:t xml:space="preserve"> </w:t>
      </w:r>
      <w:r w:rsidRPr="00DB7F63">
        <w:t xml:space="preserve"> Moreover, the wide variety of issues handled in non-core bureaus may also include services that are not specifically correlated with one core bureau, let alone one category of regulatees. </w:t>
      </w:r>
      <w:r>
        <w:t xml:space="preserve"> </w:t>
      </w:r>
      <w:r w:rsidRPr="00DB7F63">
        <w:t xml:space="preserve">In addition, most Commission attorneys, engineers, analysts, and other staff work on a variety of issues even during a single fiscal year. </w:t>
      </w:r>
      <w:r>
        <w:t xml:space="preserve"> </w:t>
      </w:r>
      <w:r w:rsidRPr="00DB7F63">
        <w:t xml:space="preserve">A snapshot of staff assignments in a single division in any bureau, for example, may misrepresent the work being done six months or even six weeks later. </w:t>
      </w:r>
      <w:r>
        <w:t xml:space="preserve"> </w:t>
      </w:r>
      <w:r w:rsidRPr="00DB7F63">
        <w:t xml:space="preserve">Thus, even if we could calculate staff assignments at this granular level with accuracy, such assignments would not be accurate for the entire fiscal year and would result in significant unplanned shifts in regulatory fees as assignments change over time. And finally, much of the work that could be assigned to a single category of regulatees is likely to be interspersed with the work that our staff does on behalf of many entities that do not pay regulatory fees, e.g., governmental entities, non-profit organizations, and other exempt regulatees. </w:t>
      </w:r>
    </w:p>
    <w:p w:rsidR="00C52DA6" w:rsidRPr="007473E1" w:rsidP="00C52DA6" w14:paraId="664CF1F0" w14:textId="00B4C68E">
      <w:pPr>
        <w:pStyle w:val="ParaNum"/>
        <w:rPr>
          <w:color w:val="201F1E"/>
        </w:rPr>
      </w:pPr>
      <w:r w:rsidRPr="00DB7F63">
        <w:t xml:space="preserve">NAB also asserts after evaluating the FTE allocations within the </w:t>
      </w:r>
      <w:r>
        <w:t>b</w:t>
      </w:r>
      <w:r w:rsidRPr="00DB7F63">
        <w:t xml:space="preserve">ureaus and </w:t>
      </w:r>
      <w:r>
        <w:t>o</w:t>
      </w:r>
      <w:r w:rsidRPr="00DB7F63">
        <w:t xml:space="preserve">ffices, the Commission failed to also consider other factors that reasonably related to the benefits provided to the payors, particularly the radio industry. </w:t>
      </w:r>
      <w:r w:rsidR="0031324C">
        <w:t xml:space="preserve"> </w:t>
      </w:r>
      <w:r w:rsidRPr="00DB7F63">
        <w:t xml:space="preserve">But as noted above, it has been the Commission’s longstanding </w:t>
      </w:r>
      <w:r w:rsidRPr="00DB7F63">
        <w:t>methodology to use direct FTEs as a measure of the benefits provided, and the Commission engages in a fresh review of the FTE allocations each year as part of its annual proceeding.</w:t>
      </w:r>
      <w:r>
        <w:rPr>
          <w:rStyle w:val="FootnoteReference"/>
          <w:szCs w:val="22"/>
        </w:rPr>
        <w:footnoteReference w:id="29"/>
      </w:r>
      <w:r w:rsidRPr="00DB7F63">
        <w:t xml:space="preserve"> </w:t>
      </w:r>
      <w:r w:rsidR="004F5D40">
        <w:t xml:space="preserve"> </w:t>
      </w:r>
      <w:r w:rsidRPr="00DB7F63">
        <w:t xml:space="preserve">Furthermore, in establishing the apportionment of fees between regulatees within the same core bureau and/or within regulatory fee classes, the Commission is continuously refining its methodology to capture the benefits afforded the payor.  For example, in many regulatory fee categories, the Commission </w:t>
      </w:r>
      <w:r w:rsidR="00C877E4">
        <w:t>uses</w:t>
      </w:r>
      <w:r w:rsidRPr="00DB7F63">
        <w:t xml:space="preserve"> an apportionment methodology that is tied to the benefits of oversight and regulation received by the license as measured by different criteria.</w:t>
      </w:r>
      <w:r>
        <w:rPr>
          <w:rStyle w:val="FootnoteReference"/>
          <w:szCs w:val="22"/>
        </w:rPr>
        <w:footnoteReference w:id="30"/>
      </w:r>
      <w:r w:rsidRPr="00DB7F63">
        <w:t xml:space="preserve">  We reject NAB’s suggestion that the Commission should ignore the statutory requirement to consider full-time employees and provide the radio industry with a downward adjustment based on its unsubstantiated assertion that there have been no changes in the benefits received by the radio industry.  The methodology described above accounts for those benefits, which are further reflected in the numerous proceedings the Commission has conducted this year that benefit radio broadcasters.</w:t>
      </w:r>
      <w:r>
        <w:rPr>
          <w:rStyle w:val="FootnoteReference"/>
          <w:szCs w:val="22"/>
        </w:rPr>
        <w:footnoteReference w:id="31"/>
      </w:r>
      <w:r w:rsidRPr="00DB7F63">
        <w:t xml:space="preserve"> </w:t>
      </w:r>
    </w:p>
    <w:p w:rsidR="00584CDC" w:rsidP="00593971" w14:paraId="28D228DE" w14:textId="77777777">
      <w:pPr>
        <w:pStyle w:val="Heading2"/>
      </w:pPr>
      <w:bookmarkStart w:id="40" w:name="_Toc47539502"/>
      <w:bookmarkStart w:id="41" w:name="_Toc47692774"/>
      <w:bookmarkStart w:id="42" w:name="_Toc48832340"/>
      <w:bookmarkStart w:id="43" w:name="_Toc48919581"/>
      <w:bookmarkStart w:id="44" w:name="_Toc44602737"/>
      <w:bookmarkStart w:id="45" w:name="_Toc44608825"/>
      <w:bookmarkStart w:id="46" w:name="_Toc46764653"/>
      <w:r>
        <w:t xml:space="preserve">Direct Broadcast Satellite </w:t>
      </w:r>
      <w:r w:rsidRPr="005F6BC2">
        <w:t>Regulatory Fees</w:t>
      </w:r>
      <w:bookmarkEnd w:id="40"/>
      <w:bookmarkEnd w:id="41"/>
      <w:bookmarkEnd w:id="42"/>
      <w:bookmarkEnd w:id="43"/>
    </w:p>
    <w:p w:rsidR="00584CDC" w:rsidRPr="00F97F67" w:rsidP="009541C1" w14:paraId="2176A18B" w14:textId="77777777">
      <w:pPr>
        <w:pStyle w:val="ParaNum"/>
        <w:widowControl/>
      </w:pPr>
      <w:r>
        <w:t xml:space="preserve">Direct broadcast satellite </w:t>
      </w:r>
      <w:r w:rsidRPr="00B556FE">
        <w:t>service is a nationally distributed subscription service that delivers video and audio programming via satellite to a small parabolic dish antenna at the subscriber’s location.  The two DBS providers, AT&amp;T and DISH Network, are multichannel video programming distributors (MVPDs).</w:t>
      </w:r>
      <w:r>
        <w:rPr>
          <w:rStyle w:val="FootnoteReference"/>
          <w:sz w:val="22"/>
          <w:szCs w:val="22"/>
        </w:rPr>
        <w:footnoteReference w:id="32"/>
      </w:r>
      <w:r w:rsidRPr="00B556FE">
        <w:t xml:space="preserve">  In 2015, the Commission adopted an initial regulatory fee for DBS, as a subcategory in the cable television and IPTV category</w:t>
      </w:r>
      <w:r>
        <w:t>.</w:t>
      </w:r>
      <w:r>
        <w:rPr>
          <w:rStyle w:val="FootnoteReference"/>
          <w:sz w:val="22"/>
          <w:szCs w:val="22"/>
        </w:rPr>
        <w:footnoteReference w:id="33"/>
      </w:r>
      <w:r w:rsidRPr="00B556FE">
        <w:t xml:space="preserve">  </w:t>
      </w:r>
      <w:r w:rsidRPr="00F97F67">
        <w:t>In lieu of directly including DBS providers in the cable television/IPTV category at the same regulatory fee rate, the Commission phased in the new Media Bureau-based regulatory fee for DBS, starting at 12 cents per subscriber per year.</w:t>
      </w:r>
      <w:r>
        <w:rPr>
          <w:rStyle w:val="FootnoteReference"/>
          <w:szCs w:val="22"/>
        </w:rPr>
        <w:footnoteReference w:id="34"/>
      </w:r>
      <w:r w:rsidRPr="00F97F67">
        <w:t xml:space="preserve">  Each year, the Commission has increased the DBS regulatory fee, bringing it closer to the per-subscriber rate paid by cable television</w:t>
      </w:r>
      <w:r>
        <w:t>/</w:t>
      </w:r>
      <w:r w:rsidRPr="00F97F67">
        <w:t>IPTV.</w:t>
      </w:r>
      <w:r>
        <w:t xml:space="preserve">  Accordingly, the Commission increased the regulatory fee for DBS operators from 12 cents to 24 cents (plus a three cent moving fee), then 36 cents (plus a two cent moving fee), 48 cents,</w:t>
      </w:r>
      <w:r>
        <w:rPr>
          <w:rStyle w:val="FootnoteReference"/>
        </w:rPr>
        <w:footnoteReference w:id="35"/>
      </w:r>
      <w:r>
        <w:t xml:space="preserve"> and to 60 cents for FY 2019.</w:t>
      </w:r>
      <w:r>
        <w:rPr>
          <w:rStyle w:val="FootnoteReference"/>
        </w:rPr>
        <w:footnoteReference w:id="36"/>
      </w:r>
      <w:r>
        <w:t xml:space="preserve">  For FY 2020, the Commission proposed to increase the fee to 72 cents per subscriber, per year.</w:t>
      </w:r>
      <w:r>
        <w:rPr>
          <w:rStyle w:val="FootnoteReference"/>
        </w:rPr>
        <w:footnoteReference w:id="37"/>
      </w:r>
    </w:p>
    <w:p w:rsidR="00584CDC" w:rsidP="00584CDC" w14:paraId="5F20239E" w14:textId="0ABC06EF">
      <w:pPr>
        <w:pStyle w:val="ParaNum"/>
        <w:rPr>
          <w:szCs w:val="22"/>
        </w:rPr>
      </w:pPr>
      <w:r>
        <w:t xml:space="preserve">AT&amp;T and DISH—the two DBS operators in the United States—claim that the proposed fee increase of 12 cents is not “because the nation’s two DBS providers have caused the Commission to incur significant full-time equivalent (‘FTE’) employee costs commensurate with this calculation, but rather because the Commission apparently desires regulatory fee parity between cable operators and DBS </w:t>
      </w:r>
      <w:r>
        <w:t>providers.”</w:t>
      </w:r>
      <w:r>
        <w:rPr>
          <w:rStyle w:val="FootnoteReference"/>
          <w:szCs w:val="22"/>
        </w:rPr>
        <w:footnoteReference w:id="38"/>
      </w:r>
      <w:r w:rsidRPr="005F6BC2">
        <w:rPr>
          <w:szCs w:val="22"/>
        </w:rPr>
        <w:t xml:space="preserve"> </w:t>
      </w:r>
      <w:r>
        <w:rPr>
          <w:szCs w:val="22"/>
        </w:rPr>
        <w:t xml:space="preserve"> These commenters contend that the appropriate level of regulatory fee parity was reached several years ago and any further increase is unfairly shifting cable-caused FTE costs to the DBS providers.</w:t>
      </w:r>
      <w:r>
        <w:rPr>
          <w:rStyle w:val="FootnoteReference"/>
          <w:szCs w:val="22"/>
        </w:rPr>
        <w:footnoteReference w:id="39"/>
      </w:r>
      <w:r>
        <w:rPr>
          <w:szCs w:val="22"/>
        </w:rPr>
        <w:t xml:space="preserve">  AT&amp;T and DISH contend that MVPD issues are predominantly cable-specific with no applicability to DBS providers.</w:t>
      </w:r>
      <w:r>
        <w:rPr>
          <w:rStyle w:val="FootnoteReference"/>
          <w:szCs w:val="22"/>
        </w:rPr>
        <w:footnoteReference w:id="40"/>
      </w:r>
      <w:r>
        <w:rPr>
          <w:szCs w:val="22"/>
        </w:rPr>
        <w:t xml:space="preserve">  </w:t>
      </w:r>
    </w:p>
    <w:p w:rsidR="00584CDC" w:rsidP="00584CDC" w14:paraId="6F03413B" w14:textId="77777777">
      <w:pPr>
        <w:pStyle w:val="ParaNum"/>
        <w:rPr>
          <w:szCs w:val="22"/>
        </w:rPr>
      </w:pPr>
      <w:r>
        <w:t xml:space="preserve">We reject AT&amp;T’s and DISH’s claim that we should not adopt a fee increase and that such an increase would result in shifting cable-caused costs to DBS providers.  The Media Bureau relies on a common pool of FTEs to carry out its oversight of MVPDs and other video distribution providers.  When the Commission initially adopted a </w:t>
      </w:r>
      <w:r>
        <w:t>Media</w:t>
      </w:r>
      <w:r>
        <w:t xml:space="preserve"> Bureau based regulatory fee for DBS providers of 12 cents, </w:t>
      </w:r>
      <w:r>
        <w:rPr>
          <w:szCs w:val="22"/>
        </w:rPr>
        <w:t>t</w:t>
      </w:r>
      <w:r w:rsidRPr="00B556FE">
        <w:rPr>
          <w:szCs w:val="22"/>
        </w:rPr>
        <w:t>he Commission concluded there was no reasonable basis to continue to exclude DBS providers from sharing in the cost of MVPD oversight and regulation with cable television</w:t>
      </w:r>
      <w:r>
        <w:rPr>
          <w:szCs w:val="22"/>
        </w:rPr>
        <w:t>/</w:t>
      </w:r>
      <w:r w:rsidRPr="00B556FE">
        <w:rPr>
          <w:szCs w:val="22"/>
        </w:rPr>
        <w:t>IPTV.</w:t>
      </w:r>
      <w:r>
        <w:rPr>
          <w:rStyle w:val="FootnoteReference"/>
          <w:sz w:val="22"/>
          <w:szCs w:val="22"/>
        </w:rPr>
        <w:footnoteReference w:id="41"/>
      </w:r>
      <w:r w:rsidRPr="00B556FE">
        <w:rPr>
          <w:szCs w:val="22"/>
        </w:rPr>
        <w:t xml:space="preserve">  </w:t>
      </w:r>
    </w:p>
    <w:p w:rsidR="00584CDC" w:rsidP="00584CDC" w14:paraId="6AEA76A8" w14:textId="77777777">
      <w:pPr>
        <w:pStyle w:val="ParaNum"/>
        <w:rPr>
          <w:szCs w:val="22"/>
        </w:rPr>
      </w:pPr>
      <w:r>
        <w:t>NCTA and ACA contend that the proposed DBS fee places an unfair burden on cable/IPTV providers by increasing the DBS fee to 72 cents and the cable/IPTV fee to 89 cents.</w:t>
      </w:r>
      <w:r>
        <w:rPr>
          <w:rStyle w:val="FootnoteReference"/>
        </w:rPr>
        <w:footnoteReference w:id="42"/>
      </w:r>
      <w:r>
        <w:t xml:space="preserve">  These commenters state that this will only marginally close the gap between DBS and the cable/IPTV providers.</w:t>
      </w:r>
      <w:r>
        <w:rPr>
          <w:rStyle w:val="FootnoteReference"/>
        </w:rPr>
        <w:footnoteReference w:id="43"/>
      </w:r>
      <w:r>
        <w:t xml:space="preserve">  A significant number of Media Bureau FTEs work on MVPD issues such as market modifications, must-carry and retransmission consent disputes, program carriage complaints, media modernization efforts, and proposed transactions, that affect all MVPDs.</w:t>
      </w:r>
      <w:r>
        <w:rPr>
          <w:rStyle w:val="FootnoteReference"/>
        </w:rPr>
        <w:footnoteReference w:id="44"/>
      </w:r>
      <w:r>
        <w:t xml:space="preserve">  For example, NCTA and ACA observe that AT&amp;T filed lengthy compliance reports regarding merger conditions, AT&amp;T engaged in an ongoing retransmission consent complaint proceeding, AT&amp;T and DISH filed joint comments in the Media Modernization docket, DISH has ongoing carriage disputes, and AT&amp;T and/or DISH have numerous market modification proceedings.</w:t>
      </w:r>
      <w:r>
        <w:rPr>
          <w:rStyle w:val="FootnoteReference"/>
        </w:rPr>
        <w:footnoteReference w:id="45"/>
      </w:r>
      <w:r>
        <w:t xml:space="preserve">  In addition, other Media Bureau dockets impact all MVPDs, including DBS providers.</w:t>
      </w:r>
      <w:r>
        <w:rPr>
          <w:rStyle w:val="FootnoteReference"/>
        </w:rPr>
        <w:footnoteReference w:id="46"/>
      </w:r>
      <w:r>
        <w:rPr>
          <w:szCs w:val="22"/>
        </w:rPr>
        <w:t xml:space="preserve">  </w:t>
      </w:r>
      <w:r w:rsidRPr="00F97F67">
        <w:rPr>
          <w:szCs w:val="22"/>
        </w:rPr>
        <w:t xml:space="preserve">NCTA and ACA </w:t>
      </w:r>
      <w:r>
        <w:rPr>
          <w:szCs w:val="22"/>
        </w:rPr>
        <w:t xml:space="preserve">also </w:t>
      </w:r>
      <w:r w:rsidRPr="00F97F67">
        <w:rPr>
          <w:szCs w:val="22"/>
        </w:rPr>
        <w:t xml:space="preserve">argue that the DBS providers have failed to demonstrate that the regulatory fees would result in rate shock and there is no justification for the </w:t>
      </w:r>
      <w:r>
        <w:rPr>
          <w:szCs w:val="22"/>
        </w:rPr>
        <w:t xml:space="preserve">continued </w:t>
      </w:r>
      <w:r w:rsidRPr="00F97F67">
        <w:rPr>
          <w:szCs w:val="22"/>
        </w:rPr>
        <w:t>phase-in of the regulatory fee.</w:t>
      </w:r>
      <w:r>
        <w:rPr>
          <w:rStyle w:val="FootnoteReference"/>
          <w:szCs w:val="22"/>
        </w:rPr>
        <w:footnoteReference w:id="47"/>
      </w:r>
      <w:r>
        <w:rPr>
          <w:szCs w:val="22"/>
        </w:rPr>
        <w:t xml:space="preserve">  </w:t>
      </w:r>
    </w:p>
    <w:p w:rsidR="00584CDC" w:rsidRPr="00F97F67" w:rsidP="00584CDC" w14:paraId="3FD6FF8C" w14:textId="49584732">
      <w:pPr>
        <w:pStyle w:val="ParaNum"/>
      </w:pPr>
      <w:r>
        <w:t xml:space="preserve">We adopt the proposal in the </w:t>
      </w:r>
      <w:r w:rsidRPr="00CD0259">
        <w:rPr>
          <w:i/>
          <w:iCs/>
        </w:rPr>
        <w:t xml:space="preserve">FY 2020 NPRM </w:t>
      </w:r>
      <w:r>
        <w:t xml:space="preserve">to continue to phase in the DBS regulatory fee by 12 cents, to 72 cents per subscriber, per year.  This increase will result in a regulatory fee of 89 cents per subscriber, per year, for </w:t>
      </w:r>
      <w:r w:rsidR="002D21FE">
        <w:t>cable television/IPTV</w:t>
      </w:r>
      <w:r>
        <w:t>, and bring DBS closer to parity with cable television/IPTV.  Media Bureau employees dedicate substantially similar amounts of time and resources to the regulation of DBS as they do to cable television and IPTV and DBS providers participate in numerous Media Bureau dockets.  We find that it is reasonable, based on the record, to continue to phase in this fee.  We do not agree with the DBS providers’ argument that MVPD issues are predominantly cable specific and that we should not continue to move closer to parity.</w:t>
      </w:r>
    </w:p>
    <w:p w:rsidR="00584CDC" w:rsidP="00584CDC" w14:paraId="361662B8" w14:textId="6C82F814">
      <w:pPr>
        <w:pStyle w:val="ParaNum"/>
      </w:pPr>
      <w:r>
        <w:t>Finally, the DBS providers contend that the Commission should use an MVPD subscriber snapshot closer in time to the regulatory fee order release date due to declining subscriber counts.</w:t>
      </w:r>
      <w:r>
        <w:rPr>
          <w:rStyle w:val="FootnoteReference"/>
          <w:szCs w:val="22"/>
        </w:rPr>
        <w:footnoteReference w:id="48"/>
      </w:r>
      <w:r>
        <w:t xml:space="preserve">  The Commission has a number of quantity-based regulatory fees (e.g.</w:t>
      </w:r>
      <w:r w:rsidR="00225428">
        <w:t>,</w:t>
      </w:r>
      <w:r>
        <w:t xml:space="preserve"> Commercial Mobile Radio Service </w:t>
      </w:r>
      <w:r>
        <w:t xml:space="preserve">(CMRS) cell phones, Cable, Paging, </w:t>
      </w:r>
      <w:r w:rsidRPr="00F479F2">
        <w:t>Interstate Telecommunications Service Provider</w:t>
      </w:r>
      <w:r>
        <w:t xml:space="preserve"> (ITSP), Toll Free Numbers, Submarine Cable, and Terrestrial and Satellite </w:t>
      </w:r>
      <w:r w:rsidR="00225428">
        <w:t>IBCs</w:t>
      </w:r>
      <w:r>
        <w:t>), and for each of them the fee is based on a quantity count as of December of the prior year.  Thus, using a DBS count in December of the previous year is consistent with how the Commission measures all of its other quantity-based fees.  Furthermore, many companies use end of calendar year subscriber or customer counts for their year-end official reports, and this provides the Commission sufficient time to obtain this data and use it to calculate fees at the time the N</w:t>
      </w:r>
      <w:r w:rsidR="00D1090E">
        <w:t>otice of Proposed Rulemaking</w:t>
      </w:r>
      <w:r>
        <w:t xml:space="preserve"> is drafted.  Use of a more recent customer data, such as in June or July, would preclude the Commission from retrieving, reviewing, and using the information while drafting the N</w:t>
      </w:r>
      <w:r w:rsidR="00D1090E">
        <w:t>otice of Proposed Rulemaking and seeking comment on proposed fees</w:t>
      </w:r>
      <w:r>
        <w:t xml:space="preserve">, a critical step in the annual regulatory fee process.  Accordingly, we decline to adjust the date of the MVPD subscriber count snapshot.  </w:t>
      </w:r>
    </w:p>
    <w:p w:rsidR="00584CDC" w:rsidRPr="00E77119" w:rsidP="00593971" w14:paraId="13D603EA" w14:textId="77777777">
      <w:pPr>
        <w:pStyle w:val="Heading2"/>
      </w:pPr>
      <w:bookmarkStart w:id="47" w:name="_Toc47539503"/>
      <w:bookmarkStart w:id="48" w:name="_Toc47692775"/>
      <w:bookmarkStart w:id="49" w:name="_Toc48832341"/>
      <w:bookmarkStart w:id="50" w:name="_Toc48919582"/>
      <w:r>
        <w:t>Television Broadcaster Regulatory Fees</w:t>
      </w:r>
      <w:bookmarkEnd w:id="47"/>
      <w:bookmarkEnd w:id="48"/>
      <w:bookmarkEnd w:id="49"/>
      <w:bookmarkEnd w:id="50"/>
    </w:p>
    <w:p w:rsidR="00584CDC" w:rsidRPr="007A28E2" w:rsidP="00584CDC" w14:paraId="1460DE09" w14:textId="4926FC4F">
      <w:pPr>
        <w:pStyle w:val="ParaNum"/>
      </w:pPr>
      <w:r w:rsidRPr="4BBD8B65">
        <w:t xml:space="preserve">Historically, regulatory fees for full-power television stations were based on the Nielsen Designated Market Area (DMA) groupings 1-10, 11-25, 26-50, 51-100, and remaining markets (DMAs 101-210).  In the </w:t>
      </w:r>
      <w:r w:rsidRPr="3C85307C">
        <w:rPr>
          <w:i/>
          <w:iCs/>
        </w:rPr>
        <w:t>FY 2018 NPRM</w:t>
      </w:r>
      <w:r w:rsidRPr="4BBD8B65">
        <w:t>, we sought comment on whether using the actual population covered by the station’s contours instead of DMAs would more accurately reflect the market served by a full-power broadcast television station for purposes of assessing regulatory fees.</w:t>
      </w:r>
      <w:r>
        <w:rPr>
          <w:rStyle w:val="FootnoteReference"/>
          <w:sz w:val="22"/>
          <w:szCs w:val="22"/>
        </w:rPr>
        <w:footnoteReference w:id="49"/>
      </w:r>
      <w:r w:rsidRPr="00087530">
        <w:rPr>
          <w:szCs w:val="22"/>
        </w:rPr>
        <w:t xml:space="preserve">  </w:t>
      </w:r>
      <w:r w:rsidRPr="4BBD8B65">
        <w:rPr>
          <w:snapToGrid/>
          <w:kern w:val="0"/>
        </w:rPr>
        <w:t xml:space="preserve">In the </w:t>
      </w:r>
      <w:r w:rsidRPr="3C85307C">
        <w:rPr>
          <w:i/>
          <w:iCs/>
          <w:snapToGrid/>
          <w:kern w:val="0"/>
        </w:rPr>
        <w:t>FY 2018 Report and Order</w:t>
      </w:r>
      <w:r w:rsidRPr="4BBD8B65">
        <w:rPr>
          <w:snapToGrid/>
          <w:kern w:val="0"/>
        </w:rPr>
        <w:t xml:space="preserve">, we adopted the new methodology.  We determined that we would fully transition to the </w:t>
      </w:r>
      <w:r w:rsidR="00B57B6C">
        <w:rPr>
          <w:snapToGrid/>
          <w:kern w:val="0"/>
        </w:rPr>
        <w:t xml:space="preserve">new </w:t>
      </w:r>
      <w:r w:rsidRPr="4BBD8B65">
        <w:rPr>
          <w:snapToGrid/>
          <w:kern w:val="0"/>
        </w:rPr>
        <w:t>methodology by FY 2020, and in the interim, for FY 2019</w:t>
      </w:r>
      <w:r>
        <w:rPr>
          <w:snapToGrid/>
          <w:kern w:val="0"/>
        </w:rPr>
        <w:t>,</w:t>
      </w:r>
      <w:r w:rsidRPr="4BBD8B65">
        <w:rPr>
          <w:snapToGrid/>
          <w:kern w:val="0"/>
        </w:rPr>
        <w:t xml:space="preserve"> we adopted a blended</w:t>
      </w:r>
      <w:r>
        <w:rPr>
          <w:snapToGrid/>
          <w:kern w:val="0"/>
          <w:szCs w:val="22"/>
        </w:rPr>
        <w:t xml:space="preserve"> </w:t>
      </w:r>
      <w:r w:rsidRPr="4BBD8B65">
        <w:rPr>
          <w:snapToGrid/>
          <w:kern w:val="0"/>
        </w:rPr>
        <w:t>fee based partly on the historical DMA methodology and partly on the new population-based methodology</w:t>
      </w:r>
      <w:r w:rsidRPr="00087530">
        <w:rPr>
          <w:snapToGrid/>
          <w:kern w:val="0"/>
          <w:szCs w:val="22"/>
        </w:rPr>
        <w:t>.</w:t>
      </w:r>
      <w:r>
        <w:rPr>
          <w:rStyle w:val="FootnoteReference"/>
          <w:snapToGrid/>
          <w:kern w:val="0"/>
          <w:sz w:val="22"/>
          <w:szCs w:val="22"/>
        </w:rPr>
        <w:footnoteReference w:id="50"/>
      </w:r>
      <w:r w:rsidRPr="00087530">
        <w:rPr>
          <w:snapToGrid/>
          <w:kern w:val="0"/>
          <w:szCs w:val="22"/>
        </w:rPr>
        <w:t xml:space="preserve"> </w:t>
      </w:r>
      <w:r>
        <w:rPr>
          <w:snapToGrid/>
          <w:kern w:val="0"/>
          <w:szCs w:val="22"/>
        </w:rPr>
        <w:t xml:space="preserve"> </w:t>
      </w:r>
    </w:p>
    <w:p w:rsidR="00584CDC" w:rsidRPr="007A28E2" w:rsidP="00584CDC" w14:paraId="6332B152" w14:textId="77740781">
      <w:pPr>
        <w:pStyle w:val="ParaNum"/>
      </w:pPr>
      <w:r>
        <w:t xml:space="preserve">In the </w:t>
      </w:r>
      <w:r w:rsidRPr="007A28E2">
        <w:rPr>
          <w:i/>
          <w:iCs/>
        </w:rPr>
        <w:t>FY 2020 NPRM</w:t>
      </w:r>
      <w:r>
        <w:t>, we proposed</w:t>
      </w:r>
      <w:r w:rsidRPr="4BBD8B65">
        <w:t xml:space="preserve"> to complete the transition to a population-based full-power broadcast television regulatory fee.</w:t>
      </w:r>
      <w:r>
        <w:rPr>
          <w:rStyle w:val="FootnoteReference"/>
        </w:rPr>
        <w:footnoteReference w:id="51"/>
      </w:r>
      <w:r w:rsidRPr="4BBD8B65">
        <w:t xml:space="preserve">  </w:t>
      </w:r>
      <w:r>
        <w:t xml:space="preserve">We proposed the population-based methodology and began to phase it in because, on balance, it is more equitable and avoids the numerous problems associated with stations located at the edge of a DMA.  </w:t>
      </w:r>
      <w:r w:rsidRPr="00C9656E">
        <w:t xml:space="preserve">Accordingly, we now </w:t>
      </w:r>
      <w:r>
        <w:t>adopt</w:t>
      </w:r>
      <w:r w:rsidRPr="00C9656E">
        <w:t xml:space="preserve"> FY 2020 fees for full-power broadcast television stations based</w:t>
      </w:r>
      <w:r w:rsidRPr="002652B6">
        <w:t xml:space="preserve"> on the population covered by a full-power broadcast television station’s contour</w:t>
      </w:r>
      <w:r>
        <w:t xml:space="preserve">, as we proposed in the </w:t>
      </w:r>
      <w:r w:rsidRPr="007A28E2">
        <w:rPr>
          <w:i/>
          <w:iCs/>
        </w:rPr>
        <w:t>FY 2020 NPRM</w:t>
      </w:r>
      <w:r w:rsidRPr="00C9656E">
        <w:t>.  We also adop</w:t>
      </w:r>
      <w:r>
        <w:t>t</w:t>
      </w:r>
      <w:r w:rsidRPr="00C9656E">
        <w:t xml:space="preserve"> a factor of .78</w:t>
      </w:r>
      <w:r w:rsidRPr="001D7610">
        <w:t xml:space="preserve"> of one cent ($.007837</w:t>
      </w:r>
      <w:r w:rsidRPr="00AB5C78">
        <w:t xml:space="preserve">) </w:t>
      </w:r>
      <w:r w:rsidRPr="001D7610">
        <w:t>for FY 2020 full-power broadcast television station fees.</w:t>
      </w:r>
      <w:r>
        <w:rPr>
          <w:vertAlign w:val="superscript"/>
        </w:rPr>
        <w:footnoteReference w:id="52"/>
      </w:r>
      <w:r w:rsidRPr="00C9656E">
        <w:t xml:space="preserve">  The population data for broadcasters’ service areas </w:t>
      </w:r>
      <w:r>
        <w:t xml:space="preserve">are </w:t>
      </w:r>
      <w:r w:rsidRPr="00C9656E">
        <w:t xml:space="preserve">extracted from the </w:t>
      </w:r>
      <w:r w:rsidRPr="00C9656E">
        <w:t>TVStudy</w:t>
      </w:r>
      <w:r w:rsidRPr="00C9656E">
        <w:t xml:space="preserve"> database, based on a station’s projected noise-limited service contour.</w:t>
      </w:r>
      <w:r>
        <w:rPr>
          <w:vertAlign w:val="superscript"/>
        </w:rPr>
        <w:footnoteReference w:id="53"/>
      </w:r>
      <w:r w:rsidRPr="00AD169D">
        <w:t xml:space="preserve">  </w:t>
      </w:r>
      <w:r w:rsidRPr="002C7C70">
        <w:t xml:space="preserve">Appendix </w:t>
      </w:r>
      <w:r>
        <w:t xml:space="preserve">G </w:t>
      </w:r>
      <w:r w:rsidRPr="00AD169D">
        <w:t>l</w:t>
      </w:r>
      <w:r w:rsidRPr="00C9656E">
        <w:t>ists this population data for each licensee and the population-based fee (population multiplied by $.007837</w:t>
      </w:r>
      <w:r w:rsidRPr="001D7610">
        <w:t>) for each full-power broadcast television station, including each satellite station.</w:t>
      </w:r>
      <w:r>
        <w:t xml:space="preserve">  And we accordingly disagree with NJBA’s attempt to relitigate this issue, </w:t>
      </w:r>
      <w:r w:rsidRPr="007A28E2">
        <w:rPr>
          <w:szCs w:val="22"/>
        </w:rPr>
        <w:t>contending that the DMA approach is a more accurate way to assess fees correlating with how a station derives revenue.</w:t>
      </w:r>
      <w:r>
        <w:rPr>
          <w:rStyle w:val="FootnoteReference"/>
          <w:szCs w:val="22"/>
        </w:rPr>
        <w:footnoteReference w:id="54"/>
      </w:r>
      <w:r w:rsidRPr="007A28E2">
        <w:rPr>
          <w:szCs w:val="22"/>
        </w:rPr>
        <w:t xml:space="preserve">  </w:t>
      </w:r>
      <w:r>
        <w:t>We recognize that the adoption of the population-based methodology increases fees for some licensee</w:t>
      </w:r>
      <w:r w:rsidR="008A47A6">
        <w:t>s</w:t>
      </w:r>
      <w:r>
        <w:t xml:space="preserve"> and reduces fees for others but in the end the population-based metric better conforms with the actual service authorized here—broadcasting television to the American people.  </w:t>
      </w:r>
    </w:p>
    <w:p w:rsidR="00584CDC" w:rsidP="00584CDC" w14:paraId="2AC97D84" w14:textId="77777777">
      <w:pPr>
        <w:pStyle w:val="ParaNum"/>
      </w:pPr>
      <w:r>
        <w:t xml:space="preserve">In the </w:t>
      </w:r>
      <w:r w:rsidRPr="0037553B">
        <w:rPr>
          <w:i/>
          <w:iCs/>
        </w:rPr>
        <w:t>FY 2020 NPRM</w:t>
      </w:r>
      <w:r>
        <w:t xml:space="preserve">, we also proposed to adjust the fees of Puerto Rico broadcasters in two discrete ways.  </w:t>
      </w:r>
      <w:r w:rsidRPr="001D161A">
        <w:rPr>
          <w:i/>
          <w:iCs/>
        </w:rPr>
        <w:t>First</w:t>
      </w:r>
      <w:r>
        <w:t xml:space="preserve">, we proposed to account for the objectively measurable reduction in population by reducing the population counts used in </w:t>
      </w:r>
      <w:r>
        <w:t>TVStudy</w:t>
      </w:r>
      <w:r>
        <w:t xml:space="preserve"> by 16.9%, which reflects the decline between the last </w:t>
      </w:r>
      <w:r>
        <w:t>census in 2010 and the current population estimate</w:t>
      </w:r>
      <w:r w:rsidRPr="001D7610">
        <w:t>.</w:t>
      </w:r>
      <w:r>
        <w:rPr>
          <w:rStyle w:val="FootnoteReference"/>
        </w:rPr>
        <w:footnoteReference w:id="55"/>
      </w:r>
      <w:r>
        <w:t xml:space="preserve">  </w:t>
      </w:r>
      <w:r w:rsidRPr="001D161A">
        <w:rPr>
          <w:i/>
          <w:iCs/>
        </w:rPr>
        <w:t>Second</w:t>
      </w:r>
      <w:r>
        <w:t xml:space="preserve">, we proposed </w:t>
      </w:r>
      <w:r w:rsidRPr="001D7610">
        <w:t xml:space="preserve">to limit the market served by a primary television stations and commonly owned satellite </w:t>
      </w:r>
      <w:r>
        <w:t xml:space="preserve">broadcast stations </w:t>
      </w:r>
      <w:r w:rsidRPr="001D7610">
        <w:t xml:space="preserve">in Puerto Rico to no more than </w:t>
      </w:r>
      <w:r>
        <w:t>3.10</w:t>
      </w:r>
      <w:r w:rsidRPr="001D7610">
        <w:t xml:space="preserve"> million</w:t>
      </w:r>
      <w:r>
        <w:t xml:space="preserve"> people, the latest population estimate.</w:t>
      </w:r>
      <w:r>
        <w:rPr>
          <w:vertAlign w:val="superscript"/>
        </w:rPr>
        <w:footnoteReference w:id="56"/>
      </w:r>
      <w:r w:rsidRPr="001D7610">
        <w:t xml:space="preserve">  Under this scenario, the fee for television broadcasters and commonly owned satellites,</w:t>
      </w:r>
      <w:r w:rsidRPr="00AB5C78">
        <w:t xml:space="preserve"> using the proposed population fee of </w:t>
      </w:r>
      <w:r w:rsidRPr="00B0106B">
        <w:t>$.007837, would not exceed</w:t>
      </w:r>
      <w:r>
        <w:t xml:space="preserve"> $24,300</w:t>
      </w:r>
      <w:r w:rsidRPr="001D7610">
        <w:t xml:space="preserve">.  </w:t>
      </w:r>
    </w:p>
    <w:p w:rsidR="00584CDC" w:rsidRPr="00A77F40" w:rsidP="00584CDC" w14:paraId="0EE10BEB" w14:textId="77777777">
      <w:pPr>
        <w:pStyle w:val="ParaNum"/>
      </w:pPr>
      <w:r>
        <w:t xml:space="preserve">Commenter ACV agrees that the proposed adjustments in the </w:t>
      </w:r>
      <w:r w:rsidRPr="005F25F1">
        <w:rPr>
          <w:i/>
          <w:iCs/>
        </w:rPr>
        <w:t>FY 2020 NPRM</w:t>
      </w:r>
      <w:r>
        <w:t xml:space="preserve"> will mitigate the burdens of the population decline and the severe and rugged terrain.</w:t>
      </w:r>
      <w:r>
        <w:rPr>
          <w:rStyle w:val="FootnoteReference"/>
        </w:rPr>
        <w:footnoteReference w:id="57"/>
      </w:r>
      <w:r>
        <w:t xml:space="preserve">  The Joint Puerto Rico Commenters also agree with the proposed adjustments.</w:t>
      </w:r>
      <w:r>
        <w:rPr>
          <w:rStyle w:val="FootnoteReference"/>
        </w:rPr>
        <w:footnoteReference w:id="58"/>
      </w:r>
      <w:r>
        <w:t xml:space="preserve">  Accordingly, we adopt those adjustments and the proposed regulatory fees for these television broadcasters.</w:t>
      </w:r>
    </w:p>
    <w:p w:rsidR="00584CDC" w:rsidRPr="00175D04" w:rsidP="00584CDC" w14:paraId="6A92FD7A" w14:textId="77777777">
      <w:pPr>
        <w:pStyle w:val="ParaNum"/>
      </w:pPr>
      <w:r w:rsidRPr="007A28E2">
        <w:rPr>
          <w:szCs w:val="22"/>
        </w:rPr>
        <w:t xml:space="preserve">We disagree with arguments attempting to relitigate our treatment of VHF stations.  NJBA, for example, </w:t>
      </w:r>
      <w:r>
        <w:t>contends that UHF stations should pay a higher fee than VHF stations because VHF stations have to overcome additional background interference that is prevalent in large cities.</w:t>
      </w:r>
      <w:r>
        <w:rPr>
          <w:rStyle w:val="FootnoteReference"/>
        </w:rPr>
        <w:footnoteReference w:id="59"/>
      </w:r>
      <w:r>
        <w:t xml:space="preserve">  In the </w:t>
      </w:r>
      <w:r w:rsidRPr="007A28E2">
        <w:rPr>
          <w:i/>
          <w:iCs/>
        </w:rPr>
        <w:t>2020 Regulatory Fee Reform Order</w:t>
      </w:r>
      <w:r>
        <w:t>, we declined to categorically lower regulatory fees for VHF stations to account for signal limitations.</w:t>
      </w:r>
      <w:r>
        <w:rPr>
          <w:rStyle w:val="FootnoteReference"/>
        </w:rPr>
        <w:footnoteReference w:id="60"/>
      </w:r>
      <w:r w:rsidRPr="000F189F">
        <w:t xml:space="preserve"> </w:t>
      </w:r>
      <w:r>
        <w:t xml:space="preserve"> We concluded that there is nothing inherent in VHF transmission that creates signal deficiencies but that environmental noise issues can affect reception in certain areas and situations.</w:t>
      </w:r>
      <w:r>
        <w:rPr>
          <w:rStyle w:val="FootnoteReference"/>
        </w:rPr>
        <w:footnoteReference w:id="61"/>
      </w:r>
      <w:r>
        <w:t xml:space="preserve">  As such, we recognized that the Media Bureau had granted waivers to allow VHF stations that demonstrate signal disruptions to exceed the maximum power level specified for channels 2-6 in 73.622(f)(6) and for channels 7-13 in 73.622(f)(7)—and that we would not “penalize” such stations by assessing them at their higher power levels needed to overcome such interference but instead at the power levels authorized by our rules.</w:t>
      </w:r>
      <w:r>
        <w:rPr>
          <w:rStyle w:val="FootnoteReference"/>
        </w:rPr>
        <w:footnoteReference w:id="62"/>
      </w:r>
      <w:r>
        <w:t xml:space="preserve">  Such an approach, we find, more narrowly targets the issue that NJBA complains about by ensuring that VHF broadcasters that actually experience increased interference can get the relief they need to reach consumers without sweeping other broadcasters into the mix.</w:t>
      </w:r>
    </w:p>
    <w:p w:rsidR="00584CDC" w:rsidP="009C1C1C" w14:paraId="2413199F" w14:textId="77777777">
      <w:pPr>
        <w:pStyle w:val="ParaNum"/>
        <w:widowControl/>
      </w:pPr>
      <w:r>
        <w:rPr>
          <w:szCs w:val="22"/>
        </w:rPr>
        <w:t xml:space="preserve">We also reject the arguments of </w:t>
      </w:r>
      <w:r>
        <w:t>PMCM TV, operator of WJLP Channel 3 serving Middletown Township, NJ and surrounding areas that appear to seek a carve-out for that one station from our proposed regulatory fees.  Its arguments, that it experiences a high degree of interference from environmental noise and signal blockage from tall buildings near its transmitter and that it had relatively low revenues compared to major network stations in New York City,</w:t>
      </w:r>
      <w:r>
        <w:rPr>
          <w:rStyle w:val="FootnoteReference"/>
        </w:rPr>
        <w:footnoteReference w:id="63"/>
      </w:r>
      <w:r>
        <w:t xml:space="preserve"> lead it to </w:t>
      </w:r>
      <w:r>
        <w:rPr>
          <w:szCs w:val="22"/>
        </w:rPr>
        <w:t>propose a reduction in its own regulatory fee by 75%, to $41,378.</w:t>
      </w:r>
      <w:r>
        <w:rPr>
          <w:rStyle w:val="FootnoteReference"/>
          <w:szCs w:val="22"/>
        </w:rPr>
        <w:footnoteReference w:id="64"/>
      </w:r>
      <w:r>
        <w:t xml:space="preserve"> </w:t>
      </w:r>
      <w:r w:rsidRPr="007A28E2">
        <w:rPr>
          <w:szCs w:val="22"/>
        </w:rPr>
        <w:t xml:space="preserve"> </w:t>
      </w:r>
      <w:r>
        <w:t xml:space="preserve">PCPM’s arguments appear to seek a waiver of a portion of their fee based on its individual financial circumstances and we decline to grant this request—adjudicating the circumstances of every station in the context of a cross-industrywide rulemaking would be administratively impractical, and the Commission’s rule already provide a more appropriate venue for relief:  Parties can seek a waiver, reduction, or deferment, on a case-by-case basis of the fee, interest </w:t>
      </w:r>
      <w:r>
        <w:t>charge, or penalty “in any specific instance for good cause shown, where such action would promote the public interest.”</w:t>
      </w:r>
      <w:r>
        <w:rPr>
          <w:rStyle w:val="FootnoteReference"/>
        </w:rPr>
        <w:footnoteReference w:id="65"/>
      </w:r>
    </w:p>
    <w:p w:rsidR="0068429C" w:rsidP="00593971" w14:paraId="0BCABC9C" w14:textId="77777777">
      <w:pPr>
        <w:pStyle w:val="Heading2"/>
      </w:pPr>
      <w:bookmarkStart w:id="51" w:name="_Toc48832342"/>
      <w:bookmarkStart w:id="52" w:name="_Toc48919583"/>
      <w:r>
        <w:t>Radio Broadcaster Regulatory Fees</w:t>
      </w:r>
      <w:bookmarkEnd w:id="51"/>
      <w:bookmarkEnd w:id="52"/>
    </w:p>
    <w:p w:rsidR="009E62D9" w:rsidP="002B58E2" w14:paraId="44081A68" w14:textId="6589902C">
      <w:pPr>
        <w:pStyle w:val="ParaNum"/>
      </w:pPr>
      <w:r>
        <w:t xml:space="preserve">The </w:t>
      </w:r>
      <w:r>
        <w:rPr>
          <w:i/>
          <w:iCs/>
        </w:rPr>
        <w:t xml:space="preserve">FY 2020 NPRM </w:t>
      </w:r>
      <w:r>
        <w:t>proposed the same methodology for assessing radio broadcasters as in prior years.</w:t>
      </w:r>
      <w:r>
        <w:rPr>
          <w:rStyle w:val="FootnoteReference"/>
        </w:rPr>
        <w:footnoteReference w:id="66"/>
      </w:r>
      <w:r w:rsidRPr="00B1692B">
        <w:t xml:space="preserve"> </w:t>
      </w:r>
      <w:r>
        <w:t xml:space="preserve"> This methodology involves first </w:t>
      </w:r>
      <w:r w:rsidRPr="00C01FEA">
        <w:t>identify</w:t>
      </w:r>
      <w:r>
        <w:t>ing</w:t>
      </w:r>
      <w:r w:rsidRPr="00C01FEA">
        <w:t xml:space="preserve"> the FTEs doing work directly benefitting regulatees</w:t>
      </w:r>
      <w:r>
        <w:t>.</w:t>
      </w:r>
      <w:r>
        <w:rPr>
          <w:rStyle w:val="FootnoteReference"/>
        </w:rPr>
        <w:footnoteReference w:id="67"/>
      </w:r>
      <w:r w:rsidRPr="00C01FEA">
        <w:t xml:space="preserve"> </w:t>
      </w:r>
      <w:r>
        <w:t xml:space="preserve"> </w:t>
      </w:r>
      <w:r w:rsidRPr="004213FC">
        <w:t>Because t</w:t>
      </w:r>
      <w:r w:rsidRPr="00BD4318">
        <w:t>he</w:t>
      </w:r>
      <w:r w:rsidRPr="00C01FEA">
        <w:t xml:space="preserve"> work of the FTEs in the indirect bureaus and offices benefits the Commission and the telecommunications industry generally and is not specifically focused on the regulatees and licensees of one core bureau</w:t>
      </w:r>
      <w:r>
        <w:t xml:space="preserve">, the </w:t>
      </w:r>
      <w:r w:rsidRPr="00C01FEA">
        <w:rPr>
          <w:i/>
          <w:iCs/>
        </w:rPr>
        <w:t xml:space="preserve">FY 2020 </w:t>
      </w:r>
      <w:r>
        <w:rPr>
          <w:i/>
          <w:iCs/>
        </w:rPr>
        <w:t>NPRM</w:t>
      </w:r>
      <w:r w:rsidRPr="00C01FEA">
        <w:t xml:space="preserve"> propose</w:t>
      </w:r>
      <w:r>
        <w:t>d</w:t>
      </w:r>
      <w:r w:rsidRPr="00C01FEA">
        <w:t xml:space="preserve"> that, consistent with past practices, the total FTEs for each fee category include </w:t>
      </w:r>
      <w:r>
        <w:t xml:space="preserve">an allocation of indirect FTEs proportional to </w:t>
      </w:r>
      <w:r w:rsidRPr="00C01FEA">
        <w:t>the direct FTEs associated with that category.</w:t>
      </w:r>
      <w:r>
        <w:rPr>
          <w:rStyle w:val="FootnoteReference"/>
        </w:rPr>
        <w:footnoteReference w:id="68"/>
      </w:r>
      <w:r>
        <w:t xml:space="preserve">  T</w:t>
      </w:r>
      <w:r w:rsidRPr="00C01FEA">
        <w:t xml:space="preserve">he total collection target </w:t>
      </w:r>
      <w:r>
        <w:t xml:space="preserve">is then allocated </w:t>
      </w:r>
      <w:r w:rsidRPr="00C01FEA">
        <w:t>across all regulatory fee categories</w:t>
      </w:r>
      <w:r>
        <w:t xml:space="preserve"> based on the number of total FTEs.  E</w:t>
      </w:r>
      <w:r w:rsidRPr="00C01FEA">
        <w:t xml:space="preserve">ach </w:t>
      </w:r>
      <w:r w:rsidRPr="00C01FEA">
        <w:t>regulatee</w:t>
      </w:r>
      <w:r w:rsidRPr="00C01FEA">
        <w:t xml:space="preserve"> within a fee category then pays its proportionate share based on an objective measure of size (e.g., revenues or number of subscribers)</w:t>
      </w:r>
      <w:r>
        <w:t>.</w:t>
      </w:r>
      <w:r>
        <w:rPr>
          <w:rStyle w:val="FootnoteReference"/>
        </w:rPr>
        <w:footnoteReference w:id="69"/>
      </w:r>
      <w:r>
        <w:t xml:space="preserve">  </w:t>
      </w:r>
      <w:r w:rsidRPr="00AB4579">
        <w:t>The Commission adjusted the methodology for assessing regulatory fees on radio stations in</w:t>
      </w:r>
      <w:r w:rsidR="00AB4579">
        <w:t xml:space="preserve"> FY 2016</w:t>
      </w:r>
      <w:r w:rsidRPr="00AB4579">
        <w:t>.</w:t>
      </w:r>
      <w:r>
        <w:rPr>
          <w:rStyle w:val="FootnoteReference"/>
        </w:rPr>
        <w:footnoteReference w:id="70"/>
      </w:r>
      <w:r w:rsidRPr="00AB4579">
        <w:t xml:space="preserve">  The methodology, as is the case with many regulatees, uses both population and type of license </w:t>
      </w:r>
      <w:r w:rsidRPr="00922012">
        <w:t>as a metric for benefit afforded the payor.</w:t>
      </w:r>
      <w:r>
        <w:rPr>
          <w:rStyle w:val="FootnoteReference"/>
        </w:rPr>
        <w:footnoteReference w:id="71"/>
      </w:r>
    </w:p>
    <w:p w:rsidR="00EA1210" w:rsidP="00E8366B" w14:paraId="47601CC6" w14:textId="7F7B4423">
      <w:pPr>
        <w:pStyle w:val="ParaNum"/>
      </w:pPr>
      <w:r>
        <w:t>Use of this methodology result</w:t>
      </w:r>
      <w:r w:rsidR="00276BFF">
        <w:t>s</w:t>
      </w:r>
      <w:r>
        <w:t xml:space="preserve"> in net increases in the amount of regulatory fees assessed to radio broadcast categories compared to FY 2019.</w:t>
      </w:r>
      <w:r>
        <w:rPr>
          <w:rStyle w:val="FootnoteReference"/>
        </w:rPr>
        <w:footnoteReference w:id="72"/>
      </w:r>
      <w:r>
        <w:t xml:space="preserve">  </w:t>
      </w:r>
      <w:r w:rsidR="00276BFF">
        <w:t xml:space="preserve">In continuing to review our unit numbers, however, we discovered a computational error and correct it here by increasing the number of units used in the calculation from </w:t>
      </w:r>
      <w:r>
        <w:t>9,636</w:t>
      </w:r>
      <w:r w:rsidR="00276BFF">
        <w:t xml:space="preserve"> to 9,831 which results in lower fees tha</w:t>
      </w:r>
      <w:r w:rsidR="006E760E">
        <w:t>n</w:t>
      </w:r>
      <w:r w:rsidR="00276BFF">
        <w:t xml:space="preserve"> proposed in the </w:t>
      </w:r>
      <w:r w:rsidRPr="00881C18" w:rsidR="00276BFF">
        <w:rPr>
          <w:i/>
          <w:iCs/>
        </w:rPr>
        <w:t>FY 2020 NPRM</w:t>
      </w:r>
      <w:r w:rsidR="00276BFF">
        <w:t xml:space="preserve">.  </w:t>
      </w:r>
      <w:r>
        <w:t>Below is a chart showing the regulatory fees by category of radio broadcaster for FY 2020</w:t>
      </w:r>
      <w:r w:rsidR="006E760E">
        <w:t xml:space="preserve"> adjusted to account for the correction</w:t>
      </w:r>
      <w:r>
        <w:t>:</w:t>
      </w:r>
    </w:p>
    <w:p w:rsidR="00014D1A" w:rsidP="00EA1210" w14:paraId="1E12C015" w14:textId="2A0193FA">
      <w:pPr>
        <w:pStyle w:val="ParaNum"/>
        <w:numPr>
          <w:ilvl w:val="0"/>
          <w:numId w:val="0"/>
        </w:numPr>
      </w:pPr>
    </w:p>
    <w:p w:rsidR="00EA1210" w:rsidP="00EA1210" w14:paraId="1996B1F8" w14:textId="453629E5">
      <w:pPr>
        <w:pStyle w:val="ParaNum"/>
        <w:numPr>
          <w:ilvl w:val="0"/>
          <w:numId w:val="0"/>
        </w:numPr>
      </w:pPr>
    </w:p>
    <w:p w:rsidR="00EA1210" w:rsidP="00EA1210" w14:paraId="49F215E0" w14:textId="673E0A7D">
      <w:pPr>
        <w:pStyle w:val="ParaNum"/>
        <w:numPr>
          <w:ilvl w:val="0"/>
          <w:numId w:val="0"/>
        </w:numPr>
      </w:pPr>
    </w:p>
    <w:p w:rsidR="00EA1210" w:rsidP="00EA1210" w14:paraId="52254EA0" w14:textId="7C463B92">
      <w:pPr>
        <w:pStyle w:val="ParaNum"/>
        <w:numPr>
          <w:ilvl w:val="0"/>
          <w:numId w:val="0"/>
        </w:numPr>
      </w:pPr>
    </w:p>
    <w:p w:rsidR="00EA1210" w:rsidP="00EA1210" w14:paraId="2D683C03" w14:textId="12D30F31">
      <w:pPr>
        <w:pStyle w:val="ParaNum"/>
        <w:numPr>
          <w:ilvl w:val="0"/>
          <w:numId w:val="0"/>
        </w:numPr>
      </w:pPr>
    </w:p>
    <w:p w:rsidR="00EA1210" w:rsidP="00EA1210" w14:paraId="45FA84F2" w14:textId="36CB0FF5">
      <w:pPr>
        <w:pStyle w:val="ParaNum"/>
        <w:numPr>
          <w:ilvl w:val="0"/>
          <w:numId w:val="0"/>
        </w:numPr>
      </w:pPr>
    </w:p>
    <w:p w:rsidR="00EA1210" w:rsidP="00EA1210" w14:paraId="272FEDE4" w14:textId="74C60D08">
      <w:pPr>
        <w:pStyle w:val="ParaNum"/>
        <w:numPr>
          <w:ilvl w:val="0"/>
          <w:numId w:val="0"/>
        </w:numPr>
      </w:pPr>
    </w:p>
    <w:p w:rsidR="00EA1210" w:rsidP="00EA1210" w14:paraId="6CEED780" w14:textId="21CE4369">
      <w:pPr>
        <w:pStyle w:val="ParaNum"/>
        <w:numPr>
          <w:ilvl w:val="0"/>
          <w:numId w:val="0"/>
        </w:numPr>
      </w:pPr>
    </w:p>
    <w:p w:rsidR="00EA1210" w:rsidP="00EA1210" w14:paraId="00FCDB01" w14:textId="7F6A7041">
      <w:pPr>
        <w:pStyle w:val="ParaNum"/>
        <w:numPr>
          <w:ilvl w:val="0"/>
          <w:numId w:val="0"/>
        </w:numPr>
      </w:pPr>
    </w:p>
    <w:p w:rsidR="00EA1210" w:rsidP="00881C18" w14:paraId="316164FA" w14:textId="77777777">
      <w:pPr>
        <w:pStyle w:val="ParaNum"/>
        <w:numPr>
          <w:ilvl w:val="0"/>
          <w:numId w:val="0"/>
        </w:numPr>
      </w:pPr>
    </w:p>
    <w:p w:rsidR="00EA1210" w:rsidP="00DC49D8" w14:paraId="42692E83" w14:textId="77777777"/>
    <w:p w:rsidR="00EA1210" w:rsidP="00DC49D8" w14:paraId="582A3FAA" w14:textId="77777777"/>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14C82978" w14:textId="77777777" w:rsidTr="00EA1210">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EA1210" w:rsidRPr="005F6BC2" w:rsidP="00EA1210" w14:paraId="67D9420F" w14:textId="77777777">
            <w:pPr>
              <w:spacing w:before="42" w:after="104"/>
              <w:jc w:val="center"/>
              <w:rPr>
                <w:b/>
                <w:bCs/>
                <w:sz w:val="20"/>
              </w:rPr>
            </w:pPr>
            <w:r w:rsidRPr="005F6BC2">
              <w:rPr>
                <w:b/>
                <w:bCs/>
                <w:sz w:val="20"/>
              </w:rPr>
              <w:t>FY 20</w:t>
            </w:r>
            <w:r>
              <w:rPr>
                <w:b/>
                <w:bCs/>
                <w:sz w:val="20"/>
              </w:rPr>
              <w:t>20</w:t>
            </w:r>
            <w:r w:rsidRPr="005F6BC2">
              <w:rPr>
                <w:b/>
                <w:bCs/>
                <w:sz w:val="20"/>
              </w:rPr>
              <w:t xml:space="preserve"> RADIO STATION REGULATORY FEES</w:t>
            </w:r>
          </w:p>
        </w:tc>
      </w:tr>
      <w:tr w14:paraId="1E4380F6" w14:textId="77777777" w:rsidTr="00EA12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A1210" w:rsidRPr="005F6BC2" w:rsidP="00EA1210" w14:paraId="5DEBA946" w14:textId="77777777">
            <w:pPr>
              <w:spacing w:before="42"/>
              <w:jc w:val="center"/>
              <w:rPr>
                <w:b/>
                <w:bCs/>
                <w:sz w:val="20"/>
              </w:rPr>
            </w:pPr>
            <w:r w:rsidRPr="005F6BC2">
              <w:rPr>
                <w:b/>
                <w:bCs/>
                <w:sz w:val="20"/>
              </w:rPr>
              <w:t xml:space="preserve">Population </w:t>
            </w:r>
          </w:p>
          <w:p w:rsidR="00EA1210" w:rsidRPr="005F6BC2" w:rsidP="00EA1210" w14:paraId="34C9C39D" w14:textId="77777777">
            <w:pPr>
              <w:spacing w:after="104"/>
              <w:jc w:val="center"/>
              <w:rPr>
                <w:b/>
                <w:bCs/>
                <w:sz w:val="20"/>
              </w:rPr>
            </w:pPr>
            <w:r w:rsidRPr="005F6BC2">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A1210" w:rsidRPr="005F6BC2" w:rsidP="00EA1210" w14:paraId="3B622811" w14:textId="77777777">
            <w:pPr>
              <w:spacing w:before="42" w:after="104"/>
              <w:jc w:val="center"/>
              <w:rPr>
                <w:b/>
                <w:bCs/>
                <w:sz w:val="20"/>
              </w:rPr>
            </w:pPr>
            <w:r w:rsidRPr="005F6BC2">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A1210" w:rsidRPr="005F6BC2" w:rsidP="00EA1210" w14:paraId="3FA7D956" w14:textId="77777777">
            <w:pPr>
              <w:spacing w:before="42" w:after="104"/>
              <w:jc w:val="center"/>
              <w:rPr>
                <w:b/>
                <w:bCs/>
                <w:sz w:val="20"/>
              </w:rPr>
            </w:pPr>
            <w:r w:rsidRPr="005F6BC2">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A1210" w:rsidRPr="005F6BC2" w:rsidP="00EA1210" w14:paraId="254984D2" w14:textId="77777777">
            <w:pPr>
              <w:spacing w:before="42" w:after="104"/>
              <w:jc w:val="center"/>
              <w:rPr>
                <w:b/>
                <w:bCs/>
                <w:sz w:val="20"/>
              </w:rPr>
            </w:pPr>
            <w:r w:rsidRPr="005F6BC2">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A1210" w:rsidRPr="005F6BC2" w:rsidP="00EA1210" w14:paraId="10793832" w14:textId="77777777">
            <w:pPr>
              <w:spacing w:before="42" w:after="104"/>
              <w:jc w:val="center"/>
              <w:rPr>
                <w:b/>
                <w:bCs/>
                <w:sz w:val="20"/>
              </w:rPr>
            </w:pPr>
            <w:r w:rsidRPr="005F6BC2">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A1210" w:rsidRPr="005F6BC2" w:rsidP="00EA1210" w14:paraId="156D89B8" w14:textId="77777777">
            <w:pPr>
              <w:spacing w:before="42"/>
              <w:jc w:val="center"/>
              <w:rPr>
                <w:b/>
                <w:bCs/>
                <w:sz w:val="20"/>
                <w:lang w:val="pt-BR"/>
              </w:rPr>
            </w:pPr>
            <w:r w:rsidRPr="005F6BC2">
              <w:rPr>
                <w:b/>
                <w:bCs/>
                <w:sz w:val="20"/>
                <w:lang w:val="pt-BR"/>
              </w:rPr>
              <w:t>FM Classes</w:t>
            </w:r>
          </w:p>
          <w:p w:rsidR="00EA1210" w:rsidRPr="005F6BC2" w:rsidP="00EA1210" w14:paraId="26490A1F" w14:textId="77777777">
            <w:pPr>
              <w:spacing w:after="104"/>
              <w:jc w:val="center"/>
              <w:rPr>
                <w:b/>
                <w:bCs/>
                <w:sz w:val="20"/>
                <w:lang w:val="pt-BR"/>
              </w:rPr>
            </w:pPr>
            <w:r w:rsidRPr="005F6BC2">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A1210" w:rsidRPr="005F6BC2" w:rsidP="00EA1210" w14:paraId="5B161C87" w14:textId="77777777">
            <w:pPr>
              <w:spacing w:before="42"/>
              <w:jc w:val="center"/>
              <w:rPr>
                <w:b/>
                <w:bCs/>
                <w:sz w:val="20"/>
                <w:lang w:val="pt-BR"/>
              </w:rPr>
            </w:pPr>
            <w:r w:rsidRPr="005F6BC2">
              <w:rPr>
                <w:b/>
                <w:bCs/>
                <w:sz w:val="20"/>
                <w:lang w:val="pt-BR"/>
              </w:rPr>
              <w:t>FM Classes</w:t>
            </w:r>
          </w:p>
          <w:p w:rsidR="00EA1210" w:rsidRPr="005F6BC2" w:rsidP="00EA1210" w14:paraId="7A515C01" w14:textId="77777777">
            <w:pPr>
              <w:spacing w:after="104"/>
              <w:jc w:val="center"/>
              <w:rPr>
                <w:b/>
                <w:bCs/>
                <w:sz w:val="20"/>
                <w:lang w:val="pt-BR"/>
              </w:rPr>
            </w:pPr>
            <w:r w:rsidRPr="005F6BC2">
              <w:rPr>
                <w:b/>
                <w:bCs/>
                <w:sz w:val="20"/>
                <w:lang w:val="pt-BR"/>
              </w:rPr>
              <w:t>B, C, C0, C1 &amp; C2</w:t>
            </w:r>
          </w:p>
        </w:tc>
      </w:tr>
      <w:tr w14:paraId="26FA0E5E" w14:textId="77777777" w:rsidTr="00EA12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A1210" w:rsidRPr="005F6BC2" w:rsidP="00EA1210" w14:paraId="1EB714BE" w14:textId="77777777">
            <w:pPr>
              <w:spacing w:before="42" w:after="104"/>
              <w:rPr>
                <w:b/>
                <w:bCs/>
                <w:sz w:val="20"/>
              </w:rPr>
            </w:pPr>
            <w:r w:rsidRPr="005F6BC2">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70A3796A" w14:textId="36F1FF0E">
            <w:pPr>
              <w:spacing w:before="42" w:after="104"/>
              <w:jc w:val="right"/>
              <w:rPr>
                <w:sz w:val="20"/>
              </w:rPr>
            </w:pPr>
            <w:r w:rsidRPr="005F6BC2">
              <w:rPr>
                <w:szCs w:val="22"/>
              </w:rPr>
              <w:t>$</w:t>
            </w:r>
            <w:r>
              <w:rPr>
                <w:szCs w:val="22"/>
              </w:rPr>
              <w:t>975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4A75C0C8" w14:textId="7CD29E2A">
            <w:pPr>
              <w:spacing w:before="42" w:after="104"/>
              <w:jc w:val="right"/>
              <w:rPr>
                <w:sz w:val="20"/>
              </w:rPr>
            </w:pPr>
            <w:r w:rsidRPr="005F6BC2">
              <w:rPr>
                <w:szCs w:val="22"/>
              </w:rPr>
              <w:t>$</w:t>
            </w:r>
            <w:r>
              <w:rPr>
                <w:szCs w:val="22"/>
              </w:rPr>
              <w:t>700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22719A71" w14:textId="370AA88B">
            <w:pPr>
              <w:spacing w:before="42" w:after="104"/>
              <w:jc w:val="right"/>
              <w:rPr>
                <w:sz w:val="20"/>
              </w:rPr>
            </w:pPr>
            <w:r w:rsidRPr="005F6BC2">
              <w:rPr>
                <w:szCs w:val="22"/>
              </w:rPr>
              <w:t>$</w:t>
            </w:r>
            <w:r>
              <w:rPr>
                <w:szCs w:val="22"/>
              </w:rPr>
              <w:t>610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7B3E9619" w14:textId="648CC788">
            <w:pPr>
              <w:spacing w:before="42" w:after="104"/>
              <w:jc w:val="right"/>
              <w:rPr>
                <w:sz w:val="20"/>
              </w:rPr>
            </w:pPr>
            <w:r w:rsidRPr="005F6BC2">
              <w:rPr>
                <w:szCs w:val="22"/>
              </w:rPr>
              <w:t>$6</w:t>
            </w:r>
            <w:r>
              <w:rPr>
                <w:szCs w:val="22"/>
              </w:rPr>
              <w:t>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2B112E00" w14:textId="77777777">
            <w:pPr>
              <w:spacing w:before="42" w:after="104"/>
              <w:jc w:val="right"/>
              <w:rPr>
                <w:sz w:val="20"/>
              </w:rPr>
            </w:pPr>
            <w:r w:rsidRPr="005F6BC2">
              <w:rPr>
                <w:szCs w:val="22"/>
              </w:rPr>
              <w:t>$1,0</w:t>
            </w:r>
            <w:r>
              <w:rPr>
                <w:szCs w:val="22"/>
              </w:rPr>
              <w:t>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A1210" w:rsidRPr="005F6BC2" w:rsidP="00EA1210" w14:paraId="4D1E85A6" w14:textId="193FCD62">
            <w:pPr>
              <w:spacing w:before="42" w:after="104"/>
              <w:jc w:val="right"/>
              <w:rPr>
                <w:sz w:val="20"/>
              </w:rPr>
            </w:pPr>
            <w:r w:rsidRPr="005F6BC2">
              <w:rPr>
                <w:szCs w:val="22"/>
              </w:rPr>
              <w:t>$1,2</w:t>
            </w:r>
            <w:r>
              <w:rPr>
                <w:szCs w:val="22"/>
              </w:rPr>
              <w:t>25</w:t>
            </w:r>
          </w:p>
        </w:tc>
      </w:tr>
      <w:tr w14:paraId="63C33867" w14:textId="77777777" w:rsidTr="00EA12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A1210" w:rsidRPr="005F6BC2" w:rsidP="00EA1210" w14:paraId="6205F68D" w14:textId="77777777">
            <w:pPr>
              <w:spacing w:before="42" w:after="104"/>
              <w:rPr>
                <w:b/>
                <w:bCs/>
                <w:sz w:val="20"/>
              </w:rPr>
            </w:pPr>
            <w:r w:rsidRPr="005F6BC2">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19D0673A" w14:textId="3FB6EA64">
            <w:pPr>
              <w:spacing w:before="42" w:after="104"/>
              <w:jc w:val="right"/>
              <w:rPr>
                <w:sz w:val="20"/>
              </w:rPr>
            </w:pPr>
            <w:r w:rsidRPr="005F6BC2">
              <w:rPr>
                <w:szCs w:val="22"/>
              </w:rPr>
              <w:t>$1,</w:t>
            </w:r>
            <w:r>
              <w:rPr>
                <w:szCs w:val="22"/>
              </w:rPr>
              <w:t>475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6B14D40A" w14:textId="3A571DB2">
            <w:pPr>
              <w:spacing w:before="42" w:after="104"/>
              <w:jc w:val="right"/>
              <w:rPr>
                <w:sz w:val="20"/>
              </w:rPr>
            </w:pPr>
            <w:r w:rsidRPr="005F6BC2">
              <w:rPr>
                <w:szCs w:val="22"/>
              </w:rPr>
              <w:t>$1,0</w:t>
            </w:r>
            <w:r>
              <w:rPr>
                <w:szCs w:val="22"/>
              </w:rPr>
              <w:t>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191777C6" w14:textId="3B1AFEB8">
            <w:pPr>
              <w:spacing w:before="42" w:after="104"/>
              <w:jc w:val="right"/>
              <w:rPr>
                <w:sz w:val="20"/>
              </w:rPr>
            </w:pPr>
            <w:r w:rsidRPr="005F6BC2">
              <w:rPr>
                <w:szCs w:val="22"/>
              </w:rPr>
              <w:t>$</w:t>
            </w:r>
            <w:r>
              <w:rPr>
                <w:szCs w:val="22"/>
              </w:rPr>
              <w:t>915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345AAF63" w14:textId="77777777">
            <w:pPr>
              <w:spacing w:before="42" w:after="104"/>
              <w:jc w:val="right"/>
              <w:rPr>
                <w:sz w:val="20"/>
              </w:rPr>
            </w:pPr>
            <w:r w:rsidRPr="005F6BC2">
              <w:rPr>
                <w:szCs w:val="22"/>
              </w:rPr>
              <w:t>$</w:t>
            </w:r>
            <w:r>
              <w:rPr>
                <w:szCs w:val="22"/>
              </w:rPr>
              <w:t>1,000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1607353F" w14:textId="77777777">
            <w:pPr>
              <w:spacing w:before="42" w:after="104"/>
              <w:jc w:val="right"/>
              <w:rPr>
                <w:sz w:val="20"/>
              </w:rPr>
            </w:pPr>
            <w:r w:rsidRPr="005F6BC2">
              <w:rPr>
                <w:szCs w:val="22"/>
              </w:rPr>
              <w:t>$1,</w:t>
            </w:r>
            <w:r>
              <w:rPr>
                <w:szCs w:val="22"/>
              </w:rPr>
              <w:t>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A1210" w:rsidRPr="005F6BC2" w:rsidP="00EA1210" w14:paraId="2D9261EB" w14:textId="51284EA6">
            <w:pPr>
              <w:spacing w:before="42" w:after="104"/>
              <w:jc w:val="right"/>
              <w:rPr>
                <w:sz w:val="20"/>
              </w:rPr>
            </w:pPr>
            <w:r w:rsidRPr="005F6BC2">
              <w:rPr>
                <w:szCs w:val="22"/>
              </w:rPr>
              <w:t>$1,8</w:t>
            </w:r>
            <w:r>
              <w:rPr>
                <w:szCs w:val="22"/>
              </w:rPr>
              <w:t>50</w:t>
            </w:r>
          </w:p>
        </w:tc>
      </w:tr>
      <w:tr w14:paraId="7F094D37" w14:textId="77777777" w:rsidTr="00EA12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A1210" w:rsidRPr="005F6BC2" w:rsidP="00EA1210" w14:paraId="5357C4EC" w14:textId="77777777">
            <w:pPr>
              <w:spacing w:before="42" w:after="104"/>
              <w:rPr>
                <w:b/>
                <w:bCs/>
                <w:sz w:val="20"/>
              </w:rPr>
            </w:pPr>
            <w:r w:rsidRPr="005F6BC2">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692A7516" w14:textId="408C6B5C">
            <w:pPr>
              <w:spacing w:before="42" w:after="104"/>
              <w:jc w:val="right"/>
              <w:rPr>
                <w:sz w:val="20"/>
              </w:rPr>
            </w:pPr>
            <w:r w:rsidRPr="005F6BC2">
              <w:rPr>
                <w:szCs w:val="22"/>
              </w:rPr>
              <w:t>$2,</w:t>
            </w:r>
            <w:r>
              <w:rPr>
                <w:szCs w:val="22"/>
              </w:rPr>
              <w:t>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1CDAC7A7" w14:textId="15ED393F">
            <w:pPr>
              <w:spacing w:before="42" w:after="104"/>
              <w:jc w:val="right"/>
              <w:rPr>
                <w:sz w:val="20"/>
              </w:rPr>
            </w:pPr>
            <w:r w:rsidRPr="005F6BC2">
              <w:rPr>
                <w:szCs w:val="22"/>
              </w:rPr>
              <w:t>$1,</w:t>
            </w:r>
            <w:r>
              <w:rPr>
                <w:szCs w:val="22"/>
              </w:rPr>
              <w:t>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102A1269" w14:textId="20B449D8">
            <w:pPr>
              <w:spacing w:before="42" w:after="104"/>
              <w:jc w:val="right"/>
              <w:rPr>
                <w:sz w:val="20"/>
              </w:rPr>
            </w:pPr>
            <w:r w:rsidRPr="005F6BC2">
              <w:rPr>
                <w:szCs w:val="22"/>
              </w:rPr>
              <w:t>$1,</w:t>
            </w:r>
            <w:r>
              <w:rPr>
                <w:szCs w:val="22"/>
              </w:rPr>
              <w:t>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3910F739" w14:textId="3F81942C">
            <w:pPr>
              <w:spacing w:before="42" w:after="104"/>
              <w:jc w:val="right"/>
              <w:rPr>
                <w:sz w:val="20"/>
              </w:rPr>
            </w:pPr>
            <w:r w:rsidRPr="005F6BC2">
              <w:rPr>
                <w:szCs w:val="22"/>
              </w:rPr>
              <w:t>$1,</w:t>
            </w:r>
            <w:r>
              <w:rPr>
                <w:szCs w:val="22"/>
              </w:rPr>
              <w:t>500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5AE91E92" w14:textId="77777777">
            <w:pPr>
              <w:spacing w:before="42" w:after="104"/>
              <w:jc w:val="right"/>
              <w:rPr>
                <w:sz w:val="20"/>
              </w:rPr>
            </w:pPr>
            <w:r w:rsidRPr="005F6BC2">
              <w:rPr>
                <w:szCs w:val="22"/>
              </w:rPr>
              <w:t>$2,</w:t>
            </w:r>
            <w:r>
              <w:rPr>
                <w:szCs w:val="22"/>
              </w:rPr>
              <w:t>425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A1210" w:rsidRPr="005F6BC2" w:rsidP="00EA1210" w14:paraId="3C46B137" w14:textId="691E385E">
            <w:pPr>
              <w:spacing w:before="42" w:after="104"/>
              <w:jc w:val="right"/>
              <w:rPr>
                <w:sz w:val="20"/>
              </w:rPr>
            </w:pPr>
            <w:r w:rsidRPr="005F6BC2">
              <w:rPr>
                <w:szCs w:val="22"/>
              </w:rPr>
              <w:t>$2,</w:t>
            </w:r>
            <w:r>
              <w:rPr>
                <w:szCs w:val="22"/>
              </w:rPr>
              <w:t>750</w:t>
            </w:r>
          </w:p>
        </w:tc>
      </w:tr>
      <w:tr w14:paraId="3BCC5A56" w14:textId="77777777" w:rsidTr="00EA12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A1210" w:rsidRPr="005F6BC2" w:rsidP="00EA1210" w14:paraId="22E426B3" w14:textId="77777777">
            <w:pPr>
              <w:spacing w:before="42" w:after="104"/>
              <w:rPr>
                <w:b/>
                <w:bCs/>
                <w:sz w:val="20"/>
              </w:rPr>
            </w:pPr>
            <w:r w:rsidRPr="005F6BC2">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25AD7446" w14:textId="47656CED">
            <w:pPr>
              <w:spacing w:before="42" w:after="104"/>
              <w:jc w:val="right"/>
              <w:rPr>
                <w:sz w:val="20"/>
              </w:rPr>
            </w:pPr>
            <w:r w:rsidRPr="005F6BC2">
              <w:rPr>
                <w:szCs w:val="22"/>
              </w:rPr>
              <w:t>$3,</w:t>
            </w:r>
            <w:r>
              <w:rPr>
                <w:szCs w:val="22"/>
              </w:rPr>
              <w:t>300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0A5273B4" w14:textId="2EDCC79E">
            <w:pPr>
              <w:spacing w:before="42" w:after="104"/>
              <w:jc w:val="right"/>
              <w:rPr>
                <w:sz w:val="20"/>
              </w:rPr>
            </w:pPr>
            <w:r w:rsidRPr="005F6BC2">
              <w:rPr>
                <w:szCs w:val="22"/>
              </w:rPr>
              <w:t>$2,</w:t>
            </w:r>
            <w:r>
              <w:rPr>
                <w:szCs w:val="22"/>
              </w:rPr>
              <w:t>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182D84CE" w14:textId="23D9A02A">
            <w:pPr>
              <w:spacing w:before="42" w:after="104"/>
              <w:jc w:val="right"/>
              <w:rPr>
                <w:sz w:val="20"/>
              </w:rPr>
            </w:pPr>
            <w:r w:rsidRPr="005F6BC2">
              <w:rPr>
                <w:szCs w:val="22"/>
              </w:rPr>
              <w:t>$2,</w:t>
            </w:r>
            <w:r>
              <w:rPr>
                <w:szCs w:val="22"/>
              </w:rPr>
              <w:t>050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254C8018" w14:textId="6EE23F1A">
            <w:pPr>
              <w:spacing w:before="42" w:after="104"/>
              <w:jc w:val="right"/>
              <w:rPr>
                <w:sz w:val="20"/>
              </w:rPr>
            </w:pPr>
            <w:r w:rsidRPr="005F6BC2">
              <w:rPr>
                <w:szCs w:val="22"/>
              </w:rPr>
              <w:t>$2,</w:t>
            </w:r>
            <w:r>
              <w:rPr>
                <w:szCs w:val="22"/>
              </w:rPr>
              <w:t>275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02DAE779" w14:textId="77777777">
            <w:pPr>
              <w:spacing w:before="42" w:after="104"/>
              <w:jc w:val="right"/>
              <w:rPr>
                <w:sz w:val="20"/>
              </w:rPr>
            </w:pPr>
            <w:r w:rsidRPr="005F6BC2">
              <w:rPr>
                <w:szCs w:val="22"/>
              </w:rPr>
              <w:t>$3,</w:t>
            </w:r>
            <w:r>
              <w:rPr>
                <w:szCs w:val="22"/>
              </w:rPr>
              <w:t>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A1210" w:rsidRPr="005F6BC2" w:rsidP="00EA1210" w14:paraId="22EEBCC3" w14:textId="789BAC19">
            <w:pPr>
              <w:spacing w:before="42" w:after="104"/>
              <w:jc w:val="right"/>
              <w:rPr>
                <w:sz w:val="20"/>
              </w:rPr>
            </w:pPr>
            <w:r w:rsidRPr="005F6BC2">
              <w:rPr>
                <w:szCs w:val="22"/>
              </w:rPr>
              <w:t>$4,</w:t>
            </w:r>
            <w:r>
              <w:rPr>
                <w:szCs w:val="22"/>
              </w:rPr>
              <w:t>150</w:t>
            </w:r>
          </w:p>
        </w:tc>
      </w:tr>
      <w:tr w14:paraId="74B36EF8" w14:textId="77777777" w:rsidTr="00EA121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A1210" w:rsidRPr="005F6BC2" w:rsidP="00EA1210" w14:paraId="29B26963" w14:textId="77777777">
            <w:pPr>
              <w:spacing w:before="42" w:after="104"/>
              <w:rPr>
                <w:b/>
                <w:bCs/>
                <w:sz w:val="20"/>
              </w:rPr>
            </w:pPr>
            <w:r w:rsidRPr="005F6BC2">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3C81D421" w14:textId="07262B67">
            <w:pPr>
              <w:spacing w:before="42" w:after="104"/>
              <w:jc w:val="right"/>
              <w:rPr>
                <w:sz w:val="20"/>
              </w:rPr>
            </w:pPr>
            <w:r w:rsidRPr="00DC49D8">
              <w:rPr>
                <w:sz w:val="20"/>
              </w:rPr>
              <w:t>$</w:t>
            </w:r>
            <w:r>
              <w:rPr>
                <w:sz w:val="20"/>
              </w:rPr>
              <w:t>4,925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5BB3D5AC" w14:textId="5E5BCCAF">
            <w:pPr>
              <w:spacing w:before="42" w:after="104"/>
              <w:jc w:val="right"/>
              <w:rPr>
                <w:sz w:val="20"/>
              </w:rPr>
            </w:pPr>
            <w:r w:rsidRPr="005F6BC2">
              <w:rPr>
                <w:szCs w:val="22"/>
              </w:rPr>
              <w:t>$3,</w:t>
            </w:r>
            <w:r>
              <w:rPr>
                <w:szCs w:val="22"/>
              </w:rPr>
              <w:t>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1D18FF9A" w14:textId="02C82D3F">
            <w:pPr>
              <w:spacing w:before="42" w:after="104"/>
              <w:jc w:val="right"/>
              <w:rPr>
                <w:sz w:val="20"/>
              </w:rPr>
            </w:pPr>
            <w:r w:rsidRPr="005F6BC2">
              <w:rPr>
                <w:szCs w:val="22"/>
              </w:rPr>
              <w:t>$3,</w:t>
            </w:r>
            <w:r>
              <w:rPr>
                <w:szCs w:val="22"/>
              </w:rPr>
              <w:t>075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631281CC" w14:textId="547C6AEE">
            <w:pPr>
              <w:spacing w:before="42" w:after="104"/>
              <w:jc w:val="right"/>
              <w:rPr>
                <w:sz w:val="20"/>
              </w:rPr>
            </w:pPr>
            <w:r w:rsidRPr="005F6BC2">
              <w:rPr>
                <w:szCs w:val="22"/>
              </w:rPr>
              <w:t>$3,</w:t>
            </w:r>
            <w:r>
              <w:rPr>
                <w:szCs w:val="22"/>
              </w:rPr>
              <w:t>400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A1210" w:rsidRPr="005F6BC2" w:rsidP="00EA1210" w14:paraId="580A5A8E" w14:textId="77777777">
            <w:pPr>
              <w:spacing w:before="42" w:after="104"/>
              <w:jc w:val="right"/>
              <w:rPr>
                <w:sz w:val="20"/>
              </w:rPr>
            </w:pPr>
            <w:r w:rsidRPr="005F6BC2">
              <w:rPr>
                <w:szCs w:val="22"/>
              </w:rPr>
              <w:t>$5,</w:t>
            </w:r>
            <w:r>
              <w:rPr>
                <w:szCs w:val="22"/>
              </w:rPr>
              <w:t>450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A1210" w:rsidRPr="005F6BC2" w:rsidP="00EA1210" w14:paraId="2040E58F" w14:textId="441F0A46">
            <w:pPr>
              <w:spacing w:before="42" w:after="104"/>
              <w:jc w:val="right"/>
              <w:rPr>
                <w:sz w:val="20"/>
              </w:rPr>
            </w:pPr>
            <w:r w:rsidRPr="005F6BC2">
              <w:rPr>
                <w:szCs w:val="22"/>
              </w:rPr>
              <w:t>$6,</w:t>
            </w:r>
            <w:r>
              <w:rPr>
                <w:szCs w:val="22"/>
              </w:rPr>
              <w:t>200</w:t>
            </w:r>
          </w:p>
        </w:tc>
      </w:tr>
      <w:tr w14:paraId="3899541A" w14:textId="77777777" w:rsidTr="00EA1210">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EA1210" w:rsidRPr="005F6BC2" w:rsidP="00EA1210" w14:paraId="22B52000" w14:textId="77777777">
            <w:pPr>
              <w:spacing w:before="42" w:after="104"/>
              <w:rPr>
                <w:b/>
                <w:bCs/>
                <w:sz w:val="20"/>
              </w:rPr>
            </w:pPr>
            <w:r w:rsidRPr="005F6BC2">
              <w:rPr>
                <w:b/>
                <w:bCs/>
                <w:sz w:val="20"/>
              </w:rPr>
              <w:t>1,200,001 – 3,000,00</w:t>
            </w:r>
            <w:r>
              <w:rPr>
                <w:b/>
                <w:bCs/>
                <w:sz w:val="20"/>
              </w:rPr>
              <w:t>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A1210" w:rsidRPr="005F6BC2" w:rsidP="00EA1210" w14:paraId="199955E0" w14:textId="75D9F9CA">
            <w:pPr>
              <w:spacing w:before="42" w:after="104"/>
              <w:jc w:val="right"/>
              <w:rPr>
                <w:sz w:val="20"/>
              </w:rPr>
            </w:pPr>
            <w:r w:rsidRPr="005F6BC2">
              <w:rPr>
                <w:szCs w:val="22"/>
              </w:rPr>
              <w:t>$7,</w:t>
            </w:r>
            <w:r>
              <w:rPr>
                <w:szCs w:val="22"/>
              </w:rPr>
              <w:t>400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A1210" w:rsidRPr="005F6BC2" w:rsidP="00EA1210" w14:paraId="2A803CDB" w14:textId="4650BCD5">
            <w:pPr>
              <w:spacing w:before="42" w:after="104"/>
              <w:jc w:val="right"/>
              <w:rPr>
                <w:sz w:val="20"/>
              </w:rPr>
            </w:pPr>
            <w:r w:rsidRPr="005F6BC2">
              <w:rPr>
                <w:szCs w:val="22"/>
              </w:rPr>
              <w:t>$5,</w:t>
            </w:r>
            <w:r>
              <w:rPr>
                <w:szCs w:val="22"/>
              </w:rPr>
              <w:t>325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A1210" w:rsidRPr="005F6BC2" w:rsidP="00EA1210" w14:paraId="14AB662B" w14:textId="22691A5C">
            <w:pPr>
              <w:spacing w:before="42" w:after="104"/>
              <w:jc w:val="right"/>
              <w:rPr>
                <w:sz w:val="20"/>
              </w:rPr>
            </w:pPr>
            <w:r w:rsidRPr="005F6BC2">
              <w:rPr>
                <w:szCs w:val="22"/>
              </w:rPr>
              <w:t>$4,</w:t>
            </w:r>
            <w:r>
              <w:rPr>
                <w:szCs w:val="22"/>
              </w:rPr>
              <w:t>625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A1210" w:rsidRPr="005F6BC2" w:rsidP="00EA1210" w14:paraId="0E7B337A" w14:textId="3525133D">
            <w:pPr>
              <w:spacing w:before="42" w:after="104"/>
              <w:jc w:val="right"/>
              <w:rPr>
                <w:sz w:val="20"/>
              </w:rPr>
            </w:pPr>
            <w:r w:rsidRPr="005F6BC2">
              <w:rPr>
                <w:szCs w:val="22"/>
              </w:rPr>
              <w:t>$</w:t>
            </w:r>
            <w:r>
              <w:rPr>
                <w:szCs w:val="22"/>
              </w:rPr>
              <w:t>5,100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A1210" w:rsidRPr="005F6BC2" w:rsidP="00EA1210" w14:paraId="2772771C" w14:textId="77777777">
            <w:pPr>
              <w:spacing w:before="42" w:after="104"/>
              <w:jc w:val="right"/>
              <w:rPr>
                <w:sz w:val="20"/>
              </w:rPr>
            </w:pPr>
            <w:r w:rsidRPr="005F6BC2">
              <w:rPr>
                <w:szCs w:val="22"/>
              </w:rPr>
              <w:t>$</w:t>
            </w:r>
            <w:r>
              <w:rPr>
                <w:szCs w:val="22"/>
              </w:rPr>
              <w:t>8,175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EA1210" w:rsidRPr="005F6BC2" w:rsidP="00EA1210" w14:paraId="6D5031F4" w14:textId="6A5FE080">
            <w:pPr>
              <w:spacing w:before="42" w:after="104"/>
              <w:jc w:val="right"/>
              <w:rPr>
                <w:sz w:val="20"/>
              </w:rPr>
            </w:pPr>
            <w:r w:rsidRPr="005F6BC2">
              <w:rPr>
                <w:szCs w:val="22"/>
              </w:rPr>
              <w:t>$9,</w:t>
            </w:r>
            <w:r>
              <w:rPr>
                <w:szCs w:val="22"/>
              </w:rPr>
              <w:t>300</w:t>
            </w:r>
          </w:p>
        </w:tc>
      </w:tr>
      <w:tr w14:paraId="2840A4F5" w14:textId="77777777" w:rsidTr="00EA1210">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EA1210" w:rsidRPr="005F6BC2" w:rsidP="00EA1210" w14:paraId="6D3C4A07" w14:textId="77777777">
            <w:pPr>
              <w:spacing w:before="42" w:after="104"/>
              <w:rPr>
                <w:b/>
                <w:bCs/>
                <w:sz w:val="20"/>
              </w:rPr>
            </w:pPr>
            <w:r w:rsidRPr="005F6BC2">
              <w:rPr>
                <w:b/>
                <w:bCs/>
                <w:sz w:val="20"/>
              </w:rPr>
              <w:t>3,000,001 – 6,000,00</w:t>
            </w:r>
            <w:r>
              <w:rPr>
                <w:b/>
                <w:bCs/>
                <w:sz w:val="20"/>
              </w:rPr>
              <w:t>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EA1210" w:rsidRPr="005F6BC2" w:rsidP="00EA1210" w14:paraId="3CF0CD8D" w14:textId="7B348A6E">
            <w:pPr>
              <w:spacing w:before="42" w:after="104"/>
              <w:jc w:val="right"/>
              <w:rPr>
                <w:sz w:val="20"/>
              </w:rPr>
            </w:pPr>
            <w:r w:rsidRPr="005F6BC2">
              <w:rPr>
                <w:szCs w:val="22"/>
              </w:rPr>
              <w:t>$1</w:t>
            </w:r>
            <w:r>
              <w:rPr>
                <w:szCs w:val="22"/>
              </w:rPr>
              <w:t>1,100</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EA1210" w:rsidRPr="005F6BC2" w:rsidP="00EA1210" w14:paraId="7D0A8059" w14:textId="29AF8870">
            <w:pPr>
              <w:spacing w:before="42" w:after="104"/>
              <w:jc w:val="right"/>
              <w:rPr>
                <w:sz w:val="20"/>
              </w:rPr>
            </w:pPr>
            <w:r w:rsidRPr="005F6BC2">
              <w:rPr>
                <w:szCs w:val="22"/>
              </w:rPr>
              <w:t>$</w:t>
            </w:r>
            <w:r>
              <w:rPr>
                <w:szCs w:val="22"/>
              </w:rPr>
              <w:t>7,975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A1210" w:rsidRPr="005F6BC2" w:rsidP="00EA1210" w14:paraId="16EAC647" w14:textId="4E11E882">
            <w:pPr>
              <w:spacing w:before="42" w:after="104"/>
              <w:jc w:val="right"/>
              <w:rPr>
                <w:sz w:val="20"/>
              </w:rPr>
            </w:pPr>
            <w:r w:rsidRPr="005F6BC2">
              <w:rPr>
                <w:szCs w:val="22"/>
              </w:rPr>
              <w:t>$</w:t>
            </w:r>
            <w:r>
              <w:rPr>
                <w:szCs w:val="22"/>
              </w:rPr>
              <w:t>6,950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A1210" w:rsidRPr="005F6BC2" w:rsidP="00EA1210" w14:paraId="47C553A8" w14:textId="2011A96E">
            <w:pPr>
              <w:spacing w:before="42" w:after="104"/>
              <w:jc w:val="right"/>
              <w:rPr>
                <w:sz w:val="20"/>
              </w:rPr>
            </w:pPr>
            <w:r w:rsidRPr="005F6BC2">
              <w:rPr>
                <w:szCs w:val="22"/>
              </w:rPr>
              <w:t>$7,</w:t>
            </w:r>
            <w:r>
              <w:rPr>
                <w:szCs w:val="22"/>
              </w:rPr>
              <w:t>625</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EA1210" w:rsidRPr="005F6BC2" w:rsidP="00EA1210" w14:paraId="782720E8" w14:textId="77777777">
            <w:pPr>
              <w:spacing w:before="42" w:after="104"/>
              <w:jc w:val="right"/>
              <w:rPr>
                <w:sz w:val="20"/>
              </w:rPr>
            </w:pPr>
            <w:r w:rsidRPr="005F6BC2">
              <w:rPr>
                <w:szCs w:val="22"/>
              </w:rPr>
              <w:t>$1</w:t>
            </w:r>
            <w:r>
              <w:rPr>
                <w:szCs w:val="22"/>
              </w:rPr>
              <w:t>2,250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EA1210" w:rsidRPr="005F6BC2" w:rsidP="00EA1210" w14:paraId="10264C0F" w14:textId="1CAFAC2F">
            <w:pPr>
              <w:spacing w:before="42" w:after="104"/>
              <w:jc w:val="right"/>
              <w:rPr>
                <w:sz w:val="20"/>
              </w:rPr>
            </w:pPr>
            <w:r w:rsidRPr="005F6BC2">
              <w:rPr>
                <w:szCs w:val="22"/>
              </w:rPr>
              <w:t>$1</w:t>
            </w:r>
            <w:r>
              <w:rPr>
                <w:szCs w:val="22"/>
              </w:rPr>
              <w:t>3,950</w:t>
            </w:r>
          </w:p>
        </w:tc>
      </w:tr>
      <w:tr w14:paraId="09D5C1CB" w14:textId="77777777" w:rsidTr="00EA1210">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EA1210" w:rsidRPr="005F6BC2" w:rsidP="00EA1210" w14:paraId="530505BF" w14:textId="77777777">
            <w:pPr>
              <w:spacing w:before="42" w:after="104"/>
              <w:rPr>
                <w:b/>
                <w:bCs/>
                <w:sz w:val="20"/>
              </w:rPr>
            </w:pPr>
            <w:r w:rsidRPr="005F6BC2">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EA1210" w:rsidRPr="005F6BC2" w:rsidP="00EA1210" w14:paraId="02BA59D1" w14:textId="6D323075">
            <w:pPr>
              <w:spacing w:before="42" w:after="104"/>
              <w:jc w:val="right"/>
              <w:rPr>
                <w:sz w:val="20"/>
              </w:rPr>
            </w:pPr>
            <w:r w:rsidRPr="005F6BC2">
              <w:rPr>
                <w:szCs w:val="22"/>
              </w:rPr>
              <w:t>$1</w:t>
            </w:r>
            <w:r>
              <w:rPr>
                <w:szCs w:val="22"/>
              </w:rPr>
              <w:t>6,675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EA1210" w:rsidRPr="005F6BC2" w:rsidP="00EA1210" w14:paraId="421449D8" w14:textId="175E0878">
            <w:pPr>
              <w:spacing w:before="42" w:after="104"/>
              <w:jc w:val="right"/>
              <w:rPr>
                <w:sz w:val="20"/>
              </w:rPr>
            </w:pPr>
            <w:r w:rsidRPr="005F6BC2">
              <w:rPr>
                <w:szCs w:val="22"/>
              </w:rPr>
              <w:t>$1</w:t>
            </w:r>
            <w:r>
              <w:rPr>
                <w:szCs w:val="22"/>
              </w:rPr>
              <w:t>1,975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A1210" w:rsidRPr="005F6BC2" w:rsidP="00EA1210" w14:paraId="1F61AFAD" w14:textId="0D77A2FD">
            <w:pPr>
              <w:spacing w:before="42" w:after="104"/>
              <w:jc w:val="right"/>
              <w:rPr>
                <w:sz w:val="20"/>
              </w:rPr>
            </w:pPr>
            <w:r w:rsidRPr="005F6BC2">
              <w:rPr>
                <w:szCs w:val="22"/>
              </w:rPr>
              <w:t>$10,</w:t>
            </w:r>
            <w:r>
              <w:rPr>
                <w:szCs w:val="22"/>
              </w:rPr>
              <w:t>425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A1210" w:rsidRPr="005F6BC2" w:rsidP="00EA1210" w14:paraId="019D3FEA" w14:textId="41B46AA6">
            <w:pPr>
              <w:spacing w:before="42" w:after="104"/>
              <w:jc w:val="right"/>
              <w:rPr>
                <w:sz w:val="20"/>
              </w:rPr>
            </w:pPr>
            <w:r w:rsidRPr="005F6BC2">
              <w:rPr>
                <w:szCs w:val="22"/>
              </w:rPr>
              <w:t>$11,</w:t>
            </w:r>
            <w:r>
              <w:rPr>
                <w:szCs w:val="22"/>
              </w:rPr>
              <w:t>450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EA1210" w:rsidRPr="005F6BC2" w:rsidP="00EA1210" w14:paraId="08A9B31A" w14:textId="77777777">
            <w:pPr>
              <w:spacing w:before="42" w:after="104"/>
              <w:jc w:val="right"/>
              <w:rPr>
                <w:sz w:val="20"/>
              </w:rPr>
            </w:pPr>
            <w:r w:rsidRPr="005F6BC2">
              <w:rPr>
                <w:szCs w:val="22"/>
              </w:rPr>
              <w:t>$1</w:t>
            </w:r>
            <w:r>
              <w:rPr>
                <w:szCs w:val="22"/>
              </w:rPr>
              <w:t>8,375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EA1210" w:rsidRPr="005F6BC2" w:rsidP="00EA1210" w14:paraId="71489DAC" w14:textId="6FC50F30">
            <w:pPr>
              <w:spacing w:before="42" w:after="104"/>
              <w:jc w:val="right"/>
              <w:rPr>
                <w:sz w:val="20"/>
              </w:rPr>
            </w:pPr>
            <w:r w:rsidRPr="005F6BC2">
              <w:rPr>
                <w:szCs w:val="22"/>
              </w:rPr>
              <w:t>$2</w:t>
            </w:r>
            <w:r>
              <w:rPr>
                <w:szCs w:val="22"/>
              </w:rPr>
              <w:t>0,925</w:t>
            </w:r>
          </w:p>
        </w:tc>
      </w:tr>
    </w:tbl>
    <w:p w:rsidR="00B409B4" w:rsidP="00B409B4" w14:paraId="7EE5DBF6" w14:textId="77777777">
      <w:pPr>
        <w:pStyle w:val="ParaNum"/>
        <w:numPr>
          <w:ilvl w:val="0"/>
          <w:numId w:val="0"/>
        </w:numPr>
      </w:pPr>
    </w:p>
    <w:p w:rsidR="009E62D9" w:rsidP="00D13D23" w14:paraId="67AE7401" w14:textId="75E4A60F">
      <w:pPr>
        <w:pStyle w:val="ParaNum"/>
      </w:pPr>
      <w:r>
        <w:t>R</w:t>
      </w:r>
      <w:r w:rsidRPr="00EC54B9">
        <w:t>adio broadcaster</w:t>
      </w:r>
      <w:r>
        <w:t>s</w:t>
      </w:r>
      <w:r w:rsidRPr="00EC54B9">
        <w:t xml:space="preserve"> </w:t>
      </w:r>
      <w:r>
        <w:t xml:space="preserve">argue that any </w:t>
      </w:r>
      <w:r w:rsidRPr="00EC54B9">
        <w:t>increases</w:t>
      </w:r>
      <w:r>
        <w:t xml:space="preserve"> to their regulatory fees</w:t>
      </w:r>
      <w:r w:rsidRPr="00EC54B9">
        <w:t xml:space="preserve"> </w:t>
      </w:r>
      <w:r>
        <w:t xml:space="preserve">for FY 2020 </w:t>
      </w:r>
      <w:r w:rsidRPr="00EC54B9">
        <w:t>are unreasonable</w:t>
      </w:r>
      <w:r>
        <w:t xml:space="preserve"> because the </w:t>
      </w:r>
      <w:r w:rsidRPr="00FD5467">
        <w:t>total amount appropriated</w:t>
      </w:r>
      <w:r>
        <w:t xml:space="preserve"> to the Commission for FY 2020 did not increase from FY 2019, and the number of FTEs in the Media Bureau increased by only one from FY 2019.</w:t>
      </w:r>
      <w:r>
        <w:rPr>
          <w:rStyle w:val="FootnoteReference"/>
        </w:rPr>
        <w:footnoteReference w:id="73"/>
      </w:r>
      <w:r>
        <w:t xml:space="preserve"> </w:t>
      </w:r>
      <w:r w:rsidRPr="00EC54B9">
        <w:t xml:space="preserve"> </w:t>
      </w:r>
      <w:r>
        <w:t>A</w:t>
      </w:r>
      <w:r w:rsidRPr="00EC54B9">
        <w:t xml:space="preserve">ccordingly, </w:t>
      </w:r>
      <w:r>
        <w:t>they claim that the regulatory</w:t>
      </w:r>
      <w:r w:rsidRPr="00EC54B9">
        <w:t xml:space="preserve"> fees </w:t>
      </w:r>
      <w:r>
        <w:t xml:space="preserve">for radio broadcast categories for FY 2020 should be frozen </w:t>
      </w:r>
      <w:r w:rsidRPr="00EC54B9">
        <w:t>at their FY 2019 levels.</w:t>
      </w:r>
      <w:r>
        <w:rPr>
          <w:rStyle w:val="FootnoteReference"/>
        </w:rPr>
        <w:footnoteReference w:id="74"/>
      </w:r>
      <w:r w:rsidRPr="00EC54B9">
        <w:t xml:space="preserve"> </w:t>
      </w:r>
      <w:r w:rsidR="000356D0">
        <w:t xml:space="preserve"> </w:t>
      </w:r>
      <w:r>
        <w:t xml:space="preserve">The radio broadcasters’ arguments, however, reflect an incomplete understanding of the methodology that the Commission has </w:t>
      </w:r>
      <w:r w:rsidR="00F1403A">
        <w:t>used</w:t>
      </w:r>
      <w:r>
        <w:t xml:space="preserve"> for years. </w:t>
      </w:r>
      <w:r w:rsidR="00262B27">
        <w:t xml:space="preserve"> </w:t>
      </w:r>
      <w:r>
        <w:t xml:space="preserve">As described above and in the </w:t>
      </w:r>
      <w:r w:rsidRPr="001F4743">
        <w:rPr>
          <w:i/>
          <w:iCs/>
        </w:rPr>
        <w:t>FY 2020 NPRM</w:t>
      </w:r>
      <w:r>
        <w:t>, the long-standing methodology for assessing regulatory fees involves multiple factors besides the amount of appropriation to be recovered and the number of direct FTEs.</w:t>
      </w:r>
      <w:r w:rsidRPr="001F4743">
        <w:t xml:space="preserve"> </w:t>
      </w:r>
      <w:r>
        <w:t xml:space="preserve"> Specifically, </w:t>
      </w:r>
      <w:r w:rsidRPr="001F4743">
        <w:t>two factors affecting calculation of radio broadcasters’ fees change</w:t>
      </w:r>
      <w:r>
        <w:t>d significantly between FY 2019 and FY 2020, and resulted in the increase in regulatory fees for radio broadcasters</w:t>
      </w:r>
      <w:r w:rsidRPr="001F4743">
        <w:t xml:space="preserve">. </w:t>
      </w:r>
      <w:r w:rsidR="00262B27">
        <w:t xml:space="preserve"> </w:t>
      </w:r>
      <w:r w:rsidRPr="00262B27">
        <w:rPr>
          <w:i/>
          <w:iCs/>
        </w:rPr>
        <w:t>First</w:t>
      </w:r>
      <w:r w:rsidRPr="001F4743">
        <w:t>,</w:t>
      </w:r>
      <w:r w:rsidRPr="002D01A9">
        <w:t xml:space="preserve"> </w:t>
      </w:r>
      <w:bookmarkStart w:id="53" w:name="_Hlk48905053"/>
      <w:r w:rsidRPr="002D01A9">
        <w:t>the Media Bureau’s allocation percentage increased from 35.9% in FY 2019 to 37.3% in FY 2020.</w:t>
      </w:r>
      <w:r>
        <w:rPr>
          <w:rStyle w:val="FootnoteReference"/>
        </w:rPr>
        <w:footnoteReference w:id="75"/>
      </w:r>
      <w:r>
        <w:t xml:space="preserve"> </w:t>
      </w:r>
      <w:r w:rsidR="00262B27">
        <w:t xml:space="preserve"> </w:t>
      </w:r>
      <w:bookmarkStart w:id="54" w:name="_Hlk48927733"/>
      <w:bookmarkEnd w:id="53"/>
      <w:r w:rsidRPr="00FB4910" w:rsidR="005E64AB">
        <w:t>(</w:t>
      </w:r>
      <w:r w:rsidRPr="00FB4910">
        <w:t xml:space="preserve">Mathematically, the year-to-year change in the absolute number of direct FTEs in a core bureau does not </w:t>
      </w:r>
      <w:r w:rsidRPr="00FB4910" w:rsidR="007E4D9C">
        <w:t xml:space="preserve">by itself </w:t>
      </w:r>
      <w:r w:rsidRPr="00FB4910">
        <w:t xml:space="preserve">determine the share of overall regulatory fees that should be borne by regulatees of that bureau, because the bureau’s allocation percentage also depends on the overall number of Commission </w:t>
      </w:r>
      <w:r w:rsidRPr="00FB4910" w:rsidR="005E64AB">
        <w:t xml:space="preserve">direct </w:t>
      </w:r>
      <w:r w:rsidRPr="00FB4910">
        <w:t>FTEs, which changes year to year.</w:t>
      </w:r>
      <w:r w:rsidRPr="00FB4910" w:rsidR="005E64AB">
        <w:t>)</w:t>
      </w:r>
      <w:r w:rsidRPr="00FB4910" w:rsidR="007E4D9C">
        <w:t xml:space="preserve"> </w:t>
      </w:r>
      <w:r w:rsidRPr="00FB4910" w:rsidR="00262B27">
        <w:t xml:space="preserve"> </w:t>
      </w:r>
      <w:r w:rsidR="005E64AB">
        <w:t xml:space="preserve">Furthermore, because indirect FTEs are proportionately allocated by a bureau’s share of </w:t>
      </w:r>
      <w:r w:rsidR="00FB4910">
        <w:t>direct</w:t>
      </w:r>
      <w:r w:rsidR="005E64AB">
        <w:t xml:space="preserve"> FTEs, this increase in the percentage of direct FTEs also resulted in an increase in the amount of indirect FTEs being allocated to Media Bureau fee categories.</w:t>
      </w:r>
      <w:r>
        <w:rPr>
          <w:rStyle w:val="FootnoteReference"/>
        </w:rPr>
        <w:footnoteReference w:id="76"/>
      </w:r>
      <w:r w:rsidRPr="001F4743">
        <w:t xml:space="preserve"> </w:t>
      </w:r>
      <w:bookmarkEnd w:id="54"/>
      <w:r w:rsidRPr="001F4743">
        <w:t xml:space="preserve"> </w:t>
      </w:r>
      <w:r>
        <w:t xml:space="preserve">This then resulted in an increase in the overall fees for radio broadcasters as a group. </w:t>
      </w:r>
      <w:r w:rsidRPr="00262B27">
        <w:rPr>
          <w:i/>
          <w:iCs/>
        </w:rPr>
        <w:t xml:space="preserve"> Second</w:t>
      </w:r>
      <w:r>
        <w:t>,</w:t>
      </w:r>
      <w:r w:rsidRPr="001F4743">
        <w:t xml:space="preserve"> </w:t>
      </w:r>
      <w:bookmarkStart w:id="55" w:name="_Hlk48904877"/>
      <w:r w:rsidRPr="00E82875">
        <w:t xml:space="preserve">the total number of radio broadcasters (projected </w:t>
      </w:r>
      <w:r w:rsidRPr="00E82875">
        <w:t xml:space="preserve">fee-paying units) </w:t>
      </w:r>
      <w:r w:rsidR="00F1403A">
        <w:t xml:space="preserve">unexpectedly </w:t>
      </w:r>
      <w:r w:rsidRPr="00E82875">
        <w:t xml:space="preserve">dropped by </w:t>
      </w:r>
      <w:r w:rsidR="00EA1210">
        <w:t>180</w:t>
      </w:r>
      <w:r w:rsidRPr="00E82875">
        <w:t xml:space="preserve"> from FY 2019 to FY 2020.</w:t>
      </w:r>
      <w:r>
        <w:rPr>
          <w:rStyle w:val="FootnoteReference"/>
        </w:rPr>
        <w:footnoteReference w:id="77"/>
      </w:r>
      <w:bookmarkEnd w:id="55"/>
      <w:r w:rsidRPr="001F4743">
        <w:t xml:space="preserve">  The net effect of </w:t>
      </w:r>
      <w:r>
        <w:t>these two changes</w:t>
      </w:r>
      <w:r w:rsidRPr="001F4743">
        <w:t xml:space="preserve"> resulted in increased regulatory fees for </w:t>
      </w:r>
      <w:r w:rsidRPr="00262B27">
        <w:t>individual</w:t>
      </w:r>
      <w:r>
        <w:rPr>
          <w:i/>
          <w:iCs/>
        </w:rPr>
        <w:t xml:space="preserve"> </w:t>
      </w:r>
      <w:r w:rsidRPr="001F4743">
        <w:t xml:space="preserve">radio broadcaster </w:t>
      </w:r>
      <w:r>
        <w:t xml:space="preserve">fee paying units </w:t>
      </w:r>
      <w:r w:rsidRPr="001F4743">
        <w:t>for FY 2020.</w:t>
      </w:r>
    </w:p>
    <w:p w:rsidR="00FA1713" w:rsidRPr="00F63943" w:rsidP="00F63943" w14:paraId="43AD5833" w14:textId="3B81F96C">
      <w:pPr>
        <w:pStyle w:val="ParaNum"/>
      </w:pPr>
      <w:r>
        <w:t>W</w:t>
      </w:r>
      <w:r w:rsidRPr="008B2E75">
        <w:t xml:space="preserve">e disagree with the radio broadcasters that we should </w:t>
      </w:r>
      <w:r>
        <w:t xml:space="preserve">ignore our long-standing methodology </w:t>
      </w:r>
      <w:r w:rsidRPr="008B2E75">
        <w:t xml:space="preserve">in order to freeze regulatory fees for </w:t>
      </w:r>
      <w:r>
        <w:t xml:space="preserve">(and thus benefit) </w:t>
      </w:r>
      <w:r w:rsidRPr="008B2E75">
        <w:t>radio broadcasters</w:t>
      </w:r>
      <w:r>
        <w:t xml:space="preserve"> at the expense of other regulatees</w:t>
      </w:r>
      <w:r w:rsidRPr="0075547C" w:rsidR="0075547C">
        <w:t xml:space="preserve"> (such as television broadcasters</w:t>
      </w:r>
      <w:r w:rsidR="0075547C">
        <w:t>)</w:t>
      </w:r>
      <w:r w:rsidRPr="008B2E75">
        <w:t>.</w:t>
      </w:r>
      <w:r>
        <w:t xml:space="preserve"> </w:t>
      </w:r>
      <w:r w:rsidR="00262B27">
        <w:t xml:space="preserve"> </w:t>
      </w:r>
      <w:r>
        <w:t>Because the Commission is statutorily obligated to recover the amount of its appropriation through r</w:t>
      </w:r>
      <w:r w:rsidRPr="008B2E75">
        <w:t>egulatory fees</w:t>
      </w:r>
      <w:r>
        <w:t>, these fees</w:t>
      </w:r>
      <w:r w:rsidRPr="008B2E75">
        <w:t xml:space="preserve"> are a zero</w:t>
      </w:r>
      <w:r>
        <w:t>-</w:t>
      </w:r>
      <w:r w:rsidRPr="008B2E75">
        <w:t>sum situation.  Thus, if the Commission fr</w:t>
      </w:r>
      <w:r>
        <w:t>eezes</w:t>
      </w:r>
      <w:r w:rsidRPr="008B2E75">
        <w:t xml:space="preserve"> one set of regulatees’ fees</w:t>
      </w:r>
      <w:r>
        <w:t>,</w:t>
      </w:r>
      <w:r w:rsidRPr="008B2E75">
        <w:t xml:space="preserve"> it would need to increase another set of regulatees’ fees to make up for any resulting shortfall</w:t>
      </w:r>
      <w:r>
        <w:t xml:space="preserve"> in a way that is inconsistent with the longstanding methodology described in the </w:t>
      </w:r>
      <w:r>
        <w:rPr>
          <w:i/>
          <w:iCs/>
        </w:rPr>
        <w:t>FY 2020 NPRM</w:t>
      </w:r>
      <w:r w:rsidRPr="008B2E75">
        <w:t xml:space="preserve">.  </w:t>
      </w:r>
      <w:r>
        <w:t xml:space="preserve">Such an outcome would be arbitrary and not in the public interest as a whole, particularly when compared to the alternative of following our long-standing methodology for assessing regulatory fees. </w:t>
      </w:r>
      <w:r w:rsidRPr="008B2E75">
        <w:t xml:space="preserve">We accordingly decline to freeze the radio broadcaster regulatory fees at </w:t>
      </w:r>
      <w:r w:rsidRPr="00837BCE">
        <w:t xml:space="preserve">their FY 2019 levels and instead, we adopt the radio broadcaster fees </w:t>
      </w:r>
      <w:r w:rsidR="00F96DD4">
        <w:t>as adjusted in this Report and Order</w:t>
      </w:r>
      <w:r w:rsidRPr="00837BCE">
        <w:t>.</w:t>
      </w:r>
      <w:r>
        <w:rPr>
          <w:rStyle w:val="FootnoteReference"/>
        </w:rPr>
        <w:footnoteReference w:id="78"/>
      </w:r>
      <w:r w:rsidRPr="00837BCE">
        <w:t xml:space="preserve">  </w:t>
      </w:r>
      <w:r>
        <w:t xml:space="preserve"> </w:t>
      </w:r>
    </w:p>
    <w:p w:rsidR="00584CDC" w:rsidRPr="008A079A" w:rsidP="00593971" w14:paraId="0E404877" w14:textId="77777777">
      <w:pPr>
        <w:pStyle w:val="Heading2"/>
      </w:pPr>
      <w:bookmarkStart w:id="56" w:name="_Toc47539504"/>
      <w:bookmarkStart w:id="57" w:name="_Toc47692776"/>
      <w:bookmarkStart w:id="58" w:name="_Toc48832343"/>
      <w:bookmarkStart w:id="59" w:name="_Toc48919584"/>
      <w:r>
        <w:t>Toll Free Numbering Regulatory Fees</w:t>
      </w:r>
      <w:bookmarkEnd w:id="56"/>
      <w:bookmarkEnd w:id="57"/>
      <w:bookmarkEnd w:id="58"/>
      <w:bookmarkEnd w:id="59"/>
    </w:p>
    <w:p w:rsidR="00584CDC" w:rsidP="00584CDC" w14:paraId="5328B6C6" w14:textId="77777777">
      <w:pPr>
        <w:pStyle w:val="ParaNum"/>
      </w:pPr>
      <w:r>
        <w:t xml:space="preserve">Toll free numbers </w:t>
      </w:r>
      <w:r w:rsidRPr="004F3FEC">
        <w:t xml:space="preserve">allow callers to reach </w:t>
      </w:r>
      <w:r>
        <w:t xml:space="preserve">the called party </w:t>
      </w:r>
      <w:r w:rsidRPr="004F3FEC">
        <w:t>without being charged for the call</w:t>
      </w:r>
      <w:r>
        <w:t>.</w:t>
      </w:r>
      <w:r>
        <w:rPr>
          <w:rStyle w:val="FootnoteReference"/>
        </w:rPr>
        <w:footnoteReference w:id="79"/>
      </w:r>
      <w:r>
        <w:t xml:space="preserve">  With toll free calls, the</w:t>
      </w:r>
      <w:r w:rsidRPr="004F3FEC">
        <w:t xml:space="preserve"> charge for </w:t>
      </w:r>
      <w:r>
        <w:t>the call i</w:t>
      </w:r>
      <w:r w:rsidRPr="004F3FEC">
        <w:t>s paid by the called party (the toll free subscrib</w:t>
      </w:r>
      <w:r>
        <w:t>er) instead</w:t>
      </w:r>
      <w:r w:rsidRPr="004F3FEC">
        <w:t>.</w:t>
      </w:r>
      <w:r>
        <w:rPr>
          <w:rStyle w:val="FootnoteReference"/>
        </w:rPr>
        <w:footnoteReference w:id="80"/>
      </w:r>
      <w:r w:rsidRPr="004F3FEC">
        <w:t xml:space="preserve"> </w:t>
      </w:r>
      <w:r>
        <w:t xml:space="preserve"> For reasons discussed in the </w:t>
      </w:r>
      <w:r w:rsidRPr="00146E07">
        <w:rPr>
          <w:i/>
        </w:rPr>
        <w:t>FY 2014 Report and Order</w:t>
      </w:r>
      <w:r>
        <w:rPr>
          <w:rStyle w:val="FootnoteReference"/>
        </w:rPr>
        <w:footnoteReference w:id="81"/>
      </w:r>
      <w:r>
        <w:t xml:space="preserve"> and the </w:t>
      </w:r>
      <w:r w:rsidRPr="00146E07">
        <w:rPr>
          <w:i/>
          <w:iCs/>
        </w:rPr>
        <w:t>FY 2015 Report and Order</w:t>
      </w:r>
      <w:r w:rsidRPr="009B73B1">
        <w:t>,</w:t>
      </w:r>
      <w:r>
        <w:rPr>
          <w:rStyle w:val="FootnoteReference"/>
        </w:rPr>
        <w:footnoteReference w:id="82"/>
      </w:r>
      <w:r>
        <w:t xml:space="preserve"> the Commission established a regulatory fee obligation for Responsible Organizations (</w:t>
      </w:r>
      <w:r>
        <w:t>RespOrgs</w:t>
      </w:r>
      <w:r>
        <w:t>)</w:t>
      </w:r>
      <w:r>
        <w:rPr>
          <w:rStyle w:val="FootnoteReference"/>
        </w:rPr>
        <w:footnoteReference w:id="83"/>
      </w:r>
      <w:r>
        <w:t xml:space="preserve"> that manage toll free numbers, beginning in FY 2015.</w:t>
      </w:r>
      <w:r>
        <w:rPr>
          <w:rStyle w:val="FootnoteReference"/>
        </w:rPr>
        <w:footnoteReference w:id="84"/>
      </w:r>
      <w:r>
        <w:t xml:space="preserve">  These reasons include empowering the Commission to ensure that toll free numbers, a valuable national public resource, are allocated in an equitable and orderly manner that serves the public interest, a fundamental purpose of section 251(e)(1) of the Act.</w:t>
      </w:r>
      <w:r>
        <w:rPr>
          <w:rStyle w:val="FootnoteReference"/>
        </w:rPr>
        <w:footnoteReference w:id="85"/>
      </w:r>
    </w:p>
    <w:p w:rsidR="00584CDC" w:rsidP="00584CDC" w14:paraId="5BF8B6F3" w14:textId="77777777">
      <w:pPr>
        <w:pStyle w:val="ParaNum"/>
      </w:pPr>
      <w:r>
        <w:t xml:space="preserve">On May 20, 2020, ATL Communications, a </w:t>
      </w:r>
      <w:r>
        <w:t>RespOrg</w:t>
      </w:r>
      <w:r>
        <w:t xml:space="preserve">, filed comments to the Commission’s proposed regulatory fees for fiscal year 2020.  In its comments, ATL does not address the </w:t>
      </w:r>
      <w:r>
        <w:t>issues that are the subject of this proceeding, but instead raises specific questions related to international toll free calls involving Canada, tracking fee exemptions, control and ownership of toll free numbers, and the consequences for failure to pay assessed regulatory fees.</w:t>
      </w:r>
      <w:r>
        <w:rPr>
          <w:rStyle w:val="FootnoteReference"/>
        </w:rPr>
        <w:footnoteReference w:id="86"/>
      </w:r>
      <w:r>
        <w:t xml:space="preserve">  Upon review, we find no convincing evidence in ATL’s comments that warrants a change to the regulatory fee obligation, as it applies to toll free numbers. </w:t>
      </w:r>
    </w:p>
    <w:p w:rsidR="00584CDC" w:rsidP="00593971" w14:paraId="6F8F6D21" w14:textId="77777777">
      <w:pPr>
        <w:pStyle w:val="Heading2"/>
      </w:pPr>
      <w:bookmarkStart w:id="60" w:name="_Toc44602738"/>
      <w:bookmarkStart w:id="61" w:name="_Toc44608826"/>
      <w:bookmarkStart w:id="62" w:name="_Toc46764654"/>
      <w:bookmarkStart w:id="63" w:name="_Toc47539505"/>
      <w:bookmarkStart w:id="64" w:name="_Toc47692777"/>
      <w:bookmarkStart w:id="65" w:name="_Toc48832344"/>
      <w:bookmarkStart w:id="66" w:name="_Toc48919585"/>
      <w:bookmarkEnd w:id="44"/>
      <w:bookmarkEnd w:id="45"/>
      <w:bookmarkEnd w:id="46"/>
      <w:r>
        <w:t>Market Access Space Station Regulatory Fees</w:t>
      </w:r>
      <w:bookmarkEnd w:id="60"/>
      <w:bookmarkEnd w:id="61"/>
      <w:bookmarkEnd w:id="62"/>
      <w:bookmarkEnd w:id="63"/>
      <w:bookmarkEnd w:id="64"/>
      <w:bookmarkEnd w:id="65"/>
      <w:bookmarkEnd w:id="66"/>
    </w:p>
    <w:p w:rsidR="00584CDC" w:rsidP="00584CDC" w14:paraId="6C5A778F" w14:textId="77777777">
      <w:pPr>
        <w:pStyle w:val="ParaNum"/>
      </w:pPr>
      <w:r>
        <w:t xml:space="preserve">In the </w:t>
      </w:r>
      <w:r>
        <w:rPr>
          <w:i/>
          <w:iCs/>
        </w:rPr>
        <w:t>2020 Regulatory Fee Reform Order</w:t>
      </w:r>
      <w:r>
        <w:t xml:space="preserve">, we concluded that </w:t>
      </w:r>
      <w:r w:rsidRPr="000F5C56">
        <w:t>non-U.S. licensed space stations</w:t>
      </w:r>
      <w:r>
        <w:t xml:space="preserve"> granted access to the market </w:t>
      </w:r>
      <w:r w:rsidRPr="00E600B7">
        <w:rPr>
          <w:szCs w:val="22"/>
        </w:rPr>
        <w:t>in the United States (market access grants)</w:t>
      </w:r>
      <w:r>
        <w:t xml:space="preserve"> will be included </w:t>
      </w:r>
      <w:r w:rsidRPr="000F5C56">
        <w:t xml:space="preserve">in the </w:t>
      </w:r>
      <w:r>
        <w:t xml:space="preserve">FY 2020 GSO and NGSO space station </w:t>
      </w:r>
      <w:r w:rsidRPr="000F5C56">
        <w:t>regulatory fees</w:t>
      </w:r>
      <w:r>
        <w:t>.</w:t>
      </w:r>
      <w:r>
        <w:rPr>
          <w:rStyle w:val="FootnoteReference"/>
        </w:rPr>
        <w:footnoteReference w:id="87"/>
      </w:r>
      <w:r>
        <w:t xml:space="preserve"> </w:t>
      </w:r>
      <w:r>
        <w:rPr>
          <w:szCs w:val="22"/>
        </w:rPr>
        <w:t xml:space="preserve"> In the </w:t>
      </w:r>
      <w:r w:rsidRPr="00C932C7">
        <w:rPr>
          <w:i/>
        </w:rPr>
        <w:t>FY 2020 NPRM</w:t>
      </w:r>
      <w:r>
        <w:rPr>
          <w:szCs w:val="22"/>
        </w:rPr>
        <w:t>, we accordingly proposed to collect regulatory fees from most, but not all, non-U.S. licensed space stations granted U.S. market access,</w:t>
      </w:r>
      <w:r>
        <w:rPr>
          <w:rStyle w:val="FootnoteReference"/>
          <w:szCs w:val="22"/>
        </w:rPr>
        <w:footnoteReference w:id="88"/>
      </w:r>
      <w:r>
        <w:rPr>
          <w:szCs w:val="22"/>
        </w:rPr>
        <w:t xml:space="preserve"> and we follow through and adopt such fees here.</w:t>
      </w:r>
      <w:r w:rsidRPr="00C063F6">
        <w:t xml:space="preserve"> </w:t>
      </w:r>
    </w:p>
    <w:p w:rsidR="00584CDC" w:rsidRPr="00F80169" w:rsidP="00584CDC" w14:paraId="65A98A6E" w14:textId="77777777">
      <w:pPr>
        <w:pStyle w:val="ParaNum"/>
      </w:pPr>
      <w:r>
        <w:t>We disagree with the two commenters that assert that we do not have such authority.</w:t>
      </w:r>
      <w:r>
        <w:rPr>
          <w:rStyle w:val="FootnoteReference"/>
          <w:szCs w:val="22"/>
        </w:rPr>
        <w:footnoteReference w:id="89"/>
      </w:r>
      <w:r>
        <w:t xml:space="preserve">  We will not repeat the lengthy analysis from the </w:t>
      </w:r>
      <w:r>
        <w:rPr>
          <w:i/>
          <w:iCs/>
        </w:rPr>
        <w:t>2020 Regulatory Fee Reform Order</w:t>
      </w:r>
      <w:r>
        <w:t xml:space="preserve"> here, but will summarize the issues.</w:t>
      </w:r>
    </w:p>
    <w:p w:rsidR="00584CDC" w:rsidRPr="00C932C7" w:rsidP="003D5095" w14:paraId="343083F0" w14:textId="77777777">
      <w:pPr>
        <w:pStyle w:val="ParaNum"/>
        <w:widowControl/>
        <w:rPr>
          <w:kern w:val="0"/>
          <w:sz w:val="24"/>
        </w:rPr>
      </w:pPr>
      <w:r w:rsidRPr="00E600B7">
        <w:t xml:space="preserve">In our order, the Commission provided a history of section 9 of the Communications Act, the legislative history text associated with the original statute enacted in 1993, the subsequent </w:t>
      </w:r>
      <w:r w:rsidRPr="00E600B7">
        <w:t>Commission proceedings</w:t>
      </w:r>
      <w:r>
        <w:rPr>
          <w:rStyle w:val="FootnoteReference"/>
          <w:szCs w:val="22"/>
        </w:rPr>
        <w:footnoteReference w:id="90"/>
      </w:r>
      <w:r w:rsidRPr="00E600B7">
        <w:t xml:space="preserve"> discussing the question of assessing regulatory fees on market access grants, and the recent amendments to the statute.</w:t>
      </w:r>
      <w:r>
        <w:rPr>
          <w:rStyle w:val="FootnoteReference"/>
          <w:szCs w:val="22"/>
        </w:rPr>
        <w:footnoteReference w:id="91"/>
      </w:r>
    </w:p>
    <w:p w:rsidR="00584CDC" w:rsidRPr="00C932C7" w:rsidP="003D5095" w14:paraId="44427032" w14:textId="77777777">
      <w:pPr>
        <w:pStyle w:val="ParaNum"/>
        <w:widowControl/>
        <w:rPr>
          <w:kern w:val="0"/>
          <w:sz w:val="24"/>
        </w:rPr>
      </w:pPr>
      <w:r w:rsidRPr="00E600B7">
        <w:t>The core of our analysis started with our review of the language of section 9 and our conclusion that it supported adoption of regulatory fees for non-U.S. licensed space stations with U.S. market access.  We explained that the Act contemplates that we impose fees on regulatees that reflect the “benefits provided to the payor of the fee by the Commission’s activities.”</w:t>
      </w:r>
      <w:r>
        <w:rPr>
          <w:rStyle w:val="FootnoteReference"/>
          <w:szCs w:val="22"/>
        </w:rPr>
        <w:footnoteReference w:id="92"/>
      </w:r>
      <w:r w:rsidRPr="00E600B7">
        <w:t xml:space="preserve">  As part of such review, we explained that the text of the statute did not support an exemption or exclusion for non-U.S. licensed space stations granted market access</w:t>
      </w:r>
      <w:r>
        <w:t>.</w:t>
      </w:r>
      <w:r>
        <w:rPr>
          <w:rStyle w:val="FootnoteReference"/>
          <w:szCs w:val="22"/>
        </w:rPr>
        <w:footnoteReference w:id="93"/>
      </w:r>
      <w:r w:rsidRPr="000D1C2D">
        <w:t xml:space="preserve"> </w:t>
      </w:r>
      <w:r>
        <w:t xml:space="preserve"> And we concluded that holders of market access grants clearly benefit from the activities of the Commission—and nothing in the language of the Act suggests Congress intended to preclude such entities from the ambit of regulatory fees.  </w:t>
      </w:r>
      <w:r w:rsidRPr="00E600B7">
        <w:t>We also addressed arguments that the 1991 legislative history associated with the statute precluded assessing regulatory fees on market access grants and concluded that it did not.</w:t>
      </w:r>
      <w:r>
        <w:rPr>
          <w:rStyle w:val="FootnoteReference"/>
          <w:szCs w:val="22"/>
        </w:rPr>
        <w:footnoteReference w:id="94"/>
      </w:r>
      <w:r w:rsidRPr="00E600B7">
        <w:t xml:space="preserve">  We provided historical context of the 1991 legislative history language explaini</w:t>
      </w:r>
      <w:r w:rsidRPr="0062117D">
        <w:t>ng that when viewed in context this legislative history referred to entities such as INTELSAT and INMARSAT, which were international governmental organizations</w:t>
      </w:r>
      <w:r w:rsidRPr="0062117D">
        <w:t xml:space="preserve"> </w:t>
      </w:r>
      <w:r w:rsidRPr="0062117D">
        <w:t>formed as a result of international treaties and with explicit support by the United States through statutory and regulatory mechanisms, and as such did not preclude adopting our proposal.</w:t>
      </w:r>
      <w:r>
        <w:rPr>
          <w:rStyle w:val="FootnoteReference"/>
          <w:szCs w:val="22"/>
        </w:rPr>
        <w:footnoteReference w:id="95"/>
      </w:r>
      <w:r w:rsidRPr="0062117D">
        <w:t xml:space="preserve">  We concluded that the legislative </w:t>
      </w:r>
      <w:r w:rsidRPr="0062117D">
        <w:t>history of the Act posed no bar to assessing regulatory fees on non-U.S. licensed space stations granted U.S. market access</w:t>
      </w:r>
      <w:r>
        <w:rPr>
          <w:rStyle w:val="FootnoteReference"/>
          <w:szCs w:val="22"/>
        </w:rPr>
        <w:footnoteReference w:id="96"/>
      </w:r>
      <w:r w:rsidRPr="0062117D">
        <w:t xml:space="preserve"> via the formal process first adopted by the Commission in 1997.</w:t>
      </w:r>
      <w:r>
        <w:rPr>
          <w:rStyle w:val="FootnoteReference"/>
          <w:szCs w:val="22"/>
        </w:rPr>
        <w:footnoteReference w:id="97"/>
      </w:r>
    </w:p>
    <w:p w:rsidR="00584CDC" w:rsidRPr="00296FEE" w:rsidP="00584CDC" w14:paraId="43D6F81E" w14:textId="77777777">
      <w:pPr>
        <w:pStyle w:val="ParaNum"/>
        <w:rPr>
          <w:kern w:val="0"/>
          <w:sz w:val="24"/>
        </w:rPr>
      </w:pPr>
      <w:r w:rsidRPr="0062117D">
        <w:t>Kineis</w:t>
      </w:r>
      <w:r w:rsidRPr="0062117D">
        <w:t xml:space="preserve">, </w:t>
      </w:r>
      <w:r>
        <w:t>which</w:t>
      </w:r>
      <w:r w:rsidRPr="0062117D">
        <w:t xml:space="preserve"> did not previously participate in the proceeding, presents two variations on arguments raised by other commenters in the underlying proceeding.  </w:t>
      </w:r>
      <w:r w:rsidRPr="00223794">
        <w:t xml:space="preserve">For procedural reasons we conclude that we are not required to address these additional arguments.  </w:t>
      </w:r>
      <w:r w:rsidRPr="00223794">
        <w:t>Kineis</w:t>
      </w:r>
      <w:r w:rsidRPr="00223794">
        <w:t xml:space="preserve"> admits that in challenging (for the first time here) the Commission’s May 2020 decision assessing regulatory fees on non-U.S. market grants, it is not responding to anything in the </w:t>
      </w:r>
      <w:r>
        <w:rPr>
          <w:i/>
          <w:iCs/>
        </w:rPr>
        <w:t>2020 Regulatory Fee Reform Order</w:t>
      </w:r>
      <w:r w:rsidRPr="00223794">
        <w:t>.</w:t>
      </w:r>
      <w:r>
        <w:rPr>
          <w:rStyle w:val="FootnoteReference"/>
          <w:szCs w:val="22"/>
        </w:rPr>
        <w:footnoteReference w:id="98"/>
      </w:r>
      <w:r w:rsidRPr="00223794">
        <w:t xml:space="preserve">  And while we might nevertheless treat its arguments as a petition for reconsideration of the </w:t>
      </w:r>
      <w:r>
        <w:rPr>
          <w:i/>
          <w:iCs/>
        </w:rPr>
        <w:t>2020 Regulatory Fee Reform Order</w:t>
      </w:r>
      <w:r w:rsidRPr="00223794">
        <w:t xml:space="preserve">, </w:t>
      </w:r>
      <w:r w:rsidRPr="00223794">
        <w:t>Kineis</w:t>
      </w:r>
      <w:r w:rsidRPr="00223794">
        <w:t xml:space="preserve"> has not sought such treatment nor has it met the procedural requirements for a petition for reconsideration.</w:t>
      </w:r>
      <w:r>
        <w:rPr>
          <w:rStyle w:val="FootnoteReference"/>
          <w:szCs w:val="22"/>
        </w:rPr>
        <w:footnoteReference w:id="99"/>
      </w:r>
      <w:r w:rsidRPr="00223794">
        <w:t xml:space="preserve">  Thus, we dismiss the </w:t>
      </w:r>
      <w:r w:rsidRPr="00223794">
        <w:t>Kineis</w:t>
      </w:r>
      <w:r w:rsidRPr="00223794">
        <w:t xml:space="preserve"> filing to the extent it challenges the basis for our decision to assess regulatory fees on non-U.S. market grant or seeks reconsideration of that decision.</w:t>
      </w:r>
    </w:p>
    <w:p w:rsidR="00584CDC" w:rsidRPr="00C932C7" w:rsidP="00584CDC" w14:paraId="28F97B74" w14:textId="5608766D">
      <w:pPr>
        <w:pStyle w:val="ParaNum"/>
        <w:rPr>
          <w:kern w:val="0"/>
          <w:sz w:val="24"/>
        </w:rPr>
      </w:pPr>
      <w:r w:rsidRPr="00000BE0">
        <w:t xml:space="preserve">Turning to comments received in response to the </w:t>
      </w:r>
      <w:r w:rsidRPr="00000BE0">
        <w:rPr>
          <w:i/>
          <w:iCs/>
        </w:rPr>
        <w:t>FY 2020 NPRM</w:t>
      </w:r>
      <w:r>
        <w:t>, o</w:t>
      </w:r>
      <w:r w:rsidRPr="00223794">
        <w:t xml:space="preserve">n separate and independent grounds, we reject </w:t>
      </w:r>
      <w:r w:rsidRPr="00223794">
        <w:t>Kineis’s</w:t>
      </w:r>
      <w:r w:rsidRPr="00223794">
        <w:t xml:space="preserve"> arguments on their merits.  We address the two arguments that might be considered new under a generous analysis, but we will not rehash the other aspects of our prior decision.  First, </w:t>
      </w:r>
      <w:r w:rsidRPr="00223794">
        <w:t>Kineis</w:t>
      </w:r>
      <w:r w:rsidRPr="00223794">
        <w:t xml:space="preserve"> argues that the Commission “conflates ancillary generalized benefits that may arguably arise from FCC activities with the status of actually being an FCC-regulated entity.”</w:t>
      </w:r>
      <w:r>
        <w:rPr>
          <w:rStyle w:val="FootnoteReference"/>
          <w:szCs w:val="22"/>
        </w:rPr>
        <w:footnoteReference w:id="100"/>
      </w:r>
      <w:r w:rsidRPr="00223794">
        <w:t xml:space="preserve"> </w:t>
      </w:r>
      <w:r>
        <w:t xml:space="preserve"> </w:t>
      </w:r>
      <w:r w:rsidRPr="0062117D">
        <w:t xml:space="preserve">This argument shows that </w:t>
      </w:r>
      <w:r w:rsidRPr="0062117D">
        <w:t>Kineis</w:t>
      </w:r>
      <w:r w:rsidRPr="0062117D">
        <w:t xml:space="preserve"> misunderstands the focus of the annual regulatory fee proceeding.  The Commission is required by Congress to assess regulatory fees each year in an amount that can reasonably be expected to equal the amount of its appropriation.</w:t>
      </w:r>
      <w:r>
        <w:rPr>
          <w:rStyle w:val="FootnoteReference"/>
          <w:szCs w:val="22"/>
        </w:rPr>
        <w:footnoteReference w:id="101"/>
      </w:r>
      <w:r w:rsidRPr="0062117D">
        <w:t xml:space="preserve"> </w:t>
      </w:r>
      <w:r>
        <w:t xml:space="preserve"> </w:t>
      </w:r>
      <w:r w:rsidRPr="0062117D">
        <w:t>The Commission’s methodology for assessing regulatory fees must “reflect the full-time equi</w:t>
      </w:r>
      <w:r w:rsidRPr="00223794">
        <w:t>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102"/>
      </w:r>
      <w:r w:rsidRPr="0062117D">
        <w:t xml:space="preserve">  </w:t>
      </w:r>
      <w:r w:rsidRPr="00223794">
        <w:t>Our order amply explained how requests for market access have become a significant portion of the applications processed by the Commission and that holders of market access grants regularly participate in Commission activities.</w:t>
      </w:r>
      <w:r>
        <w:rPr>
          <w:rStyle w:val="FootnoteReference"/>
          <w:szCs w:val="22"/>
        </w:rPr>
        <w:footnoteReference w:id="103"/>
      </w:r>
      <w:r w:rsidRPr="00223794">
        <w:t xml:space="preserve">  </w:t>
      </w:r>
      <w:r w:rsidRPr="0062117D">
        <w:t xml:space="preserve">Thus, such entities derive </w:t>
      </w:r>
      <w:r w:rsidRPr="000815A6">
        <w:t xml:space="preserve">many benefits from the activities of Commission staff.  </w:t>
      </w:r>
      <w:r w:rsidRPr="00223794">
        <w:t xml:space="preserve">Adding market access </w:t>
      </w:r>
      <w:r w:rsidRPr="00223794">
        <w:t>grants to the space station regulatory fee category thus</w:t>
      </w:r>
      <w:r w:rsidRPr="0062117D">
        <w:t xml:space="preserve"> will fulfill Congress’s mandate that the Commission recover through regulatory fees the FTE resources costs associated with its activities.</w:t>
      </w:r>
      <w:r>
        <w:rPr>
          <w:rStyle w:val="FootnoteReference"/>
        </w:rPr>
        <w:footnoteReference w:id="104"/>
      </w:r>
      <w:r w:rsidRPr="0062117D">
        <w:t xml:space="preserve">  In this regard, we note that the Commission </w:t>
      </w:r>
      <w:r>
        <w:t xml:space="preserve">generally </w:t>
      </w:r>
      <w:r w:rsidRPr="0062117D">
        <w:t xml:space="preserve">measures the </w:t>
      </w:r>
      <w:r w:rsidRPr="000815A6">
        <w:t xml:space="preserve">benefits provided to regulatory fee payors in </w:t>
      </w:r>
      <w:r w:rsidR="00F66708">
        <w:t>s</w:t>
      </w:r>
      <w:r w:rsidRPr="000815A6">
        <w:t xml:space="preserve">ection 9 </w:t>
      </w:r>
      <w:r w:rsidRPr="00223794">
        <w:t>through analysis of FTE time devoted to the activities of the Commission funded by our salaries and expense appropriation.</w:t>
      </w:r>
      <w:r>
        <w:rPr>
          <w:rStyle w:val="FootnoteReference"/>
        </w:rPr>
        <w:footnoteReference w:id="105"/>
      </w:r>
      <w:r w:rsidRPr="0062117D">
        <w:t xml:space="preserve"> </w:t>
      </w:r>
      <w:r>
        <w:t xml:space="preserve"> </w:t>
      </w:r>
      <w:r w:rsidRPr="0062117D">
        <w:t xml:space="preserve">Additionally, </w:t>
      </w:r>
      <w:r w:rsidRPr="0062117D">
        <w:t>Kineis</w:t>
      </w:r>
      <w:r w:rsidRPr="0062117D">
        <w:t xml:space="preserve"> argues that </w:t>
      </w:r>
      <w:r w:rsidRPr="000815A6">
        <w:t>non-U.S.-licensed space stations are not subject to regulatory fees because they provide “nonregulated services.”</w:t>
      </w:r>
      <w:r>
        <w:rPr>
          <w:rStyle w:val="FootnoteReference"/>
        </w:rPr>
        <w:footnoteReference w:id="106"/>
      </w:r>
      <w:r w:rsidRPr="0062117D">
        <w:t xml:space="preserve">  The argumen</w:t>
      </w:r>
      <w:r w:rsidRPr="00223794">
        <w:t xml:space="preserve">t ignores the fact that </w:t>
      </w:r>
      <w:r w:rsidRPr="0062117D">
        <w:t>operators of non-U.S.-licensed space stations granted</w:t>
      </w:r>
      <w:r w:rsidRPr="000815A6">
        <w:t xml:space="preserve"> market access are subject to the same service </w:t>
      </w:r>
      <w:r w:rsidRPr="00223794">
        <w:t>rules and operating conditions as those that apply to U.S. licensed operators.</w:t>
      </w:r>
      <w:r>
        <w:rPr>
          <w:rStyle w:val="FootnoteReference"/>
        </w:rPr>
        <w:footnoteReference w:id="107"/>
      </w:r>
      <w:r w:rsidRPr="0062117D">
        <w:t xml:space="preserve">  Moreover, as explained in detail in our </w:t>
      </w:r>
      <w:r w:rsidRPr="005E2B12" w:rsidR="005E2B12">
        <w:rPr>
          <w:i/>
          <w:iCs/>
        </w:rPr>
        <w:t>2020 Regulatory Fee Reform</w:t>
      </w:r>
      <w:r w:rsidRPr="005A1475" w:rsidR="005E2B12">
        <w:rPr>
          <w:i/>
        </w:rPr>
        <w:t xml:space="preserve"> </w:t>
      </w:r>
      <w:r w:rsidRPr="005A1475">
        <w:rPr>
          <w:i/>
        </w:rPr>
        <w:t>Order</w:t>
      </w:r>
      <w:r w:rsidRPr="0062117D">
        <w:t>, we have re-evaluated our prior conclusions stemming from the legislative history.</w:t>
      </w:r>
      <w:r>
        <w:rPr>
          <w:rStyle w:val="FootnoteReference"/>
        </w:rPr>
        <w:footnoteReference w:id="108"/>
      </w:r>
    </w:p>
    <w:p w:rsidR="00584CDC" w:rsidRPr="00C932C7" w:rsidP="00584CDC" w14:paraId="0601E1D8" w14:textId="77777777">
      <w:pPr>
        <w:pStyle w:val="ParaNum"/>
        <w:rPr>
          <w:kern w:val="0"/>
          <w:sz w:val="24"/>
        </w:rPr>
      </w:pPr>
      <w:r w:rsidRPr="00E600B7">
        <w:t xml:space="preserve">Finally, turning to the </w:t>
      </w:r>
      <w:r>
        <w:t>suggestion</w:t>
      </w:r>
      <w:r w:rsidRPr="00E600B7">
        <w:t xml:space="preserve"> that the Commission should adopt a contin</w:t>
      </w:r>
      <w:r>
        <w:t>g</w:t>
      </w:r>
      <w:r w:rsidRPr="00E600B7">
        <w:t>ency plan in the event our decision is reversed on appeal, we decline to do so.  In the event of reversal on appeal</w:t>
      </w:r>
      <w:r>
        <w:t xml:space="preserve">, a </w:t>
      </w:r>
      <w:r w:rsidRPr="00E600B7">
        <w:t xml:space="preserve">remand or other similar </w:t>
      </w:r>
      <w:r>
        <w:t>possibilities</w:t>
      </w:r>
      <w:r w:rsidRPr="00E600B7">
        <w:t>, the FCC would review the decision</w:t>
      </w:r>
      <w:r w:rsidRPr="005974A4">
        <w:t xml:space="preserve"> </w:t>
      </w:r>
      <w:r>
        <w:t>and abide by any court order as well as its statutory duties</w:t>
      </w:r>
      <w:r w:rsidRPr="00E600B7">
        <w:t>.</w:t>
      </w:r>
    </w:p>
    <w:p w:rsidR="00584CDC" w:rsidP="009541C1" w14:paraId="1141C0A3" w14:textId="77777777">
      <w:pPr>
        <w:pStyle w:val="ParaNum"/>
        <w:widowControl/>
      </w:pPr>
      <w:bookmarkStart w:id="73" w:name="_Hlk37860230"/>
      <w:bookmarkEnd w:id="73"/>
      <w:r>
        <w:t>We also disagree with arguments that the proposed regulatory fees for non-U.S licensed space stations with U.S. market access grants are too high because we set the same regulatory fee for U.S. licensed and non-U.S. licensed space stations.</w:t>
      </w:r>
      <w:r>
        <w:rPr>
          <w:rStyle w:val="FootnoteReference"/>
        </w:rPr>
        <w:footnoteReference w:id="109"/>
      </w:r>
      <w:r>
        <w:t xml:space="preserve">  As we discussed in the </w:t>
      </w:r>
      <w:r w:rsidRPr="00F479F2">
        <w:rPr>
          <w:i/>
          <w:iCs/>
        </w:rPr>
        <w:t>FY 2020 NPRM</w:t>
      </w:r>
      <w:r>
        <w:t>, the number of space stations seeking U.S. market access has continued to increase each year; in 2019 there were more market access petitions than U.S. space station applications.</w:t>
      </w:r>
      <w:r>
        <w:rPr>
          <w:rStyle w:val="FootnoteReference"/>
        </w:rPr>
        <w:footnoteReference w:id="110"/>
      </w:r>
      <w:r>
        <w:t xml:space="preserve">  In addition, as we noted, foreign-licensed space station operators participate actively in Commission rulemaking proceedings and benefit from Commission monitoring and enforcement activities.</w:t>
      </w:r>
      <w:r>
        <w:rPr>
          <w:rStyle w:val="FootnoteReference"/>
        </w:rPr>
        <w:footnoteReference w:id="111"/>
      </w:r>
      <w:r>
        <w:t xml:space="preserve">  We concluded that the Commission devotes significant resources to processing the growing number of market access petitions of non-U.S. licensed satellites and that those foreign licensed satellites with U.S. market access benefit from much of the same oversight and regulation by the Commission as the U.S. licensed satellites.</w:t>
      </w:r>
      <w:r>
        <w:rPr>
          <w:rStyle w:val="FootnoteReference"/>
        </w:rPr>
        <w:footnoteReference w:id="112"/>
      </w:r>
      <w:r>
        <w:t xml:space="preserve">  For that reason, we concluded that assessing the same regulatory fees on non-U.S. licensed space stations with market access </w:t>
      </w:r>
      <w:r>
        <w:t xml:space="preserve">grants as we assess on U.S. licensed space stations will better reflect the benefits received by these operators through the Commission’s adjudicatory, enforcement, regulatory, and international coordination activities and will promote regulatory parity and fairness among space station operators by evenly distributing the regulatory cost recovery.  And we disagree that the recategorization of four FTEs </w:t>
      </w:r>
      <w:r w:rsidRPr="00DF6220">
        <w:rPr>
          <w:i/>
          <w:iCs/>
        </w:rPr>
        <w:t>five</w:t>
      </w:r>
      <w:r>
        <w:t xml:space="preserve"> years ago from direct to indirect should determine the space station regulatory fee for FY 2020.</w:t>
      </w:r>
      <w:r>
        <w:rPr>
          <w:rStyle w:val="FootnoteReference"/>
        </w:rPr>
        <w:footnoteReference w:id="113"/>
      </w:r>
      <w:r>
        <w:t xml:space="preserve">  Whatever the relative apportionment of work between U.S. licensees and non-U.S. licensed space stations with market access, our current assessment of the work performed by FTEs leads us to find that equal treatment is in order.  </w:t>
      </w:r>
    </w:p>
    <w:p w:rsidR="00584CDC" w:rsidP="00584CDC" w14:paraId="2287E44A" w14:textId="77777777">
      <w:pPr>
        <w:pStyle w:val="ParaNum"/>
      </w:pPr>
      <w:r>
        <w:t>Finally, the non-U.S. licensed satellite operators argue that they should not pay the same amount of indirect costs as the U.S. licensed satellite operators because they receive fewer benefits from the Commission.</w:t>
      </w:r>
      <w:r>
        <w:rPr>
          <w:rStyle w:val="FootnoteReference"/>
        </w:rPr>
        <w:footnoteReference w:id="114"/>
      </w:r>
      <w:r>
        <w:t xml:space="preserve">  They contend that the Commission’s regulatory activity at international organizations is designed to promote and protect the interests of U.S. satellite operators and that the indirect FTEs across the agency largely support U.S. telecommunications policy.</w:t>
      </w:r>
      <w:r>
        <w:rPr>
          <w:rStyle w:val="FootnoteReference"/>
        </w:rPr>
        <w:footnoteReference w:id="115"/>
      </w:r>
      <w:r>
        <w:t xml:space="preserve">  Commenters contend that FTE-based costs associated with non-U.S. licensed space stations are a fraction of those associated with U.S. licensed space stations, imposing the same regulatory fee would require the foreign-licensed space stations to subsidize U.S. licensed satellite operators.</w:t>
      </w:r>
      <w:r>
        <w:rPr>
          <w:rStyle w:val="FootnoteReference"/>
        </w:rPr>
        <w:footnoteReference w:id="116"/>
      </w:r>
      <w:r>
        <w:t xml:space="preserve">  </w:t>
      </w:r>
    </w:p>
    <w:p w:rsidR="00584CDC" w:rsidP="00584CDC" w14:paraId="524DB1C4" w14:textId="77777777">
      <w:pPr>
        <w:pStyle w:val="ParaNum"/>
      </w:pPr>
      <w:r>
        <w:t>U.S. licensed satellite operators disagree and observe that the non-U.S. licensed satellite operators receive the same or more benefits from the Commission as do U.S. licensed satellite operators.</w:t>
      </w:r>
      <w:r>
        <w:rPr>
          <w:rStyle w:val="FootnoteReference"/>
        </w:rPr>
        <w:footnoteReference w:id="117"/>
      </w:r>
      <w:r>
        <w:t xml:space="preserve">  They observe that in another proceeding the non-U.S. licensed operators in the C-Band Alliance have stressed the practical similarities between the market access grants and U.S. licensed space stations.</w:t>
      </w:r>
      <w:r>
        <w:rPr>
          <w:rStyle w:val="FootnoteReference"/>
        </w:rPr>
        <w:footnoteReference w:id="118"/>
      </w:r>
      <w:r>
        <w:t xml:space="preserve">  SpaceX contends that the foreign licensed operators overlook the tremendous benefit of access to the U.S market and that the Commission’s regulatory activities maximize the value of the market access.</w:t>
      </w:r>
      <w:r>
        <w:rPr>
          <w:rStyle w:val="FootnoteReference"/>
        </w:rPr>
        <w:footnoteReference w:id="119"/>
      </w:r>
      <w:r>
        <w:t xml:space="preserve">  </w:t>
      </w:r>
    </w:p>
    <w:p w:rsidR="00584CDC" w:rsidP="00584CDC" w14:paraId="09A97F9A" w14:textId="77777777">
      <w:pPr>
        <w:pStyle w:val="ParaNum"/>
      </w:pPr>
      <w:r>
        <w:t>We find that the non-U.S. licensed operators are ignoring the fact that the Commission devotes significant resources to processing the growing number of market access petitions of foreign licensed satellites and that the foreign licensed satellite operators benefit from much of the same oversight and regulation by the Commission as the U.S. licensed satellites.  For example, processing a petition for market access requires evaluation of the same legal and technical information as required of U.S. licensed applicants.  The operators of non-U.S. licensed space stations also benefit from the Commission’s oversight efforts regarding all space and earth station operations in the U.S. market, since enforcement of Commission rules and policies in connection with all operators provides a fair and safe environment for all participants in the U.S. marketplace.  The Commission’s adjudication, rulemaking, and international coordination efforts benefit all U.S. marketplace participants by evaluating and minimizing the risks of radiofrequency interference, increasing the number of participants in the U.S. satellite market, opening up additional frequency bands for use by satellite services, providing a level and uniform regime for mitigating the danger of orbital debris, and streamlining Commission rules that apply to all providers of satellite services in the United States.</w:t>
      </w:r>
      <w:r>
        <w:rPr>
          <w:vertAlign w:val="superscript"/>
        </w:rPr>
        <w:footnoteReference w:id="120"/>
      </w:r>
      <w:r>
        <w:t xml:space="preserve">  The active participation of operators of non-U.S. licensed space </w:t>
      </w:r>
      <w:r>
        <w:t>stations in these adjudications and rulemakings demonstrates that they recognize benefits from Commission action to their operations within the U.S. market.</w:t>
      </w:r>
      <w:r>
        <w:rPr>
          <w:vertAlign w:val="superscript"/>
        </w:rPr>
        <w:footnoteReference w:id="121"/>
      </w:r>
      <w:r>
        <w:t xml:space="preserve">  Thus, the significant benefits to non-U.S. licensed satellites with U.S. market access support including them in the GSO and NGSO regulatory fee categories for U.S. licensed space stations.</w:t>
      </w:r>
    </w:p>
    <w:p w:rsidR="00584CDC" w:rsidP="00584CDC" w14:paraId="4690F0CA" w14:textId="77777777">
      <w:pPr>
        <w:pStyle w:val="ParaNum"/>
      </w:pPr>
      <w:r>
        <w:t>To the extent some commenters argue that foreign licensed space stations do not benefit from Commission regulatory activity after the space station is operational,</w:t>
      </w:r>
      <w:r>
        <w:rPr>
          <w:rStyle w:val="FootnoteReference"/>
        </w:rPr>
        <w:footnoteReference w:id="122"/>
      </w:r>
      <w:r>
        <w:t xml:space="preserve"> and that compliance with market access conditions are pre-operational assessments that occur before the licensee is subject to any regulatory fees, we disagree.  Both U.S. licensed space stations and non-U.S. licensed space stations often make changes to their operations after they have been brought into service, through modification applications or petitions.</w:t>
      </w:r>
      <w:r>
        <w:rPr>
          <w:rStyle w:val="FootnoteReference"/>
        </w:rPr>
        <w:footnoteReference w:id="123"/>
      </w:r>
      <w:r>
        <w:t xml:space="preserve">  Ongoing U.S. licensed and non-U.S. licensed space station operations are subject to, and benefit from, the rulemaking and other regulatory activities described above during the entire service period of the space station.  In addition, we do not agree that the relevant processing costs incurred should only be assessed in the country where the space station is licensed, and that assessing fees in the United States for the same processing costs would be duplicative.</w:t>
      </w:r>
      <w:r>
        <w:rPr>
          <w:rStyle w:val="FootnoteReference"/>
        </w:rPr>
        <w:footnoteReference w:id="124"/>
      </w:r>
      <w:r>
        <w:t xml:space="preserve">  The processing costs assessed by the licensing country correspond to work that is independent to that performed by the Commission.  Moreover, the Commission’s substantial regulatory efforts for satellite services benefit non-U.S. licensed space station operators with market access and it would be inequitable to continue charging only U.S. licensees for these benefits to foreign operators.</w:t>
      </w:r>
    </w:p>
    <w:p w:rsidR="00584CDC" w:rsidP="00584CDC" w14:paraId="417257EA" w14:textId="77777777">
      <w:pPr>
        <w:pStyle w:val="ParaNum"/>
      </w:pPr>
      <w:r>
        <w:t>Commenters also argue that we should exempt or adopt a reduced fee for non-U.S. licensed GSO satellites in certain circumstances.  We adopt one of these proposals and reject the others.</w:t>
      </w:r>
    </w:p>
    <w:p w:rsidR="00584CDC" w:rsidP="00584CDC" w14:paraId="5AA38060" w14:textId="77777777">
      <w:pPr>
        <w:pStyle w:val="ParaNum"/>
      </w:pPr>
      <w:r>
        <w:t>Eutelsat argues that U.S. licensed earth stations onboard vessels (ESVs) operating outside U.S. territorial waters and communicating with foreign licensed satellites should not be subject to regulatory fees.</w:t>
      </w:r>
      <w:r>
        <w:rPr>
          <w:rStyle w:val="FootnoteReference"/>
        </w:rPr>
        <w:footnoteReference w:id="125"/>
      </w:r>
      <w:r>
        <w:t xml:space="preserve">  These operations are similar, in regulatory treatment, to those of earth stations aboard aircraft (ESAAs) operating outside the United States and communicating with non-U.S. licensed space stations.  In the </w:t>
      </w:r>
      <w:r>
        <w:rPr>
          <w:i/>
          <w:iCs/>
        </w:rPr>
        <w:t>2020 Regulatory Fee Reform Order</w:t>
      </w:r>
      <w:r>
        <w:t>, the Commission excluded from regulatory fee obligations operators of non-U.S. licensed space stations t</w:t>
      </w:r>
      <w:bookmarkStart w:id="74" w:name="_Hlk45288526"/>
      <w:r>
        <w:t xml:space="preserve">hat are listed as a point of communication on </w:t>
      </w:r>
      <w:r>
        <w:t>ESAA licenses</w:t>
      </w:r>
      <w:bookmarkEnd w:id="74"/>
      <w:r>
        <w:t xml:space="preserve">, if the ESAA license clearly limits U.S. licensed ESAA terminals’ access to these non-U.S. licensed space stations to situations in which these terminals are in foreign territories and/or over international waters </w:t>
      </w:r>
      <w:bookmarkStart w:id="75" w:name="_Hlk45288714"/>
      <w:r>
        <w:t>and the license does not otherwise allow the non-U.S. licensed space station access to the U.S. market</w:t>
      </w:r>
      <w:bookmarkEnd w:id="75"/>
      <w:r>
        <w:t>.</w:t>
      </w:r>
      <w:r>
        <w:rPr>
          <w:rStyle w:val="FootnoteReference"/>
        </w:rPr>
        <w:footnoteReference w:id="126"/>
      </w:r>
      <w:r>
        <w:t xml:space="preserve">  We agree that the same rationale also applies here.  Accordingly, </w:t>
      </w:r>
      <w:r w:rsidRPr="00C358E1">
        <w:t xml:space="preserve">non-U.S. licensed space stations </w:t>
      </w:r>
      <w:r>
        <w:t>t</w:t>
      </w:r>
      <w:r w:rsidRPr="00C358E1">
        <w:t>hat are listed as a point of communication on E</w:t>
      </w:r>
      <w:r>
        <w:t>SV</w:t>
      </w:r>
      <w:r w:rsidRPr="00C358E1">
        <w:t xml:space="preserve"> licenses</w:t>
      </w:r>
      <w:r>
        <w:t xml:space="preserve"> are exempt from the regulatory fee obligations </w:t>
      </w:r>
      <w:r w:rsidRPr="007F066D">
        <w:t>if the ES</w:t>
      </w:r>
      <w:r>
        <w:t>V</w:t>
      </w:r>
      <w:r w:rsidRPr="007F066D">
        <w:t xml:space="preserve"> license clearly limits U.S. licensed ES</w:t>
      </w:r>
      <w:r>
        <w:t>V</w:t>
      </w:r>
      <w:r w:rsidRPr="007F066D">
        <w:t xml:space="preserve"> terminals’ access to these non-U.S. licensed space stations to situations in which these terminals are </w:t>
      </w:r>
      <w:r w:rsidRPr="00C358E1">
        <w:t>in foreign territories and/or international waters</w:t>
      </w:r>
      <w:r w:rsidRPr="007F066D">
        <w:t xml:space="preserve"> and the license does not otherwise allow the non-U.S. licensed space station access to the U.S. market</w:t>
      </w:r>
      <w:r>
        <w:t>.</w:t>
      </w:r>
      <w:r w:rsidRPr="00C358E1">
        <w:t xml:space="preserve"> </w:t>
      </w:r>
    </w:p>
    <w:p w:rsidR="00584CDC" w:rsidP="00584CDC" w14:paraId="4D80D0F2" w14:textId="77777777">
      <w:pPr>
        <w:pStyle w:val="ParaNum"/>
      </w:pPr>
      <w:r>
        <w:t>Two commenters propose fee exemptions for certain non-U.S. licensed satellite systems based on the theory that they are not actually providing services in the United States.</w:t>
      </w:r>
      <w:r>
        <w:rPr>
          <w:rStyle w:val="FootnoteReference"/>
        </w:rPr>
        <w:footnoteReference w:id="127"/>
      </w:r>
      <w:r>
        <w:t xml:space="preserve">  </w:t>
      </w:r>
      <w:r>
        <w:t>Astranis</w:t>
      </w:r>
      <w:r>
        <w:t xml:space="preserve"> proposes that foreign licensed satellites accessing U.S. gateway/feeder link earth stations should be exempt from regulatory fees, because these satellites are not providing commercial services to the U.S. market but are just obtaining services from the U.S.-based earth stations.</w:t>
      </w:r>
      <w:r>
        <w:rPr>
          <w:rStyle w:val="FootnoteReference"/>
        </w:rPr>
        <w:footnoteReference w:id="128"/>
      </w:r>
      <w:r>
        <w:t xml:space="preserve">  Like the earth stations only providing telemetry, tracking, and command (TT&amp;C) services that were exempted from regulatory fees, </w:t>
      </w:r>
      <w:r w:rsidRPr="007F066D">
        <w:t>Astranis</w:t>
      </w:r>
      <w:r>
        <w:t xml:space="preserve"> argues, the provision of gateway or feeder link services to foreign satellites is a benefit to the earth station operators.</w:t>
      </w:r>
      <w:r>
        <w:rPr>
          <w:rStyle w:val="FootnoteReference"/>
        </w:rPr>
        <w:footnoteReference w:id="129"/>
      </w:r>
      <w:r>
        <w:t xml:space="preserve">  AWS proposes that non-U.S. licensed NGSO systems that downlink traffic to U.S. licensed earth stations, solely for immediate transit outside the United States and not intended for U.S. customers, should be exempt from regulatory fees.</w:t>
      </w:r>
      <w:r>
        <w:rPr>
          <w:rStyle w:val="FootnoteReference"/>
        </w:rPr>
        <w:footnoteReference w:id="130"/>
      </w:r>
    </w:p>
    <w:p w:rsidR="00584CDC" w:rsidP="00584CDC" w14:paraId="61DCA73C" w14:textId="77777777">
      <w:pPr>
        <w:pStyle w:val="ParaNum"/>
      </w:pPr>
      <w:r>
        <w:t>We disagree with both proposals.  Unlike the limited exemptions adopted for operations exclusively outside the United States or for TT&amp;C operations that are directed to the safe and effective operation of the satellite in orbit, the proposed exceptions are for services provided in the United States and involve data operations unrelated to the safe and effective</w:t>
      </w:r>
      <w:r w:rsidRPr="00C1658E">
        <w:t xml:space="preserve"> satellite </w:t>
      </w:r>
      <w:r>
        <w:t xml:space="preserve">operations </w:t>
      </w:r>
      <w:r w:rsidRPr="00C1658E">
        <w:t>in orbit</w:t>
      </w:r>
      <w:r>
        <w:t>.  These data services could involve significant data exchange traffic in the United States.  Feeder link earth stations are located in the United States and carry data to and from various users.  Further, the direction of the data flow is irrelevant in the context of regulatory fees.  Whether the U.S. market access is allowing an earth station to provide service to a space station, or a space station is providing service to an earth station does not affect our cost of regulating GSOs and NSGOs.  Space stations also benefit from our regulatory actions regardless of the direction of the data flow or whether services are provided ultimately to end users in the United States.  We see no basis to exempt this half of the satellite data link for regulatory fee purposes.  Further, the fact that data is immediately transferred out of the United States does not affect the spectrum usage or the need for Commission efforts to ensure interference-free operations for links from NGSO systems in the United States.  We therefore reject both proposals.</w:t>
      </w:r>
    </w:p>
    <w:p w:rsidR="00584CDC" w:rsidP="00584CDC" w14:paraId="69088209" w14:textId="77777777">
      <w:pPr>
        <w:pStyle w:val="ParaNum"/>
      </w:pPr>
      <w:r>
        <w:t xml:space="preserve">Two commenters propose exemptions or reduced fees based on coverage area.  </w:t>
      </w:r>
      <w:r>
        <w:t>Astranis</w:t>
      </w:r>
      <w:r>
        <w:t xml:space="preserve"> proposes that we adopt a tiered fee structure based on the U.S. population with the satellite’s coverage area, so that the non-U.S. licensed satellite regulatory fee can more directly relate to the costs incurred by the Commission and benefits received by the U.S. and foreign licensed payors.</w:t>
      </w:r>
      <w:r>
        <w:rPr>
          <w:rStyle w:val="FootnoteReference"/>
        </w:rPr>
        <w:footnoteReference w:id="131"/>
      </w:r>
      <w:r>
        <w:t xml:space="preserve">  SES proposes that foreign licensed satellites whose U.S. coverage is limited to one or more territories in the Pacific Ocean (Guam, American Samoa, Midway Island, Wake Island, and the Northern Mariana Islands) be exempt from regulatory fees because of the distance from mainland United States and the few number of potential </w:t>
      </w:r>
      <w:r>
        <w:t>customers located on these islands.</w:t>
      </w:r>
      <w:r>
        <w:rPr>
          <w:rStyle w:val="FootnoteReference"/>
        </w:rPr>
        <w:footnoteReference w:id="132"/>
      </w:r>
      <w:r>
        <w:t xml:space="preserve">  According to SES, while this is not a concrete problem in the current regulatory fee cycle, it is a recurring issue that will arise when a customer on a U.S. territory in the Pacific needs satellite capacity and the regulatory fee would create an economic barrier to providing access.</w:t>
      </w:r>
      <w:r>
        <w:rPr>
          <w:rStyle w:val="FootnoteReference"/>
        </w:rPr>
        <w:footnoteReference w:id="133"/>
      </w:r>
      <w:r>
        <w:t xml:space="preserve">  </w:t>
      </w:r>
      <w:r>
        <w:t>Astranis</w:t>
      </w:r>
      <w:r>
        <w:t xml:space="preserve"> contends that similar considerations apply to other remote and underserved areas, such as Alaska, Hawaii, and U.S. Caribbean territories.</w:t>
      </w:r>
      <w:r>
        <w:rPr>
          <w:rStyle w:val="FootnoteReference"/>
        </w:rPr>
        <w:footnoteReference w:id="134"/>
      </w:r>
      <w:r>
        <w:t xml:space="preserve">  It argues an exception for these areas would allow satellite operators to better meet the Commission’s goal of affordable, high-speed Internet access in those underserved areas.</w:t>
      </w:r>
      <w:r>
        <w:rPr>
          <w:rStyle w:val="FootnoteReference"/>
        </w:rPr>
        <w:footnoteReference w:id="135"/>
      </w:r>
      <w:r>
        <w:t xml:space="preserve">  </w:t>
      </w:r>
      <w:r>
        <w:t>Astranis</w:t>
      </w:r>
      <w:r>
        <w:t xml:space="preserve"> proposes that we exempt from regulatory fees a satellite with a service area outside the contiguous United States comprising less than one percent of the U.S. population.</w:t>
      </w:r>
      <w:r>
        <w:rPr>
          <w:rStyle w:val="FootnoteReference"/>
        </w:rPr>
        <w:footnoteReference w:id="136"/>
      </w:r>
    </w:p>
    <w:p w:rsidR="00584CDC" w:rsidP="00584CDC" w14:paraId="067179ED" w14:textId="77777777">
      <w:pPr>
        <w:pStyle w:val="ParaNum"/>
      </w:pPr>
      <w:r>
        <w:t>Telesat</w:t>
      </w:r>
      <w:r>
        <w:t xml:space="preserve"> disagrees with this proposal to exempt non-U.S. licensed satellites from regulatory fees because these factors would apply equally to U.S. licensed satellites and also to other geographic areas.</w:t>
      </w:r>
      <w:r>
        <w:rPr>
          <w:rStyle w:val="FootnoteReference"/>
        </w:rPr>
        <w:footnoteReference w:id="137"/>
      </w:r>
      <w:r>
        <w:t xml:space="preserve">  </w:t>
      </w:r>
      <w:r>
        <w:t>Telesat</w:t>
      </w:r>
      <w:r>
        <w:t xml:space="preserve"> suggests that if a foreign or U.S. licensed operator contends that under certain facts it would be inappropriate to pay regulatory fees, they should request a waiver.</w:t>
      </w:r>
      <w:r>
        <w:rPr>
          <w:rStyle w:val="FootnoteReference"/>
        </w:rPr>
        <w:footnoteReference w:id="138"/>
      </w:r>
      <w:r>
        <w:t xml:space="preserve">  We agree with </w:t>
      </w:r>
      <w:r>
        <w:t>Telesat</w:t>
      </w:r>
      <w:r>
        <w:t xml:space="preserve"> and reject the argument for exemptions or reduced fees based on the U.S. geographic areas served by the space station.  Commenters have not shown that providing service to a remote area would reduce the International Bureau’s costs or affect the benefits to the </w:t>
      </w:r>
      <w:r>
        <w:t>regulatee</w:t>
      </w:r>
      <w:r>
        <w:t xml:space="preserve">.  </w:t>
      </w:r>
    </w:p>
    <w:p w:rsidR="00584CDC" w:rsidP="00593971" w14:paraId="4A5F26BB" w14:textId="77777777">
      <w:pPr>
        <w:pStyle w:val="Heading2"/>
      </w:pPr>
      <w:bookmarkStart w:id="76" w:name="_Toc47539506"/>
      <w:bookmarkStart w:id="77" w:name="_Toc47692778"/>
      <w:bookmarkStart w:id="78" w:name="_Toc48832345"/>
      <w:bookmarkStart w:id="79" w:name="_Toc48919586"/>
      <w:bookmarkStart w:id="80" w:name="_Toc44602740"/>
      <w:bookmarkStart w:id="81" w:name="_Toc44608828"/>
      <w:r>
        <w:t>Non-Geostationary Orbit Space Station Regulatory Fees</w:t>
      </w:r>
      <w:bookmarkEnd w:id="76"/>
      <w:bookmarkEnd w:id="77"/>
      <w:bookmarkEnd w:id="78"/>
      <w:bookmarkEnd w:id="79"/>
    </w:p>
    <w:bookmarkEnd w:id="80"/>
    <w:bookmarkEnd w:id="81"/>
    <w:p w:rsidR="00584CDC" w:rsidP="00584CDC" w14:paraId="3F5D9F29" w14:textId="77777777">
      <w:pPr>
        <w:pStyle w:val="ParaNum"/>
      </w:pPr>
      <w:r>
        <w:t xml:space="preserve">In the </w:t>
      </w:r>
      <w:r>
        <w:rPr>
          <w:i/>
          <w:iCs/>
        </w:rPr>
        <w:t>2020 Regulatory Fee Reform Order</w:t>
      </w:r>
      <w:r>
        <w:t xml:space="preserve"> we decided to allocate 80% of space station fees to GSO space stations and 20% of space stations fees to NGSO space stations based upon the number of applications processed, the rulemakings, and the number of FTEs working on oversight for each category of operators.</w:t>
      </w:r>
      <w:r>
        <w:rPr>
          <w:rStyle w:val="FootnoteReference"/>
        </w:rPr>
        <w:footnoteReference w:id="139"/>
      </w:r>
      <w:r>
        <w:t xml:space="preserve">  In response to the proposed GSO and NGSO regulatory fees in the </w:t>
      </w:r>
      <w:r w:rsidRPr="00481BBB">
        <w:rPr>
          <w:i/>
          <w:iCs/>
        </w:rPr>
        <w:t>FY 2020 NRPM</w:t>
      </w:r>
      <w:r>
        <w:t>, commenters assert that we should adopt separate fee categories for distinct types of NGSO systems,</w:t>
      </w:r>
      <w:r>
        <w:rPr>
          <w:rStyle w:val="FootnoteReference"/>
        </w:rPr>
        <w:footnoteReference w:id="140"/>
      </w:r>
      <w:r>
        <w:t xml:space="preserve"> argue we should phase in the NGSO fee increase and not increase by more than 7.5% per year,</w:t>
      </w:r>
      <w:r>
        <w:rPr>
          <w:rStyle w:val="FootnoteReference"/>
        </w:rPr>
        <w:footnoteReference w:id="141"/>
      </w:r>
      <w:r>
        <w:t xml:space="preserve"> and question the accuracy of our list of non-U.S. licensed space stations granted market access that would be subject to regulatory fees.</w:t>
      </w:r>
      <w:r>
        <w:rPr>
          <w:rStyle w:val="FootnoteReference"/>
        </w:rPr>
        <w:footnoteReference w:id="142"/>
      </w:r>
      <w:r>
        <w:t xml:space="preserve">  We find that there is not sufficient evidence in the record to establish different fees for NGSO systems at this time and are seeking comment on the issue in the attached Further Notice of Proposed Rulemaking.  We decline to phase in the NGSO fee increase as inconsistent with section 9 of the Act and adopt the proposed fees, adjusted to take into account changes to the number of assessible satellites.  We agree, however, with the suggestion to publish a list of the space stations and systems in operation that would be subject to regulatory fees and attach such list in Appendix F.</w:t>
      </w:r>
    </w:p>
    <w:p w:rsidR="00584CDC" w:rsidP="00584CDC" w14:paraId="05AFCFD3" w14:textId="1EADFC49">
      <w:pPr>
        <w:pStyle w:val="ParaNum"/>
      </w:pPr>
      <w:r>
        <w:t>We disagree with commenters that object to the proposed fees for NGSO systems as too high for certain NGSOs and contend that the Commission should adopt separate fee categories for distinct types of NGSO systems,</w:t>
      </w:r>
      <w:r>
        <w:rPr>
          <w:rStyle w:val="FootnoteReference"/>
        </w:rPr>
        <w:footnoteReference w:id="143"/>
      </w:r>
      <w:r>
        <w:t xml:space="preserve"> that the Commission should apportion the FTEs based on different types of </w:t>
      </w:r>
      <w:r>
        <w:t>NGSOs,</w:t>
      </w:r>
      <w:r>
        <w:rPr>
          <w:rStyle w:val="FootnoteReference"/>
        </w:rPr>
        <w:footnoteReference w:id="144"/>
      </w:r>
      <w:r>
        <w:t xml:space="preserve"> or that we have not established that the actual benefits provided to NGSO payors are equal.</w:t>
      </w:r>
      <w:r>
        <w:rPr>
          <w:rStyle w:val="FootnoteReference"/>
        </w:rPr>
        <w:footnoteReference w:id="145"/>
      </w:r>
      <w:r>
        <w:t xml:space="preserve">  That NGSO systems may differ in size or other characteristics does not preclude grouping them in the same fee category.  The Commission groups similar services for regulatory fee purposes, regardless of the varying regulatory obligations of each entity and without calculating how many FTEs are devoted to each individual regulation, because activity levels and participation in specific proceedings may change from year to year.  </w:t>
      </w:r>
      <w:r w:rsidRPr="00F479F2">
        <w:rPr>
          <w:szCs w:val="22"/>
        </w:rPr>
        <w:t xml:space="preserve">As the Commission discussed in the </w:t>
      </w:r>
      <w:r w:rsidRPr="00F479F2">
        <w:rPr>
          <w:i/>
          <w:szCs w:val="22"/>
        </w:rPr>
        <w:t>FY 2017 Report and Order</w:t>
      </w:r>
      <w:r w:rsidRPr="00F479F2">
        <w:rPr>
          <w:szCs w:val="22"/>
        </w:rPr>
        <w:t>,</w:t>
      </w:r>
      <w:r>
        <w:rPr>
          <w:rStyle w:val="FootnoteReference"/>
          <w:szCs w:val="22"/>
        </w:rPr>
        <w:footnoteReference w:id="146"/>
      </w:r>
      <w:r w:rsidRPr="00F479F2">
        <w:rPr>
          <w:szCs w:val="22"/>
        </w:rPr>
        <w:t xml:space="preserve"> s</w:t>
      </w:r>
      <w:r w:rsidRPr="00BB229F">
        <w:t>ervices that are no</w:t>
      </w:r>
      <w:r>
        <w:t>t</w:t>
      </w:r>
      <w:r w:rsidRPr="00BB229F">
        <w:t xml:space="preserve"> identical nevertheless warrant placement in the same regulatory fee category, </w:t>
      </w:r>
      <w:r w:rsidRPr="00F479F2">
        <w:rPr>
          <w:iCs/>
        </w:rPr>
        <w:t>e.g</w:t>
      </w:r>
      <w:r w:rsidRPr="00BB229F">
        <w:t xml:space="preserve">., </w:t>
      </w:r>
      <w:r w:rsidRPr="00F479F2">
        <w:rPr>
          <w:szCs w:val="22"/>
        </w:rPr>
        <w:t>ITSP</w:t>
      </w:r>
      <w:r w:rsidRPr="00BB229F">
        <w:t xml:space="preserve"> includes a range of carriers that may not be regulated identically but must pay fees on the same basis.</w:t>
      </w:r>
      <w:r>
        <w:rPr>
          <w:rStyle w:val="FootnoteReference"/>
        </w:rPr>
        <w:footnoteReference w:id="147"/>
      </w:r>
      <w:r w:rsidRPr="00BB229F">
        <w:t xml:space="preserve">  When interconnected Voice over Internet Protocol (VoIP) providers were added to the ITSP category in a permitted amendment the Commission observed that “the costs and benefits associated with our regulation of interconnected VoIP providers are not identical as those associated with regulating interstate telecommunications service and </w:t>
      </w:r>
      <w:r>
        <w:t xml:space="preserve"> </w:t>
      </w:r>
      <w:r w:rsidRPr="00BB229F">
        <w:t>CMRS</w:t>
      </w:r>
      <w:r>
        <w:t xml:space="preserve"> [Commercial Mobile Radio Service]</w:t>
      </w:r>
      <w:r w:rsidRPr="00BB229F">
        <w:t>.”</w:t>
      </w:r>
      <w:r>
        <w:rPr>
          <w:rStyle w:val="FootnoteReference"/>
        </w:rPr>
        <w:footnoteReference w:id="148"/>
      </w:r>
      <w:r w:rsidRPr="00BB229F">
        <w:t xml:space="preserve">  IPTV is not regulated in all the same ways as cable television, and yet the Commission requires them to pay fees on the same basis.</w:t>
      </w:r>
      <w:r>
        <w:rPr>
          <w:rStyle w:val="FootnoteReference"/>
        </w:rPr>
        <w:footnoteReference w:id="149"/>
      </w:r>
      <w:r w:rsidRPr="00BB229F">
        <w:t xml:space="preserve">  </w:t>
      </w:r>
      <w:r>
        <w:t>Neither the Communications Act nor Commission precedent require an entity to pay regulatory fees exactly equal to an entity’s FTE interaction with a Bureau or Commission office.</w:t>
      </w:r>
      <w:r>
        <w:rPr>
          <w:rStyle w:val="FootnoteReference"/>
        </w:rPr>
        <w:footnoteReference w:id="150"/>
      </w:r>
      <w:r>
        <w:t xml:space="preserve">  We did not propose differential treatment of NGSOs in the </w:t>
      </w:r>
      <w:r>
        <w:rPr>
          <w:i/>
          <w:iCs/>
        </w:rPr>
        <w:t>FY 2020 NPRM</w:t>
      </w:r>
      <w:r>
        <w:t>, and we do not see compelling reasons to deviate from our traditional assessment methods based on the record before us now.</w:t>
      </w:r>
    </w:p>
    <w:p w:rsidR="00584CDC" w:rsidP="00584CDC" w14:paraId="44C482A8" w14:textId="77777777">
      <w:pPr>
        <w:pStyle w:val="ParaNum"/>
      </w:pPr>
      <w:r>
        <w:t>Some contend that given the broad range of NGSO networks serving or planning to serve the United States market, the Commission should adopt a multi-tiered approach based on total number of satellites deployed and total transmit bandwidth.</w:t>
      </w:r>
      <w:r>
        <w:rPr>
          <w:rStyle w:val="FootnoteReference"/>
        </w:rPr>
        <w:footnoteReference w:id="151"/>
      </w:r>
      <w:r>
        <w:t xml:space="preserve">  SpaceX contends that these commenters have not shown any meaningful tie between the number of satellites in an NGSO system and the use of Commission resources.</w:t>
      </w:r>
      <w:r>
        <w:rPr>
          <w:rStyle w:val="FootnoteReference"/>
        </w:rPr>
        <w:footnoteReference w:id="152"/>
      </w:r>
      <w:r>
        <w:t xml:space="preserve">  We agree that there is not sufficient evidence in the record to establish different fees for sized NGSO systems.  Accordingly, we seek further comment in the attached Further Notice of Proposed Rulemaking.</w:t>
      </w:r>
    </w:p>
    <w:p w:rsidR="00584CDC" w:rsidP="00584CDC" w14:paraId="41D538EE" w14:textId="77777777">
      <w:pPr>
        <w:pStyle w:val="ParaNum"/>
      </w:pPr>
      <w:r>
        <w:t>We disagree with commenters who argue that the proposed increase in NGSO regulatory fees requires us to phase in the fee increase over time, and not increase by more than 7.5% per year.</w:t>
      </w:r>
      <w:r>
        <w:rPr>
          <w:rStyle w:val="FootnoteReference"/>
        </w:rPr>
        <w:footnoteReference w:id="153"/>
      </w:r>
      <w:r>
        <w:t xml:space="preserve">  SpaceX argues that the significant increase in fees for NGSO systems justify a 7.5% cap.</w:t>
      </w:r>
      <w:r>
        <w:rPr>
          <w:rStyle w:val="FootnoteReference"/>
        </w:rPr>
        <w:footnoteReference w:id="154"/>
      </w:r>
      <w:r>
        <w:t xml:space="preserve">  We disagree.  A cap for one fee category would result in an increase in the other fee categories.  We are required under section 9 of the Act to adopt fees that “reflect the full-time equivalent number of employees within the bureaus and offices of the Commission, adjusted to take into account factors that are reasonably related to </w:t>
      </w:r>
      <w:r>
        <w:t>the benefits provided to the payor of the fee by the Commission’s activities.”</w:t>
      </w:r>
      <w:r>
        <w:rPr>
          <w:rStyle w:val="FootnoteReference"/>
        </w:rPr>
        <w:footnoteReference w:id="155"/>
      </w:r>
      <w:r>
        <w:t xml:space="preserve">  And given the large amount of work the Commission has done on NGSO systems over the past year,</w:t>
      </w:r>
      <w:r>
        <w:rPr>
          <w:rStyle w:val="FootnoteReference"/>
        </w:rPr>
        <w:footnoteReference w:id="156"/>
      </w:r>
      <w:r>
        <w:t xml:space="preserve"> we find the benefits of Commission oversight for such systems substantial.  For these reasons, we decline to adopt a phased in approach or a cap in regulatory fees.  Parties can seek a waiver, reduction, or deferment, on a case-by-case basis of the fee, interest charge, or penalty “in any specific instance for good cause shown, where such action would promote the public interest.”</w:t>
      </w:r>
      <w:r>
        <w:rPr>
          <w:rStyle w:val="FootnoteReference"/>
        </w:rPr>
        <w:footnoteReference w:id="157"/>
      </w:r>
      <w:r>
        <w:t xml:space="preserve"> </w:t>
      </w:r>
    </w:p>
    <w:p w:rsidR="00584CDC" w:rsidP="00584CDC" w14:paraId="2BF5CA65" w14:textId="77777777">
      <w:pPr>
        <w:pStyle w:val="ParaNum"/>
      </w:pPr>
      <w:r>
        <w:t>Finally, commenters raise issues with the accuracy of our list of non-U.S. licensed space stations granted market access that would be subject to regulatory fees.  Eutelsat contends that the Commission erroneously included Eutelsat 172B as both U.S. and foreign licensed and it should be removed from the foreign licensed list.</w:t>
      </w:r>
      <w:r>
        <w:rPr>
          <w:rStyle w:val="FootnoteReference"/>
        </w:rPr>
        <w:footnoteReference w:id="158"/>
      </w:r>
      <w:r>
        <w:t xml:space="preserve">  Commenters propose that the Commission identify the U.S. licensed and foreign licensed GSO and NGSO space stations that will be subject to regulatory fees to enable operators to review the list for accuracy.</w:t>
      </w:r>
      <w:r>
        <w:rPr>
          <w:rStyle w:val="FootnoteReference"/>
        </w:rPr>
        <w:footnoteReference w:id="159"/>
      </w:r>
      <w:r>
        <w:t xml:space="preserve">  </w:t>
      </w:r>
      <w:r>
        <w:t>Telesat</w:t>
      </w:r>
      <w:r>
        <w:t xml:space="preserve"> disagrees and suggests that any errors can be resolved by discussions with individual operators.</w:t>
      </w:r>
      <w:r>
        <w:rPr>
          <w:rStyle w:val="FootnoteReference"/>
        </w:rPr>
        <w:footnoteReference w:id="160"/>
      </w:r>
      <w:r>
        <w:t xml:space="preserve">  We agree with the suggestion to publish list the space stations and systems in operation that would be subject to regulatory fees.  We have attached the list of U.S. licensed operators and foreign licensed operators with U.S. market access in Appendix F and any party identifying an error should advise Commission staff by contacting the Financial Operations Help Desk at 877-480-3201, Option 6.</w:t>
      </w:r>
    </w:p>
    <w:p w:rsidR="00584CDC" w:rsidP="00593971" w14:paraId="0F62468F" w14:textId="77777777">
      <w:pPr>
        <w:pStyle w:val="Heading2"/>
      </w:pPr>
      <w:bookmarkStart w:id="82" w:name="_Toc44602741"/>
      <w:bookmarkStart w:id="83" w:name="_Toc44608829"/>
      <w:bookmarkStart w:id="84" w:name="_Toc46764657"/>
      <w:bookmarkStart w:id="85" w:name="_Toc47539507"/>
      <w:bookmarkStart w:id="86" w:name="_Toc47692779"/>
      <w:bookmarkStart w:id="87" w:name="_Toc48832346"/>
      <w:bookmarkStart w:id="88" w:name="_Toc48919587"/>
      <w:r>
        <w:t xml:space="preserve">International Bearer Circuit Regulatory </w:t>
      </w:r>
      <w:bookmarkEnd w:id="82"/>
      <w:bookmarkEnd w:id="83"/>
      <w:bookmarkEnd w:id="84"/>
      <w:r>
        <w:t>Fees</w:t>
      </w:r>
      <w:bookmarkEnd w:id="85"/>
      <w:bookmarkEnd w:id="86"/>
      <w:bookmarkEnd w:id="87"/>
      <w:bookmarkEnd w:id="88"/>
    </w:p>
    <w:p w:rsidR="00584CDC" w:rsidP="00584CDC" w14:paraId="48398276" w14:textId="77777777">
      <w:pPr>
        <w:pStyle w:val="ParaNum"/>
      </w:pPr>
      <w:bookmarkStart w:id="89" w:name="_Hlk13497033"/>
      <w:bookmarkStart w:id="90" w:name="_Hlk13498048"/>
      <w:r>
        <w:t xml:space="preserve">In the </w:t>
      </w:r>
      <w:r w:rsidRPr="002A5E1F">
        <w:rPr>
          <w:i/>
          <w:iCs/>
        </w:rPr>
        <w:t>FY 2020 NPRM</w:t>
      </w:r>
      <w:r>
        <w:t>, we sought comment on the allocation of IBC fees and adopting new tiers for the fees.</w:t>
      </w:r>
      <w:r>
        <w:rPr>
          <w:rStyle w:val="FootnoteReference"/>
        </w:rPr>
        <w:footnoteReference w:id="161"/>
      </w:r>
      <w:r>
        <w:t xml:space="preserve">  As discussed below, we find that capacity is an appropriate measure by which to assess IBC fees.  We also find that the allocation between submarine cables and terrestrial and satellite circuits should be changed to reflect the changing distribution of international capacity as more and larger submarine cables are put into service.  We do not adopt a unified tier structure at this time but will continue to assess fees based on active terrestrial and satellite circuits and on lit capacity of submarine cables.  We do, however, adjust the tiers for submarine cables.</w:t>
      </w:r>
    </w:p>
    <w:p w:rsidR="00584CDC" w:rsidP="003D5095" w14:paraId="614ED0A4" w14:textId="77777777">
      <w:pPr>
        <w:pStyle w:val="ParaNum"/>
        <w:widowControl/>
      </w:pPr>
      <w:r>
        <w:t>IBC regulatory fees reflect the work performed by the International Bureau, primarily the Telecommunications and Analysis Division</w:t>
      </w:r>
      <w:r w:rsidRPr="008F6C69">
        <w:t xml:space="preserve"> </w:t>
      </w:r>
      <w:r>
        <w:t xml:space="preserve">and the Office of the Bureau Chief, for the benefit of all U.S. international telecommunications service providers, and our submarine cable licensees.  International telecommunications service is provided over terrestrial, satellite, and submarine cable facilities.  In the </w:t>
      </w:r>
      <w:r w:rsidRPr="00DF6220">
        <w:rPr>
          <w:i/>
          <w:iCs/>
        </w:rPr>
        <w:t>2020 Regulatory Reform Order</w:t>
      </w:r>
      <w:r>
        <w:t>, we concluded, based on a review by the International Bureau, that eight FTEs should be allocated to IBCs for regulatory fee purposes, and 20 FTEs to the satellite category.</w:t>
      </w:r>
      <w:r>
        <w:rPr>
          <w:rStyle w:val="FootnoteReference"/>
        </w:rPr>
        <w:footnoteReference w:id="162"/>
      </w:r>
      <w:r>
        <w:t xml:space="preserve">  </w:t>
      </w:r>
    </w:p>
    <w:p w:rsidR="00584CDC" w:rsidP="00584CDC" w14:paraId="27A7135F" w14:textId="77777777">
      <w:pPr>
        <w:pStyle w:val="ParaNum"/>
      </w:pPr>
      <w:r w:rsidRPr="001E46EC">
        <w:t xml:space="preserve">IBC fees </w:t>
      </w:r>
      <w:r>
        <w:t>consist of</w:t>
      </w:r>
      <w:r w:rsidRPr="001E46EC">
        <w:t xml:space="preserve"> (1) </w:t>
      </w:r>
      <w:r>
        <w:t xml:space="preserve">active </w:t>
      </w:r>
      <w:r w:rsidRPr="001E46EC">
        <w:t xml:space="preserve">terrestrial and satellite circuits, and (2) </w:t>
      </w:r>
      <w:r>
        <w:t xml:space="preserve">lit </w:t>
      </w:r>
      <w:r w:rsidRPr="001E46EC">
        <w:t>submarine cable systems.</w:t>
      </w:r>
      <w:r>
        <w:rPr>
          <w:rStyle w:val="FootnoteReference"/>
        </w:rPr>
        <w:footnoteReference w:id="163"/>
      </w:r>
      <w:r w:rsidRPr="001E46EC">
        <w:t xml:space="preserve"> </w:t>
      </w:r>
      <w:r>
        <w:t xml:space="preserve"> </w:t>
      </w:r>
      <w:r w:rsidRPr="001E46EC">
        <w:t>Prior to 2009, IBC</w:t>
      </w:r>
      <w:r>
        <w:t xml:space="preserve"> fees</w:t>
      </w:r>
      <w:r w:rsidRPr="001E46EC">
        <w:t xml:space="preserve"> were collected based on </w:t>
      </w:r>
      <w:r>
        <w:t xml:space="preserve">the number of </w:t>
      </w:r>
      <w:r w:rsidRPr="001E46EC">
        <w:t xml:space="preserve">64 kbps circuits </w:t>
      </w:r>
      <w:r>
        <w:t>for</w:t>
      </w:r>
      <w:r w:rsidRPr="001E46EC">
        <w:t xml:space="preserve"> each of the three types of facilities used </w:t>
      </w:r>
      <w:r>
        <w:t xml:space="preserve">to </w:t>
      </w:r>
      <w:r w:rsidRPr="001E46EC">
        <w:t>provid</w:t>
      </w:r>
      <w:r>
        <w:t>e</w:t>
      </w:r>
      <w:r w:rsidRPr="001E46EC">
        <w:t xml:space="preserve"> international service.  In 2009, the Commission changed the methodology for assessing IBC</w:t>
      </w:r>
      <w:r>
        <w:t xml:space="preserve"> fees</w:t>
      </w:r>
      <w:r w:rsidRPr="001E46EC">
        <w:t xml:space="preserve"> </w:t>
      </w:r>
      <w:r>
        <w:t xml:space="preserve">from basing the fee on 64 kbps circuits for all types of IBCs to </w:t>
      </w:r>
      <w:r w:rsidRPr="001E46EC">
        <w:t>assess</w:t>
      </w:r>
      <w:r>
        <w:t>ing</w:t>
      </w:r>
      <w:r w:rsidRPr="001E46EC">
        <w:t xml:space="preserve"> fees </w:t>
      </w:r>
      <w:r>
        <w:t xml:space="preserve">for submarine cable operators </w:t>
      </w:r>
      <w:r w:rsidRPr="001E46EC">
        <w:t xml:space="preserve">on a </w:t>
      </w:r>
      <w:bookmarkStart w:id="91" w:name="_Hlk46403184"/>
      <w:r w:rsidRPr="001E46EC">
        <w:t>per cable landing license basis</w:t>
      </w:r>
      <w:bookmarkEnd w:id="91"/>
      <w:r w:rsidRPr="001E46EC">
        <w:t xml:space="preserve">, with higher fees for larger </w:t>
      </w:r>
      <w:r>
        <w:t xml:space="preserve">capacity </w:t>
      </w:r>
      <w:r w:rsidRPr="001E46EC">
        <w:t xml:space="preserve">submarine cable systems and lower fees for smaller </w:t>
      </w:r>
      <w:r>
        <w:t xml:space="preserve">capacity </w:t>
      </w:r>
      <w:r w:rsidRPr="001E46EC">
        <w:t>submarine cable systems.</w:t>
      </w:r>
      <w:r>
        <w:rPr>
          <w:rStyle w:val="FootnoteReference"/>
        </w:rPr>
        <w:footnoteReference w:id="164"/>
      </w:r>
      <w:r w:rsidRPr="4BBD8B65">
        <w:t xml:space="preserve">  The Commission concluded that this methodology served the public interest and was competitively neutral because it included both common carriers and non-common carriers.</w:t>
      </w:r>
      <w:r>
        <w:rPr>
          <w:rStyle w:val="FootnoteReference"/>
        </w:rPr>
        <w:footnoteReference w:id="165"/>
      </w:r>
      <w:r w:rsidRPr="002A5E1F">
        <w:rPr>
          <w:szCs w:val="22"/>
        </w:rPr>
        <w:t xml:space="preserve"> </w:t>
      </w:r>
      <w:r w:rsidRPr="001E46EC">
        <w:t xml:space="preserve"> Under this </w:t>
      </w:r>
      <w:r>
        <w:t>bifurcated approach</w:t>
      </w:r>
      <w:r w:rsidRPr="001E46EC">
        <w:t xml:space="preserve">, based on the </w:t>
      </w:r>
      <w:r>
        <w:t xml:space="preserve">2009 </w:t>
      </w:r>
      <w:r w:rsidRPr="001E46EC">
        <w:t xml:space="preserve">Consensus Proposal from the submarine cable operators, 87.6% of IBC fees </w:t>
      </w:r>
      <w:r>
        <w:t>were</w:t>
      </w:r>
      <w:r w:rsidRPr="001E46EC">
        <w:t xml:space="preserve"> assessed to submarine cable systems and 12.4% to terrestrial and satellite facilities</w:t>
      </w:r>
      <w:r>
        <w:t xml:space="preserve"> based on relative capacity at the time</w:t>
      </w:r>
      <w:r w:rsidRPr="001E46EC">
        <w:t>.</w:t>
      </w:r>
      <w:r>
        <w:rPr>
          <w:rStyle w:val="FootnoteReference"/>
        </w:rPr>
        <w:footnoteReference w:id="166"/>
      </w:r>
      <w:r w:rsidRPr="001E46EC">
        <w:t xml:space="preserve">  The Commission adopted a five-tier structure for assessing fees on submarine cables systems, with larger systems paying more</w:t>
      </w:r>
      <w:r>
        <w:t xml:space="preserve"> based on lit capacity</w:t>
      </w:r>
      <w:r w:rsidRPr="001E46EC">
        <w:t>, and a per gigabits per second (Gbps) assessment for terrestrial and satellite facilities</w:t>
      </w:r>
      <w:r>
        <w:t xml:space="preserve"> based on active circuits</w:t>
      </w:r>
      <w:r w:rsidRPr="001E46EC">
        <w:t>.</w:t>
      </w:r>
      <w:r>
        <w:rPr>
          <w:rStyle w:val="FootnoteReference"/>
        </w:rPr>
        <w:footnoteReference w:id="167"/>
      </w:r>
      <w:r>
        <w:t xml:space="preserve">  The fee assessment on submarine cables cover the costs for regulatory activity concerning submarine cables as well as the services provided over the submarine cables.</w:t>
      </w:r>
      <w:r>
        <w:rPr>
          <w:rStyle w:val="FootnoteReference"/>
        </w:rPr>
        <w:footnoteReference w:id="168"/>
      </w:r>
      <w:bookmarkEnd w:id="89"/>
      <w:bookmarkEnd w:id="90"/>
    </w:p>
    <w:p w:rsidR="00584CDC" w:rsidP="00584CDC" w14:paraId="4F9EFDA6" w14:textId="77777777">
      <w:pPr>
        <w:pStyle w:val="Heading3"/>
      </w:pPr>
      <w:bookmarkStart w:id="92" w:name="_Toc47539508"/>
      <w:bookmarkStart w:id="93" w:name="_Toc47692780"/>
      <w:bookmarkStart w:id="94" w:name="_Toc48832347"/>
      <w:bookmarkStart w:id="95" w:name="_Toc48919588"/>
      <w:r>
        <w:t>Using Capacity to Assess IBC Regulatory Fees</w:t>
      </w:r>
      <w:bookmarkEnd w:id="92"/>
      <w:bookmarkEnd w:id="93"/>
      <w:bookmarkEnd w:id="94"/>
      <w:bookmarkEnd w:id="95"/>
    </w:p>
    <w:p w:rsidR="00584CDC" w:rsidP="00584CDC" w14:paraId="2175B6DA" w14:textId="76B91AA0">
      <w:pPr>
        <w:pStyle w:val="ParaNum"/>
      </w:pPr>
      <w:r w:rsidRPr="00BB6760">
        <w:t xml:space="preserve">We </w:t>
      </w:r>
      <w:r>
        <w:t xml:space="preserve">start by </w:t>
      </w:r>
      <w:r w:rsidRPr="00BB6760">
        <w:t>reaffirm</w:t>
      </w:r>
      <w:r>
        <w:t>ing</w:t>
      </w:r>
      <w:r w:rsidRPr="00BB6760">
        <w:t xml:space="preserve"> that </w:t>
      </w:r>
      <w:r>
        <w:t xml:space="preserve">IBC </w:t>
      </w:r>
      <w:r w:rsidRPr="00BB6760">
        <w:t>regulatees with higher capacity receive a greater benefit from the Commission’s work</w:t>
      </w:r>
      <w:r w:rsidRPr="00990A69">
        <w:t xml:space="preserve"> and should be assessed accordingly.</w:t>
      </w:r>
      <w:r w:rsidR="009617A3">
        <w:t xml:space="preserve"> </w:t>
      </w:r>
      <w:r>
        <w:t xml:space="preserve"> The Commission has historically used capacity to assess IBCs.  When Congress established the Commission’s regulatory fee authority in 1993 it adopted a statutory schedule of regulatory fees that included assessing a fee on carriers based on active 64 kbps international circuits.</w:t>
      </w:r>
      <w:r>
        <w:rPr>
          <w:rStyle w:val="FootnoteReference"/>
        </w:rPr>
        <w:footnoteReference w:id="169"/>
      </w:r>
      <w:r>
        <w:t xml:space="preserve">  The Commission continued to assess IBC fees on active 64 kbps circuits </w:t>
      </w:r>
      <w:r>
        <w:t>until 2009 when it adopted a new fee structure that assesses fees on international submarine cable systems, but that new structure still used capacity of the cable system for determining the fees with smaller submarine cable systems paying a lower fee than larger systems.</w:t>
      </w:r>
      <w:r>
        <w:rPr>
          <w:rStyle w:val="FootnoteReference"/>
        </w:rPr>
        <w:footnoteReference w:id="170"/>
      </w:r>
      <w:r>
        <w:t xml:space="preserve">  Terrestrial and satellite facilities continued to have IBC fees assessed on a 64 kbps circuit capacity basis until 2018 when the Commission began assessing the fees based on Gbps.</w:t>
      </w:r>
      <w:r>
        <w:rPr>
          <w:rStyle w:val="FootnoteReference"/>
        </w:rPr>
        <w:footnoteReference w:id="171"/>
      </w:r>
    </w:p>
    <w:p w:rsidR="00584CDC" w:rsidP="00584CDC" w14:paraId="3BF4921A" w14:textId="77777777">
      <w:pPr>
        <w:pStyle w:val="ParaNum"/>
      </w:pPr>
      <w:r>
        <w:t>This year the International Bureau undertook a review of its work, staffing, and distribution of responsibilities benefiting its fee payors, between the Telecommunications and Analysis Division and the Satellite Division and based on this review, we allocated eight FTEs to the international bearer circuit category</w:t>
      </w:r>
      <w:r w:rsidRPr="005F6BC2">
        <w:t>.</w:t>
      </w:r>
      <w:r>
        <w:rPr>
          <w:rStyle w:val="FootnoteReference"/>
        </w:rPr>
        <w:footnoteReference w:id="172"/>
      </w:r>
      <w:r>
        <w:t xml:space="preserve">  The Commission found that almost all of the IBC work benefits all international telecommunications service providers no matter what facilities those services are provided over—submarine cable systems, terrestrial facilities, or satellites.</w:t>
      </w:r>
      <w:r>
        <w:rPr>
          <w:rStyle w:val="FootnoteReference"/>
        </w:rPr>
        <w:footnoteReference w:id="173"/>
      </w:r>
      <w:r>
        <w:t xml:space="preserve">  Submarine cable licensees benefit from work that includes among others, </w:t>
      </w:r>
      <w:r w:rsidRPr="005F6BC2">
        <w:t>maintaining the licensing database</w:t>
      </w:r>
      <w:r>
        <w:t>,</w:t>
      </w:r>
      <w:r w:rsidRPr="00ED333A">
        <w:rPr>
          <w:vertAlign w:val="superscript"/>
        </w:rPr>
        <w:t xml:space="preserve"> </w:t>
      </w:r>
      <w:r>
        <w:t xml:space="preserve">enforcing </w:t>
      </w:r>
      <w:r w:rsidRPr="005F6BC2">
        <w:t xml:space="preserve">benchmarks, </w:t>
      </w:r>
      <w:r>
        <w:t xml:space="preserve">coordination with other U.S. government agencies, including coordinating with other U.S. agencies’ undersea activities to protect submarine cables, </w:t>
      </w:r>
      <w:r w:rsidRPr="005F6BC2">
        <w:t>protecti</w:t>
      </w:r>
      <w:r>
        <w:t xml:space="preserve">ng U.S. customers and consumers </w:t>
      </w:r>
      <w:r w:rsidRPr="005F6BC2">
        <w:t xml:space="preserve">from anticompetitive actions by foreign carriers, </w:t>
      </w:r>
      <w:r>
        <w:t xml:space="preserve">licensing international section </w:t>
      </w:r>
      <w:r w:rsidRPr="002E14F4">
        <w:t>214 authorizations</w:t>
      </w:r>
      <w:r>
        <w:t xml:space="preserve"> and submarine cables including review of transactions, </w:t>
      </w:r>
      <w:r w:rsidRPr="005F6BC2">
        <w:t xml:space="preserve">and </w:t>
      </w:r>
      <w:r>
        <w:t xml:space="preserve">representing U.S. interests at </w:t>
      </w:r>
      <w:r w:rsidRPr="005F6BC2">
        <w:t>bilateral and multilateral negotiations and at international organizations.</w:t>
      </w:r>
      <w:r>
        <w:rPr>
          <w:rStyle w:val="FootnoteReference"/>
        </w:rPr>
        <w:footnoteReference w:id="174"/>
      </w:r>
      <w:r>
        <w:t xml:space="preserve">  The Commission’s activities make it possible for submarine cable operators and other IBC providers to provide service to their customers.  Those operators of facilities with larger capacity to carry more data derive a greater benefit from the Commission’s work in this regard.</w:t>
      </w:r>
      <w:r>
        <w:rPr>
          <w:rStyle w:val="FootnoteReference"/>
        </w:rPr>
        <w:footnoteReference w:id="175"/>
      </w:r>
      <w:r>
        <w:t xml:space="preserve">  </w:t>
      </w:r>
    </w:p>
    <w:p w:rsidR="00584CDC" w:rsidRPr="0014569E" w:rsidP="00584CDC" w14:paraId="3095BF2C" w14:textId="04EF60CD">
      <w:pPr>
        <w:pStyle w:val="ParaNum"/>
      </w:pPr>
      <w:r w:rsidRPr="0014569E">
        <w:t>Several commenters retread well-trodden ground to object to this assessment, but we find yet again that they have not provided a rationale to alter our assessment of fees within the IBC category based on capacity.</w:t>
      </w:r>
      <w:r>
        <w:rPr>
          <w:rStyle w:val="FootnoteReference"/>
          <w:szCs w:val="22"/>
        </w:rPr>
        <w:footnoteReference w:id="176"/>
      </w:r>
      <w:r w:rsidRPr="0014569E">
        <w:t xml:space="preserve">  Contrary to the Submarine Cable Coalition’s argument that basing fees on capacity is unlawful,</w:t>
      </w:r>
      <w:r>
        <w:rPr>
          <w:rStyle w:val="FootnoteReference"/>
          <w:sz w:val="22"/>
          <w:szCs w:val="22"/>
        </w:rPr>
        <w:footnoteReference w:id="177"/>
      </w:r>
      <w:r w:rsidRPr="0014569E">
        <w:t xml:space="preserve"> use of capacity is a fundamental premise of how the Commission assesses regulatory fees.  Licensees with larger facilities benefit more from the Commission’s work and thus should pay a larger proportion of the Commission’s costs—just as we</w:t>
      </w:r>
      <w:r w:rsidR="00F474A8">
        <w:t xml:space="preserve"> ha</w:t>
      </w:r>
      <w:r w:rsidRPr="0014569E">
        <w:t>ve found that licensees with more customers (like MVPD subscribers or CMRS subscribers) or with more revenues (</w:t>
      </w:r>
      <w:r w:rsidR="00BB3AED">
        <w:t>such as</w:t>
      </w:r>
      <w:r w:rsidRPr="0014569E">
        <w:t xml:space="preserve"> ITSP</w:t>
      </w:r>
      <w:r w:rsidR="00C9734C">
        <w:t>s</w:t>
      </w:r>
      <w:r w:rsidRPr="0014569E">
        <w:t>) benefit more from the Commission’s activities.</w:t>
      </w:r>
      <w:r>
        <w:rPr>
          <w:rStyle w:val="FootnoteReference"/>
          <w:snapToGrid/>
          <w:kern w:val="0"/>
          <w:sz w:val="22"/>
          <w:szCs w:val="22"/>
        </w:rPr>
        <w:footnoteReference w:id="178"/>
      </w:r>
      <w:r w:rsidRPr="0014569E">
        <w:t xml:space="preserve">  </w:t>
      </w:r>
      <w:r>
        <w:t>CenturyLink states that to the extent that those FTEs working on issues that benefit IBC regulates as a whole, it is reasonable to use capacity to allocate the fees among the regulatees.</w:t>
      </w:r>
      <w:r>
        <w:rPr>
          <w:rStyle w:val="FootnoteReference"/>
        </w:rPr>
        <w:footnoteReference w:id="179"/>
      </w:r>
      <w:r>
        <w:t xml:space="preserve">  It further states that the Commission’s activities make it possible for submarine cable operators and other IBC providers to provide service and the entities that carry more traffic are greater </w:t>
      </w:r>
      <w:r>
        <w:t>beneficiaries of the Commission’s work.</w:t>
      </w:r>
      <w:r>
        <w:rPr>
          <w:rStyle w:val="FootnoteReference"/>
        </w:rPr>
        <w:footnoteReference w:id="180"/>
      </w:r>
      <w:r>
        <w:t xml:space="preserve">  We agree (as the Commission has long held) that</w:t>
      </w:r>
      <w:r w:rsidRPr="0014569E">
        <w:t xml:space="preserve"> capacity is a reasonable basis in the context of IBCs to assess those costs among the regulatees that benefit from that work.  </w:t>
      </w:r>
    </w:p>
    <w:p w:rsidR="00584CDC" w:rsidP="00584CDC" w14:paraId="7BD3B8A6" w14:textId="257A9D26">
      <w:pPr>
        <w:pStyle w:val="ParaNum"/>
      </w:pPr>
      <w:r>
        <w:t>We also once again reject assertions that only the work of two FTEs benefits submarine cable operators.</w:t>
      </w:r>
      <w:r>
        <w:rPr>
          <w:rStyle w:val="FootnoteReference"/>
        </w:rPr>
        <w:footnoteReference w:id="181"/>
      </w:r>
      <w:r>
        <w:t xml:space="preserve">  NASCA points to a 2014 order, arguing that the Commission found that only two FTEs work to the benefit of submarine cable operators and that should be reflected in the regulatory fees.</w:t>
      </w:r>
      <w:r>
        <w:rPr>
          <w:rStyle w:val="FootnoteReference"/>
        </w:rPr>
        <w:footnoteReference w:id="182"/>
      </w:r>
      <w:r>
        <w:t xml:space="preserve">  Although the Commission explained in 2015 that this was a misstatement,</w:t>
      </w:r>
      <w:r>
        <w:rPr>
          <w:rStyle w:val="FootnoteReference"/>
        </w:rPr>
        <w:footnoteReference w:id="183"/>
      </w:r>
      <w:r>
        <w:t xml:space="preserve"> NASCA continues to cite this as part of its arguments.</w:t>
      </w:r>
      <w:r>
        <w:rPr>
          <w:rStyle w:val="FootnoteReference"/>
        </w:rPr>
        <w:footnoteReference w:id="184"/>
      </w:r>
      <w:r>
        <w:t xml:space="preserve">  The Submarine Cable Coalition similarly argues that the Commission provides limited benefits to submarine cable operators.</w:t>
      </w:r>
      <w:r>
        <w:rPr>
          <w:rStyle w:val="FootnoteReference"/>
        </w:rPr>
        <w:footnoteReference w:id="185"/>
      </w:r>
      <w:r>
        <w:t xml:space="preserve">  CenturyLink disagrees and argues the commenters have not provided a sound explanation why using capacity is unreasonable or prohibited by section 9.</w:t>
      </w:r>
      <w:r>
        <w:rPr>
          <w:rStyle w:val="FootnoteReference"/>
        </w:rPr>
        <w:footnoteReference w:id="186"/>
      </w:r>
      <w:r>
        <w:t xml:space="preserve">  It notes that the Commission has determined the number of FTEs that should be assigned to IBCs after an analysis of the work done within the International Bureau.</w:t>
      </w:r>
      <w:r>
        <w:rPr>
          <w:rStyle w:val="FootnoteReference"/>
        </w:rPr>
        <w:footnoteReference w:id="187"/>
      </w:r>
      <w:r>
        <w:t xml:space="preserve">  And indeed, we reject NASCA</w:t>
      </w:r>
      <w:r w:rsidR="003E49B7">
        <w:t>’s</w:t>
      </w:r>
      <w:r>
        <w:t xml:space="preserve"> and the Submarine Cable Coalition’s arguments that submarine cables benefit only from a limited number of FTEs as suggested </w:t>
      </w:r>
      <w:r w:rsidR="005F705F">
        <w:t>six</w:t>
      </w:r>
      <w:r>
        <w:t xml:space="preserve"> years ago—we conducted an FTE reevaluation prior to setting the FY 2020 IBC fees and the benefits attributable submarine cables are reflected in the proposed fees.  </w:t>
      </w:r>
    </w:p>
    <w:p w:rsidR="00584CDC" w:rsidP="00584CDC" w14:paraId="045FA4F4" w14:textId="77777777">
      <w:pPr>
        <w:pStyle w:val="ParaNum"/>
      </w:pPr>
      <w:r w:rsidRPr="004B7ECD">
        <w:t xml:space="preserve">We </w:t>
      </w:r>
      <w:r>
        <w:t xml:space="preserve">also </w:t>
      </w:r>
      <w:r w:rsidRPr="004B7ECD">
        <w:t>reject the argument that submarine cables do not benefit from the Commission’s IBC work because most submarine cables operate on a non-common carriage (or private carriage) basis.</w:t>
      </w:r>
      <w:r>
        <w:rPr>
          <w:rStyle w:val="FootnoteReference"/>
          <w:szCs w:val="22"/>
        </w:rPr>
        <w:footnoteReference w:id="188"/>
      </w:r>
      <w:r w:rsidRPr="004B7ECD">
        <w:t xml:space="preserve">  Since 2009, the Commission has assessed regulatory fees on both common carrier and non-common carrier submarine cable systems, as requested by industry in the Consensus Plan, and because both benefit from the landing licenses issued by the Commission.</w:t>
      </w:r>
      <w:r>
        <w:rPr>
          <w:rStyle w:val="FootnoteReference"/>
          <w:szCs w:val="22"/>
        </w:rPr>
        <w:footnoteReference w:id="189"/>
      </w:r>
      <w:r w:rsidRPr="004B7ECD">
        <w:t xml:space="preserve">  We also note that terrestrial and satellite IBC fees are assessed on both common carrier and non-common carrier circuits.</w:t>
      </w:r>
      <w:r>
        <w:rPr>
          <w:rStyle w:val="FootnoteReference"/>
          <w:szCs w:val="22"/>
        </w:rPr>
        <w:footnoteReference w:id="190"/>
      </w:r>
      <w:r w:rsidRPr="004B7ECD">
        <w:t xml:space="preserve">  Further, while a submarine cable may operate on a non-common carrier basis, the traffic carried on the submarine cable includes common carrier traffic.  </w:t>
      </w:r>
    </w:p>
    <w:p w:rsidR="00584CDC" w:rsidP="00584CDC" w14:paraId="6447E6CD" w14:textId="77777777">
      <w:pPr>
        <w:pStyle w:val="Heading3"/>
      </w:pPr>
      <w:bookmarkStart w:id="96" w:name="_Toc47539509"/>
      <w:bookmarkStart w:id="97" w:name="_Toc47692781"/>
      <w:bookmarkStart w:id="98" w:name="_Toc48832348"/>
      <w:bookmarkStart w:id="99" w:name="_Toc48919589"/>
      <w:r>
        <w:t>Division of IBC Regulatory Fees</w:t>
      </w:r>
      <w:bookmarkEnd w:id="96"/>
      <w:bookmarkEnd w:id="97"/>
      <w:bookmarkEnd w:id="98"/>
      <w:bookmarkEnd w:id="99"/>
    </w:p>
    <w:p w:rsidR="00584CDC" w:rsidRPr="008F595F" w:rsidP="009541C1" w14:paraId="356E2F39" w14:textId="77777777">
      <w:pPr>
        <w:pStyle w:val="ParaNum"/>
        <w:widowControl/>
      </w:pPr>
      <w:r>
        <w:t xml:space="preserve">In the </w:t>
      </w:r>
      <w:r>
        <w:rPr>
          <w:i/>
        </w:rPr>
        <w:t>FY 2020 NPRM</w:t>
      </w:r>
      <w:r w:rsidRPr="00DF6220">
        <w:t xml:space="preserve">, </w:t>
      </w:r>
      <w:r>
        <w:t>we proposed to change the allocation of the IBC fees between submarine cable systems and terrestrial and satellite facilities.</w:t>
      </w:r>
      <w:r>
        <w:rPr>
          <w:rStyle w:val="FootnoteReference"/>
          <w:iCs/>
        </w:rPr>
        <w:footnoteReference w:id="191"/>
      </w:r>
      <w:r>
        <w:t xml:space="preserve">  Since 2009, 87.6% of IBC fees have </w:t>
      </w:r>
      <w:r>
        <w:t xml:space="preserve">been allocated to submarine cables and </w:t>
      </w:r>
      <w:r w:rsidRPr="001E46EC">
        <w:t>12.4% to terrestrial and satellite facilities</w:t>
      </w:r>
      <w:r>
        <w:t xml:space="preserve">.  This allocation was adopted in the </w:t>
      </w:r>
      <w:r w:rsidRPr="009A317F">
        <w:rPr>
          <w:i/>
        </w:rPr>
        <w:t>Submarine Cable Order</w:t>
      </w:r>
      <w:r>
        <w:t xml:space="preserve"> and was based on the relative circuits in 2008.</w:t>
      </w:r>
      <w:r>
        <w:rPr>
          <w:rStyle w:val="FootnoteReference"/>
        </w:rPr>
        <w:footnoteReference w:id="192"/>
      </w:r>
    </w:p>
    <w:p w:rsidR="00584CDC" w:rsidP="00584CDC" w14:paraId="5F1674FF" w14:textId="77777777">
      <w:pPr>
        <w:pStyle w:val="ParaNum"/>
      </w:pPr>
      <w:r>
        <w:t xml:space="preserve">Based on the minimum capacity for the 2019 rate tiers for regulatory fees paid for submarine cables in FY 2019 (meaning a licensee that paid the rate for a capacity of 4000 Gbps or higher on the submarine cable is presumed to have a capacity of 4000 Gbps), the Commission calculated that the ratio between submarine cable and terrestrial and satellite IBCs is at least 90.8% submarine cable and no more than 9.8% </w:t>
      </w:r>
      <w:r w:rsidRPr="00C715B0">
        <w:t xml:space="preserve">terrestrial and satellite </w:t>
      </w:r>
      <w:r>
        <w:t>circuit</w:t>
      </w:r>
      <w:r w:rsidRPr="00C715B0">
        <w:t>s</w:t>
      </w:r>
      <w:r>
        <w:t>.  This calculation, assuming lit capacity at the minimum capacity in the tier, substantially undercounts actual lit capacity in these submarine cables therefore an upward adjustment of 5% more closely approximates actual lit capacity numbers.  The Commission concluded that a ratio attributing 95% to submarine cables and 5% to terrestrial and satellite circuits would be more reasonable than the historic ratio and sought comment on this reallocation.</w:t>
      </w:r>
      <w:r>
        <w:rPr>
          <w:rStyle w:val="FootnoteReference"/>
        </w:rPr>
        <w:footnoteReference w:id="193"/>
      </w:r>
      <w:r>
        <w:t xml:space="preserve">  </w:t>
      </w:r>
    </w:p>
    <w:p w:rsidR="00584CDC" w:rsidP="00584CDC" w14:paraId="7B934BED" w14:textId="77777777">
      <w:pPr>
        <w:pStyle w:val="ParaNum"/>
      </w:pPr>
      <w:r>
        <w:t>CenturyLink supports the proposal to allocate 95% of IBC fees to submarine cable and 5% to satellite and terrestrial IBCs.</w:t>
      </w:r>
      <w:r>
        <w:rPr>
          <w:rStyle w:val="FootnoteReference"/>
        </w:rPr>
        <w:footnoteReference w:id="194"/>
      </w:r>
      <w:r>
        <w:t xml:space="preserve">  </w:t>
      </w:r>
      <w:r w:rsidRPr="00D61887">
        <w:t>SIA argues that the 95%/5% allocation continues to underestimate sub</w:t>
      </w:r>
      <w:r>
        <w:t xml:space="preserve">marine </w:t>
      </w:r>
      <w:r w:rsidRPr="00D61887">
        <w:t>cable capacity and that the allocation should be closer to 98.3%/1.7%</w:t>
      </w:r>
      <w:r>
        <w:t>, but it does not provide any support for this proposed allocation.</w:t>
      </w:r>
      <w:r>
        <w:rPr>
          <w:rStyle w:val="FootnoteReference"/>
        </w:rPr>
        <w:footnoteReference w:id="195"/>
      </w:r>
      <w:r>
        <w:t xml:space="preserve">  Based on the record, we are adopting our proposed reallocation between submarine cable and satellite and terrestrial IBCs, as we proposed in the </w:t>
      </w:r>
      <w:r w:rsidRPr="003570D6">
        <w:rPr>
          <w:i/>
          <w:iCs/>
        </w:rPr>
        <w:t>FY 2020 NPRM</w:t>
      </w:r>
      <w:r>
        <w:t>.</w:t>
      </w:r>
    </w:p>
    <w:p w:rsidR="00584CDC" w:rsidP="00584CDC" w14:paraId="5CD4B583" w14:textId="77777777">
      <w:pPr>
        <w:pStyle w:val="Heading3"/>
      </w:pPr>
      <w:bookmarkStart w:id="100" w:name="_Toc47539510"/>
      <w:bookmarkStart w:id="101" w:name="_Toc47692782"/>
      <w:bookmarkStart w:id="102" w:name="_Toc48832349"/>
      <w:bookmarkStart w:id="103" w:name="_Toc48919590"/>
      <w:r>
        <w:t>IBC Regulatory Fee Tiers</w:t>
      </w:r>
      <w:bookmarkEnd w:id="100"/>
      <w:bookmarkEnd w:id="101"/>
      <w:bookmarkEnd w:id="102"/>
      <w:bookmarkEnd w:id="103"/>
    </w:p>
    <w:p w:rsidR="00584CDC" w:rsidRPr="008F595F" w:rsidP="00584CDC" w14:paraId="67444A83" w14:textId="77777777">
      <w:pPr>
        <w:pStyle w:val="ParaNum"/>
      </w:pPr>
      <w:r>
        <w:t xml:space="preserve">In the </w:t>
      </w:r>
      <w:r>
        <w:rPr>
          <w:i/>
        </w:rPr>
        <w:t>FY 2020 NPRM</w:t>
      </w:r>
      <w:r>
        <w:t>, we also sought comment on combining the submarine cable and terrestrial and satellite IBC categories and assessing IBC fees based on a unified fee structure.</w:t>
      </w:r>
      <w:r>
        <w:rPr>
          <w:rStyle w:val="FootnoteReference"/>
        </w:rPr>
        <w:footnoteReference w:id="196"/>
      </w:r>
      <w:r>
        <w:t xml:space="preserve">  Under this proposal, terrestrial and satellite IBC owners would pay regulatory fees based on the number of active international circuits using the rates set out in the proposed tiers.  Submarine cable operators would continue to pay regulatory fees for each international submarine cable system based on the </w:t>
      </w:r>
      <w:bookmarkStart w:id="104" w:name="_Hlk46155336"/>
      <w:r>
        <w:t>lit capacity of the cable system</w:t>
      </w:r>
      <w:bookmarkEnd w:id="104"/>
      <w:r>
        <w:t xml:space="preserve"> using the same tiers.  Commenters generally oppose the proposal to unify the two categories and we decline to adopt it here.</w:t>
      </w:r>
    </w:p>
    <w:p w:rsidR="00584CDC" w:rsidP="00584CDC" w14:paraId="41EB8152" w14:textId="77777777">
      <w:pPr>
        <w:pStyle w:val="ParaNum"/>
      </w:pPr>
      <w:r>
        <w:t>Commenters oppose the proposed unified tier structure.</w:t>
      </w:r>
      <w:r>
        <w:rPr>
          <w:rStyle w:val="FootnoteReference"/>
        </w:rPr>
        <w:footnoteReference w:id="197"/>
      </w:r>
      <w:r>
        <w:t xml:space="preserve">  SES and SIA argue that a unified tier structure</w:t>
      </w:r>
      <w:r w:rsidRPr="001A62C0">
        <w:t xml:space="preserve"> designed to address submarine cable systems that carry the </w:t>
      </w:r>
      <w:r>
        <w:t xml:space="preserve">vast </w:t>
      </w:r>
      <w:r w:rsidRPr="001A62C0">
        <w:t xml:space="preserve">majority of international traffic would </w:t>
      </w:r>
      <w:r>
        <w:t>increase IBC fees paid by satellite operators.</w:t>
      </w:r>
      <w:r>
        <w:rPr>
          <w:rStyle w:val="FootnoteReference"/>
        </w:rPr>
        <w:footnoteReference w:id="198"/>
      </w:r>
      <w:r>
        <w:t xml:space="preserve">  AT&amp;T similarly notes that satellite and terrestrial circuit providers would obtain no benefit from a tiered fee system designed to accommodate the much larger capacities of submarine cables and would be better served by the more straightforward per Gbps fee that the Commission alternatively proposes for these circuits.</w:t>
      </w:r>
      <w:r>
        <w:rPr>
          <w:rStyle w:val="FootnoteReference"/>
        </w:rPr>
        <w:footnoteReference w:id="199"/>
      </w:r>
      <w:r>
        <w:t xml:space="preserve">  SES and SIA further contend that we should eliminate regulatory fees for satellite IBCs.</w:t>
      </w:r>
      <w:r>
        <w:rPr>
          <w:rStyle w:val="FootnoteReference"/>
        </w:rPr>
        <w:footnoteReference w:id="200"/>
      </w:r>
      <w:r>
        <w:t xml:space="preserve">  They observe that we previously rejected tiers for terrestrial and satellite IBCs due to the wide range of numbers of circuits among carriers and that tiers could result in large increases in fees.</w:t>
      </w:r>
      <w:r>
        <w:rPr>
          <w:rStyle w:val="FootnoteReference"/>
        </w:rPr>
        <w:footnoteReference w:id="201"/>
      </w:r>
      <w:r w:rsidRPr="00AD3355">
        <w:t xml:space="preserve"> </w:t>
      </w:r>
      <w:r>
        <w:t xml:space="preserve"> SIA argues that if we are imposing regulatory fees for satellite IBCs, we should continue to do so on a per Gbps circuit basis to avoid </w:t>
      </w:r>
      <w:r>
        <w:t>unjustified increases.</w:t>
      </w:r>
      <w:r>
        <w:rPr>
          <w:rStyle w:val="FootnoteReference"/>
        </w:rPr>
        <w:footnoteReference w:id="202"/>
      </w:r>
      <w:r>
        <w:t xml:space="preserve">  CenturyLink argues that it is not clear that the benefits of moving to a single, unified tiered mechanism for all IBCs would be substantial, or that they would outweigh the potential costs.</w:t>
      </w:r>
      <w:r>
        <w:rPr>
          <w:rStyle w:val="FootnoteReference"/>
        </w:rPr>
        <w:footnoteReference w:id="203"/>
      </w:r>
      <w:r>
        <w:t xml:space="preserve">  Instead, CenturyLink contends that the Commission should retain the current two-category approach.</w:t>
      </w:r>
      <w:r>
        <w:rPr>
          <w:rStyle w:val="FootnoteReference"/>
        </w:rPr>
        <w:footnoteReference w:id="204"/>
      </w:r>
      <w:r>
        <w:t xml:space="preserve">  CenturyLink argues that using a per Gbps fee for terrestrial and satellite IBC providers is reasonable because operators who have greater capacity take greater advantage of the work the Commission has done to enable them to provide service.</w:t>
      </w:r>
      <w:r>
        <w:rPr>
          <w:rStyle w:val="FootnoteReference"/>
        </w:rPr>
        <w:footnoteReference w:id="205"/>
      </w:r>
      <w:r>
        <w:t xml:space="preserve">  </w:t>
      </w:r>
    </w:p>
    <w:p w:rsidR="00584CDC" w:rsidP="00584CDC" w14:paraId="02CCF8B1" w14:textId="77777777">
      <w:pPr>
        <w:pStyle w:val="ParaNum"/>
      </w:pPr>
      <w:bookmarkStart w:id="105" w:name="_Hlk38010018"/>
      <w:r>
        <w:t xml:space="preserve">Based on the comments, we decline to adopt the proposed unified tier structure at this time.  Instead, we adopt the alternative proposal in the </w:t>
      </w:r>
      <w:r w:rsidRPr="005077B3">
        <w:rPr>
          <w:i/>
          <w:iCs/>
        </w:rPr>
        <w:t>FY 2020 NPRM</w:t>
      </w:r>
      <w:r>
        <w:t xml:space="preserve"> to maintain our current fee structure and will continue to assess regulatory fees for terrestrial and satellite IBCs on a per Gbps circuit basis.</w:t>
      </w:r>
      <w:r>
        <w:rPr>
          <w:rStyle w:val="FootnoteReference"/>
        </w:rPr>
        <w:footnoteReference w:id="206"/>
      </w:r>
      <w:r>
        <w:t xml:space="preserve">  We will use </w:t>
      </w:r>
      <w:r w:rsidRPr="005077B3">
        <w:t>a six</w:t>
      </w:r>
      <w:r>
        <w:t xml:space="preserve"> tier structure for fees assessed to submarine cable systems, using</w:t>
      </w:r>
      <w:r w:rsidRPr="007F2DAD">
        <w:t xml:space="preserve"> lit capacity of the cable system</w:t>
      </w:r>
      <w:r>
        <w:t xml:space="preserve">.  </w:t>
      </w:r>
    </w:p>
    <w:p w:rsidR="00584CDC" w:rsidP="00584CDC" w14:paraId="0C6D3FDF" w14:textId="77777777">
      <w:pPr>
        <w:pStyle w:val="ParaNum"/>
      </w:pPr>
      <w:r>
        <w:t>We reject, again, using a flat rate for submarine cables.  NASCA contends that the industry proposal that the Commission adopted in 2009 was meant to replace capacity-based fees with a flat fee per submarine cable system.</w:t>
      </w:r>
      <w:r>
        <w:rPr>
          <w:rStyle w:val="FootnoteReference"/>
        </w:rPr>
        <w:footnoteReference w:id="207"/>
      </w:r>
      <w:r>
        <w:t xml:space="preserve">  The Commission has previously addressed this issue and rejected adopting a flat fee for submarine cables.</w:t>
      </w:r>
      <w:r>
        <w:rPr>
          <w:rStyle w:val="FootnoteReference"/>
        </w:rPr>
        <w:footnoteReference w:id="208"/>
      </w:r>
      <w:r>
        <w:t xml:space="preserve">  Contrary to NASCA’s assertion, the Commission never indicated in the </w:t>
      </w:r>
      <w:r>
        <w:rPr>
          <w:i/>
          <w:iCs/>
        </w:rPr>
        <w:t xml:space="preserve">Submarine Cable Order </w:t>
      </w:r>
      <w:r>
        <w:t>that it intended to move to a flat fee and indeed it specifically stated that over time the categories of small and large systems will change as systems grow in capacity.</w:t>
      </w:r>
      <w:r>
        <w:rPr>
          <w:rStyle w:val="FootnoteReference"/>
        </w:rPr>
        <w:footnoteReference w:id="209"/>
      </w:r>
      <w:r>
        <w:t xml:space="preserve">  The Commission updated the tiers in 2018 to reflect the increasing capacity of submarine cable systems and we do so again this year.</w:t>
      </w:r>
      <w:r>
        <w:rPr>
          <w:rStyle w:val="FootnoteReference"/>
        </w:rPr>
        <w:footnoteReference w:id="210"/>
      </w:r>
      <w:r>
        <w:t xml:space="preserve">  </w:t>
      </w:r>
    </w:p>
    <w:p w:rsidR="00584CDC" w:rsidP="00584CDC" w14:paraId="56380FE0" w14:textId="77777777">
      <w:pPr>
        <w:pStyle w:val="Heading3"/>
      </w:pPr>
      <w:bookmarkStart w:id="106" w:name="_Toc47539511"/>
      <w:bookmarkStart w:id="107" w:name="_Toc47692783"/>
      <w:bookmarkStart w:id="108" w:name="_Toc48832350"/>
      <w:bookmarkStart w:id="109" w:name="_Toc48919591"/>
      <w:r>
        <w:t>Submarine Cable IBC Regulatory Fees</w:t>
      </w:r>
      <w:bookmarkEnd w:id="106"/>
      <w:bookmarkEnd w:id="107"/>
      <w:bookmarkEnd w:id="108"/>
      <w:bookmarkEnd w:id="109"/>
    </w:p>
    <w:p w:rsidR="00584CDC" w:rsidP="00584CDC" w14:paraId="3FC5E83F" w14:textId="77777777">
      <w:pPr>
        <w:pStyle w:val="ParaNum"/>
      </w:pPr>
      <w:r>
        <w:t xml:space="preserve">Since FY 2009, when the Commission established a new methodology for assessing submarine cable fees, the level of capacity for submarine cable systems has increased by leaps and bounds.  The Commission has expanded the different tiers to accommodate for this rapid expansion in growth.  However, the basic methodology for calculating submarine cable fees has not changed since FY 2009.  Submarine cable fees are still calculated on the basis of “1” unit, “.5” units, “.25” units and so forth.  In the </w:t>
      </w:r>
      <w:r w:rsidRPr="00DC28B3">
        <w:rPr>
          <w:i/>
          <w:iCs/>
        </w:rPr>
        <w:t>FY 2020 NPRM</w:t>
      </w:r>
      <w:r>
        <w:t xml:space="preserve">, the proposed basic unit of fees remained at “1” unit, and this “1” unit is at the fee level of $295,000 and at the tier threshold of 3,500 – 6,500 Gbps.  The tier threshold at 2,000 – 3,500 Gbps constituted “.5” units ($147,500), while the tier level above 6,500 Gbps ($590,000), as proposed, was double the “1” unit fee and constituted “2” units.  The basic methodology for calculating submarine cable fees had not changed, just expanded to include a level above “1” unit due to increases in capacity.  </w:t>
      </w:r>
    </w:p>
    <w:p w:rsidR="00584CDC" w:rsidP="00584CDC" w14:paraId="266B8850" w14:textId="77777777">
      <w:pPr>
        <w:pStyle w:val="ParaNum"/>
      </w:pPr>
      <w:r>
        <w:t xml:space="preserve">Some commenters argue that calculations underlying this year’s regulatory fees are incorrect.  CenturyLink states that the proposed fees have </w:t>
      </w:r>
      <w:r w:rsidRPr="00FD2128">
        <w:t>calculation errors</w:t>
      </w:r>
      <w:r>
        <w:t xml:space="preserve"> and will </w:t>
      </w:r>
      <w:r w:rsidRPr="00FD2128">
        <w:t xml:space="preserve">result in an </w:t>
      </w:r>
      <w:r w:rsidRPr="00FD2128">
        <w:t>overcollection</w:t>
      </w:r>
      <w:r>
        <w:t xml:space="preserve"> of over $11 million.</w:t>
      </w:r>
      <w:r>
        <w:rPr>
          <w:rStyle w:val="FootnoteReference"/>
        </w:rPr>
        <w:footnoteReference w:id="211"/>
      </w:r>
      <w:r>
        <w:t xml:space="preserve">  NASCA contends that the wrong denominator was used in the calculation of submarine cable fee—the number of licensed cables, 53, should be the denominator instead of the number of payment units.</w:t>
      </w:r>
      <w:r>
        <w:rPr>
          <w:rStyle w:val="FootnoteReference"/>
        </w:rPr>
        <w:footnoteReference w:id="212"/>
      </w:r>
      <w:r>
        <w:t xml:space="preserve">  This erroneous calculation would lead to an overcollection of $14,128,475.</w:t>
      </w:r>
      <w:r>
        <w:rPr>
          <w:rStyle w:val="FootnoteReference"/>
        </w:rPr>
        <w:footnoteReference w:id="213"/>
      </w:r>
      <w:r>
        <w:t xml:space="preserve">  And AT&amp;T does its own calculations to come up with its own tier structure.</w:t>
      </w:r>
      <w:r>
        <w:rPr>
          <w:rStyle w:val="FootnoteReference"/>
        </w:rPr>
        <w:footnoteReference w:id="214"/>
      </w:r>
    </w:p>
    <w:p w:rsidR="00584CDC" w:rsidP="00584CDC" w14:paraId="06592D39" w14:textId="77777777">
      <w:pPr>
        <w:pStyle w:val="ParaNum"/>
      </w:pPr>
      <w:r>
        <w:t>Submarine cable system operators are not currently required to disclose the lit capacity of their submarine cable systems to the Commission.  In the absence of such data, the Commission must rely on estimates based on the submarine cable system fee payor’s past certifications that accompany their regulatory fee payments.  Both NASCA and the Submarine Cable Coalition have filed data about the current lit capacity of their members’ submarine cable systems to provide a factual basis for us to conclude a higher number of fee payors will be paying at the highest level.</w:t>
      </w:r>
      <w:r>
        <w:rPr>
          <w:rStyle w:val="FootnoteReference"/>
        </w:rPr>
        <w:footnoteReference w:id="215"/>
      </w:r>
      <w:r>
        <w:t xml:space="preserve">  Taking the new information into account and applying the new top tier ratio, we adopt the following submarine cable systems regulatory fee tiers:</w:t>
      </w:r>
    </w:p>
    <w:p w:rsidR="00584CDC" w:rsidRPr="005077B3" w:rsidP="00584CDC" w14:paraId="2628941D" w14:textId="77777777">
      <w:pPr>
        <w:pStyle w:val="ParaNum"/>
        <w:numPr>
          <w:ilvl w:val="0"/>
          <w:numId w:val="0"/>
        </w:numPr>
      </w:pPr>
      <w:r w:rsidRPr="00E3654B">
        <w:t>FY 2020 International Bearer Circuits - Submarine Cable Systems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29B83594" w14:textId="77777777" w:rsidTr="00D66682">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584CDC" w:rsidRPr="005F6BC2" w:rsidP="00E42C66" w14:paraId="7DC6DD0C"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584CDC" w:rsidRPr="005F6BC2" w:rsidP="00E42C66" w14:paraId="511AFE42"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201</w:t>
            </w:r>
            <w:r>
              <w:rPr>
                <w:b/>
                <w:szCs w:val="22"/>
              </w:rPr>
              <w:t>9</w:t>
            </w:r>
            <w:r w:rsidRPr="005F6BC2">
              <w:rPr>
                <w:b/>
                <w:szCs w:val="22"/>
              </w:rPr>
              <w:t>)</w:t>
            </w:r>
          </w:p>
        </w:tc>
        <w:tc>
          <w:tcPr>
            <w:tcW w:w="2291" w:type="dxa"/>
          </w:tcPr>
          <w:p w:rsidR="00584CDC" w:rsidP="00E42C66" w14:paraId="13990F35"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584CDC" w:rsidRPr="005F6BC2" w:rsidP="00E42C66" w14:paraId="71E926F0"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584CDC" w:rsidRPr="005F6BC2" w:rsidP="00E42C66" w14:paraId="1887B85B"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20 Regulatory Fees</w:t>
            </w:r>
          </w:p>
        </w:tc>
      </w:tr>
      <w:tr w14:paraId="3EBBF6C9" w14:textId="77777777" w:rsidTr="00D66682">
        <w:tblPrEx>
          <w:tblW w:w="0" w:type="auto"/>
          <w:tblInd w:w="175" w:type="dxa"/>
          <w:tblLook w:val="01E0"/>
        </w:tblPrEx>
        <w:trPr>
          <w:trHeight w:val="576"/>
        </w:trPr>
        <w:tc>
          <w:tcPr>
            <w:tcW w:w="3649" w:type="dxa"/>
            <w:vAlign w:val="center"/>
          </w:tcPr>
          <w:p w:rsidR="00584CDC" w:rsidRPr="005F6BC2" w:rsidP="00E42C66" w14:paraId="1AEC434A"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584CDC" w:rsidP="00E42C66" w14:paraId="74DE1D29"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584CDC" w:rsidP="00E42C66" w14:paraId="08119F57"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584CDC" w:rsidRPr="005F6BC2" w:rsidP="00E42C66" w14:paraId="271A8062"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$13,450</w:t>
            </w:r>
          </w:p>
        </w:tc>
      </w:tr>
      <w:tr w14:paraId="38B69AEA" w14:textId="77777777" w:rsidTr="00D66682">
        <w:tblPrEx>
          <w:tblW w:w="0" w:type="auto"/>
          <w:tblInd w:w="175" w:type="dxa"/>
          <w:tblLook w:val="01E0"/>
        </w:tblPrEx>
        <w:trPr>
          <w:trHeight w:val="576"/>
        </w:trPr>
        <w:tc>
          <w:tcPr>
            <w:tcW w:w="3649" w:type="dxa"/>
            <w:vAlign w:val="center"/>
          </w:tcPr>
          <w:p w:rsidR="00584CDC" w:rsidRPr="005F6BC2" w:rsidP="00E42C66" w14:paraId="4BF745ED"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584CDC" w:rsidP="00E42C66" w14:paraId="684264D2"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584CDC" w:rsidRPr="005F6BC2" w:rsidP="00E42C66" w14:paraId="5622B051"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584CDC" w:rsidRPr="005F6BC2" w:rsidP="00E42C66" w14:paraId="0BD30013"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Pr>
                <w:bCs/>
                <w:szCs w:val="22"/>
              </w:rPr>
              <w:t>26,875</w:t>
            </w:r>
          </w:p>
        </w:tc>
      </w:tr>
      <w:tr w14:paraId="55DFDAA7" w14:textId="77777777" w:rsidTr="00D66682">
        <w:tblPrEx>
          <w:tblW w:w="0" w:type="auto"/>
          <w:tblInd w:w="175" w:type="dxa"/>
          <w:tblLook w:val="01E0"/>
        </w:tblPrEx>
        <w:trPr>
          <w:trHeight w:val="576"/>
        </w:trPr>
        <w:tc>
          <w:tcPr>
            <w:tcW w:w="3649" w:type="dxa"/>
            <w:vAlign w:val="center"/>
          </w:tcPr>
          <w:p w:rsidR="00584CDC" w:rsidRPr="005F6BC2" w:rsidP="00E42C66" w14:paraId="5061DDD2"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584CDC" w:rsidP="00E42C66" w14:paraId="5587A0D2" w14:textId="77777777">
            <w:pPr>
              <w:keepNext/>
              <w:keepLines/>
              <w:jc w:val="center"/>
              <w:rPr>
                <w:bCs/>
                <w:szCs w:val="22"/>
              </w:rPr>
            </w:pPr>
          </w:p>
          <w:p w:rsidR="00584CDC" w:rsidRPr="005F6BC2" w:rsidP="00E42C66" w14:paraId="4F3188D5" w14:textId="77777777">
            <w:pPr>
              <w:keepNext/>
              <w:keepLines/>
              <w:jc w:val="center"/>
              <w:rPr>
                <w:bCs/>
                <w:szCs w:val="22"/>
              </w:rPr>
            </w:pPr>
            <w:r>
              <w:rPr>
                <w:bCs/>
                <w:szCs w:val="22"/>
              </w:rPr>
              <w:t>.25 Units</w:t>
            </w:r>
          </w:p>
        </w:tc>
        <w:tc>
          <w:tcPr>
            <w:tcW w:w="3235" w:type="dxa"/>
            <w:vAlign w:val="center"/>
          </w:tcPr>
          <w:p w:rsidR="00584CDC" w:rsidRPr="005F6BC2" w:rsidP="00E42C66" w14:paraId="3A5B267A" w14:textId="77777777">
            <w:pPr>
              <w:keepNext/>
              <w:keepLines/>
              <w:jc w:val="center"/>
              <w:rPr>
                <w:spacing w:val="-3"/>
                <w:szCs w:val="22"/>
              </w:rPr>
            </w:pPr>
            <w:r w:rsidRPr="005F6BC2">
              <w:rPr>
                <w:bCs/>
                <w:szCs w:val="22"/>
              </w:rPr>
              <w:t>$</w:t>
            </w:r>
            <w:r>
              <w:rPr>
                <w:bCs/>
                <w:szCs w:val="22"/>
              </w:rPr>
              <w:t>53,750</w:t>
            </w:r>
          </w:p>
        </w:tc>
      </w:tr>
      <w:tr w14:paraId="4C4744AF" w14:textId="77777777" w:rsidTr="00D66682">
        <w:tblPrEx>
          <w:tblW w:w="0" w:type="auto"/>
          <w:tblInd w:w="175" w:type="dxa"/>
          <w:tblLook w:val="01E0"/>
        </w:tblPrEx>
        <w:trPr>
          <w:trHeight w:val="576"/>
        </w:trPr>
        <w:tc>
          <w:tcPr>
            <w:tcW w:w="3649" w:type="dxa"/>
            <w:vAlign w:val="center"/>
          </w:tcPr>
          <w:p w:rsidR="00584CDC" w:rsidRPr="005F6BC2" w:rsidP="00E42C66" w14:paraId="07D42BB0"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584CDC" w:rsidP="00E42C66" w14:paraId="719CAB71" w14:textId="77777777">
            <w:pPr>
              <w:keepNext/>
              <w:keepLines/>
              <w:jc w:val="center"/>
              <w:rPr>
                <w:bCs/>
                <w:szCs w:val="22"/>
              </w:rPr>
            </w:pPr>
          </w:p>
          <w:p w:rsidR="00584CDC" w:rsidRPr="005F6BC2" w:rsidP="00E42C66" w14:paraId="226A0A36" w14:textId="77777777">
            <w:pPr>
              <w:keepNext/>
              <w:keepLines/>
              <w:jc w:val="center"/>
              <w:rPr>
                <w:bCs/>
                <w:szCs w:val="22"/>
              </w:rPr>
            </w:pPr>
            <w:r>
              <w:rPr>
                <w:bCs/>
                <w:szCs w:val="22"/>
              </w:rPr>
              <w:t>.5 Units</w:t>
            </w:r>
          </w:p>
        </w:tc>
        <w:tc>
          <w:tcPr>
            <w:tcW w:w="3235" w:type="dxa"/>
            <w:vAlign w:val="center"/>
          </w:tcPr>
          <w:p w:rsidR="00584CDC" w:rsidRPr="005F6BC2" w:rsidP="00E42C66" w14:paraId="59166C58" w14:textId="77777777">
            <w:pPr>
              <w:keepNext/>
              <w:keepLines/>
              <w:jc w:val="center"/>
              <w:rPr>
                <w:spacing w:val="-3"/>
                <w:szCs w:val="22"/>
              </w:rPr>
            </w:pPr>
            <w:r w:rsidRPr="005F6BC2">
              <w:rPr>
                <w:bCs/>
                <w:szCs w:val="22"/>
              </w:rPr>
              <w:t>$</w:t>
            </w:r>
            <w:r>
              <w:rPr>
                <w:bCs/>
                <w:szCs w:val="22"/>
              </w:rPr>
              <w:t>107,500</w:t>
            </w:r>
          </w:p>
        </w:tc>
      </w:tr>
      <w:tr w14:paraId="164FC50D" w14:textId="77777777" w:rsidTr="00D66682">
        <w:tblPrEx>
          <w:tblW w:w="0" w:type="auto"/>
          <w:tblInd w:w="175" w:type="dxa"/>
          <w:tblLook w:val="01E0"/>
        </w:tblPrEx>
        <w:trPr>
          <w:trHeight w:val="576"/>
        </w:trPr>
        <w:tc>
          <w:tcPr>
            <w:tcW w:w="3649" w:type="dxa"/>
            <w:vAlign w:val="center"/>
          </w:tcPr>
          <w:p w:rsidR="00584CDC" w:rsidRPr="005F6BC2" w:rsidP="00E42C66" w14:paraId="6522C9CF"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584CDC" w:rsidP="00E42C66" w14:paraId="02A4FB0C" w14:textId="77777777">
            <w:pPr>
              <w:keepNext/>
              <w:keepLines/>
              <w:jc w:val="center"/>
              <w:rPr>
                <w:bCs/>
                <w:szCs w:val="22"/>
              </w:rPr>
            </w:pPr>
          </w:p>
          <w:p w:rsidR="00584CDC" w:rsidRPr="005F6BC2" w:rsidP="00E42C66" w14:paraId="0E3F9D9B" w14:textId="77777777">
            <w:pPr>
              <w:keepNext/>
              <w:keepLines/>
              <w:jc w:val="center"/>
              <w:rPr>
                <w:bCs/>
                <w:szCs w:val="22"/>
              </w:rPr>
            </w:pPr>
            <w:r>
              <w:rPr>
                <w:bCs/>
                <w:szCs w:val="22"/>
              </w:rPr>
              <w:t>1.0 Unit</w:t>
            </w:r>
          </w:p>
        </w:tc>
        <w:tc>
          <w:tcPr>
            <w:tcW w:w="3235" w:type="dxa"/>
            <w:vAlign w:val="center"/>
          </w:tcPr>
          <w:p w:rsidR="00584CDC" w:rsidRPr="005F6BC2" w:rsidP="00E42C66" w14:paraId="398DF729" w14:textId="77777777">
            <w:pPr>
              <w:keepNext/>
              <w:keepLines/>
              <w:jc w:val="center"/>
              <w:rPr>
                <w:spacing w:val="-3"/>
                <w:szCs w:val="22"/>
              </w:rPr>
            </w:pPr>
            <w:r w:rsidRPr="005F6BC2">
              <w:rPr>
                <w:bCs/>
                <w:szCs w:val="22"/>
              </w:rPr>
              <w:t>$</w:t>
            </w:r>
            <w:r>
              <w:rPr>
                <w:bCs/>
                <w:szCs w:val="22"/>
              </w:rPr>
              <w:t>215,000</w:t>
            </w:r>
          </w:p>
        </w:tc>
      </w:tr>
      <w:tr w14:paraId="3FAA7A63" w14:textId="77777777" w:rsidTr="00D66682">
        <w:tblPrEx>
          <w:tblW w:w="0" w:type="auto"/>
          <w:tblInd w:w="175" w:type="dxa"/>
          <w:tblLook w:val="01E0"/>
        </w:tblPrEx>
        <w:trPr>
          <w:trHeight w:val="576"/>
        </w:trPr>
        <w:tc>
          <w:tcPr>
            <w:tcW w:w="3649" w:type="dxa"/>
            <w:vAlign w:val="center"/>
          </w:tcPr>
          <w:p w:rsidR="00584CDC" w:rsidRPr="005F6BC2" w:rsidP="00E42C66" w14:paraId="0D473F72" w14:textId="77777777">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584CDC" w:rsidP="00E42C66" w14:paraId="0159A2FA" w14:textId="77777777">
            <w:pPr>
              <w:keepNext/>
              <w:keepLines/>
              <w:jc w:val="center"/>
              <w:rPr>
                <w:bCs/>
                <w:szCs w:val="22"/>
              </w:rPr>
            </w:pPr>
          </w:p>
          <w:p w:rsidR="00584CDC" w:rsidRPr="005F6BC2" w:rsidP="00E42C66" w14:paraId="66CE0AE3" w14:textId="77777777">
            <w:pPr>
              <w:keepNext/>
              <w:keepLines/>
              <w:jc w:val="center"/>
              <w:rPr>
                <w:bCs/>
                <w:szCs w:val="22"/>
              </w:rPr>
            </w:pPr>
            <w:r>
              <w:rPr>
                <w:bCs/>
                <w:szCs w:val="22"/>
              </w:rPr>
              <w:t>2.0 Units</w:t>
            </w:r>
          </w:p>
        </w:tc>
        <w:tc>
          <w:tcPr>
            <w:tcW w:w="3235" w:type="dxa"/>
            <w:vAlign w:val="center"/>
          </w:tcPr>
          <w:p w:rsidR="00584CDC" w:rsidRPr="005F6BC2" w:rsidP="00E42C66" w14:paraId="09849DE8" w14:textId="77777777">
            <w:pPr>
              <w:keepNext/>
              <w:keepLines/>
              <w:jc w:val="center"/>
              <w:rPr>
                <w:szCs w:val="22"/>
              </w:rPr>
            </w:pPr>
            <w:r w:rsidRPr="005F6BC2">
              <w:rPr>
                <w:bCs/>
                <w:szCs w:val="22"/>
              </w:rPr>
              <w:t>$</w:t>
            </w:r>
            <w:r>
              <w:rPr>
                <w:bCs/>
                <w:szCs w:val="22"/>
              </w:rPr>
              <w:t>430,000</w:t>
            </w:r>
          </w:p>
        </w:tc>
      </w:tr>
    </w:tbl>
    <w:p w:rsidR="00584CDC" w:rsidP="00584CDC" w14:paraId="0A260F25" w14:textId="77777777">
      <w:pPr>
        <w:pStyle w:val="ParaNum"/>
        <w:numPr>
          <w:ilvl w:val="0"/>
          <w:numId w:val="0"/>
        </w:numPr>
        <w:rPr>
          <w:highlight w:val="yellow"/>
        </w:rPr>
      </w:pPr>
      <w:r w:rsidRPr="00342331">
        <w:rPr>
          <w:highlight w:val="yellow"/>
        </w:rPr>
        <w:t xml:space="preserve"> </w:t>
      </w:r>
    </w:p>
    <w:p w:rsidR="00584CDC" w:rsidP="00584CDC" w14:paraId="711FB67C" w14:textId="77777777">
      <w:pPr>
        <w:pStyle w:val="ParaNum"/>
      </w:pPr>
      <w:r w:rsidRPr="00E3654B">
        <w:t>With these adjustments</w:t>
      </w:r>
      <w:r>
        <w:t>,</w:t>
      </w:r>
      <w:r w:rsidRPr="00E3654B">
        <w:t xml:space="preserve"> the new fees for </w:t>
      </w:r>
      <w:r>
        <w:t xml:space="preserve">submarine cable systems are: </w:t>
      </w:r>
      <w:r w:rsidRPr="005F6BC2">
        <w:rPr>
          <w:bCs/>
          <w:szCs w:val="22"/>
        </w:rPr>
        <w:t>$</w:t>
      </w:r>
      <w:r>
        <w:rPr>
          <w:bCs/>
          <w:szCs w:val="22"/>
        </w:rPr>
        <w:t xml:space="preserve">430,000 </w:t>
      </w:r>
      <w:r>
        <w:t xml:space="preserve">for capacities of 6,500 Gbps or greater; </w:t>
      </w:r>
      <w:r w:rsidRPr="005F6BC2">
        <w:rPr>
          <w:bCs/>
          <w:szCs w:val="22"/>
        </w:rPr>
        <w:t>$</w:t>
      </w:r>
      <w:r>
        <w:rPr>
          <w:bCs/>
          <w:szCs w:val="22"/>
        </w:rPr>
        <w:t xml:space="preserve">215,000 </w:t>
      </w:r>
      <w:r>
        <w:t xml:space="preserve">for capacities of 3,500 Gbps or greater but less than 6,500 Gbps; </w:t>
      </w:r>
      <w:r w:rsidRPr="005F6BC2">
        <w:rPr>
          <w:bCs/>
          <w:szCs w:val="22"/>
        </w:rPr>
        <w:t>$</w:t>
      </w:r>
      <w:r>
        <w:rPr>
          <w:bCs/>
          <w:szCs w:val="22"/>
        </w:rPr>
        <w:t>107,500</w:t>
      </w:r>
      <w:r>
        <w:t xml:space="preserve"> for capacities of 1,500 Gbps or greater but less than 3,500 Gbps; </w:t>
      </w:r>
      <w:r w:rsidRPr="005F6BC2">
        <w:rPr>
          <w:bCs/>
          <w:szCs w:val="22"/>
        </w:rPr>
        <w:t>$</w:t>
      </w:r>
      <w:r>
        <w:rPr>
          <w:bCs/>
          <w:szCs w:val="22"/>
        </w:rPr>
        <w:t>53,750</w:t>
      </w:r>
      <w:r>
        <w:t xml:space="preserve"> for capacities of 250 Gbps or greater but less than 1,500 Gbps, </w:t>
      </w:r>
      <w:r w:rsidRPr="005F6BC2">
        <w:rPr>
          <w:bCs/>
          <w:szCs w:val="22"/>
        </w:rPr>
        <w:t>$</w:t>
      </w:r>
      <w:r>
        <w:rPr>
          <w:bCs/>
          <w:szCs w:val="22"/>
        </w:rPr>
        <w:t>26,875</w:t>
      </w:r>
      <w:r>
        <w:t xml:space="preserve"> for capacities of 50 Gbps or greater but less than 250 Gbps; and </w:t>
      </w:r>
      <w:r>
        <w:rPr>
          <w:bCs/>
          <w:szCs w:val="22"/>
        </w:rPr>
        <w:t>$13,450</w:t>
      </w:r>
      <w:r>
        <w:t xml:space="preserve"> for capacities less than 50 Gbps.  </w:t>
      </w:r>
    </w:p>
    <w:p w:rsidR="00584CDC" w:rsidP="001621B7" w14:paraId="68A8AE27" w14:textId="77777777">
      <w:pPr>
        <w:pStyle w:val="ParaNum"/>
        <w:widowControl/>
      </w:pPr>
      <w:r w:rsidRPr="00DE09BB">
        <w:t xml:space="preserve">These changes </w:t>
      </w:r>
      <w:r>
        <w:t xml:space="preserve">reduce the </w:t>
      </w:r>
      <w:r w:rsidRPr="00DE09BB">
        <w:t>highest tie</w:t>
      </w:r>
      <w:r>
        <w:t>r</w:t>
      </w:r>
      <w:r w:rsidRPr="00DE09BB">
        <w:t xml:space="preserve"> from $59</w:t>
      </w:r>
      <w:r>
        <w:t>0</w:t>
      </w:r>
      <w:r w:rsidRPr="00DE09BB">
        <w:t xml:space="preserve">,000 to </w:t>
      </w:r>
      <w:r w:rsidRPr="005F6BC2">
        <w:rPr>
          <w:bCs/>
          <w:szCs w:val="22"/>
        </w:rPr>
        <w:t>$</w:t>
      </w:r>
      <w:r>
        <w:rPr>
          <w:bCs/>
          <w:szCs w:val="22"/>
        </w:rPr>
        <w:t>430,000</w:t>
      </w:r>
      <w:r>
        <w:t xml:space="preserve"> using a “2” unit fee, the “1” unit fee from $295,000 to </w:t>
      </w:r>
      <w:r w:rsidRPr="005F6BC2">
        <w:rPr>
          <w:bCs/>
          <w:szCs w:val="22"/>
        </w:rPr>
        <w:t>$</w:t>
      </w:r>
      <w:r>
        <w:rPr>
          <w:bCs/>
          <w:szCs w:val="22"/>
        </w:rPr>
        <w:t>215,000</w:t>
      </w:r>
      <w:r>
        <w:t xml:space="preserve">, the “.5” unit fee from $147,500 to </w:t>
      </w:r>
      <w:r w:rsidRPr="005F6BC2">
        <w:rPr>
          <w:bCs/>
          <w:szCs w:val="22"/>
        </w:rPr>
        <w:t>$</w:t>
      </w:r>
      <w:r>
        <w:rPr>
          <w:bCs/>
          <w:szCs w:val="22"/>
        </w:rPr>
        <w:t>107,500</w:t>
      </w:r>
      <w:r>
        <w:t xml:space="preserve">, the “.25” unit fee </w:t>
      </w:r>
      <w:r>
        <w:t xml:space="preserve">from $73,750 to </w:t>
      </w:r>
      <w:r w:rsidRPr="005F6BC2">
        <w:rPr>
          <w:bCs/>
          <w:szCs w:val="22"/>
        </w:rPr>
        <w:t>$</w:t>
      </w:r>
      <w:r>
        <w:rPr>
          <w:bCs/>
          <w:szCs w:val="22"/>
        </w:rPr>
        <w:t>53,750</w:t>
      </w:r>
      <w:r>
        <w:t xml:space="preserve">, the “.125” unit fee from $36,875 to </w:t>
      </w:r>
      <w:r w:rsidRPr="005F6BC2">
        <w:rPr>
          <w:bCs/>
          <w:szCs w:val="22"/>
        </w:rPr>
        <w:t>$</w:t>
      </w:r>
      <w:r>
        <w:rPr>
          <w:bCs/>
          <w:szCs w:val="22"/>
        </w:rPr>
        <w:t>26,875</w:t>
      </w:r>
      <w:r>
        <w:t xml:space="preserve">, and the “.0625” unit fee from $18,450 to </w:t>
      </w:r>
      <w:r>
        <w:rPr>
          <w:bCs/>
          <w:szCs w:val="22"/>
        </w:rPr>
        <w:t>$13,450</w:t>
      </w:r>
      <w:r>
        <w:t>.</w:t>
      </w:r>
    </w:p>
    <w:p w:rsidR="00584CDC" w:rsidP="00584CDC" w14:paraId="2A2DF8CB" w14:textId="77777777">
      <w:pPr>
        <w:pStyle w:val="ParaNum"/>
      </w:pPr>
      <w:r>
        <w:t>The Submarine Cable Coalition contends that the high regulatory fees impact the competitiveness and desirability of United States as a landing location.</w:t>
      </w:r>
      <w:r>
        <w:rPr>
          <w:rStyle w:val="FootnoteReference"/>
        </w:rPr>
        <w:footnoteReference w:id="216"/>
      </w:r>
      <w:r>
        <w:t xml:space="preserve">  These commenters argue that an operator may elect to obtain licenses in Canada or Mexico, even if a significant portion of the traffic on the cable is intended for or would originate from destinations in the United States.</w:t>
      </w:r>
      <w:r>
        <w:rPr>
          <w:rStyle w:val="FootnoteReference"/>
        </w:rPr>
        <w:footnoteReference w:id="217"/>
      </w:r>
      <w:r>
        <w:t xml:space="preserve">  While we recognize that regulatory fees are a factor for the industry to consider in their business plans, we cannot adjust regulatory fees based on fees assessed in other countries.  Instead, we are required by section 9 of the Act to base regulatory fees on the FTEs in the bureaus and offices in the Commission “adjusted to take into account factors that are reasonably related to the benefits provided.”</w:t>
      </w:r>
      <w:r>
        <w:rPr>
          <w:rStyle w:val="FootnoteReference"/>
        </w:rPr>
        <w:footnoteReference w:id="218"/>
      </w:r>
      <w:r>
        <w:t xml:space="preserve">  </w:t>
      </w:r>
    </w:p>
    <w:p w:rsidR="00584CDC" w:rsidP="00584CDC" w14:paraId="40AE496E" w14:textId="77777777">
      <w:pPr>
        <w:pStyle w:val="ParaNum"/>
      </w:pPr>
      <w:r>
        <w:t xml:space="preserve">Finally, </w:t>
      </w:r>
      <w:r w:rsidRPr="00D61887">
        <w:t xml:space="preserve">NASCA argues that the </w:t>
      </w:r>
      <w:r>
        <w:t xml:space="preserve">Commission </w:t>
      </w:r>
      <w:r w:rsidRPr="00D61887">
        <w:t>should charge fees based on active capacity rather than lit capacity.</w:t>
      </w:r>
      <w:r>
        <w:rPr>
          <w:rStyle w:val="FootnoteReference"/>
        </w:rPr>
        <w:footnoteReference w:id="219"/>
      </w:r>
      <w:r w:rsidRPr="00D61887">
        <w:t xml:space="preserve">  NASCA notes that “active” capacity is revenue-generating while “lit” capacity is merely electronically enabled capacity and does not equate to revenue-generating capacity.</w:t>
      </w:r>
      <w:r>
        <w:rPr>
          <w:rStyle w:val="FootnoteReference"/>
        </w:rPr>
        <w:footnoteReference w:id="220"/>
      </w:r>
      <w:r w:rsidRPr="00D61887">
        <w:t xml:space="preserve">  NASCA</w:t>
      </w:r>
      <w:r>
        <w:t xml:space="preserve"> and the Submarine Cable Coalition</w:t>
      </w:r>
      <w:r w:rsidRPr="00D61887">
        <w:t xml:space="preserve"> assert that failure to define and distinguish between “active” and “lit” capacity </w:t>
      </w:r>
      <w:r>
        <w:t xml:space="preserve">in the </w:t>
      </w:r>
      <w:r>
        <w:rPr>
          <w:i/>
          <w:iCs/>
        </w:rPr>
        <w:t xml:space="preserve">FY 2020 NPRM </w:t>
      </w:r>
      <w:r>
        <w:t xml:space="preserve">creates ambiguities that could lead to </w:t>
      </w:r>
      <w:r w:rsidRPr="009320F9">
        <w:t>gamesmanship if regulated parties</w:t>
      </w:r>
      <w:r>
        <w:t xml:space="preserve"> </w:t>
      </w:r>
      <w:r w:rsidRPr="009320F9">
        <w:t xml:space="preserve">seek to lower </w:t>
      </w:r>
      <w:r>
        <w:t>regulatory</w:t>
      </w:r>
      <w:r w:rsidRPr="009320F9">
        <w:t xml:space="preserve"> fees owed</w:t>
      </w:r>
      <w:r w:rsidRPr="00D61887">
        <w:t>.</w:t>
      </w:r>
      <w:r>
        <w:rPr>
          <w:rStyle w:val="FootnoteReference"/>
        </w:rPr>
        <w:footnoteReference w:id="221"/>
      </w:r>
      <w:r>
        <w:t xml:space="preserve">  </w:t>
      </w:r>
    </w:p>
    <w:p w:rsidR="00584CDC" w:rsidP="00584CDC" w14:paraId="7943D7F3" w14:textId="77777777">
      <w:pPr>
        <w:pStyle w:val="ParaNum"/>
      </w:pPr>
      <w:r>
        <w:t xml:space="preserve">We clarify </w:t>
      </w:r>
      <w:r w:rsidRPr="00F577ED">
        <w:t>that</w:t>
      </w:r>
      <w:r>
        <w:t xml:space="preserve"> submarine cables will be assessed IBC fees based on “lit” capacity.</w:t>
      </w:r>
      <w:r>
        <w:rPr>
          <w:rStyle w:val="FootnoteReference"/>
        </w:rPr>
        <w:footnoteReference w:id="222"/>
      </w:r>
      <w:r>
        <w:t xml:space="preserve">  As the Commission explained in the </w:t>
      </w:r>
      <w:r w:rsidRPr="00E15DB8">
        <w:rPr>
          <w:i/>
          <w:iCs/>
        </w:rPr>
        <w:t>FY 2019 Report and Order</w:t>
      </w:r>
      <w:r w:rsidRPr="0037553B">
        <w:t>,</w:t>
      </w:r>
      <w:r>
        <w:t xml:space="preserve"> the submarine cable IBCs are based on the lit capacity of the submarine cable as of December 31 of the previous year, in this case December 31, 2019.</w:t>
      </w:r>
      <w:r>
        <w:rPr>
          <w:rStyle w:val="FootnoteReference"/>
        </w:rPr>
        <w:footnoteReference w:id="223"/>
      </w:r>
      <w:r>
        <w:t xml:space="preserve">  The Commission uses lit capacity </w:t>
      </w:r>
      <w:r w:rsidRPr="008C0B4F">
        <w:t>“because that is the amount of capacity that submarine cable operators are able to provide services over and the regulatory fee is in part recovering the costs related to the regulation and oversight of such services.”</w:t>
      </w:r>
      <w:r>
        <w:rPr>
          <w:rStyle w:val="FootnoteReference"/>
        </w:rPr>
        <w:footnoteReference w:id="224"/>
      </w:r>
      <w:r>
        <w:t xml:space="preserve">  We believe that the term “l</w:t>
      </w:r>
      <w:r w:rsidRPr="00943B91">
        <w:t>it capacity</w:t>
      </w:r>
      <w:r>
        <w:t>”</w:t>
      </w:r>
      <w:r w:rsidRPr="00943B91">
        <w:t xml:space="preserve"> </w:t>
      </w:r>
      <w:r>
        <w:t xml:space="preserve">is a well-established industry terminology and its use will less likely to create any </w:t>
      </w:r>
      <w:r w:rsidRPr="00815D63">
        <w:t>ambiguit</w:t>
      </w:r>
      <w:r>
        <w:t>y</w:t>
      </w:r>
      <w:r w:rsidRPr="00815D63">
        <w:t xml:space="preserve"> that </w:t>
      </w:r>
      <w:r>
        <w:t>may</w:t>
      </w:r>
      <w:r w:rsidRPr="00815D63">
        <w:t xml:space="preserve"> lead to gamesmanship</w:t>
      </w:r>
      <w:r w:rsidRPr="00943B91">
        <w:t>.</w:t>
      </w:r>
      <w:r>
        <w:rPr>
          <w:rStyle w:val="FootnoteReference"/>
        </w:rPr>
        <w:footnoteReference w:id="225"/>
      </w:r>
      <w:r>
        <w:t xml:space="preserve"> </w:t>
      </w:r>
    </w:p>
    <w:p w:rsidR="00584CDC" w:rsidRPr="007F42CE" w:rsidP="00593971" w14:paraId="3AC0810F" w14:textId="77777777">
      <w:pPr>
        <w:pStyle w:val="Heading2"/>
      </w:pPr>
      <w:bookmarkStart w:id="110" w:name="_Toc46764662"/>
      <w:bookmarkStart w:id="111" w:name="_Toc47539512"/>
      <w:bookmarkStart w:id="112" w:name="_Toc47692784"/>
      <w:bookmarkStart w:id="113" w:name="_Toc48832351"/>
      <w:bookmarkStart w:id="114" w:name="_Toc48919592"/>
      <w:bookmarkStart w:id="115" w:name="_Toc40091674"/>
      <w:bookmarkStart w:id="116" w:name="_Toc44602747"/>
      <w:bookmarkStart w:id="117" w:name="_Toc44608835"/>
      <w:bookmarkEnd w:id="105"/>
      <w:r>
        <w:t>Flexibility for Regulatory Payors Given the</w:t>
      </w:r>
      <w:r w:rsidRPr="007F42CE">
        <w:t xml:space="preserve"> COVID-19 Pandemic</w:t>
      </w:r>
      <w:bookmarkEnd w:id="110"/>
      <w:bookmarkEnd w:id="111"/>
      <w:bookmarkEnd w:id="112"/>
      <w:bookmarkEnd w:id="113"/>
      <w:bookmarkEnd w:id="114"/>
    </w:p>
    <w:p w:rsidR="00584CDC" w:rsidP="003D5095" w14:paraId="0623F8FD" w14:textId="77777777">
      <w:pPr>
        <w:pStyle w:val="ParaNum"/>
        <w:widowControl/>
      </w:pPr>
      <w:r>
        <w:t xml:space="preserve">In the </w:t>
      </w:r>
      <w:r w:rsidRPr="005077B3">
        <w:rPr>
          <w:i/>
          <w:iCs/>
        </w:rPr>
        <w:t>FY 2020 NPRM</w:t>
      </w:r>
      <w:r>
        <w:t xml:space="preserve">, we sought comment on providing relief to regulatees whose businesses have suffered financial harm due to the pandemic.  At the outset, we noted the statutory constraints the Commission faces in providing relief from fee payment—its obligations to collect $339,000,000 in FY 2020 regulatory fees and to fairly and proportionately allocate the burden of those fees among regulatees, and the Commission’s inability to exempt regulatees other than those expressly </w:t>
      </w:r>
      <w:r>
        <w:t xml:space="preserve">exempt in the statute.  We asked commenters to suggest relief measures the Commission might implement within the statutory limitations we described.  </w:t>
      </w:r>
    </w:p>
    <w:p w:rsidR="00584CDC" w:rsidP="00584CDC" w14:paraId="2D13C1E7" w14:textId="77777777">
      <w:pPr>
        <w:pStyle w:val="ParaNum"/>
      </w:pPr>
      <w:r>
        <w:t>All of the comments we received in response to our request support the provision of regulatory relief to regulatees financially harmed by the pandemic.</w:t>
      </w:r>
      <w:r>
        <w:rPr>
          <w:rStyle w:val="FootnoteReference"/>
        </w:rPr>
        <w:footnoteReference w:id="226"/>
      </w:r>
      <w:r>
        <w:t xml:space="preserve">  The majority of comments were filed by or on behalf of broadcasters and of those, all oppose increasing FY 2020 broadcaster regulatory fees, urging the Commission to either suspend the fee increases or waive altogether FY 2020 broadcaster regulatory fees.</w:t>
      </w:r>
      <w:r>
        <w:rPr>
          <w:rStyle w:val="FootnoteReference"/>
        </w:rPr>
        <w:footnoteReference w:id="227"/>
      </w:r>
      <w:r>
        <w:t xml:space="preserve">  Commenters also suggest the Commission waive the 25% penalty for broadcasters that do not pay their fee by September 30, 2020</w:t>
      </w:r>
      <w:r>
        <w:rPr>
          <w:rStyle w:val="FootnoteReference"/>
        </w:rPr>
        <w:footnoteReference w:id="228"/>
      </w:r>
      <w:r>
        <w:t xml:space="preserve"> and extend the September 30 deadline.</w:t>
      </w:r>
      <w:r>
        <w:rPr>
          <w:rStyle w:val="FootnoteReference"/>
        </w:rPr>
        <w:footnoteReference w:id="229"/>
      </w:r>
      <w:r>
        <w:t xml:space="preserve"> </w:t>
      </w:r>
    </w:p>
    <w:p w:rsidR="00584CDC" w:rsidP="00584CDC" w14:paraId="6A027309" w14:textId="77777777">
      <w:pPr>
        <w:pStyle w:val="ParaNum"/>
      </w:pPr>
      <w:r>
        <w:t>Several commenters suggest that the Commission relax its standard for waiver requests, including to permit consideration of waiver requests by parties that are red lighted for other debt owed to the Commission and to allow waiver of the portion of fees attributable to any month a station has been off the air.</w:t>
      </w:r>
      <w:r>
        <w:rPr>
          <w:rStyle w:val="FootnoteReference"/>
        </w:rPr>
        <w:footnoteReference w:id="230"/>
      </w:r>
      <w:r>
        <w:t xml:space="preserve">  Others suggest simplifying the waiver filing process to be more “easily navigable and inexpensive” for small broadcasters in particular,</w:t>
      </w:r>
      <w:r>
        <w:rPr>
          <w:rStyle w:val="FootnoteReference"/>
        </w:rPr>
        <w:footnoteReference w:id="231"/>
      </w:r>
      <w:r>
        <w:t xml:space="preserve"> including to permit a single letter filing for both waiver and deferral requests.</w:t>
      </w:r>
      <w:r>
        <w:rPr>
          <w:rStyle w:val="FootnoteReference"/>
        </w:rPr>
        <w:footnoteReference w:id="232"/>
      </w:r>
      <w:r>
        <w:t xml:space="preserve">  Another commenter urges the Commission to modify the financial documentation it considers germane to demonstrate financial hardship, to account for current circumstances in which previously financially healthy broadcasters are experiencing significant financial distress owing to the pandemic.</w:t>
      </w:r>
      <w:r>
        <w:rPr>
          <w:rStyle w:val="FootnoteReference"/>
        </w:rPr>
        <w:footnoteReference w:id="233"/>
      </w:r>
      <w:r>
        <w:t xml:space="preserve">  </w:t>
      </w:r>
    </w:p>
    <w:p w:rsidR="00584CDC" w:rsidP="00584CDC" w14:paraId="7B042257" w14:textId="77777777">
      <w:pPr>
        <w:pStyle w:val="ParaNum"/>
      </w:pPr>
      <w:r>
        <w:t>Several commenters support the expanded use of the Commission’s installment payment program for regulatees unable to pay their fees by the September 30 deadline, urging the Commission to offer installment payment terms of 6-12 months and beyond, deferred lump sum payments, nominal interest rates, no down payment, and simplify the documents required to obtain an installment payment agreement.</w:t>
      </w:r>
      <w:r>
        <w:rPr>
          <w:rStyle w:val="FootnoteReference"/>
        </w:rPr>
        <w:footnoteReference w:id="234"/>
      </w:r>
      <w:r>
        <w:t xml:space="preserve">   </w:t>
      </w:r>
    </w:p>
    <w:p w:rsidR="00584CDC" w:rsidP="00584CDC" w14:paraId="68A67065" w14:textId="741E4304">
      <w:pPr>
        <w:pStyle w:val="ParaNum"/>
      </w:pPr>
      <w:r>
        <w:t xml:space="preserve">We take several steps to address the concerns raised by commenters.  </w:t>
      </w:r>
      <w:r>
        <w:rPr>
          <w:i/>
          <w:iCs/>
        </w:rPr>
        <w:t>First</w:t>
      </w:r>
      <w:r>
        <w:t xml:space="preserve">, we simplify our filing requirements for waiver, reduction, and deferral requests for FY 2020 fees to ensure that regulatees needing assistance are not precluded from requesting it on procedural grounds.  Section 1.1166(a) of the Commission’s rules requires requests for waiver, reduction, or deferral to be filed as separate pleadings and states that “any such request that is not filed as a separate pleading will not be </w:t>
      </w:r>
      <w:r>
        <w:t>considered by the Commission.”  Given the ongoing pandemic, we temporarily waive this rule to permit parties seeking fee waiver and deferral for financial hardship reasons to make a single request for both waiver and deferral.</w:t>
      </w:r>
      <w:r>
        <w:rPr>
          <w:rStyle w:val="FootnoteReference"/>
        </w:rPr>
        <w:footnoteReference w:id="235"/>
      </w:r>
      <w:r>
        <w:t xml:space="preserve">  We also temporarily waive section 1.1166(a) of our rules to </w:t>
      </w:r>
      <w:r w:rsidR="00FC58A7">
        <w:t xml:space="preserve">direct </w:t>
      </w:r>
      <w:r>
        <w:t xml:space="preserve">requests to be submitted electronically to the following Commission email address:  </w:t>
      </w:r>
      <w:hyperlink r:id="rId5" w:history="1">
        <w:r w:rsidRPr="00DC49D8" w:rsidR="00FD46A1">
          <w:rPr>
            <w:rStyle w:val="Hyperlink"/>
          </w:rPr>
          <w:t>2020regfeerelief@fcc.gov</w:t>
        </w:r>
      </w:hyperlink>
      <w:r>
        <w:t xml:space="preserve">.  </w:t>
      </w:r>
    </w:p>
    <w:p w:rsidR="00584CDC" w:rsidP="00584CDC" w14:paraId="5432B838" w14:textId="20CA31B4">
      <w:pPr>
        <w:pStyle w:val="ParaNum"/>
      </w:pPr>
      <w:r w:rsidRPr="00DF6220">
        <w:rPr>
          <w:i/>
          <w:iCs/>
        </w:rPr>
        <w:t>Second</w:t>
      </w:r>
      <w:r w:rsidRPr="00DF6220">
        <w:t xml:space="preserve">, </w:t>
      </w:r>
      <w:r>
        <w:t xml:space="preserve">we temporarily waiver our rules to the extent necessary so that parties seeking extended payment terms for FY 2020 regulatory fees may do so by submitting an email request to the same email address:  </w:t>
      </w:r>
      <w:hyperlink r:id="rId5" w:history="1">
        <w:r w:rsidRPr="00DC49D8" w:rsidR="00FD46A1">
          <w:rPr>
            <w:rStyle w:val="Hyperlink"/>
          </w:rPr>
          <w:t>2020regfeerelief@fcc.gov</w:t>
        </w:r>
      </w:hyperlink>
      <w:r>
        <w:t xml:space="preserve">.  Installment payment requests may be combined with waiver, reduction, and deferral requests in a single request.  </w:t>
      </w:r>
    </w:p>
    <w:p w:rsidR="00584CDC" w:rsidP="00584CDC" w14:paraId="38D21AE7" w14:textId="77777777">
      <w:pPr>
        <w:pStyle w:val="ParaNum"/>
      </w:pPr>
      <w:r>
        <w:rPr>
          <w:i/>
          <w:iCs/>
        </w:rPr>
        <w:t>Third</w:t>
      </w:r>
      <w:r w:rsidRPr="00DF6220">
        <w:t xml:space="preserve">, </w:t>
      </w:r>
      <w:r>
        <w:t xml:space="preserve">we exercise our discretion under </w:t>
      </w:r>
      <w:r w:rsidRPr="00253F4C">
        <w:t>section 3717(a) of the Debt Collection Improvement Act of 1996, as amended,</w:t>
      </w:r>
      <w:r>
        <w:rPr>
          <w:rStyle w:val="FootnoteReference"/>
        </w:rPr>
        <w:footnoteReference w:id="236"/>
      </w:r>
      <w:r w:rsidRPr="00253F4C">
        <w:t xml:space="preserve"> </w:t>
      </w:r>
      <w:r>
        <w:t xml:space="preserve">to reduce the interest rate the Commission charges on installments payments to a nominal rate—and we exercise our discretion to forego the down payment normally required before granting an installment payment request.  </w:t>
      </w:r>
    </w:p>
    <w:p w:rsidR="00584CDC" w:rsidP="00584CDC" w14:paraId="6F5EF299" w14:textId="77777777">
      <w:pPr>
        <w:pStyle w:val="ParaNum"/>
      </w:pPr>
      <w:r w:rsidRPr="00DF6220">
        <w:rPr>
          <w:i/>
          <w:iCs/>
        </w:rPr>
        <w:t>Fourth</w:t>
      </w:r>
      <w:r w:rsidRPr="00DF6220">
        <w:t xml:space="preserve">, </w:t>
      </w:r>
      <w:r>
        <w:t>we recognize that demonstrating financial hardship caused by the pandemic may require different financial documentation than the documentation the Commission has traditionally accepted.  While the burden of proving financial hardship remains with the party requesting it, we direct the Managing Director to work with individual regulatees that have filed requests if additional documents are needed to render a decision on the request.</w:t>
      </w:r>
    </w:p>
    <w:p w:rsidR="00584CDC" w:rsidP="00584CDC" w14:paraId="288DB9E4" w14:textId="77777777">
      <w:pPr>
        <w:pStyle w:val="ParaNum"/>
      </w:pPr>
      <w:r>
        <w:rPr>
          <w:i/>
          <w:iCs/>
        </w:rPr>
        <w:t>Fifth</w:t>
      </w:r>
      <w:r>
        <w:t xml:space="preserve">, we waive in part our red light rule to allow debtors </w:t>
      </w:r>
      <w:r w:rsidRPr="00E409C0">
        <w:t>that are experiencing financial hardship</w:t>
      </w:r>
      <w:r>
        <w:t xml:space="preserve"> </w:t>
      </w:r>
      <w:r w:rsidRPr="00E409C0">
        <w:t xml:space="preserve">to </w:t>
      </w:r>
      <w:r>
        <w:t>nonetheless request relief with respect to their regulatory fees.  Under the red light rule, the Commission will not act on any application or request for relief if the requesting party has not paid a debt owed to the Commission.</w:t>
      </w:r>
      <w:r>
        <w:rPr>
          <w:rStyle w:val="FootnoteReference"/>
        </w:rPr>
        <w:footnoteReference w:id="237"/>
      </w:r>
      <w:r>
        <w:t xml:space="preserve">  In light of the pandemic, we find that temporary waiver of the red light rule, at the Managing Director’s discretion, </w:t>
      </w:r>
      <w:r w:rsidRPr="00C15690">
        <w:t xml:space="preserve">to permit regulatees </w:t>
      </w:r>
      <w:r w:rsidRPr="00E409C0">
        <w:t>that are experiencing financial difficulties and</w:t>
      </w:r>
      <w:r>
        <w:rPr>
          <w:color w:val="FF0000"/>
        </w:rPr>
        <w:t xml:space="preserve"> </w:t>
      </w:r>
      <w:r w:rsidRPr="00C15690">
        <w:t>that owe other debt to the Commission to request waivers, reductions, deferrals</w:t>
      </w:r>
      <w:r>
        <w:t>,</w:t>
      </w:r>
      <w:r w:rsidRPr="00C15690">
        <w:t xml:space="preserve"> and installment payment terms for FY 2020 fees</w:t>
      </w:r>
      <w:r>
        <w:t xml:space="preserve"> is appropriate</w:t>
      </w:r>
      <w:r w:rsidRPr="00C15690">
        <w:t xml:space="preserve">.  </w:t>
      </w:r>
      <w:r>
        <w:t xml:space="preserve">However, those regulatees for whom the red light is waived will be required to resolve all delinquent debt by paying it in full, entering into an installment agreement to repay the debt, and/or if applicable, curing all payment and other defaults under existing installment agreements.  </w:t>
      </w:r>
    </w:p>
    <w:p w:rsidR="00584CDC" w:rsidP="00584CDC" w14:paraId="60211F4A" w14:textId="77777777">
      <w:pPr>
        <w:pStyle w:val="ParaNum"/>
      </w:pPr>
      <w:r>
        <w:t xml:space="preserve">We direct the Managing Director to release one or more public notices describing in more detail the enhanced relief we will provide to regulatees whose businesses have been affected by the pandemic, with filing and other instructions as needed.  </w:t>
      </w:r>
    </w:p>
    <w:p w:rsidR="00584CDC" w:rsidP="003D5095" w14:paraId="71BA5450" w14:textId="77777777">
      <w:pPr>
        <w:pStyle w:val="ParaNum"/>
        <w:widowControl/>
      </w:pPr>
      <w:r>
        <w:t>Finally, we address the suggestions that would contravene the statute or our precedent.  We cannot waive FY 2020 fees or the 25% late payment penalty for any group of broadcasters because doing so would effectively exempt the group, when the statute does not permit such an exemption,</w:t>
      </w:r>
      <w:r>
        <w:rPr>
          <w:rStyle w:val="FootnoteReference"/>
        </w:rPr>
        <w:footnoteReference w:id="238"/>
      </w:r>
      <w:r>
        <w:t xml:space="preserve"> but instead requires a case-by-case determination in order to waive a fee or penalty.</w:t>
      </w:r>
      <w:r>
        <w:rPr>
          <w:rStyle w:val="FootnoteReference"/>
        </w:rPr>
        <w:footnoteReference w:id="239"/>
      </w:r>
      <w:r>
        <w:t xml:space="preserve">  Similarly, we cannot reduce broadcaster fees except on a case-by-case basis.</w:t>
      </w:r>
      <w:r>
        <w:rPr>
          <w:rStyle w:val="FootnoteReference"/>
        </w:rPr>
        <w:footnoteReference w:id="240"/>
      </w:r>
      <w:r>
        <w:t xml:space="preserve">  And we cannot suspend the FY 2020 fee increases solely because advertising revenues have dropped.  We cannot extend the September 30 </w:t>
      </w:r>
      <w:r>
        <w:t>deadline, as September 30 marks the end of our fiscal year and we are required to collect FY 2020 fees by fiscal year end.</w:t>
      </w:r>
      <w:r>
        <w:rPr>
          <w:rStyle w:val="FootnoteReference"/>
        </w:rPr>
        <w:footnoteReference w:id="241"/>
      </w:r>
      <w:r>
        <w:t xml:space="preserve">  </w:t>
      </w:r>
    </w:p>
    <w:p w:rsidR="00584CDC" w:rsidP="00584CDC" w14:paraId="144179A0" w14:textId="77777777">
      <w:pPr>
        <w:pStyle w:val="ParaNum"/>
      </w:pPr>
      <w:r>
        <w:t>We also cannot relax the standard we employ for fee waiver, reduction, or deferral based on financial hardship grounds.  Section 9A of the Act permits the Commission to waive a regulatory fee, penalty or interest for good cause if the waiver is in the public interest.</w:t>
      </w:r>
      <w:r>
        <w:rPr>
          <w:rStyle w:val="FootnoteReference"/>
        </w:rPr>
        <w:footnoteReference w:id="242"/>
      </w:r>
      <w:r>
        <w:t xml:space="preserve">  Where financial hardship is the asserted basis</w:t>
      </w:r>
      <w:r>
        <w:t xml:space="preserve"> </w:t>
      </w:r>
      <w:r>
        <w:t xml:space="preserve">for a waiver, the Commission has consistently interpreted that to </w:t>
      </w:r>
      <w:r w:rsidRPr="00C17768">
        <w:t xml:space="preserve">require a showing that the requesting party </w:t>
      </w:r>
      <w:r>
        <w:t>“</w:t>
      </w:r>
      <w:r w:rsidRPr="00C17768">
        <w:t>lacks sufficient funds to pay the regulatory fees and to maintain its service to the public.”</w:t>
      </w:r>
      <w:r>
        <w:rPr>
          <w:rStyle w:val="FootnoteReference"/>
        </w:rPr>
        <w:footnoteReference w:id="243"/>
      </w:r>
      <w:r w:rsidRPr="00C17768">
        <w:t xml:space="preserve"> </w:t>
      </w:r>
      <w:r>
        <w:t xml:space="preserve"> We believe the existing waiver standard together with the measures described above will work as designed, to provide fee relief to those regulatees most in need.  Regulatees whose businesses have been hurt by the pandemic, but not to the extent required to receive a waiver, reduction, or deferral, will be eligible to pay their FY 2020 fees in installments if they show that they cannot pay the fee in lump sum, but can do so with extended payment terms.</w:t>
      </w:r>
      <w:r>
        <w:rPr>
          <w:rStyle w:val="FootnoteReference"/>
        </w:rPr>
        <w:footnoteReference w:id="244"/>
      </w:r>
    </w:p>
    <w:p w:rsidR="00584CDC" w:rsidP="00584CDC" w14:paraId="2EE3ACA4" w14:textId="77777777">
      <w:pPr>
        <w:pStyle w:val="Heading1"/>
      </w:pPr>
      <w:bookmarkStart w:id="118" w:name="_Toc44602751"/>
      <w:bookmarkStart w:id="119" w:name="_Toc44608839"/>
      <w:bookmarkStart w:id="120" w:name="_Toc46764664"/>
      <w:bookmarkStart w:id="121" w:name="_Toc47539513"/>
      <w:bookmarkStart w:id="122" w:name="_Toc47692785"/>
      <w:bookmarkStart w:id="123" w:name="_Toc48832352"/>
      <w:bookmarkStart w:id="124" w:name="_Toc48919593"/>
      <w:bookmarkEnd w:id="115"/>
      <w:bookmarkEnd w:id="116"/>
      <w:bookmarkEnd w:id="117"/>
      <w:r>
        <w:t>further notice of proposed rulemaking</w:t>
      </w:r>
      <w:bookmarkEnd w:id="118"/>
      <w:bookmarkEnd w:id="119"/>
      <w:bookmarkEnd w:id="120"/>
      <w:bookmarkEnd w:id="121"/>
      <w:bookmarkEnd w:id="122"/>
      <w:bookmarkEnd w:id="123"/>
      <w:bookmarkEnd w:id="124"/>
    </w:p>
    <w:p w:rsidR="00584CDC" w:rsidP="00584CDC" w14:paraId="6F62EE49" w14:textId="77777777">
      <w:pPr>
        <w:pStyle w:val="ParaNum"/>
      </w:pPr>
      <w:r>
        <w:t xml:space="preserve">In this Further Notice of Proposed Rulemaking, we invite comment on four proposals from commenters in this proceeding to differentiate regulatory fees for different types of NGSO systems in future years.  </w:t>
      </w:r>
      <w:r w:rsidRPr="00C932C7">
        <w:rPr>
          <w:i/>
        </w:rPr>
        <w:t>First</w:t>
      </w:r>
      <w:r>
        <w:t xml:space="preserve">, </w:t>
      </w:r>
      <w:r>
        <w:t>Kineis</w:t>
      </w:r>
      <w:r>
        <w:t xml:space="preserve"> notes the Commission has already concluded that a separate fee for small satellites would be appropriate; the NGSO systems vary dramatically in size, number of space stations, spectrum required, and services offered; the proposed fee increase for NGSO systems is substantial; and the Commission has not addressed this issue in many years.</w:t>
      </w:r>
      <w:r>
        <w:rPr>
          <w:rStyle w:val="FootnoteReference"/>
        </w:rPr>
        <w:footnoteReference w:id="245"/>
      </w:r>
      <w:r>
        <w:t xml:space="preserve">  </w:t>
      </w:r>
      <w:r>
        <w:t>Kineis</w:t>
      </w:r>
      <w:r>
        <w:t xml:space="preserve"> therefore proposes a formula to determine NGSO regulatory fees:  x (number of operating satellites) multiplied by y (total transmit bandwidth) = index value.</w:t>
      </w:r>
      <w:r>
        <w:rPr>
          <w:rStyle w:val="FootnoteReference"/>
        </w:rPr>
        <w:footnoteReference w:id="246"/>
      </w:r>
      <w:r>
        <w:t xml:space="preserve">  </w:t>
      </w:r>
      <w:r>
        <w:t>Kineis</w:t>
      </w:r>
      <w:r>
        <w:t xml:space="preserve"> suggests fee tiers based on groupings of index values and basing the difference in fees on the average index value for each tier.</w:t>
      </w:r>
      <w:r>
        <w:rPr>
          <w:rStyle w:val="FootnoteReference"/>
        </w:rPr>
        <w:footnoteReference w:id="247"/>
      </w:r>
      <w:r>
        <w:t xml:space="preserve">  We seek comment on this proposal.</w:t>
      </w:r>
    </w:p>
    <w:p w:rsidR="00584CDC" w:rsidP="003D5095" w14:paraId="415C5723" w14:textId="77777777">
      <w:pPr>
        <w:pStyle w:val="ParaNum"/>
        <w:widowControl/>
      </w:pPr>
      <w:r w:rsidRPr="00C932C7">
        <w:rPr>
          <w:i/>
        </w:rPr>
        <w:t>Second</w:t>
      </w:r>
      <w:r>
        <w:t>, Eutelsat contends that the fees assessed on NGSO systems should be separated into small and large NGSO systems, based on the number of satellites in the system.</w:t>
      </w:r>
      <w:r>
        <w:rPr>
          <w:rStyle w:val="FootnoteReference"/>
        </w:rPr>
        <w:footnoteReference w:id="248"/>
      </w:r>
      <w:r>
        <w:t xml:space="preserve">  According to Eutelsat, large and complex NGSO systems require more staff time to oversee and receive greater benefits from the Commission.</w:t>
      </w:r>
      <w:r>
        <w:rPr>
          <w:rStyle w:val="FootnoteReference"/>
        </w:rPr>
        <w:footnoteReference w:id="249"/>
      </w:r>
      <w:r>
        <w:t xml:space="preserve">  Smaller NGSO systems in more established bands, Eutelsat suggests, represent </w:t>
      </w:r>
      <w:r>
        <w:t>a smaller burden on Commission staff because they have greater sharing capabilities and operate in less congested and less contested frequency bands.</w:t>
      </w:r>
      <w:r>
        <w:rPr>
          <w:rStyle w:val="FootnoteReference"/>
        </w:rPr>
        <w:footnoteReference w:id="250"/>
      </w:r>
      <w:r>
        <w:t xml:space="preserve">  We seek comment on this proposal.</w:t>
      </w:r>
    </w:p>
    <w:p w:rsidR="00584CDC" w:rsidP="00584CDC" w14:paraId="0E87B3DB" w14:textId="77777777">
      <w:pPr>
        <w:pStyle w:val="ParaNum"/>
      </w:pPr>
      <w:r w:rsidRPr="00C932C7">
        <w:rPr>
          <w:i/>
        </w:rPr>
        <w:t>Third</w:t>
      </w:r>
      <w:r>
        <w:t xml:space="preserve">, </w:t>
      </w:r>
      <w:r>
        <w:t>Myriota</w:t>
      </w:r>
      <w:r>
        <w:t xml:space="preserve"> proposes we divide NGSO systems into three categories: fixed-satellite service (FSS); mobile-satellite service (MSS); and remote sensing, Earth-exploration satellite service (EESS), and other NGSO systems.</w:t>
      </w:r>
      <w:r>
        <w:rPr>
          <w:rStyle w:val="FootnoteReference"/>
        </w:rPr>
        <w:footnoteReference w:id="251"/>
      </w:r>
      <w:r>
        <w:t xml:space="preserve">  </w:t>
      </w:r>
      <w:r>
        <w:t>Myriota</w:t>
      </w:r>
      <w:r>
        <w:t xml:space="preserve"> explains that the Commission has spent multiple years on the NGSO FSS processing round for more than ten applicants and some applicants seeking constellations of tens of thousands of satellites.</w:t>
      </w:r>
      <w:r>
        <w:rPr>
          <w:rStyle w:val="FootnoteReference"/>
        </w:rPr>
        <w:footnoteReference w:id="252"/>
      </w:r>
      <w:r>
        <w:t xml:space="preserve">  </w:t>
      </w:r>
      <w:r>
        <w:t>Myriota</w:t>
      </w:r>
      <w:r>
        <w:t xml:space="preserve"> contends that other types of NGSO systems, such as MSS or EESS systems, require fewer resources because they have fewer applicants and less complex issues, relative to the FSS systems.</w:t>
      </w:r>
      <w:r>
        <w:rPr>
          <w:rStyle w:val="FootnoteReference"/>
        </w:rPr>
        <w:footnoteReference w:id="253"/>
      </w:r>
      <w:r>
        <w:t xml:space="preserve">  In addition, NGSO rulemakings from 2017-2019 primarily benefited NGSO FSS systems and the Commission has not updated the rules for MSS or remote sensing during that time period.</w:t>
      </w:r>
      <w:r>
        <w:rPr>
          <w:rStyle w:val="FootnoteReference"/>
        </w:rPr>
        <w:footnoteReference w:id="254"/>
      </w:r>
      <w:r>
        <w:t xml:space="preserve">  </w:t>
      </w:r>
      <w:r>
        <w:t>Myriota</w:t>
      </w:r>
      <w:r>
        <w:t xml:space="preserve"> argues that the Commission’s rules for NGSO FSS systems generally reflect a level of complexity not present for other NGSO systems due to the extremely large constellations and complex sharing and coordination requirements.</w:t>
      </w:r>
      <w:r>
        <w:rPr>
          <w:rStyle w:val="FootnoteReference"/>
        </w:rPr>
        <w:footnoteReference w:id="255"/>
      </w:r>
      <w:r>
        <w:t xml:space="preserve">  We seek comment on this proposal.</w:t>
      </w:r>
    </w:p>
    <w:p w:rsidR="00584CDC" w:rsidP="00584CDC" w14:paraId="070B9FBF" w14:textId="77777777">
      <w:pPr>
        <w:pStyle w:val="ParaNum"/>
      </w:pPr>
      <w:r w:rsidRPr="00C932C7">
        <w:rPr>
          <w:i/>
        </w:rPr>
        <w:t>Finally</w:t>
      </w:r>
      <w:r>
        <w:t>, AWS suggests that we assess a nominal fee for NGSO systems with five or fewer U.S. licensed earth stations for TT&amp;C and non-domestic data downlink purposes.</w:t>
      </w:r>
      <w:r>
        <w:rPr>
          <w:rStyle w:val="FootnoteReference"/>
        </w:rPr>
        <w:footnoteReference w:id="256"/>
      </w:r>
      <w:r>
        <w:t xml:space="preserve">  AWS proposes that the regulatory fee would be assessed on a per earth station basis at the same rate as earth station licenses.</w:t>
      </w:r>
      <w:r>
        <w:rPr>
          <w:rStyle w:val="FootnoteReference"/>
        </w:rPr>
        <w:footnoteReference w:id="257"/>
      </w:r>
      <w:r>
        <w:t xml:space="preserve">  We seek comment on this proposal.</w:t>
      </w:r>
    </w:p>
    <w:p w:rsidR="00584CDC" w:rsidP="00584CDC" w14:paraId="63FC04ED" w14:textId="77777777">
      <w:pPr>
        <w:pStyle w:val="ParaNum"/>
      </w:pPr>
      <w:r w:rsidRPr="00EC23F9">
        <w:t>The Commission considers the adoption of a new fee category or a change in fee categories only when it develops sufficient basis for making the change.  Commenters should address whether the proposal are in accord with the requirements of section 9.  Commenters should also address whether such proposals serve the goal of ensuring that our actions in assessing regulatory fees are fair, administrable, and sustainable.</w:t>
      </w:r>
      <w:r>
        <w:rPr>
          <w:rStyle w:val="FootnoteReference"/>
        </w:rPr>
        <w:footnoteReference w:id="258"/>
      </w:r>
      <w:r w:rsidRPr="00EC23F9">
        <w:t xml:space="preserve">  </w:t>
      </w:r>
    </w:p>
    <w:p w:rsidR="00584CDC" w:rsidRPr="0069685E" w:rsidP="00584CDC" w14:paraId="5655EE2F" w14:textId="77777777">
      <w:pPr>
        <w:pStyle w:val="ParaNum"/>
      </w:pPr>
      <w:r>
        <w:t>It has not been the experience of Commission staff reviewing satellite applications that certain broad categories of NGSO systems require substantially more time to process than others under the current rules.  A smaller NGSO system in bands shared with other services may require greater staff efforts to approve than a larger NGSO system in bands without coordination difficulties.  NGSO FSS systems, while occupying substantial staff time to review in the past few years, have also benefited from streamlining rulemakings that have eliminated some of the most cumbersome technical demonstrations, such as equivalent power-flux density showings.  In contrast, systems operating in services that are allegedly easier to license, such as EESS, have involved complicated, multi-year coordination, phased deployments, multiple application amendments, and frequent grants in part, with the associated staff investment.</w:t>
      </w:r>
      <w:r>
        <w:rPr>
          <w:rStyle w:val="FootnoteReference"/>
        </w:rPr>
        <w:footnoteReference w:id="259"/>
      </w:r>
      <w:r>
        <w:t xml:space="preserve">  Nonetheless, we recognize that the Commission has created the regulatory category for </w:t>
      </w:r>
      <w:r>
        <w:t>small satellites, in part, to charge different fees for certain systems.  Accordingly, we invite comment on the proposals above regarding other categories of NGSO systems for FY 2021.</w:t>
      </w:r>
    </w:p>
    <w:p w:rsidR="00584CDC" w:rsidP="00584CDC" w14:paraId="399F651B" w14:textId="77777777">
      <w:pPr>
        <w:pStyle w:val="Heading1"/>
        <w:rPr>
          <w:rFonts w:ascii="Times New Roman" w:hAnsi="Times New Roman"/>
          <w:szCs w:val="22"/>
        </w:rPr>
      </w:pPr>
      <w:bookmarkStart w:id="125" w:name="_Toc14783747"/>
      <w:bookmarkStart w:id="126" w:name="_Toc14976685"/>
      <w:bookmarkStart w:id="127" w:name="_Toc15591013"/>
      <w:bookmarkStart w:id="128" w:name="_Toc44602753"/>
      <w:bookmarkStart w:id="129" w:name="_Toc44608840"/>
      <w:bookmarkStart w:id="130" w:name="_Toc46764665"/>
      <w:bookmarkStart w:id="131" w:name="_Toc47539514"/>
      <w:bookmarkStart w:id="132" w:name="_Toc47692786"/>
      <w:bookmarkStart w:id="133" w:name="_Toc48832353"/>
      <w:bookmarkStart w:id="134" w:name="_Toc48919594"/>
      <w:r>
        <w:rPr>
          <w:rFonts w:ascii="Times New Roman" w:hAnsi="Times New Roman"/>
          <w:szCs w:val="22"/>
        </w:rPr>
        <w:t>P</w:t>
      </w:r>
      <w:r w:rsidRPr="005F6BC2">
        <w:rPr>
          <w:rFonts w:ascii="Times New Roman" w:hAnsi="Times New Roman"/>
          <w:szCs w:val="22"/>
        </w:rPr>
        <w:t xml:space="preserve">rocedural </w:t>
      </w:r>
      <w:r>
        <w:rPr>
          <w:rFonts w:ascii="Times New Roman" w:hAnsi="Times New Roman"/>
          <w:szCs w:val="22"/>
        </w:rPr>
        <w:t>M</w:t>
      </w:r>
      <w:r w:rsidRPr="005F6BC2">
        <w:rPr>
          <w:rFonts w:ascii="Times New Roman" w:hAnsi="Times New Roman"/>
          <w:szCs w:val="22"/>
        </w:rPr>
        <w:t>atters</w:t>
      </w:r>
      <w:bookmarkEnd w:id="125"/>
      <w:bookmarkEnd w:id="126"/>
      <w:bookmarkEnd w:id="127"/>
      <w:bookmarkEnd w:id="128"/>
      <w:bookmarkEnd w:id="129"/>
      <w:bookmarkEnd w:id="130"/>
      <w:bookmarkEnd w:id="131"/>
      <w:bookmarkEnd w:id="132"/>
      <w:bookmarkEnd w:id="133"/>
      <w:bookmarkEnd w:id="134"/>
    </w:p>
    <w:p w:rsidR="00584CDC" w:rsidRPr="003A20B0" w:rsidP="00584CDC" w14:paraId="32F68318" w14:textId="77777777">
      <w:pPr>
        <w:pStyle w:val="ParaNum"/>
        <w:rPr>
          <w:snapToGrid/>
        </w:rPr>
      </w:pPr>
      <w:r>
        <w:t xml:space="preserve">Included below are procedural items as well as our current payment and collection methods.  We include </w:t>
      </w:r>
      <w:r w:rsidRPr="00584CDC">
        <w:t>these</w:t>
      </w:r>
      <w:r>
        <w:t xml:space="preserve"> payments and collection procedures here as a useful way of reminding regulatory fee payors and the public about these aspects of the annual regulatory fee collection process.    </w:t>
      </w:r>
    </w:p>
    <w:p w:rsidR="00584CDC" w:rsidRPr="002652B6" w:rsidP="00584CDC" w14:paraId="360FF1BB" w14:textId="77777777">
      <w:pPr>
        <w:pStyle w:val="ParaNum"/>
      </w:pPr>
      <w:r w:rsidRPr="3C85307C">
        <w:rPr>
          <w:i/>
          <w:iCs/>
        </w:rPr>
        <w:t>Credit Card Transaction Levels</w:t>
      </w:r>
      <w:r>
        <w:rPr>
          <w:szCs w:val="22"/>
        </w:rPr>
        <w:t xml:space="preserve">.  </w:t>
      </w:r>
      <w:r w:rsidRPr="4BBD8B65">
        <w:t>Since June 1, 2015, in accordance with</w:t>
      </w:r>
      <w:r>
        <w:t xml:space="preserve"> </w:t>
      </w:r>
      <w:r>
        <w:rPr>
          <w:i/>
          <w:iCs/>
        </w:rPr>
        <w:t>Treasury Financial Manual</w:t>
      </w:r>
      <w:r>
        <w:t xml:space="preserve">, Volume I, Part 5, Chapter 7000, </w:t>
      </w:r>
      <w:r>
        <w:rPr>
          <w:color w:val="333333"/>
          <w:bdr w:val="none" w:sz="0" w:space="0" w:color="auto" w:frame="1"/>
          <w:shd w:val="clear" w:color="auto" w:fill="FFFFFF"/>
        </w:rPr>
        <w:t>Section 7045—</w:t>
      </w:r>
      <w:r>
        <w:rPr>
          <w:i/>
          <w:iCs/>
          <w:color w:val="333333"/>
          <w:bdr w:val="none" w:sz="0" w:space="0" w:color="auto" w:frame="1"/>
          <w:shd w:val="clear" w:color="auto" w:fill="FFFFFF"/>
        </w:rPr>
        <w:t>Limitations on Card Collection Transactions</w:t>
      </w:r>
      <w:r>
        <w:rPr>
          <w:color w:val="333333"/>
          <w:bdr w:val="none" w:sz="0" w:space="0" w:color="auto" w:frame="1"/>
          <w:shd w:val="clear" w:color="auto" w:fill="FFFFFF"/>
        </w:rPr>
        <w:t>.</w:t>
      </w:r>
      <w:r w:rsidRPr="005B4944">
        <w:t xml:space="preserve"> the highest</w:t>
      </w:r>
      <w:r w:rsidRPr="00855298">
        <w:t xml:space="preserve"> amount that can be charged on a credit card for transactions with federal agencies is $24,999.99.</w:t>
      </w:r>
      <w:r>
        <w:rPr>
          <w:vertAlign w:val="superscript"/>
        </w:rPr>
        <w:footnoteReference w:id="260"/>
      </w:r>
      <w:r w:rsidRPr="005B4944">
        <w:t xml:space="preserve">  Transactions greater than $24,999.99 will be rejected.  This limit applies to single payments or bundled payments of more than one bill.  Multiple transactions to a single agency in one day may be aggregated and tre</w:t>
      </w:r>
      <w:r w:rsidRPr="00855298">
        <w:t>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Pr="000A61E4">
        <w:t xml:space="preserve">9 regulatory fee collection in Fact Sheets, </w:t>
      </w:r>
      <w:hyperlink r:id="rId6" w:history="1">
        <w:r w:rsidRPr="002652B6">
          <w:t>https://www.fcc.gov/regfees</w:t>
        </w:r>
      </w:hyperlink>
      <w:r w:rsidRPr="002652B6">
        <w:t>.</w:t>
      </w:r>
    </w:p>
    <w:p w:rsidR="00584CDC" w:rsidRPr="00461FF4" w:rsidP="00584CDC" w14:paraId="1CB96DC0" w14:textId="77777777">
      <w:pPr>
        <w:pStyle w:val="ParaNum"/>
        <w:rPr>
          <w:rStyle w:val="Hyperlink"/>
          <w:color w:val="auto"/>
        </w:rPr>
      </w:pPr>
      <w:r w:rsidRPr="3C85307C">
        <w:rPr>
          <w:i/>
          <w:iCs/>
        </w:rPr>
        <w:t>Payment Methods</w:t>
      </w:r>
      <w:r w:rsidRPr="005B4944">
        <w:t>.  Pursuant to an Office of Management and Budget (OMB) directive,</w:t>
      </w:r>
      <w:r>
        <w:rPr>
          <w:vertAlign w:val="superscript"/>
        </w:rPr>
        <w:footnoteReference w:id="261"/>
      </w:r>
      <w:r w:rsidRPr="002652B6">
        <w:t xml:space="preserve"> </w:t>
      </w:r>
      <w:r w:rsidRPr="005B4944">
        <w:t>the Commission is moving towards a paperless environment, extending to disbursement and collection of select federal government payments and receipts.</w:t>
      </w:r>
      <w:r>
        <w:rPr>
          <w:vertAlign w:val="superscript"/>
        </w:rPr>
        <w:footnoteReference w:id="262"/>
      </w:r>
      <w:r w:rsidRPr="005B4944">
        <w:t xml:space="preserve">  In 2015, the Commission stopped accepting checks (including cashier’s checks and money orders) and the accompanying hardcopy forms (e.g., Forms 159, 159-B, 159-E, 159-W) for the payment of regulatory fees.</w:t>
      </w:r>
      <w:r>
        <w:rPr>
          <w:vertAlign w:val="superscript"/>
        </w:rPr>
        <w:footnoteReference w:id="263"/>
      </w:r>
      <w:r w:rsidRPr="005B4944">
        <w:t xml:space="preserve">  During the fee season for collecting regulatory fees, regulatees can pay their fees by credit card through Pay.gov,</w:t>
      </w:r>
      <w:r>
        <w:rPr>
          <w:vertAlign w:val="superscript"/>
        </w:rPr>
        <w:footnoteReference w:id="264"/>
      </w:r>
      <w:r w:rsidRPr="005B4944">
        <w:t xml:space="preserve"> ACH, debit card,</w:t>
      </w:r>
      <w:r>
        <w:rPr>
          <w:vertAlign w:val="superscript"/>
        </w:rPr>
        <w:footnoteReference w:id="265"/>
      </w:r>
      <w:r w:rsidRPr="005B4944">
        <w:t xml:space="preserve"> or by wire transfer.  Additional payment instructions are posted on the Commission’s website at </w:t>
      </w:r>
      <w:hyperlink r:id="rId7" w:history="1">
        <w:r w:rsidRPr="002652B6">
          <w:t>http://transition.fcc.gov/fees/regfees.html</w:t>
        </w:r>
      </w:hyperlink>
      <w:r w:rsidRPr="002652B6">
        <w:t>.</w:t>
      </w:r>
      <w:r w:rsidRPr="005B4944">
        <w:t xml:space="preserve">  The receiving bank for all wire payments is the U.S. Treasury, New York, NY (TREAS NYC).  Any other form of payment (e.g., checks, cashier’s checks, or money orders) will be rejected.  For payments by wire, a Form 159-E should still be transmitted via fax so that </w:t>
      </w:r>
      <w:r w:rsidRPr="005B4944">
        <w:t xml:space="preserve">the Commission can associate the wire payment with the correct regulatory fee information.  </w:t>
      </w:r>
      <w:r w:rsidRPr="00855298">
        <w:t>The fax should be sent to the Federal Communications Commission at (202) 418-2843 at least one hour before initiating the wire transfer (but on the same b</w:t>
      </w:r>
      <w:r w:rsidRPr="000A61E4">
        <w:t>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w:t>
      </w:r>
      <w:r w:rsidRPr="00461FF4">
        <w:rPr>
          <w:szCs w:val="22"/>
        </w:rPr>
        <w:t xml:space="preserve"> </w:t>
      </w:r>
      <w:hyperlink r:id="rId8" w:tooltip="http://transition.fcc.gov/fees/wiretran.html" w:history="1">
        <w:r w:rsidRPr="4BBD8B65">
          <w:rPr>
            <w:rStyle w:val="Hyperlink"/>
          </w:rPr>
          <w:t>http://transition.fcc.gov/fees/wiretran.html</w:t>
        </w:r>
      </w:hyperlink>
      <w:r w:rsidRPr="4BBD8B65">
        <w:rPr>
          <w:rStyle w:val="Hyperlink"/>
          <w:color w:val="auto"/>
          <w:u w:val="none"/>
        </w:rPr>
        <w:t>.</w:t>
      </w:r>
    </w:p>
    <w:p w:rsidR="00584CDC" w:rsidRPr="003C560E" w:rsidP="00584CDC" w14:paraId="10B417EC" w14:textId="77777777">
      <w:pPr>
        <w:pStyle w:val="ParaNum"/>
      </w:pPr>
      <w:r w:rsidRPr="3C85307C">
        <w:rPr>
          <w:i/>
          <w:iCs/>
        </w:rPr>
        <w:t>Standard Fee Calculations and Payment Dates</w:t>
      </w:r>
      <w:r>
        <w:t>.—The Commission will accept fee payments made in advance of the window for the payment of regulatory fees.  The responsibility for payment of fees by service category is as follows:</w:t>
      </w:r>
    </w:p>
    <w:p w:rsidR="00584CDC" w:rsidRPr="003C560E" w:rsidP="0023628C" w14:paraId="680682E9" w14:textId="77777777">
      <w:pPr>
        <w:pStyle w:val="ParaNum"/>
        <w:numPr>
          <w:ilvl w:val="0"/>
          <w:numId w:val="5"/>
        </w:numPr>
      </w:pPr>
      <w:r w:rsidRPr="003C560E">
        <w:rPr>
          <w:i/>
        </w:rPr>
        <w:t>Media Services</w:t>
      </w:r>
      <w:r w:rsidRPr="003C560E">
        <w:t>:  Regulatory fees must be paid for initial construction permits that were granted on or before October 1, 201</w:t>
      </w:r>
      <w:r>
        <w:t>9</w:t>
      </w:r>
      <w:r w:rsidRPr="003C560E">
        <w:t xml:space="preserve"> for AM/FM radio stations, VHF/UHF </w:t>
      </w:r>
      <w:r>
        <w:t>broadcast</w:t>
      </w:r>
      <w:r w:rsidRPr="003C560E">
        <w:t xml:space="preserve"> television stations, and satellite television stations.  Regulatory fees must be paid for all broadcast facility licenses granted on or before October 1, 201</w:t>
      </w:r>
      <w:r>
        <w:t>9</w:t>
      </w:r>
      <w:r w:rsidRPr="003C560E">
        <w:t xml:space="preserve">.  </w:t>
      </w:r>
    </w:p>
    <w:p w:rsidR="00584CDC" w:rsidRPr="003C560E" w:rsidP="0023628C" w14:paraId="5CD91E1A" w14:textId="77777777">
      <w:pPr>
        <w:pStyle w:val="ParaNum"/>
        <w:numPr>
          <w:ilvl w:val="0"/>
          <w:numId w:val="5"/>
        </w:numPr>
      </w:pPr>
      <w:r w:rsidRPr="0E6F4A2D">
        <w:rPr>
          <w:i/>
        </w:rPr>
        <w:t>Wireline (Common Carrier) Services</w:t>
      </w:r>
      <w:r w:rsidRPr="0E6F4A2D">
        <w:t>:  Regulatory fees must be paid for authorizations that were granted on or before October 1, 2019.  In instances where a permit or license is transferred or assigned after October 1, 2019, responsibility for payment rests with the holder of the permit or license as of the fee due date.  Audio bridging service providers are included in this category.</w:t>
      </w:r>
      <w:r>
        <w:rPr>
          <w:rStyle w:val="FootnoteReference"/>
          <w:sz w:val="22"/>
          <w:szCs w:val="22"/>
        </w:rPr>
        <w:footnoteReference w:id="266"/>
      </w:r>
      <w:r w:rsidRPr="0E6F4A2D">
        <w:t xml:space="preserve">  For Responsible Organizations (</w:t>
      </w:r>
      <w:r w:rsidRPr="0E6F4A2D">
        <w:t>RespOrgs</w:t>
      </w:r>
      <w:r w:rsidRPr="0E6F4A2D">
        <w:t>)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267"/>
      </w:r>
      <w:r w:rsidRPr="0E6F4A2D">
        <w:t xml:space="preserve">  The unit count should be based on toll free numbers managed by </w:t>
      </w:r>
      <w:r w:rsidRPr="0E6F4A2D">
        <w:t>RespOrgs</w:t>
      </w:r>
      <w:r w:rsidRPr="0E6F4A2D">
        <w:t xml:space="preserve"> on or about December 31, 2019</w:t>
      </w:r>
      <w:r w:rsidRPr="003C560E">
        <w:rPr>
          <w:szCs w:val="22"/>
        </w:rPr>
        <w:t>.</w:t>
      </w:r>
    </w:p>
    <w:p w:rsidR="00584CDC" w:rsidRPr="003C560E" w:rsidP="0023628C" w14:paraId="1064B625" w14:textId="77777777">
      <w:pPr>
        <w:pStyle w:val="ParaNum"/>
        <w:numPr>
          <w:ilvl w:val="0"/>
          <w:numId w:val="5"/>
        </w:numPr>
      </w:pPr>
      <w:r w:rsidRPr="003C560E">
        <w:rPr>
          <w:i/>
        </w:rPr>
        <w:t>Wireless Services</w:t>
      </w:r>
      <w:r w:rsidRPr="003C560E">
        <w:t>:  CMRS cellular, mobile, and messaging services (fees based on number of subscribers or telephone number count):  Regulatory fees must be paid for authorizations that were granted on or before October 1, 201</w:t>
      </w:r>
      <w:r>
        <w:t>9</w:t>
      </w:r>
      <w:r w:rsidRPr="003C560E">
        <w:t>.  The number of subscribers, units, or telephone numbers on December 31, 201</w:t>
      </w:r>
      <w:r>
        <w:t>9</w:t>
      </w:r>
      <w:r w:rsidRPr="003C560E">
        <w:t xml:space="preserve"> will be used as the basis from which to calculate the fee payment.  In instances where a permit or license is transferred or assigned after October 1, 201</w:t>
      </w:r>
      <w:r>
        <w:t>9</w:t>
      </w:r>
      <w:r w:rsidRPr="003C560E">
        <w:t xml:space="preserve">, responsibility for payment rests with the holder of the permit or license as of the fee due date.  </w:t>
      </w:r>
    </w:p>
    <w:p w:rsidR="00584CDC" w:rsidRPr="003C560E" w:rsidP="0023628C" w14:paraId="02AC7619" w14:textId="77777777">
      <w:pPr>
        <w:pStyle w:val="ParaNum"/>
        <w:numPr>
          <w:ilvl w:val="0"/>
          <w:numId w:val="5"/>
        </w:numPr>
      </w:pPr>
      <w:r w:rsidRPr="003C560E">
        <w:rPr>
          <w:i/>
        </w:rPr>
        <w:t>Wireless Services, Multi-year fees</w:t>
      </w:r>
      <w:r w:rsidRPr="003C560E">
        <w:t>:  The first eight regulatory fee categories in our Schedule of Regulatory Fees pay “small multi-year wireless regulatory fees.”  Entities pay these regulatory fees in advance for the entire amount period covered by the five-year or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w:t>
      </w:r>
      <w:r>
        <w:t>20</w:t>
      </w:r>
      <w:r w:rsidRPr="003C560E">
        <w:t xml:space="preserve">. </w:t>
      </w:r>
    </w:p>
    <w:p w:rsidR="00584CDC" w:rsidRPr="003C560E" w:rsidP="0023628C" w14:paraId="2D3B4997" w14:textId="77777777">
      <w:pPr>
        <w:pStyle w:val="ParaNum"/>
        <w:numPr>
          <w:ilvl w:val="0"/>
          <w:numId w:val="5"/>
        </w:numPr>
      </w:pPr>
      <w:r w:rsidRPr="0E6F4A2D">
        <w:rPr>
          <w:i/>
        </w:rPr>
        <w:t>Multichannel Video Programming Distributor Services (cable television operators, CARS licensees, DBS, and IPTV)</w:t>
      </w:r>
      <w:r w:rsidRPr="0E6F4A2D">
        <w:t>:  Regulatory fees must be paid for the number of basic cable television subscribers as of December 31, 2019</w:t>
      </w:r>
      <w:r w:rsidRPr="003C560E">
        <w:rPr>
          <w:szCs w:val="22"/>
        </w:rPr>
        <w:t>.</w:t>
      </w:r>
      <w:r>
        <w:rPr>
          <w:vertAlign w:val="superscript"/>
        </w:rPr>
        <w:footnoteReference w:id="268"/>
      </w:r>
      <w:r w:rsidRPr="0E6F4A2D">
        <w:t xml:space="preserve">  Regulatory fees also must be paid for CARS licenses that were granted on or before October 1, 2019.  In instances where a permit or license </w:t>
      </w:r>
      <w:r w:rsidRPr="0E6F4A2D">
        <w:t>is transferred or assigned after October 1, 2019, responsibility for payment rests with the holder of the permit or license as of the fee due date.  For providers of DBS service and IPTV-based MVPDs, regulatory fees should be paid based on a subscriber count on or about December 31, 2019</w:t>
      </w:r>
      <w:r w:rsidRPr="003C560E">
        <w:rPr>
          <w:bCs/>
          <w:szCs w:val="22"/>
        </w:rPr>
        <w:t>.</w:t>
      </w:r>
      <w:r w:rsidRPr="0E6F4A2D">
        <w:t xml:space="preserve">  In instances where a permit or license is transferred or assigned after October 1, 2019, responsibility for payment rests with the holder of the permit or license as of the fee due date.</w:t>
      </w:r>
    </w:p>
    <w:p w:rsidR="00584CDC" w:rsidP="0023628C" w14:paraId="5682FBA6" w14:textId="77777777">
      <w:pPr>
        <w:pStyle w:val="ParaNum"/>
        <w:numPr>
          <w:ilvl w:val="0"/>
          <w:numId w:val="5"/>
        </w:numPr>
      </w:pPr>
      <w:r w:rsidRPr="00BA0557">
        <w:rPr>
          <w:i/>
        </w:rPr>
        <w:t>International Services (Earth Stations, Space Stations (GSO and NGSO)</w:t>
      </w:r>
      <w:r w:rsidRPr="00BA0557">
        <w:t>:  Regulatory fees must be paid for (1) earth stations and (2) geostationary orbit space stations and non-geostationary orbit satellite systems that were U.S licensed, or non-U.S. licensed but granted U.S. market access, and operational on or before October 1, 2019.  In instances where a permit or license is transferred or assigned after October 1, 2019, responsibility for payment rests with the holder of the permit or license as of the fee due date.</w:t>
      </w:r>
      <w:r>
        <w:t xml:space="preserve">  </w:t>
      </w:r>
    </w:p>
    <w:p w:rsidR="00584CDC" w:rsidRPr="0049102A" w:rsidP="0023628C" w14:paraId="79FCFF52" w14:textId="77777777">
      <w:pPr>
        <w:pStyle w:val="ParaNum"/>
        <w:numPr>
          <w:ilvl w:val="1"/>
          <w:numId w:val="5"/>
        </w:numPr>
      </w:pPr>
      <w:r>
        <w:t xml:space="preserve">For FY 2020 only, non-U.S. licensed GSO and NGSO satellites that have been granted market access to the U.S. through a Petition for Declaratory Ruling (PDR) or through an earth station had until July 15, 2020 to relinquish their market access status to avoid having to pay FY 2020 regulatory fees in September 2020.  If non-U.S. licensed GSO and NGSO satellites, either through a PDR or an earth station, still have market access </w:t>
      </w:r>
      <w:r w:rsidRPr="00877FCD">
        <w:rPr>
          <w:u w:val="single"/>
        </w:rPr>
        <w:t>after</w:t>
      </w:r>
      <w:r>
        <w:t xml:space="preserve"> July 15, 2020, regulatory fees will be assessed, and payment will be required by the due date of FY 2020 regulatory fees. </w:t>
      </w:r>
    </w:p>
    <w:p w:rsidR="00584CDC" w:rsidRPr="00AB00AF" w:rsidP="0023628C" w14:paraId="79DBDBD4" w14:textId="77777777">
      <w:pPr>
        <w:pStyle w:val="ParaNum"/>
        <w:numPr>
          <w:ilvl w:val="0"/>
          <w:numId w:val="5"/>
        </w:numPr>
      </w:pPr>
      <w:r w:rsidRPr="0011764D">
        <w:rPr>
          <w:i/>
        </w:rPr>
        <w:t xml:space="preserve">International Services </w:t>
      </w:r>
      <w:r w:rsidRPr="0011764D">
        <w:t>(</w:t>
      </w:r>
      <w:r w:rsidRPr="0011764D">
        <w:rPr>
          <w:i/>
        </w:rPr>
        <w:t>Submarine Cable Systems, Terrestrial and Satellite Services</w:t>
      </w:r>
      <w:r w:rsidRPr="0011764D">
        <w:t>):</w:t>
      </w:r>
      <w:r w:rsidRPr="0011764D">
        <w:rPr>
          <w:i/>
        </w:rPr>
        <w:t xml:space="preserve">  </w:t>
      </w:r>
      <w:r w:rsidRPr="0011764D">
        <w:t>Regulatory fees for submarine cable systems are to be paid on a per cable landing license basis based on</w:t>
      </w:r>
      <w:r>
        <w:t xml:space="preserve">  lit</w:t>
      </w:r>
      <w:r w:rsidRPr="0011764D">
        <w:t xml:space="preserve"> circuit capacity as of December 31, 2019.  Regulatory fees for terrestrial and satellite IBCs are to be paid based on active (used or leased) international bearer circuits as of December 31, 2019 in any terrestrial or satellite transmission facility for the provision of service to an end user or resale carrier.  When calculating the number of such </w:t>
      </w:r>
      <w:r>
        <w:t xml:space="preserve">terrestrial and satellite </w:t>
      </w:r>
      <w:r w:rsidRPr="0011764D">
        <w:t>active</w:t>
      </w:r>
      <w:r>
        <w:t xml:space="preserve"> </w:t>
      </w:r>
      <w:r w:rsidRPr="0011764D">
        <w:t>circuits, entities must include circuits used by themselves or their affiliates.  For these purposes, “active circuits” include backup and redundant circuits as of December 31, 2019.  Whether circuits are used specifically for voice or data is not relevant for purposes of determining that they are active circuits.</w:t>
      </w:r>
      <w:r>
        <w:rPr>
          <w:rStyle w:val="FootnoteReference"/>
          <w:sz w:val="22"/>
          <w:szCs w:val="22"/>
        </w:rPr>
        <w:footnoteReference w:id="269"/>
      </w:r>
      <w:r w:rsidRPr="0011764D">
        <w:t xml:space="preserve">  In instances where a permit or license is transferred or assigned after October 1, 2019, responsibility for payment rests with the holder of the permit or license as of the fee due date.  </w:t>
      </w:r>
    </w:p>
    <w:p w:rsidR="00584CDC" w:rsidRPr="00F35DB5" w:rsidP="001621B7" w14:paraId="028D5BB7" w14:textId="77777777">
      <w:pPr>
        <w:pStyle w:val="ParaNum"/>
        <w:widowControl/>
      </w:pPr>
      <w:r w:rsidRPr="3C85307C">
        <w:rPr>
          <w:i/>
          <w:iCs/>
        </w:rPr>
        <w:t xml:space="preserve">Commercial Mobile Radio Service (CMRS) and Mobile Services Assessments.  </w:t>
      </w:r>
      <w:r w:rsidRPr="000A61E4">
        <w:t>The Commission will compile data from the Numbering Resource Utilization Forecast (NRUF) report that is based on “assigned” telephone number (subscriber) counts that h</w:t>
      </w:r>
      <w:r w:rsidRPr="00F35DB5">
        <w:t>ave been adjusted for porting to net Type 0 ports (“in” and “out”).</w:t>
      </w:r>
      <w:r>
        <w:rPr>
          <w:vertAlign w:val="superscript"/>
        </w:rPr>
        <w:footnoteReference w:id="270"/>
      </w:r>
      <w:r w:rsidRPr="000A61E4">
        <w:t xml:space="preserve">  This information of telephone numbers (subscriber count) will be posted on the Commission’s electronic filing and payment system (Fee Filer) along with the carrier’s Operating Company Nu</w:t>
      </w:r>
      <w:r w:rsidRPr="00F35DB5">
        <w:t xml:space="preserve">mbers (OCNs).  </w:t>
      </w:r>
    </w:p>
    <w:p w:rsidR="00584CDC" w:rsidRPr="00A55495" w:rsidP="00584CDC" w14:paraId="04042D29" w14:textId="77777777">
      <w:pPr>
        <w:pStyle w:val="ParaNum"/>
      </w:pPr>
      <w:r w:rsidRPr="00F35DB5">
        <w:t>A carrier wishing to revise its telephone number (subscriber) count can do so by accessing Fee Filer and follow the prompts to revise their telephone number counts.  Any revisions to the telephone number counts should be accompanied by an explanation or</w:t>
      </w:r>
      <w:r w:rsidRPr="002652B6">
        <w:t> </w:t>
      </w:r>
      <w:r w:rsidRPr="000A61E4">
        <w:t>supporting documentation.</w:t>
      </w:r>
      <w:r>
        <w:rPr>
          <w:vertAlign w:val="superscript"/>
        </w:rPr>
        <w:footnoteReference w:id="271"/>
      </w:r>
      <w:r w:rsidRPr="000A61E4">
        <w:t xml:space="preserve">  The Commission will then review the revised count and supporting documentation and either approve or </w:t>
      </w:r>
      <w:r w:rsidRPr="000A61E4">
        <w:t>disapprove the submission in Fee Filer.  If the submission is disapproved, the Commission will contact the provid</w:t>
      </w:r>
      <w:r w:rsidRPr="00F35DB5">
        <w:t>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w:t>
      </w:r>
      <w:r w:rsidRPr="008443E5">
        <w:t>iders can view their final telephone counts online in Fee Filer.  A final CMRS assessment letter will not be mailed out.</w:t>
      </w:r>
    </w:p>
    <w:p w:rsidR="00584CDC" w:rsidP="00584CDC" w14:paraId="2F4541C9" w14:textId="77777777">
      <w:pPr>
        <w:pStyle w:val="ParaNum"/>
      </w:pPr>
      <w:r>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2019),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584CDC" w:rsidRPr="00622243" w:rsidP="00584CDC" w14:paraId="0EF975DC" w14:textId="77777777">
      <w:pPr>
        <w:pStyle w:val="ParaNum"/>
      </w:pPr>
      <w:r w:rsidRPr="00622243">
        <w:rPr>
          <w:i/>
        </w:rPr>
        <w:t>Enforcement</w:t>
      </w:r>
      <w:r w:rsidRPr="00622243">
        <w:t>.</w:t>
      </w:r>
      <w:r>
        <w:t xml:space="preserve">  </w:t>
      </w:r>
      <w:r w:rsidRPr="00622243">
        <w:t>Regulatory fee payments must be paid by their due date.  Section 9A(c)(1) of the Act requires the Commission to impose a late payment penalty of 25% of unpaid regulatory fee debt, to be assessed on the first day following the deadline for payment of the fees.  Section 9A(c)(2) of the Act requires the Commission to assess interest at the rate set forth in 31 U.S.C. § 3717 on all unpaid regulatory fees, including the 25% penalty, until the debt is paid in full.</w:t>
      </w:r>
      <w:r>
        <w:rPr>
          <w:rStyle w:val="FootnoteReference"/>
          <w:szCs w:val="22"/>
        </w:rPr>
        <w:footnoteReference w:id="272"/>
      </w:r>
      <w:r w:rsidRPr="00622243">
        <w:t xml:space="preserve">  The RAY BAUM’S Act, however, prohibits the Commission from assessing the administrative costs of collecting delinquent regulatory fee debt.</w:t>
      </w:r>
      <w:r>
        <w:rPr>
          <w:rStyle w:val="FootnoteReference"/>
          <w:szCs w:val="22"/>
        </w:rPr>
        <w:footnoteReference w:id="273"/>
      </w:r>
      <w:r w:rsidRPr="00622243">
        <w:t xml:space="preserve">  Thus, while section 9A(c) of the Act leaves intact those parts of section 1.1940 of the Commission’s rules pertaining to penalty and interest charges, the Commission will no longer assess administrative costs on delinquent regulatory fee debts.</w:t>
      </w:r>
      <w:r>
        <w:rPr>
          <w:rStyle w:val="FootnoteReference"/>
          <w:szCs w:val="22"/>
        </w:rPr>
        <w:footnoteReference w:id="274"/>
      </w:r>
      <w:r w:rsidRPr="00622243">
        <w:t xml:space="preserve">      </w:t>
      </w:r>
    </w:p>
    <w:p w:rsidR="00584CDC" w:rsidRPr="005F6BC2" w:rsidP="00584CDC" w14:paraId="132B25D8" w14:textId="77777777">
      <w:pPr>
        <w:pStyle w:val="ParaNum"/>
      </w:pPr>
      <w:r w:rsidRPr="005F6BC2">
        <w:t>The Commission will pursue collection of all past due regulatory fees, including penalties and accrued interest, using collection remedies available to it under the Debt Collection Improvement Act of 1996, its implementing regulations and federal common law.  These remedies include offsetting regulatory fee debt against monies owed to the debtor by the Commission, and referral of the debt to the United States Treasury for further collection efforts, including centralized offset against monies other federal agencies may owe the debtor.</w:t>
      </w:r>
      <w:r>
        <w:rPr>
          <w:rStyle w:val="FootnoteReference"/>
          <w:szCs w:val="22"/>
        </w:rPr>
        <w:footnoteReference w:id="275"/>
      </w:r>
    </w:p>
    <w:p w:rsidR="00584CDC" w:rsidRPr="005F6BC2" w:rsidP="00584CDC" w14:paraId="7957920A" w14:textId="77777777">
      <w:pPr>
        <w:pStyle w:val="ParaNum"/>
      </w:pPr>
      <w:r w:rsidRPr="005F6BC2">
        <w:t>Failure to timely pay regulatory fees, penalties or accrued interest will also subject regulatees to the Commission’s “red light” rule, which generally requires the Commission to withhold action on and subsequently dismiss applications and other requests for benefits by any entity owing debt, including regulatory fee debt, to the Commission.</w:t>
      </w:r>
      <w:r>
        <w:rPr>
          <w:rStyle w:val="FootnoteReference"/>
          <w:sz w:val="22"/>
          <w:szCs w:val="22"/>
        </w:rPr>
        <w:footnoteReference w:id="276"/>
      </w:r>
      <w:r w:rsidRPr="005F6BC2">
        <w:t xml:space="preserve"> </w:t>
      </w:r>
    </w:p>
    <w:p w:rsidR="00584CDC" w:rsidP="00584CDC" w14:paraId="2F8A8587" w14:textId="77777777">
      <w:pPr>
        <w:pStyle w:val="ParaNum"/>
      </w:pPr>
      <w:r w:rsidRPr="005F6BC2">
        <w:t>In addition to financial penalties, section 9(c)(3) of the Act, and section 1.1164(f) of the Commission’s rules grant the Commission the authority to revoke authorizations for failure to pay regulatory fees in a timely fashion.</w:t>
      </w:r>
      <w:r>
        <w:rPr>
          <w:rStyle w:val="FootnoteReference"/>
        </w:rPr>
        <w:footnoteReference w:id="277"/>
      </w:r>
      <w:r w:rsidRPr="005F6BC2">
        <w:t xml:space="preserve">  Should a fee delinquency not be rectified in a timely manner the Commission may require the licensee to file with documented evidence within sixty (60) calendar days that full payment of all outstanding regulatory fees has been made, plus any associated penalties as </w:t>
      </w:r>
      <w:r w:rsidRPr="005F6BC2">
        <w:t>calculated by the Secretary of Treasury in accordance with section 1.1164(a) of the Commission’s rules,</w:t>
      </w:r>
      <w:r>
        <w:rPr>
          <w:rStyle w:val="FootnoteReference"/>
          <w:sz w:val="22"/>
          <w:szCs w:val="22"/>
        </w:rPr>
        <w:footnoteReference w:id="278"/>
      </w:r>
      <w:r w:rsidRPr="005F6BC2">
        <w:t xml:space="preserve"> or show cause why the payment is inapplicable or should be waived or deferred.  Failure to provide such evidence of payment or to show cause within the time specified may result in revocation of the station license.</w:t>
      </w:r>
      <w:r>
        <w:rPr>
          <w:rStyle w:val="FootnoteReference"/>
          <w:sz w:val="22"/>
          <w:szCs w:val="22"/>
        </w:rPr>
        <w:footnoteReference w:id="279"/>
      </w:r>
      <w:r w:rsidRPr="005F6BC2">
        <w:t xml:space="preserve">  </w:t>
      </w:r>
    </w:p>
    <w:p w:rsidR="00584CDC" w:rsidRPr="0046118E" w:rsidP="00584CDC" w14:paraId="70315FE3" w14:textId="77777777">
      <w:pPr>
        <w:pStyle w:val="ParaNum"/>
        <w:rPr>
          <w:szCs w:val="22"/>
        </w:rPr>
      </w:pPr>
      <w:bookmarkStart w:id="135" w:name="_Toc14783738"/>
      <w:bookmarkStart w:id="136" w:name="_Toc14976680"/>
      <w:bookmarkStart w:id="137" w:name="_Toc491865030"/>
      <w:bookmarkStart w:id="138" w:name="_Toc491865445"/>
      <w:r w:rsidRPr="0046118E">
        <w:rPr>
          <w:i/>
          <w:iCs/>
        </w:rPr>
        <w:t>Effective Date</w:t>
      </w:r>
      <w:r>
        <w:t xml:space="preserve">.  </w:t>
      </w:r>
      <w:r w:rsidRPr="005F6BC2">
        <w:t xml:space="preserve">Providing a 30-day period after Federal Register publication before this Report and Order becomes effective as </w:t>
      </w:r>
      <w:r>
        <w:t xml:space="preserve">normally </w:t>
      </w:r>
      <w:r w:rsidRPr="005F6BC2">
        <w:t>required by 5 U.S.C. § 553(d) will not allow sufficient time to collect the FY 20</w:t>
      </w:r>
      <w:r>
        <w:t>20</w:t>
      </w:r>
      <w:r w:rsidRPr="005F6BC2">
        <w:t xml:space="preserve"> fees before FY 20</w:t>
      </w:r>
      <w:r>
        <w:t>20</w:t>
      </w:r>
      <w:r w:rsidRPr="005F6BC2">
        <w:t xml:space="preserve"> ends on September 30, 20</w:t>
      </w:r>
      <w:r>
        <w:t>20</w:t>
      </w:r>
      <w:r w:rsidRPr="005F6BC2">
        <w:t>.  For this reason, pursuant to 5 U.S.C. § 553(d)(3), we find there is good cause to waive the requirements of section 553(d), and this Report and Order will become effective upon publication in the Federal Register.  Because payments of the regulatory fees will not actually be due until late September, persons affected by this Report and Order will still have a reasonable period in which to make their payments and thereby comply with the rules established herein.</w:t>
      </w:r>
      <w:bookmarkEnd w:id="135"/>
      <w:bookmarkEnd w:id="136"/>
      <w:bookmarkEnd w:id="137"/>
      <w:bookmarkEnd w:id="138"/>
    </w:p>
    <w:p w:rsidR="00584CDC" w:rsidP="00584CDC" w14:paraId="31386B1F" w14:textId="77777777">
      <w:pPr>
        <w:pStyle w:val="ParaNum"/>
      </w:pPr>
      <w:r w:rsidRPr="00940327">
        <w:rPr>
          <w:i/>
        </w:rPr>
        <w:t>Paperwork Reduction Act Analysis</w:t>
      </w:r>
      <w:r>
        <w:t xml:space="preserve">.  </w:t>
      </w:r>
      <w:r w:rsidRPr="005F6BC2">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5F6BC2">
        <w:rPr>
          <w:i/>
          <w:iCs/>
        </w:rPr>
        <w:t xml:space="preserve">see </w:t>
      </w:r>
      <w:r w:rsidRPr="005F6BC2">
        <w:t>44 U.S.C. § 3506(c)(4).</w:t>
      </w:r>
    </w:p>
    <w:p w:rsidR="00584CDC" w:rsidRPr="00057564" w:rsidP="00584CDC" w14:paraId="5C724E37" w14:textId="77777777">
      <w:pPr>
        <w:pStyle w:val="ParaNum"/>
        <w:rPr>
          <w:szCs w:val="22"/>
        </w:rPr>
      </w:pPr>
      <w:r w:rsidRPr="00994172">
        <w:rPr>
          <w:i/>
        </w:rPr>
        <w:t>Congressional Review Act</w:t>
      </w:r>
      <w:r w:rsidRPr="00271039">
        <w:rPr>
          <w:b/>
        </w:rPr>
        <w:t>.</w:t>
      </w:r>
      <w:r>
        <w:rPr>
          <w:b/>
        </w:rPr>
        <w:t xml:space="preserve">  </w:t>
      </w:r>
      <w:r>
        <w:t xml:space="preserve">The Commission has determined, and the Administrator of the Office of Information and Regulatory Affairs, Office of Management and Budget, concurs that these rules are non-major under the Congressional Review Act, 5 U.S.C. </w:t>
      </w:r>
      <w:r w:rsidRPr="004163A7">
        <w:rPr>
          <w:rFonts w:cs="Calibri"/>
        </w:rPr>
        <w:t>§</w:t>
      </w:r>
      <w:r>
        <w:t xml:space="preserve"> 804(2).  The Commission will send a copy of this Report &amp; Order to Congress and the Government Accountability Office pursuant to 5 U.S.C. </w:t>
      </w:r>
      <w:r w:rsidRPr="004163A7">
        <w:rPr>
          <w:rFonts w:cs="Calibri"/>
        </w:rPr>
        <w:t>§</w:t>
      </w:r>
      <w:r>
        <w:t xml:space="preserve"> 801(a)(1)(A).</w:t>
      </w:r>
    </w:p>
    <w:p w:rsidR="00584CDC" w:rsidRPr="004163A7" w:rsidP="00584CDC" w14:paraId="282F7889" w14:textId="77777777">
      <w:pPr>
        <w:pStyle w:val="ParaNum"/>
      </w:pPr>
      <w:r>
        <w:rPr>
          <w:i/>
        </w:rPr>
        <w:t>Initial</w:t>
      </w:r>
      <w:r w:rsidRPr="00940327">
        <w:rPr>
          <w:i/>
        </w:rPr>
        <w:t xml:space="preserve"> Regulatory Flexibility Analysis</w:t>
      </w:r>
      <w:r>
        <w:t xml:space="preserve">.  </w:t>
      </w:r>
      <w:r w:rsidRPr="005F6BC2">
        <w:t>As required by the Regulatory Flexibility Act of 1980 (RFA)</w:t>
      </w:r>
      <w:r>
        <w:rPr>
          <w:rStyle w:val="FootnoteReference"/>
          <w:sz w:val="22"/>
          <w:szCs w:val="22"/>
        </w:rPr>
        <w:footnoteReference w:id="280"/>
      </w:r>
      <w:r w:rsidRPr="005F6BC2">
        <w:t xml:space="preserve"> the Commission has prepared a</w:t>
      </w:r>
      <w:r>
        <w:t>n Initial</w:t>
      </w:r>
      <w:r w:rsidRPr="005F6BC2">
        <w:t xml:space="preserve"> Regulatory Flexibility Analysis (</w:t>
      </w:r>
      <w:r>
        <w:t>I</w:t>
      </w:r>
      <w:r w:rsidRPr="005F6BC2">
        <w:t xml:space="preserve">RFA) relating to this </w:t>
      </w:r>
      <w:r>
        <w:t>Further Notice of Proposed Rulemaking</w:t>
      </w:r>
      <w:r w:rsidRPr="005F6BC2">
        <w:t xml:space="preserve">.  The </w:t>
      </w:r>
      <w:r>
        <w:t>I</w:t>
      </w:r>
      <w:r w:rsidRPr="005F6BC2">
        <w:t>RFA is contained in Appendix</w:t>
      </w:r>
      <w:r>
        <w:t xml:space="preserve"> J.</w:t>
      </w:r>
    </w:p>
    <w:p w:rsidR="00584CDC" w:rsidP="00584CDC" w14:paraId="402FF078" w14:textId="77777777">
      <w:pPr>
        <w:pStyle w:val="ParaNum"/>
      </w:pPr>
      <w:r w:rsidRPr="00940327">
        <w:rPr>
          <w:i/>
        </w:rPr>
        <w:t>Final Regulatory Flexibility Analysis</w:t>
      </w:r>
      <w:r>
        <w:t xml:space="preserve">.  </w:t>
      </w:r>
      <w:r w:rsidRPr="005F6BC2">
        <w:t>As required by the Regulatory Flexibility Act of 1980 (RFA)</w:t>
      </w:r>
      <w:r>
        <w:rPr>
          <w:rStyle w:val="FootnoteReference"/>
          <w:sz w:val="22"/>
          <w:szCs w:val="22"/>
        </w:rPr>
        <w:footnoteReference w:id="281"/>
      </w:r>
      <w:r w:rsidRPr="005F6BC2">
        <w:t xml:space="preserve"> the Commission has prepared a Final Regulatory Flexibility Analysis (FRFA) relating to this Report and Order.  The FRFA is contained in Appendix</w:t>
      </w:r>
      <w:r>
        <w:t xml:space="preserve"> I</w:t>
      </w:r>
      <w:r w:rsidRPr="005F6BC2">
        <w:t xml:space="preserve">.  </w:t>
      </w:r>
    </w:p>
    <w:p w:rsidR="00584CDC" w:rsidRPr="0059512C" w:rsidP="00584CDC" w14:paraId="0A28F720" w14:textId="77777777">
      <w:pPr>
        <w:pStyle w:val="ParaNum"/>
      </w:pPr>
      <w:r w:rsidRPr="0059512C">
        <w:rPr>
          <w:i/>
        </w:rPr>
        <w:t>Filing Instructions</w:t>
      </w:r>
      <w:r w:rsidRPr="0059512C">
        <w:t xml:space="preserve">.  Pursuant to sections 1.415 and 1.419 of the Commission’s rules, 47 CFR §§ 1.415, 1.419, interested parties may file comments and reply comments </w:t>
      </w:r>
      <w:r>
        <w:t xml:space="preserve">to the Further Notice of Proposed Rulemaking </w:t>
      </w:r>
      <w:r w:rsidRPr="0059512C">
        <w:t>on or before the dates indicated on the first page of this document.   Comments may be filed using the Commission’s</w:t>
      </w:r>
      <w:r>
        <w:t xml:space="preserve"> </w:t>
      </w:r>
      <w:r w:rsidRPr="0059512C">
        <w:t>Electronic Comment Filing System (ECFS)</w:t>
      </w:r>
      <w:r>
        <w:rPr>
          <w:rStyle w:val="FootnoteReference"/>
          <w:sz w:val="22"/>
          <w:szCs w:val="22"/>
        </w:rPr>
        <w:footnoteReference w:id="282"/>
      </w:r>
      <w:r w:rsidRPr="0059512C">
        <w:t xml:space="preserve"> or by paper.  All filings must be addressed to the Commission’s Secretary, Office of the Secretary, Federal Communications Commission.</w:t>
      </w:r>
    </w:p>
    <w:p w:rsidR="00584CDC" w:rsidRPr="0059512C" w:rsidP="0023628C" w14:paraId="609D3DB2" w14:textId="77777777">
      <w:pPr>
        <w:widowControl/>
        <w:numPr>
          <w:ilvl w:val="0"/>
          <w:numId w:val="7"/>
        </w:numPr>
        <w:autoSpaceDE w:val="0"/>
        <w:autoSpaceDN w:val="0"/>
        <w:rPr>
          <w:szCs w:val="22"/>
        </w:rPr>
      </w:pPr>
      <w:r w:rsidRPr="0059512C">
        <w:rPr>
          <w:szCs w:val="22"/>
        </w:rPr>
        <w:t>Electronic Filers:  Comments may be filed electronically by accessing ECFS at </w:t>
      </w:r>
      <w:hyperlink r:id="rId9" w:history="1">
        <w:r w:rsidRPr="0059512C">
          <w:rPr>
            <w:rStyle w:val="Hyperlink"/>
            <w:szCs w:val="22"/>
          </w:rPr>
          <w:t>http://apps.fcc.gov/ecfs/</w:t>
        </w:r>
      </w:hyperlink>
      <w:r w:rsidRPr="0059512C">
        <w:rPr>
          <w:szCs w:val="22"/>
        </w:rPr>
        <w:t>.</w:t>
      </w:r>
    </w:p>
    <w:p w:rsidR="00584CDC" w:rsidRPr="00584CDC" w:rsidP="00584CDC" w14:paraId="0B54C2EA" w14:textId="77777777">
      <w:pPr>
        <w:autoSpaceDE w:val="0"/>
        <w:autoSpaceDN w:val="0"/>
        <w:ind w:left="720"/>
        <w:rPr>
          <w:rFonts w:eastAsia="Calibri"/>
          <w:szCs w:val="22"/>
        </w:rPr>
      </w:pPr>
    </w:p>
    <w:p w:rsidR="00584CDC" w:rsidRPr="0059512C" w:rsidP="0023628C" w14:paraId="4DC6380A" w14:textId="77777777">
      <w:pPr>
        <w:widowControl/>
        <w:numPr>
          <w:ilvl w:val="0"/>
          <w:numId w:val="8"/>
        </w:numPr>
        <w:autoSpaceDE w:val="0"/>
        <w:autoSpaceDN w:val="0"/>
        <w:rPr>
          <w:szCs w:val="22"/>
        </w:rPr>
      </w:pPr>
      <w:r w:rsidRPr="0059512C">
        <w:rPr>
          <w:i/>
          <w:iCs/>
          <w:szCs w:val="22"/>
        </w:rPr>
        <w:t>Paper Filers</w:t>
      </w:r>
      <w:r w:rsidRPr="0059512C">
        <w:rPr>
          <w:szCs w:val="22"/>
        </w:rPr>
        <w:t xml:space="preserve">: Parties who choose to file by paper must file an original and one copy of each filing.  </w:t>
      </w:r>
    </w:p>
    <w:p w:rsidR="00584CDC" w:rsidRPr="00584CDC" w:rsidP="00584CDC" w14:paraId="4860B7D7" w14:textId="77777777">
      <w:pPr>
        <w:autoSpaceDE w:val="0"/>
        <w:autoSpaceDN w:val="0"/>
        <w:ind w:left="720"/>
        <w:rPr>
          <w:rFonts w:eastAsia="Calibri"/>
          <w:szCs w:val="22"/>
        </w:rPr>
      </w:pPr>
    </w:p>
    <w:p w:rsidR="00584CDC" w:rsidRPr="0059512C" w:rsidP="0023628C" w14:paraId="417995A3" w14:textId="77777777">
      <w:pPr>
        <w:widowControl/>
        <w:numPr>
          <w:ilvl w:val="1"/>
          <w:numId w:val="8"/>
        </w:numPr>
        <w:autoSpaceDE w:val="0"/>
        <w:autoSpaceDN w:val="0"/>
        <w:rPr>
          <w:szCs w:val="22"/>
        </w:rPr>
      </w:pPr>
      <w:r w:rsidRPr="0059512C">
        <w:rPr>
          <w:szCs w:val="22"/>
        </w:rPr>
        <w:t>Filings can be sent by commercial overnight courier or by first-class or overnight U.S. Postal Service mail.</w:t>
      </w:r>
      <w:r>
        <w:rPr>
          <w:rStyle w:val="FootnoteReference"/>
          <w:sz w:val="22"/>
          <w:szCs w:val="22"/>
        </w:rPr>
        <w:footnoteReference w:id="283"/>
      </w:r>
      <w:r w:rsidRPr="0059512C">
        <w:rPr>
          <w:szCs w:val="22"/>
        </w:rPr>
        <w:t xml:space="preserve"> All filings must be addressed to the Commission’s Secretary, Office of the Secretary, Federal Communications Commission.</w:t>
      </w:r>
    </w:p>
    <w:p w:rsidR="00584CDC" w:rsidRPr="00584CDC" w:rsidP="00584CDC" w14:paraId="706E6295" w14:textId="77777777">
      <w:pPr>
        <w:autoSpaceDE w:val="0"/>
        <w:autoSpaceDN w:val="0"/>
        <w:ind w:left="720"/>
        <w:rPr>
          <w:rFonts w:eastAsia="Calibri"/>
          <w:szCs w:val="22"/>
        </w:rPr>
      </w:pPr>
    </w:p>
    <w:p w:rsidR="00584CDC" w:rsidRPr="0059512C" w:rsidP="0023628C" w14:paraId="55C8DC33" w14:textId="77777777">
      <w:pPr>
        <w:widowControl/>
        <w:numPr>
          <w:ilvl w:val="1"/>
          <w:numId w:val="8"/>
        </w:numPr>
        <w:autoSpaceDE w:val="0"/>
        <w:autoSpaceDN w:val="0"/>
        <w:rPr>
          <w:szCs w:val="22"/>
        </w:rPr>
      </w:pPr>
      <w:r w:rsidRPr="0059512C">
        <w:rPr>
          <w:szCs w:val="22"/>
        </w:rPr>
        <w:t>Commercial overnight mail (other than U.S. Postal Service Express Mail and Priority Mail) must be sent to 9050 Junction Drive, Annapolis Junction, MD 20701.</w:t>
      </w:r>
    </w:p>
    <w:p w:rsidR="00584CDC" w:rsidRPr="00584CDC" w:rsidP="00584CDC" w14:paraId="15B463ED" w14:textId="77777777">
      <w:pPr>
        <w:autoSpaceDE w:val="0"/>
        <w:autoSpaceDN w:val="0"/>
        <w:ind w:left="720"/>
        <w:rPr>
          <w:rFonts w:eastAsia="Calibri"/>
          <w:szCs w:val="22"/>
        </w:rPr>
      </w:pPr>
    </w:p>
    <w:p w:rsidR="00584CDC" w:rsidRPr="0059512C" w:rsidP="0023628C" w14:paraId="446A34F1" w14:textId="77777777">
      <w:pPr>
        <w:widowControl/>
        <w:numPr>
          <w:ilvl w:val="1"/>
          <w:numId w:val="8"/>
        </w:numPr>
        <w:autoSpaceDE w:val="0"/>
        <w:autoSpaceDN w:val="0"/>
        <w:rPr>
          <w:szCs w:val="22"/>
        </w:rPr>
      </w:pPr>
      <w:r w:rsidRPr="0059512C">
        <w:rPr>
          <w:szCs w:val="22"/>
        </w:rPr>
        <w:t>U.S. Postal Service first-class, Express, and Priority mail must be addressed to 445 12</w:t>
      </w:r>
      <w:r w:rsidRPr="0059512C">
        <w:rPr>
          <w:szCs w:val="22"/>
          <w:vertAlign w:val="superscript"/>
        </w:rPr>
        <w:t>th</w:t>
      </w:r>
      <w:r w:rsidRPr="0059512C">
        <w:rPr>
          <w:szCs w:val="22"/>
        </w:rPr>
        <w:t xml:space="preserve"> Street, SW, Washington, DC 20554.</w:t>
      </w:r>
    </w:p>
    <w:p w:rsidR="00584CDC" w:rsidRPr="00584CDC" w:rsidP="00584CDC" w14:paraId="397DE415" w14:textId="77777777">
      <w:pPr>
        <w:autoSpaceDE w:val="0"/>
        <w:autoSpaceDN w:val="0"/>
        <w:spacing w:after="120"/>
        <w:ind w:firstLine="720"/>
        <w:rPr>
          <w:rFonts w:eastAsia="Calibri"/>
          <w:szCs w:val="22"/>
        </w:rPr>
      </w:pPr>
    </w:p>
    <w:p w:rsidR="00584CDC" w:rsidRPr="0023751D" w:rsidP="00584CDC" w14:paraId="2DA3CE00" w14:textId="77777777">
      <w:pPr>
        <w:pStyle w:val="ParaNum"/>
      </w:pPr>
      <w:r w:rsidRPr="0059512C">
        <w:t xml:space="preserve">People with Disabilities:  To request materials in accessible formats for people with disabilities (braille, large print, electronic files, audio format), send an e-mail to </w:t>
      </w:r>
      <w:hyperlink r:id="rId10" w:history="1">
        <w:r w:rsidRPr="0059512C">
          <w:rPr>
            <w:rStyle w:val="Hyperlink"/>
            <w:szCs w:val="22"/>
          </w:rPr>
          <w:t>fcc504@fcc.gov</w:t>
        </w:r>
      </w:hyperlink>
      <w:r w:rsidRPr="0059512C">
        <w:t xml:space="preserve"> or call the Consumer and Governmental Affairs Bureau at 202-418-0530 (voice), 1-888-835-5322 (tty).</w:t>
      </w:r>
    </w:p>
    <w:p w:rsidR="00584CDC" w:rsidRPr="00DF4E4B" w:rsidP="00584CDC" w14:paraId="00229DB6" w14:textId="77777777">
      <w:pPr>
        <w:pStyle w:val="ParaNum"/>
      </w:pPr>
      <w:r w:rsidRPr="0059512C">
        <w:rPr>
          <w:i/>
        </w:rPr>
        <w:t>Ex Parte</w:t>
      </w:r>
      <w:r w:rsidRPr="0059512C">
        <w:t xml:space="preserve"> </w:t>
      </w:r>
      <w:r w:rsidRPr="0059512C">
        <w:rPr>
          <w:i/>
        </w:rPr>
        <w:t>Information</w:t>
      </w:r>
      <w:r w:rsidRPr="0059512C">
        <w:t>.  This proceeding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list all persons attending or otherwise participating in the meeting at which the ex parte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584CDC" w:rsidRPr="005F6BC2" w:rsidP="00584CDC" w14:paraId="4B08FC13" w14:textId="77777777">
      <w:pPr>
        <w:pStyle w:val="Heading1"/>
        <w:rPr>
          <w:rFonts w:ascii="Times New Roman" w:hAnsi="Times New Roman"/>
          <w:szCs w:val="22"/>
        </w:rPr>
      </w:pPr>
      <w:bookmarkStart w:id="139" w:name="_Toc14783748"/>
      <w:bookmarkStart w:id="140" w:name="_Toc14976686"/>
      <w:bookmarkStart w:id="141" w:name="_Toc15591015"/>
      <w:bookmarkStart w:id="142" w:name="_Toc44602754"/>
      <w:bookmarkStart w:id="143" w:name="_Toc44608841"/>
      <w:bookmarkStart w:id="144" w:name="_Toc46764666"/>
      <w:bookmarkStart w:id="145" w:name="_Toc47539515"/>
      <w:bookmarkStart w:id="146" w:name="_Toc47692787"/>
      <w:bookmarkStart w:id="147" w:name="_Toc48832354"/>
      <w:bookmarkStart w:id="148" w:name="_Toc48919595"/>
      <w:bookmarkStart w:id="149" w:name="_Hlk509265090"/>
      <w:r w:rsidRPr="005F6BC2">
        <w:rPr>
          <w:rFonts w:ascii="Times New Roman" w:hAnsi="Times New Roman"/>
          <w:szCs w:val="22"/>
        </w:rPr>
        <w:t>Ordering clauses</w:t>
      </w:r>
      <w:bookmarkEnd w:id="139"/>
      <w:bookmarkEnd w:id="140"/>
      <w:bookmarkEnd w:id="141"/>
      <w:bookmarkEnd w:id="142"/>
      <w:bookmarkEnd w:id="143"/>
      <w:bookmarkEnd w:id="144"/>
      <w:bookmarkEnd w:id="145"/>
      <w:bookmarkEnd w:id="146"/>
      <w:bookmarkEnd w:id="147"/>
      <w:bookmarkEnd w:id="148"/>
    </w:p>
    <w:p w:rsidR="00584CDC" w:rsidRPr="004163A7" w:rsidP="00584CDC" w14:paraId="32BB3E25" w14:textId="77777777">
      <w:pPr>
        <w:pStyle w:val="ParaNum"/>
      </w:pPr>
      <w:r w:rsidRPr="004163A7">
        <w:t xml:space="preserve">Accordingly, IT IS ORDERED that, pursuant to Section 9(a), (b), (e), (f), and (g) of the Communications Act of 1934, as amended, 47 U.S.C. §§ 159(a), (b), (e), (f), and (g), this Report and Order </w:t>
      </w:r>
      <w:r>
        <w:t xml:space="preserve">and Further Notice of Proposed Rulemaking </w:t>
      </w:r>
      <w:r w:rsidRPr="004163A7">
        <w:t>IS HEREBY ADOPTED.</w:t>
      </w:r>
    </w:p>
    <w:p w:rsidR="00584CDC" w:rsidRPr="004163A7" w:rsidP="00584CDC" w14:paraId="544BE01D" w14:textId="77777777">
      <w:pPr>
        <w:pStyle w:val="ParaNum"/>
      </w:pPr>
      <w:r w:rsidRPr="004163A7">
        <w:t>IT IS FURTHER ORDERED that the Report and Order SHALL BE EFFECTIVE upon publication in the Federal Register.</w:t>
      </w:r>
    </w:p>
    <w:p w:rsidR="00584CDC" w:rsidRPr="004163A7" w:rsidP="00584CDC" w14:paraId="7DE1AE18" w14:textId="77777777">
      <w:pPr>
        <w:pStyle w:val="ParaNum"/>
      </w:pPr>
      <w:r w:rsidRPr="004163A7">
        <w:t>IT IS FURTHER ORDERED that the FY 20</w:t>
      </w:r>
      <w:r>
        <w:t>20</w:t>
      </w:r>
      <w:r w:rsidRPr="004163A7">
        <w:t xml:space="preserve"> section 9 regulatory fees assessment requirements and the rules set forth in Appendix </w:t>
      </w:r>
      <w:r>
        <w:t xml:space="preserve">K </w:t>
      </w:r>
      <w:r w:rsidRPr="004163A7">
        <w:t>ARE ADOPTED as specified herein.</w:t>
      </w:r>
    </w:p>
    <w:p w:rsidR="00584CDC" w:rsidRPr="005F6BC2" w:rsidP="00584CDC" w14:paraId="55E0CEB2" w14:textId="77777777">
      <w:pPr>
        <w:pStyle w:val="ParaNum"/>
      </w:pPr>
      <w:r w:rsidRPr="004163A7">
        <w:t xml:space="preserve">IT IS FURTHER ORDERED that the Commission’s Consumer </w:t>
      </w:r>
      <w:r>
        <w:t>and</w:t>
      </w:r>
      <w:r w:rsidRPr="004163A7">
        <w:t xml:space="preserve"> Governmental Affairs Bureau, Reference Information Center, SHALL SEND a copy of this Report and Order, including the Final Regulatory Flexibility Analysis in Appendix </w:t>
      </w:r>
      <w:r>
        <w:t>I</w:t>
      </w:r>
      <w:r w:rsidRPr="004163A7">
        <w:t>,</w:t>
      </w:r>
      <w:r w:rsidRPr="005F6BC2">
        <w:t xml:space="preserve"> to </w:t>
      </w:r>
      <w:r>
        <w:t xml:space="preserve">Congress and the Government Accountability Office pursuant to 5 U.S.C. </w:t>
      </w:r>
      <w:r w:rsidRPr="004163A7">
        <w:rPr>
          <w:rFonts w:cs="Calibri"/>
        </w:rPr>
        <w:t>§</w:t>
      </w:r>
      <w:r>
        <w:t xml:space="preserve"> 801(a)(1)(A).</w:t>
      </w:r>
    </w:p>
    <w:p w:rsidR="00584CDC" w:rsidRPr="005F6BC2" w:rsidP="00584CDC" w14:paraId="2C6665CC" w14:textId="77777777">
      <w:pPr>
        <w:pStyle w:val="ParaNum"/>
        <w:numPr>
          <w:ilvl w:val="0"/>
          <w:numId w:val="0"/>
        </w:numPr>
        <w:ind w:left="720"/>
      </w:pPr>
    </w:p>
    <w:bookmarkEnd w:id="149"/>
    <w:p w:rsidR="00584CDC" w:rsidRPr="005F6BC2" w:rsidP="00584CDC" w14:paraId="6F5C027F" w14:textId="7777777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FEDERAL COMMUNICATIONS COMMISSION</w:t>
      </w:r>
    </w:p>
    <w:p w:rsidR="00584CDC" w:rsidRPr="005F6BC2" w:rsidP="00584CDC" w14:paraId="37D8B59A" w14:textId="77777777">
      <w:pPr>
        <w:rPr>
          <w:szCs w:val="22"/>
        </w:rPr>
      </w:pPr>
    </w:p>
    <w:p w:rsidR="00584CDC" w:rsidRPr="005F6BC2" w:rsidP="00584CDC" w14:paraId="0FBBAB57" w14:textId="77777777">
      <w:pPr>
        <w:rPr>
          <w:szCs w:val="22"/>
        </w:rPr>
      </w:pPr>
    </w:p>
    <w:p w:rsidR="00584CDC" w:rsidRPr="005F6BC2" w:rsidP="00584CDC" w14:paraId="2DA8ECA4" w14:textId="77777777">
      <w:pPr>
        <w:rPr>
          <w:szCs w:val="22"/>
        </w:rPr>
      </w:pPr>
    </w:p>
    <w:p w:rsidR="00584CDC" w:rsidRPr="005F6BC2" w:rsidP="00584CDC" w14:paraId="448B26B8" w14:textId="77777777">
      <w:pPr>
        <w:rPr>
          <w:szCs w:val="22"/>
        </w:rPr>
      </w:pPr>
    </w:p>
    <w:p w:rsidR="00584CDC" w:rsidRPr="005F6BC2" w:rsidP="00584CDC" w14:paraId="29594433" w14:textId="7777777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Marlene H. Dortch</w:t>
      </w:r>
    </w:p>
    <w:p w:rsidR="00584CDC" w:rsidP="00584CDC" w14:paraId="609A2CD2" w14:textId="77777777">
      <w:pPr>
        <w:rPr>
          <w:szCs w:val="22"/>
        </w:rPr>
      </w:pPr>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t>Secretary</w:t>
      </w:r>
    </w:p>
    <w:p w:rsidR="00584CDC" w:rsidP="00584CDC" w14:paraId="15B65B65" w14:textId="77777777">
      <w:pPr>
        <w:rPr>
          <w:b/>
          <w:szCs w:val="22"/>
        </w:rPr>
      </w:pPr>
    </w:p>
    <w:p w:rsidR="00584CDC" w:rsidRPr="007D15C3" w:rsidP="00584CDC" w14:paraId="0FDCE2C6" w14:textId="77777777">
      <w:pPr>
        <w:rPr>
          <w:rFonts w:cs="Calibri"/>
        </w:rPr>
      </w:pPr>
    </w:p>
    <w:p w:rsidR="00584CDC" w:rsidRPr="00C43D23" w:rsidP="00584CDC" w14:paraId="27F4786F" w14:textId="77777777">
      <w:pPr>
        <w:widowControl/>
      </w:pPr>
    </w:p>
    <w:p w:rsidR="009C1C1C" w:rsidP="00584CDC" w14:paraId="61855B47" w14:textId="77777777">
      <w:pPr>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9C1C1C" w:rsidP="009C1C1C" w14:paraId="540B9360" w14:textId="77777777">
      <w:pPr>
        <w:jc w:val="center"/>
        <w:rPr>
          <w:b/>
          <w:bCs/>
        </w:rPr>
      </w:pPr>
      <w:r w:rsidRPr="00675820">
        <w:rPr>
          <w:b/>
          <w:bCs/>
        </w:rPr>
        <w:t>APPENDIX A</w:t>
      </w:r>
    </w:p>
    <w:p w:rsidR="009C1C1C" w:rsidP="009C1C1C" w14:paraId="5B21A8E2" w14:textId="77777777">
      <w:pPr>
        <w:pStyle w:val="ParaNum"/>
        <w:numPr>
          <w:ilvl w:val="0"/>
          <w:numId w:val="0"/>
        </w:numPr>
      </w:pPr>
    </w:p>
    <w:tbl>
      <w:tblPr>
        <w:tblStyle w:val="TableGrid"/>
        <w:tblW w:w="0" w:type="auto"/>
        <w:tblInd w:w="720" w:type="dxa"/>
        <w:tblLook w:val="04A0"/>
      </w:tblPr>
      <w:tblGrid>
        <w:gridCol w:w="4350"/>
        <w:gridCol w:w="4280"/>
      </w:tblGrid>
      <w:tr w14:paraId="4D23042A" w14:textId="77777777" w:rsidTr="006B48CA">
        <w:tblPrEx>
          <w:tblW w:w="0" w:type="auto"/>
          <w:tblInd w:w="720" w:type="dxa"/>
          <w:tblLook w:val="04A0"/>
        </w:tblPrEx>
        <w:tc>
          <w:tcPr>
            <w:tcW w:w="4454" w:type="dxa"/>
          </w:tcPr>
          <w:p w:rsidR="009C1C1C" w:rsidRPr="001E36B6" w:rsidP="006B48CA" w14:paraId="3558CC3B" w14:textId="77777777">
            <w:pPr>
              <w:pStyle w:val="ParaNum"/>
              <w:numPr>
                <w:ilvl w:val="0"/>
                <w:numId w:val="0"/>
              </w:numPr>
            </w:pPr>
            <w:r w:rsidRPr="001E36B6">
              <w:t>Commenter</w:t>
            </w:r>
            <w:r>
              <w:t>—Initial Comments</w:t>
            </w:r>
          </w:p>
        </w:tc>
        <w:tc>
          <w:tcPr>
            <w:tcW w:w="4402" w:type="dxa"/>
          </w:tcPr>
          <w:p w:rsidR="009C1C1C" w:rsidRPr="001E36B6" w:rsidP="006B48CA" w14:paraId="2A9FBD04" w14:textId="77777777">
            <w:pPr>
              <w:pStyle w:val="ParaNum"/>
              <w:numPr>
                <w:ilvl w:val="0"/>
                <w:numId w:val="0"/>
              </w:numPr>
            </w:pPr>
            <w:r w:rsidRPr="001E36B6">
              <w:t>Abbreviated Name</w:t>
            </w:r>
          </w:p>
        </w:tc>
      </w:tr>
      <w:tr w14:paraId="75CB7FC5" w14:textId="77777777" w:rsidTr="006B48CA">
        <w:tblPrEx>
          <w:tblW w:w="0" w:type="auto"/>
          <w:tblInd w:w="720" w:type="dxa"/>
          <w:tblLook w:val="04A0"/>
        </w:tblPrEx>
        <w:tc>
          <w:tcPr>
            <w:tcW w:w="4454" w:type="dxa"/>
          </w:tcPr>
          <w:p w:rsidR="009C1C1C" w:rsidP="006B48CA" w14:paraId="5363A48F" w14:textId="77777777">
            <w:pPr>
              <w:pStyle w:val="ParaNum"/>
              <w:numPr>
                <w:ilvl w:val="0"/>
                <w:numId w:val="0"/>
              </w:numPr>
            </w:pPr>
            <w:r>
              <w:t>America-CV Station Group</w:t>
            </w:r>
          </w:p>
        </w:tc>
        <w:tc>
          <w:tcPr>
            <w:tcW w:w="4402" w:type="dxa"/>
          </w:tcPr>
          <w:p w:rsidR="009C1C1C" w:rsidP="006B48CA" w14:paraId="30ACF1F8" w14:textId="77777777">
            <w:pPr>
              <w:pStyle w:val="ParaNum"/>
              <w:numPr>
                <w:ilvl w:val="0"/>
                <w:numId w:val="0"/>
              </w:numPr>
            </w:pPr>
            <w:r>
              <w:t>ACV</w:t>
            </w:r>
          </w:p>
        </w:tc>
      </w:tr>
      <w:tr w14:paraId="621DE9B4" w14:textId="77777777" w:rsidTr="006B48CA">
        <w:tblPrEx>
          <w:tblW w:w="0" w:type="auto"/>
          <w:tblInd w:w="720" w:type="dxa"/>
          <w:tblLook w:val="04A0"/>
        </w:tblPrEx>
        <w:tc>
          <w:tcPr>
            <w:tcW w:w="4454" w:type="dxa"/>
          </w:tcPr>
          <w:p w:rsidR="009C1C1C" w:rsidP="006B48CA" w14:paraId="1AF1B01D" w14:textId="77777777">
            <w:pPr>
              <w:pStyle w:val="ParaNum"/>
              <w:numPr>
                <w:ilvl w:val="0"/>
                <w:numId w:val="0"/>
              </w:numPr>
            </w:pPr>
            <w:r>
              <w:t>ATL Communications</w:t>
            </w:r>
          </w:p>
        </w:tc>
        <w:tc>
          <w:tcPr>
            <w:tcW w:w="4402" w:type="dxa"/>
          </w:tcPr>
          <w:p w:rsidR="009C1C1C" w:rsidP="006B48CA" w14:paraId="44FE12A4" w14:textId="77777777">
            <w:pPr>
              <w:pStyle w:val="ParaNum"/>
              <w:numPr>
                <w:ilvl w:val="0"/>
                <w:numId w:val="0"/>
              </w:numPr>
            </w:pPr>
            <w:r>
              <w:t>ATL</w:t>
            </w:r>
          </w:p>
        </w:tc>
      </w:tr>
      <w:tr w14:paraId="3FB25396" w14:textId="77777777" w:rsidTr="006B48CA">
        <w:tblPrEx>
          <w:tblW w:w="0" w:type="auto"/>
          <w:tblInd w:w="720" w:type="dxa"/>
          <w:tblLook w:val="04A0"/>
        </w:tblPrEx>
        <w:tc>
          <w:tcPr>
            <w:tcW w:w="4454" w:type="dxa"/>
          </w:tcPr>
          <w:p w:rsidR="009C1C1C" w:rsidP="006B48CA" w14:paraId="309B8D36" w14:textId="77777777">
            <w:pPr>
              <w:pStyle w:val="ParaNum"/>
              <w:numPr>
                <w:ilvl w:val="0"/>
                <w:numId w:val="0"/>
              </w:numPr>
            </w:pPr>
            <w:r>
              <w:t>CenturyLink</w:t>
            </w:r>
          </w:p>
        </w:tc>
        <w:tc>
          <w:tcPr>
            <w:tcW w:w="4402" w:type="dxa"/>
          </w:tcPr>
          <w:p w:rsidR="009C1C1C" w:rsidP="006B48CA" w14:paraId="5A851CE5" w14:textId="77777777">
            <w:pPr>
              <w:pStyle w:val="ParaNum"/>
              <w:numPr>
                <w:ilvl w:val="0"/>
                <w:numId w:val="0"/>
              </w:numPr>
            </w:pPr>
            <w:r>
              <w:t>CenturyLink</w:t>
            </w:r>
          </w:p>
        </w:tc>
      </w:tr>
      <w:tr w14:paraId="6C88C56D" w14:textId="77777777" w:rsidTr="006B48CA">
        <w:tblPrEx>
          <w:tblW w:w="0" w:type="auto"/>
          <w:tblInd w:w="720" w:type="dxa"/>
          <w:tblLook w:val="04A0"/>
        </w:tblPrEx>
        <w:tc>
          <w:tcPr>
            <w:tcW w:w="4454" w:type="dxa"/>
          </w:tcPr>
          <w:p w:rsidR="009C1C1C" w:rsidP="006B48CA" w14:paraId="373D6587" w14:textId="77777777">
            <w:pPr>
              <w:pStyle w:val="ParaNum"/>
              <w:numPr>
                <w:ilvl w:val="0"/>
                <w:numId w:val="0"/>
              </w:numPr>
            </w:pPr>
            <w:r>
              <w:t>Colorado Broadcasters Association, Florida Association of Broadcasters, Oregon Association of Broadcasters, Puerto Rico Broadcasters Association</w:t>
            </w:r>
          </w:p>
        </w:tc>
        <w:tc>
          <w:tcPr>
            <w:tcW w:w="4402" w:type="dxa"/>
          </w:tcPr>
          <w:p w:rsidR="009C1C1C" w:rsidP="006B48CA" w14:paraId="496CC32F" w14:textId="77777777">
            <w:pPr>
              <w:pStyle w:val="ParaNum"/>
              <w:numPr>
                <w:ilvl w:val="0"/>
                <w:numId w:val="0"/>
              </w:numPr>
            </w:pPr>
            <w:r>
              <w:t>Colorado Broadcasters</w:t>
            </w:r>
          </w:p>
        </w:tc>
      </w:tr>
      <w:tr w14:paraId="446460CB" w14:textId="77777777" w:rsidTr="006B48CA">
        <w:tblPrEx>
          <w:tblW w:w="0" w:type="auto"/>
          <w:tblInd w:w="720" w:type="dxa"/>
          <w:tblLook w:val="04A0"/>
        </w:tblPrEx>
        <w:tc>
          <w:tcPr>
            <w:tcW w:w="4454" w:type="dxa"/>
          </w:tcPr>
          <w:p w:rsidR="009C1C1C" w:rsidP="006B48CA" w14:paraId="560AE141" w14:textId="77777777">
            <w:pPr>
              <w:pStyle w:val="ParaNum"/>
              <w:numPr>
                <w:ilvl w:val="0"/>
                <w:numId w:val="0"/>
              </w:numPr>
            </w:pPr>
            <w:r>
              <w:t>Dish Network L.L.C. and AT&amp;T Services, Inc.</w:t>
            </w:r>
          </w:p>
        </w:tc>
        <w:tc>
          <w:tcPr>
            <w:tcW w:w="4402" w:type="dxa"/>
          </w:tcPr>
          <w:p w:rsidR="009C1C1C" w:rsidP="006B48CA" w14:paraId="7A7061C9" w14:textId="77777777">
            <w:pPr>
              <w:pStyle w:val="ParaNum"/>
              <w:numPr>
                <w:ilvl w:val="0"/>
                <w:numId w:val="0"/>
              </w:numPr>
            </w:pPr>
            <w:r>
              <w:t>AT&amp;T and DISH</w:t>
            </w:r>
          </w:p>
        </w:tc>
      </w:tr>
      <w:tr w14:paraId="0C59AD16" w14:textId="77777777" w:rsidTr="006B48CA">
        <w:tblPrEx>
          <w:tblW w:w="0" w:type="auto"/>
          <w:tblInd w:w="720" w:type="dxa"/>
          <w:tblLook w:val="04A0"/>
        </w:tblPrEx>
        <w:tc>
          <w:tcPr>
            <w:tcW w:w="4454" w:type="dxa"/>
          </w:tcPr>
          <w:p w:rsidR="009C1C1C" w:rsidP="006B48CA" w14:paraId="59E2207D" w14:textId="77777777">
            <w:pPr>
              <w:pStyle w:val="ParaNum"/>
              <w:numPr>
                <w:ilvl w:val="0"/>
                <w:numId w:val="0"/>
              </w:numPr>
            </w:pPr>
            <w:r>
              <w:t>Eutelsat Communications S.A.</w:t>
            </w:r>
          </w:p>
        </w:tc>
        <w:tc>
          <w:tcPr>
            <w:tcW w:w="4402" w:type="dxa"/>
          </w:tcPr>
          <w:p w:rsidR="009C1C1C" w:rsidP="006B48CA" w14:paraId="530545F5" w14:textId="77777777">
            <w:pPr>
              <w:pStyle w:val="ParaNum"/>
              <w:numPr>
                <w:ilvl w:val="0"/>
                <w:numId w:val="0"/>
              </w:numPr>
            </w:pPr>
            <w:r>
              <w:t>Eutelsat</w:t>
            </w:r>
          </w:p>
        </w:tc>
      </w:tr>
      <w:tr w14:paraId="0E1D233D" w14:textId="77777777" w:rsidTr="006B48CA">
        <w:tblPrEx>
          <w:tblW w:w="0" w:type="auto"/>
          <w:tblInd w:w="720" w:type="dxa"/>
          <w:tblLook w:val="04A0"/>
        </w:tblPrEx>
        <w:tc>
          <w:tcPr>
            <w:tcW w:w="4454" w:type="dxa"/>
          </w:tcPr>
          <w:p w:rsidR="009C1C1C" w:rsidP="006B48CA" w14:paraId="6751D9BD" w14:textId="77777777">
            <w:pPr>
              <w:pStyle w:val="ParaNum"/>
              <w:numPr>
                <w:ilvl w:val="0"/>
                <w:numId w:val="0"/>
              </w:numPr>
            </w:pPr>
            <w:r>
              <w:t>Kineis</w:t>
            </w:r>
          </w:p>
        </w:tc>
        <w:tc>
          <w:tcPr>
            <w:tcW w:w="4402" w:type="dxa"/>
          </w:tcPr>
          <w:p w:rsidR="009C1C1C" w:rsidP="006B48CA" w14:paraId="4A1B2311" w14:textId="77777777">
            <w:pPr>
              <w:pStyle w:val="ParaNum"/>
              <w:numPr>
                <w:ilvl w:val="0"/>
                <w:numId w:val="0"/>
              </w:numPr>
            </w:pPr>
            <w:r>
              <w:t>Kineis</w:t>
            </w:r>
          </w:p>
        </w:tc>
      </w:tr>
      <w:tr w14:paraId="0773ED83" w14:textId="77777777" w:rsidTr="006B48CA">
        <w:tblPrEx>
          <w:tblW w:w="0" w:type="auto"/>
          <w:tblInd w:w="720" w:type="dxa"/>
          <w:tblLook w:val="04A0"/>
        </w:tblPrEx>
        <w:tc>
          <w:tcPr>
            <w:tcW w:w="4454" w:type="dxa"/>
          </w:tcPr>
          <w:p w:rsidR="009C1C1C" w:rsidP="006B48CA" w14:paraId="0EDD8965" w14:textId="77777777">
            <w:pPr>
              <w:pStyle w:val="ParaNum"/>
              <w:numPr>
                <w:ilvl w:val="0"/>
                <w:numId w:val="0"/>
              </w:numPr>
            </w:pPr>
            <w:r>
              <w:t>Fred R. Morton</w:t>
            </w:r>
          </w:p>
        </w:tc>
        <w:tc>
          <w:tcPr>
            <w:tcW w:w="4402" w:type="dxa"/>
          </w:tcPr>
          <w:p w:rsidR="009C1C1C" w:rsidP="006B48CA" w14:paraId="63EC9DF0" w14:textId="77777777">
            <w:pPr>
              <w:pStyle w:val="ParaNum"/>
              <w:numPr>
                <w:ilvl w:val="0"/>
                <w:numId w:val="0"/>
              </w:numPr>
            </w:pPr>
            <w:r>
              <w:t>Morton</w:t>
            </w:r>
          </w:p>
        </w:tc>
      </w:tr>
      <w:tr w14:paraId="5F0C6A74" w14:textId="77777777" w:rsidTr="006B48CA">
        <w:tblPrEx>
          <w:tblW w:w="0" w:type="auto"/>
          <w:tblInd w:w="720" w:type="dxa"/>
          <w:tblLook w:val="04A0"/>
        </w:tblPrEx>
        <w:tc>
          <w:tcPr>
            <w:tcW w:w="4454" w:type="dxa"/>
          </w:tcPr>
          <w:p w:rsidR="009C1C1C" w:rsidP="006B48CA" w14:paraId="056B6E98" w14:textId="77777777">
            <w:pPr>
              <w:pStyle w:val="ParaNum"/>
              <w:numPr>
                <w:ilvl w:val="0"/>
                <w:numId w:val="0"/>
              </w:numPr>
            </w:pPr>
            <w:r>
              <w:t>Myriota</w:t>
            </w:r>
            <w:r>
              <w:t xml:space="preserve"> Pty. Ltd.</w:t>
            </w:r>
          </w:p>
        </w:tc>
        <w:tc>
          <w:tcPr>
            <w:tcW w:w="4402" w:type="dxa"/>
          </w:tcPr>
          <w:p w:rsidR="009C1C1C" w:rsidP="006B48CA" w14:paraId="057E72F2" w14:textId="77777777">
            <w:pPr>
              <w:pStyle w:val="ParaNum"/>
              <w:numPr>
                <w:ilvl w:val="0"/>
                <w:numId w:val="0"/>
              </w:numPr>
            </w:pPr>
            <w:r>
              <w:t>Myriota</w:t>
            </w:r>
          </w:p>
        </w:tc>
      </w:tr>
      <w:tr w14:paraId="61FF2B3C" w14:textId="77777777" w:rsidTr="006B48CA">
        <w:tblPrEx>
          <w:tblW w:w="0" w:type="auto"/>
          <w:tblInd w:w="720" w:type="dxa"/>
          <w:tblLook w:val="04A0"/>
        </w:tblPrEx>
        <w:tc>
          <w:tcPr>
            <w:tcW w:w="4454" w:type="dxa"/>
          </w:tcPr>
          <w:p w:rsidR="009C1C1C" w:rsidP="006B48CA" w14:paraId="7A5CDB59" w14:textId="77777777">
            <w:pPr>
              <w:pStyle w:val="ParaNum"/>
              <w:numPr>
                <w:ilvl w:val="0"/>
                <w:numId w:val="0"/>
              </w:numPr>
            </w:pPr>
            <w:r>
              <w:t>National Association of Broadcasters</w:t>
            </w:r>
          </w:p>
        </w:tc>
        <w:tc>
          <w:tcPr>
            <w:tcW w:w="4402" w:type="dxa"/>
          </w:tcPr>
          <w:p w:rsidR="009C1C1C" w:rsidP="006B48CA" w14:paraId="5757E529" w14:textId="77777777">
            <w:pPr>
              <w:pStyle w:val="ParaNum"/>
              <w:numPr>
                <w:ilvl w:val="0"/>
                <w:numId w:val="0"/>
              </w:numPr>
            </w:pPr>
            <w:r>
              <w:t>NAB</w:t>
            </w:r>
          </w:p>
        </w:tc>
      </w:tr>
      <w:tr w14:paraId="7F853E1A" w14:textId="77777777" w:rsidTr="006B48CA">
        <w:tblPrEx>
          <w:tblW w:w="0" w:type="auto"/>
          <w:tblInd w:w="720" w:type="dxa"/>
          <w:tblLook w:val="04A0"/>
        </w:tblPrEx>
        <w:tc>
          <w:tcPr>
            <w:tcW w:w="4454" w:type="dxa"/>
          </w:tcPr>
          <w:p w:rsidR="009C1C1C" w:rsidP="006B48CA" w14:paraId="152A98BB" w14:textId="77777777">
            <w:pPr>
              <w:pStyle w:val="ParaNum"/>
              <w:numPr>
                <w:ilvl w:val="0"/>
                <w:numId w:val="0"/>
              </w:numPr>
            </w:pPr>
            <w:r>
              <w:t>NCTA—The Internet &amp; Television Association and ACA Connects—America’s Communications Association</w:t>
            </w:r>
          </w:p>
        </w:tc>
        <w:tc>
          <w:tcPr>
            <w:tcW w:w="4402" w:type="dxa"/>
          </w:tcPr>
          <w:p w:rsidR="009C1C1C" w:rsidP="006B48CA" w14:paraId="1E32020C" w14:textId="77777777">
            <w:pPr>
              <w:pStyle w:val="ParaNum"/>
              <w:numPr>
                <w:ilvl w:val="0"/>
                <w:numId w:val="0"/>
              </w:numPr>
            </w:pPr>
            <w:r>
              <w:t>NCTA and ACA</w:t>
            </w:r>
          </w:p>
        </w:tc>
      </w:tr>
      <w:tr w14:paraId="58594835" w14:textId="77777777" w:rsidTr="006B48CA">
        <w:tblPrEx>
          <w:tblW w:w="0" w:type="auto"/>
          <w:tblInd w:w="720" w:type="dxa"/>
          <w:tblLook w:val="04A0"/>
        </w:tblPrEx>
        <w:tc>
          <w:tcPr>
            <w:tcW w:w="4454" w:type="dxa"/>
          </w:tcPr>
          <w:p w:rsidR="009C1C1C" w:rsidP="006B48CA" w14:paraId="35AC710B" w14:textId="77777777">
            <w:pPr>
              <w:pStyle w:val="ParaNum"/>
              <w:numPr>
                <w:ilvl w:val="0"/>
                <w:numId w:val="0"/>
              </w:numPr>
            </w:pPr>
            <w:r>
              <w:t>New Jersey Broadcasters Association</w:t>
            </w:r>
          </w:p>
        </w:tc>
        <w:tc>
          <w:tcPr>
            <w:tcW w:w="4402" w:type="dxa"/>
          </w:tcPr>
          <w:p w:rsidR="009C1C1C" w:rsidP="006B48CA" w14:paraId="337987BE" w14:textId="77777777">
            <w:pPr>
              <w:pStyle w:val="ParaNum"/>
              <w:numPr>
                <w:ilvl w:val="0"/>
                <w:numId w:val="0"/>
              </w:numPr>
            </w:pPr>
            <w:r>
              <w:t>NJBA</w:t>
            </w:r>
          </w:p>
        </w:tc>
      </w:tr>
      <w:tr w14:paraId="61412E51" w14:textId="77777777" w:rsidTr="006B48CA">
        <w:tblPrEx>
          <w:tblW w:w="0" w:type="auto"/>
          <w:tblInd w:w="720" w:type="dxa"/>
          <w:tblLook w:val="04A0"/>
        </w:tblPrEx>
        <w:tc>
          <w:tcPr>
            <w:tcW w:w="4454" w:type="dxa"/>
          </w:tcPr>
          <w:p w:rsidR="009C1C1C" w:rsidP="006B48CA" w14:paraId="7433FE54" w14:textId="77777777">
            <w:pPr>
              <w:pStyle w:val="ParaNum"/>
              <w:numPr>
                <w:ilvl w:val="0"/>
                <w:numId w:val="0"/>
              </w:numPr>
            </w:pPr>
            <w:r>
              <w:t>North American Submarine Cable Association</w:t>
            </w:r>
          </w:p>
        </w:tc>
        <w:tc>
          <w:tcPr>
            <w:tcW w:w="4402" w:type="dxa"/>
          </w:tcPr>
          <w:p w:rsidR="009C1C1C" w:rsidP="006B48CA" w14:paraId="09B0DDFF" w14:textId="77777777">
            <w:pPr>
              <w:pStyle w:val="ParaNum"/>
              <w:numPr>
                <w:ilvl w:val="0"/>
                <w:numId w:val="0"/>
              </w:numPr>
            </w:pPr>
            <w:r>
              <w:t>NASCA</w:t>
            </w:r>
          </w:p>
        </w:tc>
      </w:tr>
      <w:tr w14:paraId="5634D630" w14:textId="77777777" w:rsidTr="006B48CA">
        <w:tblPrEx>
          <w:tblW w:w="0" w:type="auto"/>
          <w:tblInd w:w="720" w:type="dxa"/>
          <w:tblLook w:val="04A0"/>
        </w:tblPrEx>
        <w:tc>
          <w:tcPr>
            <w:tcW w:w="4454" w:type="dxa"/>
          </w:tcPr>
          <w:p w:rsidR="009C1C1C" w:rsidP="006B48CA" w14:paraId="1C9AB97D" w14:textId="77777777">
            <w:pPr>
              <w:pStyle w:val="ParaNum"/>
              <w:numPr>
                <w:ilvl w:val="0"/>
                <w:numId w:val="0"/>
              </w:numPr>
            </w:pPr>
            <w:r>
              <w:t>PC Landing Corp.</w:t>
            </w:r>
          </w:p>
        </w:tc>
        <w:tc>
          <w:tcPr>
            <w:tcW w:w="4402" w:type="dxa"/>
          </w:tcPr>
          <w:p w:rsidR="009C1C1C" w:rsidP="006B48CA" w14:paraId="76CA9EA3" w14:textId="77777777">
            <w:pPr>
              <w:pStyle w:val="ParaNum"/>
              <w:numPr>
                <w:ilvl w:val="0"/>
                <w:numId w:val="0"/>
              </w:numPr>
            </w:pPr>
            <w:r>
              <w:t>PC Landing</w:t>
            </w:r>
          </w:p>
        </w:tc>
      </w:tr>
      <w:tr w14:paraId="09998C32" w14:textId="77777777" w:rsidTr="006B48CA">
        <w:tblPrEx>
          <w:tblW w:w="0" w:type="auto"/>
          <w:tblInd w:w="720" w:type="dxa"/>
          <w:tblLook w:val="04A0"/>
        </w:tblPrEx>
        <w:tc>
          <w:tcPr>
            <w:tcW w:w="4454" w:type="dxa"/>
          </w:tcPr>
          <w:p w:rsidR="009C1C1C" w:rsidP="006B48CA" w14:paraId="4409DCC2" w14:textId="77777777">
            <w:pPr>
              <w:pStyle w:val="ParaNum"/>
              <w:numPr>
                <w:ilvl w:val="0"/>
                <w:numId w:val="0"/>
              </w:numPr>
            </w:pPr>
            <w:r>
              <w:t>Planet Labs, Inc.</w:t>
            </w:r>
          </w:p>
        </w:tc>
        <w:tc>
          <w:tcPr>
            <w:tcW w:w="4402" w:type="dxa"/>
          </w:tcPr>
          <w:p w:rsidR="009C1C1C" w:rsidP="006B48CA" w14:paraId="4966D8D7" w14:textId="77777777">
            <w:pPr>
              <w:pStyle w:val="ParaNum"/>
              <w:numPr>
                <w:ilvl w:val="0"/>
                <w:numId w:val="0"/>
              </w:numPr>
            </w:pPr>
            <w:r>
              <w:t>Planet</w:t>
            </w:r>
          </w:p>
        </w:tc>
      </w:tr>
      <w:tr w14:paraId="67596368" w14:textId="77777777" w:rsidTr="006B48CA">
        <w:tblPrEx>
          <w:tblW w:w="0" w:type="auto"/>
          <w:tblInd w:w="720" w:type="dxa"/>
          <w:tblLook w:val="04A0"/>
        </w:tblPrEx>
        <w:tc>
          <w:tcPr>
            <w:tcW w:w="4454" w:type="dxa"/>
          </w:tcPr>
          <w:p w:rsidR="009C1C1C" w:rsidP="006B48CA" w14:paraId="62A416B4" w14:textId="77777777">
            <w:pPr>
              <w:pStyle w:val="ParaNum"/>
              <w:numPr>
                <w:ilvl w:val="0"/>
                <w:numId w:val="0"/>
              </w:numPr>
            </w:pPr>
            <w:r>
              <w:t>PMCM TV, LLC</w:t>
            </w:r>
          </w:p>
        </w:tc>
        <w:tc>
          <w:tcPr>
            <w:tcW w:w="4402" w:type="dxa"/>
          </w:tcPr>
          <w:p w:rsidR="009C1C1C" w:rsidP="006B48CA" w14:paraId="4C07EE9A" w14:textId="77777777">
            <w:pPr>
              <w:pStyle w:val="ParaNum"/>
              <w:numPr>
                <w:ilvl w:val="0"/>
                <w:numId w:val="0"/>
              </w:numPr>
            </w:pPr>
            <w:r>
              <w:t>PMCM</w:t>
            </w:r>
          </w:p>
        </w:tc>
      </w:tr>
      <w:tr w14:paraId="4B0EA583" w14:textId="77777777" w:rsidTr="006B48CA">
        <w:tblPrEx>
          <w:tblW w:w="0" w:type="auto"/>
          <w:tblInd w:w="720" w:type="dxa"/>
          <w:tblLook w:val="04A0"/>
        </w:tblPrEx>
        <w:tc>
          <w:tcPr>
            <w:tcW w:w="4454" w:type="dxa"/>
          </w:tcPr>
          <w:p w:rsidR="009C1C1C" w:rsidP="006B48CA" w14:paraId="6B478856" w14:textId="77777777">
            <w:pPr>
              <w:pStyle w:val="ParaNum"/>
              <w:numPr>
                <w:ilvl w:val="0"/>
                <w:numId w:val="0"/>
              </w:numPr>
            </w:pPr>
            <w:r>
              <w:t>Redrock Broadcasting, Inc. and Media Advisors, LLC</w:t>
            </w:r>
          </w:p>
        </w:tc>
        <w:tc>
          <w:tcPr>
            <w:tcW w:w="4402" w:type="dxa"/>
          </w:tcPr>
          <w:p w:rsidR="009C1C1C" w:rsidP="006B48CA" w14:paraId="3246393D" w14:textId="77777777">
            <w:pPr>
              <w:pStyle w:val="ParaNum"/>
              <w:numPr>
                <w:ilvl w:val="0"/>
                <w:numId w:val="0"/>
              </w:numPr>
            </w:pPr>
            <w:r>
              <w:t>Redrock</w:t>
            </w:r>
          </w:p>
        </w:tc>
      </w:tr>
      <w:tr w14:paraId="00A6561B" w14:textId="77777777" w:rsidTr="006B48CA">
        <w:tblPrEx>
          <w:tblW w:w="0" w:type="auto"/>
          <w:tblInd w:w="720" w:type="dxa"/>
          <w:tblLook w:val="04A0"/>
        </w:tblPrEx>
        <w:tc>
          <w:tcPr>
            <w:tcW w:w="4454" w:type="dxa"/>
          </w:tcPr>
          <w:p w:rsidR="009C1C1C" w:rsidP="006B48CA" w14:paraId="0BF06FF4" w14:textId="77777777">
            <w:pPr>
              <w:pStyle w:val="ParaNum"/>
              <w:numPr>
                <w:ilvl w:val="0"/>
                <w:numId w:val="0"/>
              </w:numPr>
            </w:pPr>
            <w:r>
              <w:t>Satellite Industry Association</w:t>
            </w:r>
          </w:p>
        </w:tc>
        <w:tc>
          <w:tcPr>
            <w:tcW w:w="4402" w:type="dxa"/>
          </w:tcPr>
          <w:p w:rsidR="009C1C1C" w:rsidP="006B48CA" w14:paraId="2203A38E" w14:textId="77777777">
            <w:pPr>
              <w:pStyle w:val="ParaNum"/>
              <w:numPr>
                <w:ilvl w:val="0"/>
                <w:numId w:val="0"/>
              </w:numPr>
            </w:pPr>
            <w:r>
              <w:t>SIA</w:t>
            </w:r>
          </w:p>
        </w:tc>
      </w:tr>
      <w:tr w14:paraId="661B72F1" w14:textId="77777777" w:rsidTr="006B48CA">
        <w:tblPrEx>
          <w:tblW w:w="0" w:type="auto"/>
          <w:tblInd w:w="720" w:type="dxa"/>
          <w:tblLook w:val="04A0"/>
        </w:tblPrEx>
        <w:tc>
          <w:tcPr>
            <w:tcW w:w="4454" w:type="dxa"/>
          </w:tcPr>
          <w:p w:rsidR="009C1C1C" w:rsidP="006B48CA" w14:paraId="08420348" w14:textId="77777777">
            <w:pPr>
              <w:pStyle w:val="ParaNum"/>
              <w:numPr>
                <w:ilvl w:val="0"/>
                <w:numId w:val="0"/>
              </w:numPr>
            </w:pPr>
            <w:r>
              <w:t xml:space="preserve">SES </w:t>
            </w:r>
            <w:r>
              <w:t>Americom</w:t>
            </w:r>
            <w:r>
              <w:t>, Inc.</w:t>
            </w:r>
          </w:p>
        </w:tc>
        <w:tc>
          <w:tcPr>
            <w:tcW w:w="4402" w:type="dxa"/>
          </w:tcPr>
          <w:p w:rsidR="009C1C1C" w:rsidP="006B48CA" w14:paraId="6784A0D8" w14:textId="77777777">
            <w:pPr>
              <w:pStyle w:val="ParaNum"/>
              <w:numPr>
                <w:ilvl w:val="0"/>
                <w:numId w:val="0"/>
              </w:numPr>
            </w:pPr>
            <w:r>
              <w:t>SES</w:t>
            </w:r>
          </w:p>
        </w:tc>
      </w:tr>
      <w:tr w14:paraId="3A6D422C" w14:textId="77777777" w:rsidTr="006B48CA">
        <w:tblPrEx>
          <w:tblW w:w="0" w:type="auto"/>
          <w:tblInd w:w="720" w:type="dxa"/>
          <w:tblLook w:val="04A0"/>
        </w:tblPrEx>
        <w:tc>
          <w:tcPr>
            <w:tcW w:w="4454" w:type="dxa"/>
          </w:tcPr>
          <w:p w:rsidR="009C1C1C" w:rsidP="006B48CA" w14:paraId="4615826F" w14:textId="77777777">
            <w:pPr>
              <w:pStyle w:val="ParaNum"/>
              <w:numPr>
                <w:ilvl w:val="0"/>
                <w:numId w:val="0"/>
              </w:numPr>
            </w:pPr>
            <w:r>
              <w:t>State Broadcasters Associations</w:t>
            </w:r>
          </w:p>
        </w:tc>
        <w:tc>
          <w:tcPr>
            <w:tcW w:w="4402" w:type="dxa"/>
          </w:tcPr>
          <w:p w:rsidR="009C1C1C" w:rsidP="006B48CA" w14:paraId="4239B1F8" w14:textId="77777777">
            <w:pPr>
              <w:pStyle w:val="ParaNum"/>
              <w:numPr>
                <w:ilvl w:val="0"/>
                <w:numId w:val="0"/>
              </w:numPr>
            </w:pPr>
            <w:r>
              <w:t>State Broadcasters</w:t>
            </w:r>
          </w:p>
        </w:tc>
      </w:tr>
      <w:tr w14:paraId="40CDD053" w14:textId="77777777" w:rsidTr="006B48CA">
        <w:tblPrEx>
          <w:tblW w:w="0" w:type="auto"/>
          <w:tblInd w:w="720" w:type="dxa"/>
          <w:tblLook w:val="04A0"/>
        </w:tblPrEx>
        <w:tc>
          <w:tcPr>
            <w:tcW w:w="4454" w:type="dxa"/>
          </w:tcPr>
          <w:p w:rsidR="009C1C1C" w:rsidP="006B48CA" w14:paraId="0C906BFA" w14:textId="77777777">
            <w:pPr>
              <w:pStyle w:val="ParaNum"/>
              <w:numPr>
                <w:ilvl w:val="0"/>
                <w:numId w:val="0"/>
              </w:numPr>
            </w:pPr>
            <w:r>
              <w:t xml:space="preserve">Spanish Broadcasting System Holding Company, Inc. and </w:t>
            </w:r>
            <w:r>
              <w:t>Televicentro</w:t>
            </w:r>
            <w:r>
              <w:t xml:space="preserve"> of Puerto Rico. LLC</w:t>
            </w:r>
          </w:p>
        </w:tc>
        <w:tc>
          <w:tcPr>
            <w:tcW w:w="4402" w:type="dxa"/>
          </w:tcPr>
          <w:p w:rsidR="009C1C1C" w:rsidP="006B48CA" w14:paraId="1B8B0F11" w14:textId="77777777">
            <w:pPr>
              <w:pStyle w:val="ParaNum"/>
              <w:numPr>
                <w:ilvl w:val="0"/>
                <w:numId w:val="0"/>
              </w:numPr>
            </w:pPr>
            <w:r>
              <w:t>Joint Puerto Rico Commenters</w:t>
            </w:r>
          </w:p>
        </w:tc>
      </w:tr>
      <w:tr w14:paraId="7B754127" w14:textId="77777777" w:rsidTr="006B48CA">
        <w:tblPrEx>
          <w:tblW w:w="0" w:type="auto"/>
          <w:tblInd w:w="720" w:type="dxa"/>
          <w:tblLook w:val="04A0"/>
        </w:tblPrEx>
        <w:tc>
          <w:tcPr>
            <w:tcW w:w="4454" w:type="dxa"/>
          </w:tcPr>
          <w:p w:rsidR="009C1C1C" w:rsidP="006B48CA" w14:paraId="32BDCF21" w14:textId="77777777">
            <w:pPr>
              <w:pStyle w:val="ParaNum"/>
              <w:numPr>
                <w:ilvl w:val="0"/>
                <w:numId w:val="0"/>
              </w:numPr>
            </w:pPr>
            <w:r>
              <w:t xml:space="preserve">Submarine Cable Coalition, comprised of the following:  Cable &amp; Wireless Networks, </w:t>
            </w:r>
            <w:r>
              <w:t>GlobeNet</w:t>
            </w:r>
            <w:r>
              <w:t xml:space="preserve"> Cabos </w:t>
            </w:r>
            <w:r>
              <w:t>Submarinos</w:t>
            </w:r>
            <w:r>
              <w:t xml:space="preserve"> America, Inc., GU Holdings, Inc. (a wholly owned subsidiary of Google LLC), </w:t>
            </w:r>
            <w:r>
              <w:t>Hawaiki</w:t>
            </w:r>
            <w:r>
              <w:t xml:space="preserve"> Submarine Cable USA LLC, </w:t>
            </w:r>
            <w:r>
              <w:t>Servicio</w:t>
            </w:r>
            <w:r>
              <w:t xml:space="preserve"> di </w:t>
            </w:r>
            <w:r>
              <w:t>Telecomunicacion</w:t>
            </w:r>
            <w:r>
              <w:t xml:space="preserve"> di Aruba (SETAR) N.V., and Tata </w:t>
            </w:r>
            <w:r>
              <w:t>Communications (America), Inc.</w:t>
            </w:r>
          </w:p>
        </w:tc>
        <w:tc>
          <w:tcPr>
            <w:tcW w:w="4402" w:type="dxa"/>
          </w:tcPr>
          <w:p w:rsidR="009C1C1C" w:rsidP="006B48CA" w14:paraId="36BFE9B3" w14:textId="77777777">
            <w:pPr>
              <w:pStyle w:val="ParaNum"/>
              <w:numPr>
                <w:ilvl w:val="0"/>
                <w:numId w:val="0"/>
              </w:numPr>
            </w:pPr>
            <w:r>
              <w:t>Submarine Cable Coalition</w:t>
            </w:r>
          </w:p>
        </w:tc>
      </w:tr>
      <w:tr w14:paraId="69F04796" w14:textId="77777777" w:rsidTr="006B48CA">
        <w:tblPrEx>
          <w:tblW w:w="0" w:type="auto"/>
          <w:tblInd w:w="720" w:type="dxa"/>
          <w:tblLook w:val="04A0"/>
        </w:tblPrEx>
        <w:tc>
          <w:tcPr>
            <w:tcW w:w="4454" w:type="dxa"/>
          </w:tcPr>
          <w:p w:rsidR="009C1C1C" w:rsidP="006B48CA" w14:paraId="5C518029" w14:textId="77777777">
            <w:pPr>
              <w:pStyle w:val="ParaNum"/>
              <w:numPr>
                <w:ilvl w:val="0"/>
                <w:numId w:val="0"/>
              </w:numPr>
            </w:pPr>
            <w:r>
              <w:t>Telesat</w:t>
            </w:r>
            <w:r>
              <w:t xml:space="preserve"> Canada</w:t>
            </w:r>
          </w:p>
        </w:tc>
        <w:tc>
          <w:tcPr>
            <w:tcW w:w="4402" w:type="dxa"/>
          </w:tcPr>
          <w:p w:rsidR="009C1C1C" w:rsidP="006B48CA" w14:paraId="3DAE7CA3" w14:textId="77777777">
            <w:pPr>
              <w:pStyle w:val="ParaNum"/>
              <w:numPr>
                <w:ilvl w:val="0"/>
                <w:numId w:val="0"/>
              </w:numPr>
            </w:pPr>
            <w:r>
              <w:t>Telesat</w:t>
            </w:r>
          </w:p>
        </w:tc>
      </w:tr>
      <w:tr w14:paraId="4CAFDBDA" w14:textId="77777777" w:rsidTr="006B48CA">
        <w:tblPrEx>
          <w:tblW w:w="0" w:type="auto"/>
          <w:tblInd w:w="720" w:type="dxa"/>
          <w:tblLook w:val="04A0"/>
        </w:tblPrEx>
        <w:tc>
          <w:tcPr>
            <w:tcW w:w="4454" w:type="dxa"/>
          </w:tcPr>
          <w:p w:rsidR="009C1C1C" w:rsidP="006B48CA" w14:paraId="41F7458B" w14:textId="77777777">
            <w:pPr>
              <w:pStyle w:val="ParaNum"/>
              <w:numPr>
                <w:ilvl w:val="0"/>
                <w:numId w:val="0"/>
              </w:numPr>
            </w:pPr>
            <w:r>
              <w:t>WorldVu</w:t>
            </w:r>
            <w:r>
              <w:t xml:space="preserve"> Satellites Limited, Debtor-in-Possession </w:t>
            </w:r>
          </w:p>
        </w:tc>
        <w:tc>
          <w:tcPr>
            <w:tcW w:w="4402" w:type="dxa"/>
          </w:tcPr>
          <w:p w:rsidR="009C1C1C" w:rsidP="006B48CA" w14:paraId="4633CF98" w14:textId="77777777">
            <w:pPr>
              <w:pStyle w:val="ParaNum"/>
              <w:numPr>
                <w:ilvl w:val="0"/>
                <w:numId w:val="0"/>
              </w:numPr>
            </w:pPr>
            <w:r>
              <w:t>OneWeb</w:t>
            </w:r>
          </w:p>
        </w:tc>
      </w:tr>
    </w:tbl>
    <w:p w:rsidR="009C1C1C" w:rsidP="009C1C1C" w14:paraId="119207AD" w14:textId="77777777">
      <w:pPr>
        <w:pStyle w:val="ParaNum"/>
        <w:numPr>
          <w:ilvl w:val="0"/>
          <w:numId w:val="0"/>
        </w:numPr>
        <w:ind w:left="720"/>
      </w:pPr>
    </w:p>
    <w:p w:rsidR="009C1C1C" w:rsidP="009C1C1C" w14:paraId="2A3D2448" w14:textId="77777777">
      <w:pPr>
        <w:pStyle w:val="ParaNum"/>
        <w:numPr>
          <w:ilvl w:val="0"/>
          <w:numId w:val="0"/>
        </w:numPr>
        <w:ind w:left="720"/>
      </w:pPr>
    </w:p>
    <w:tbl>
      <w:tblPr>
        <w:tblStyle w:val="TableGrid"/>
        <w:tblW w:w="0" w:type="auto"/>
        <w:tblInd w:w="720" w:type="dxa"/>
        <w:tblLook w:val="04A0"/>
      </w:tblPr>
      <w:tblGrid>
        <w:gridCol w:w="4334"/>
        <w:gridCol w:w="4296"/>
      </w:tblGrid>
      <w:tr w14:paraId="569B7929" w14:textId="77777777" w:rsidTr="006B48CA">
        <w:tblPrEx>
          <w:tblW w:w="0" w:type="auto"/>
          <w:tblInd w:w="720" w:type="dxa"/>
          <w:tblLook w:val="04A0"/>
        </w:tblPrEx>
        <w:tc>
          <w:tcPr>
            <w:tcW w:w="4437" w:type="dxa"/>
          </w:tcPr>
          <w:p w:rsidR="009C1C1C" w:rsidRPr="00035315" w:rsidP="006B48CA" w14:paraId="06A5ACFC" w14:textId="77777777">
            <w:pPr>
              <w:pStyle w:val="ParaNum"/>
              <w:numPr>
                <w:ilvl w:val="0"/>
                <w:numId w:val="0"/>
              </w:numPr>
            </w:pPr>
            <w:r w:rsidRPr="00035315">
              <w:t>Commenter—Reply Comments</w:t>
            </w:r>
          </w:p>
        </w:tc>
        <w:tc>
          <w:tcPr>
            <w:tcW w:w="4419" w:type="dxa"/>
          </w:tcPr>
          <w:p w:rsidR="009C1C1C" w:rsidRPr="00035315" w:rsidP="006B48CA" w14:paraId="1CE9F652" w14:textId="77777777">
            <w:pPr>
              <w:pStyle w:val="ParaNum"/>
              <w:numPr>
                <w:ilvl w:val="0"/>
                <w:numId w:val="0"/>
              </w:numPr>
            </w:pPr>
            <w:r w:rsidRPr="00035315">
              <w:t>Abbreviated Name</w:t>
            </w:r>
          </w:p>
        </w:tc>
      </w:tr>
      <w:tr w14:paraId="738024D4" w14:textId="77777777" w:rsidTr="006B48CA">
        <w:tblPrEx>
          <w:tblW w:w="0" w:type="auto"/>
          <w:tblInd w:w="720" w:type="dxa"/>
          <w:tblLook w:val="04A0"/>
        </w:tblPrEx>
        <w:tc>
          <w:tcPr>
            <w:tcW w:w="4437" w:type="dxa"/>
          </w:tcPr>
          <w:p w:rsidR="009C1C1C" w:rsidP="006B48CA" w14:paraId="2583FDC7" w14:textId="77777777">
            <w:pPr>
              <w:pStyle w:val="ParaNum"/>
              <w:numPr>
                <w:ilvl w:val="0"/>
                <w:numId w:val="0"/>
              </w:numPr>
            </w:pPr>
            <w:r>
              <w:t xml:space="preserve">ACA Connects—America’s Communications Association and NCTA—The Internet &amp; Television Association </w:t>
            </w:r>
          </w:p>
        </w:tc>
        <w:tc>
          <w:tcPr>
            <w:tcW w:w="4419" w:type="dxa"/>
          </w:tcPr>
          <w:p w:rsidR="009C1C1C" w:rsidP="006B48CA" w14:paraId="53AB73A3" w14:textId="77777777">
            <w:pPr>
              <w:pStyle w:val="ParaNum"/>
              <w:numPr>
                <w:ilvl w:val="0"/>
                <w:numId w:val="0"/>
              </w:numPr>
            </w:pPr>
            <w:r>
              <w:t xml:space="preserve">ACA and NCTA </w:t>
            </w:r>
          </w:p>
        </w:tc>
      </w:tr>
      <w:tr w14:paraId="4AD76F41" w14:textId="77777777" w:rsidTr="006B48CA">
        <w:tblPrEx>
          <w:tblW w:w="0" w:type="auto"/>
          <w:tblInd w:w="720" w:type="dxa"/>
          <w:tblLook w:val="04A0"/>
        </w:tblPrEx>
        <w:tc>
          <w:tcPr>
            <w:tcW w:w="4437" w:type="dxa"/>
          </w:tcPr>
          <w:p w:rsidR="009C1C1C" w:rsidP="006B48CA" w14:paraId="1611D972" w14:textId="77777777">
            <w:pPr>
              <w:pStyle w:val="ParaNum"/>
              <w:numPr>
                <w:ilvl w:val="0"/>
                <w:numId w:val="0"/>
              </w:numPr>
            </w:pPr>
            <w:r>
              <w:t>Amazon Web Services, Inc.</w:t>
            </w:r>
          </w:p>
        </w:tc>
        <w:tc>
          <w:tcPr>
            <w:tcW w:w="4419" w:type="dxa"/>
          </w:tcPr>
          <w:p w:rsidR="009C1C1C" w:rsidP="006B48CA" w14:paraId="45CFAAC7" w14:textId="77777777">
            <w:pPr>
              <w:pStyle w:val="ParaNum"/>
              <w:numPr>
                <w:ilvl w:val="0"/>
                <w:numId w:val="0"/>
              </w:numPr>
            </w:pPr>
            <w:r>
              <w:t>AWS</w:t>
            </w:r>
          </w:p>
        </w:tc>
      </w:tr>
      <w:tr w14:paraId="29EBA54F" w14:textId="77777777" w:rsidTr="006B48CA">
        <w:tblPrEx>
          <w:tblW w:w="0" w:type="auto"/>
          <w:tblInd w:w="720" w:type="dxa"/>
          <w:tblLook w:val="04A0"/>
        </w:tblPrEx>
        <w:tc>
          <w:tcPr>
            <w:tcW w:w="4437" w:type="dxa"/>
          </w:tcPr>
          <w:p w:rsidR="009C1C1C" w:rsidP="006B48CA" w14:paraId="45D3FE15" w14:textId="77777777">
            <w:pPr>
              <w:pStyle w:val="ParaNum"/>
              <w:numPr>
                <w:ilvl w:val="0"/>
                <w:numId w:val="0"/>
              </w:numPr>
            </w:pPr>
            <w:r>
              <w:t>Astranis</w:t>
            </w:r>
            <w:r>
              <w:t xml:space="preserve"> Space Technologies Corp.</w:t>
            </w:r>
          </w:p>
        </w:tc>
        <w:tc>
          <w:tcPr>
            <w:tcW w:w="4419" w:type="dxa"/>
          </w:tcPr>
          <w:p w:rsidR="009C1C1C" w:rsidP="006B48CA" w14:paraId="70C753ED" w14:textId="77777777">
            <w:pPr>
              <w:pStyle w:val="ParaNum"/>
              <w:numPr>
                <w:ilvl w:val="0"/>
                <w:numId w:val="0"/>
              </w:numPr>
            </w:pPr>
            <w:r>
              <w:t>Astranis</w:t>
            </w:r>
          </w:p>
        </w:tc>
      </w:tr>
      <w:tr w14:paraId="788015C5" w14:textId="77777777" w:rsidTr="006B48CA">
        <w:tblPrEx>
          <w:tblW w:w="0" w:type="auto"/>
          <w:tblInd w:w="720" w:type="dxa"/>
          <w:tblLook w:val="04A0"/>
        </w:tblPrEx>
        <w:tc>
          <w:tcPr>
            <w:tcW w:w="4437" w:type="dxa"/>
          </w:tcPr>
          <w:p w:rsidR="009C1C1C" w:rsidP="006B48CA" w14:paraId="50318511" w14:textId="77777777">
            <w:pPr>
              <w:pStyle w:val="ParaNum"/>
              <w:numPr>
                <w:ilvl w:val="0"/>
                <w:numId w:val="0"/>
              </w:numPr>
            </w:pPr>
            <w:r>
              <w:t>CenturyLink</w:t>
            </w:r>
          </w:p>
        </w:tc>
        <w:tc>
          <w:tcPr>
            <w:tcW w:w="4419" w:type="dxa"/>
          </w:tcPr>
          <w:p w:rsidR="009C1C1C" w:rsidP="006B48CA" w14:paraId="16CAADF4" w14:textId="77777777">
            <w:pPr>
              <w:pStyle w:val="ParaNum"/>
              <w:numPr>
                <w:ilvl w:val="0"/>
                <w:numId w:val="0"/>
              </w:numPr>
            </w:pPr>
            <w:r>
              <w:t>CenturyLink</w:t>
            </w:r>
          </w:p>
        </w:tc>
      </w:tr>
      <w:tr w14:paraId="6BF08950" w14:textId="77777777" w:rsidTr="006B48CA">
        <w:tblPrEx>
          <w:tblW w:w="0" w:type="auto"/>
          <w:tblInd w:w="720" w:type="dxa"/>
          <w:tblLook w:val="04A0"/>
        </w:tblPrEx>
        <w:tc>
          <w:tcPr>
            <w:tcW w:w="4437" w:type="dxa"/>
          </w:tcPr>
          <w:p w:rsidR="009C1C1C" w:rsidP="006B48CA" w14:paraId="64D0263E" w14:textId="77777777">
            <w:pPr>
              <w:pStyle w:val="ParaNum"/>
              <w:numPr>
                <w:ilvl w:val="0"/>
                <w:numId w:val="0"/>
              </w:numPr>
            </w:pPr>
            <w:r>
              <w:t>CTIA—The Wireless Association®</w:t>
            </w:r>
          </w:p>
        </w:tc>
        <w:tc>
          <w:tcPr>
            <w:tcW w:w="4419" w:type="dxa"/>
          </w:tcPr>
          <w:p w:rsidR="009C1C1C" w:rsidP="006B48CA" w14:paraId="20580625" w14:textId="77777777">
            <w:pPr>
              <w:pStyle w:val="ParaNum"/>
              <w:numPr>
                <w:ilvl w:val="0"/>
                <w:numId w:val="0"/>
              </w:numPr>
            </w:pPr>
            <w:r>
              <w:t>CTIA</w:t>
            </w:r>
          </w:p>
        </w:tc>
      </w:tr>
      <w:tr w14:paraId="72A590E8" w14:textId="77777777" w:rsidTr="006B48CA">
        <w:tblPrEx>
          <w:tblW w:w="0" w:type="auto"/>
          <w:tblInd w:w="720" w:type="dxa"/>
          <w:tblLook w:val="04A0"/>
        </w:tblPrEx>
        <w:tc>
          <w:tcPr>
            <w:tcW w:w="4437" w:type="dxa"/>
          </w:tcPr>
          <w:p w:rsidR="009C1C1C" w:rsidP="006B48CA" w14:paraId="05D0B408" w14:textId="77777777">
            <w:pPr>
              <w:pStyle w:val="ParaNum"/>
              <w:numPr>
                <w:ilvl w:val="0"/>
                <w:numId w:val="0"/>
              </w:numPr>
            </w:pPr>
            <w:r>
              <w:t>Kineis</w:t>
            </w:r>
            <w:r>
              <w:t xml:space="preserve"> </w:t>
            </w:r>
          </w:p>
        </w:tc>
        <w:tc>
          <w:tcPr>
            <w:tcW w:w="4419" w:type="dxa"/>
          </w:tcPr>
          <w:p w:rsidR="009C1C1C" w:rsidP="006B48CA" w14:paraId="32975506" w14:textId="77777777">
            <w:pPr>
              <w:pStyle w:val="ParaNum"/>
              <w:numPr>
                <w:ilvl w:val="0"/>
                <w:numId w:val="0"/>
              </w:numPr>
            </w:pPr>
            <w:r>
              <w:t>Kineis</w:t>
            </w:r>
          </w:p>
        </w:tc>
      </w:tr>
      <w:tr w14:paraId="273FCCFA" w14:textId="77777777" w:rsidTr="006B48CA">
        <w:tblPrEx>
          <w:tblW w:w="0" w:type="auto"/>
          <w:tblInd w:w="720" w:type="dxa"/>
          <w:tblLook w:val="04A0"/>
        </w:tblPrEx>
        <w:tc>
          <w:tcPr>
            <w:tcW w:w="4437" w:type="dxa"/>
          </w:tcPr>
          <w:p w:rsidR="009C1C1C" w:rsidP="006B48CA" w14:paraId="54B50A4B" w14:textId="77777777">
            <w:pPr>
              <w:pStyle w:val="ParaNum"/>
              <w:numPr>
                <w:ilvl w:val="0"/>
                <w:numId w:val="0"/>
              </w:numPr>
            </w:pPr>
            <w:r>
              <w:t>Mentor Partners, Inc.</w:t>
            </w:r>
          </w:p>
        </w:tc>
        <w:tc>
          <w:tcPr>
            <w:tcW w:w="4419" w:type="dxa"/>
          </w:tcPr>
          <w:p w:rsidR="009C1C1C" w:rsidP="006B48CA" w14:paraId="4058BC62" w14:textId="77777777">
            <w:pPr>
              <w:pStyle w:val="ParaNum"/>
              <w:numPr>
                <w:ilvl w:val="0"/>
                <w:numId w:val="0"/>
              </w:numPr>
            </w:pPr>
            <w:r>
              <w:t>Mentor</w:t>
            </w:r>
          </w:p>
        </w:tc>
      </w:tr>
      <w:tr w14:paraId="3CA047E5" w14:textId="77777777" w:rsidTr="006B48CA">
        <w:tblPrEx>
          <w:tblW w:w="0" w:type="auto"/>
          <w:tblInd w:w="720" w:type="dxa"/>
          <w:tblLook w:val="04A0"/>
        </w:tblPrEx>
        <w:tc>
          <w:tcPr>
            <w:tcW w:w="4437" w:type="dxa"/>
          </w:tcPr>
          <w:p w:rsidR="009C1C1C" w:rsidP="006B48CA" w14:paraId="55A75056" w14:textId="77777777">
            <w:pPr>
              <w:pStyle w:val="ParaNum"/>
              <w:numPr>
                <w:ilvl w:val="0"/>
                <w:numId w:val="0"/>
              </w:numPr>
            </w:pPr>
            <w:r>
              <w:t>Myriota</w:t>
            </w:r>
            <w:r>
              <w:t xml:space="preserve"> Pty. Ltd.</w:t>
            </w:r>
          </w:p>
        </w:tc>
        <w:tc>
          <w:tcPr>
            <w:tcW w:w="4419" w:type="dxa"/>
          </w:tcPr>
          <w:p w:rsidR="009C1C1C" w:rsidP="006B48CA" w14:paraId="0EC1D1F4" w14:textId="77777777">
            <w:pPr>
              <w:pStyle w:val="ParaNum"/>
              <w:numPr>
                <w:ilvl w:val="0"/>
                <w:numId w:val="0"/>
              </w:numPr>
            </w:pPr>
            <w:r>
              <w:t>Myriota</w:t>
            </w:r>
          </w:p>
        </w:tc>
      </w:tr>
      <w:tr w14:paraId="7A06DEE6" w14:textId="77777777" w:rsidTr="006B48CA">
        <w:tblPrEx>
          <w:tblW w:w="0" w:type="auto"/>
          <w:tblInd w:w="720" w:type="dxa"/>
          <w:tblLook w:val="04A0"/>
        </w:tblPrEx>
        <w:tc>
          <w:tcPr>
            <w:tcW w:w="4437" w:type="dxa"/>
          </w:tcPr>
          <w:p w:rsidR="009C1C1C" w:rsidP="006B48CA" w14:paraId="6BF2F641" w14:textId="77777777">
            <w:pPr>
              <w:pStyle w:val="ParaNum"/>
              <w:numPr>
                <w:ilvl w:val="0"/>
                <w:numId w:val="0"/>
              </w:numPr>
            </w:pPr>
            <w:r>
              <w:t>National Association of Broadcasters</w:t>
            </w:r>
          </w:p>
        </w:tc>
        <w:tc>
          <w:tcPr>
            <w:tcW w:w="4419" w:type="dxa"/>
          </w:tcPr>
          <w:p w:rsidR="009C1C1C" w:rsidP="006B48CA" w14:paraId="62DE0230" w14:textId="77777777">
            <w:pPr>
              <w:pStyle w:val="ParaNum"/>
              <w:numPr>
                <w:ilvl w:val="0"/>
                <w:numId w:val="0"/>
              </w:numPr>
            </w:pPr>
            <w:r>
              <w:t>NAB</w:t>
            </w:r>
          </w:p>
        </w:tc>
      </w:tr>
      <w:tr w14:paraId="57E6B368" w14:textId="77777777" w:rsidTr="006B48CA">
        <w:tblPrEx>
          <w:tblW w:w="0" w:type="auto"/>
          <w:tblInd w:w="720" w:type="dxa"/>
          <w:tblLook w:val="04A0"/>
        </w:tblPrEx>
        <w:tc>
          <w:tcPr>
            <w:tcW w:w="4437" w:type="dxa"/>
          </w:tcPr>
          <w:p w:rsidR="009C1C1C" w:rsidP="006B48CA" w14:paraId="74A21A3C" w14:textId="77777777">
            <w:pPr>
              <w:pStyle w:val="ParaNum"/>
              <w:numPr>
                <w:ilvl w:val="0"/>
                <w:numId w:val="0"/>
              </w:numPr>
            </w:pPr>
            <w:r>
              <w:t>Space Exploration Technologies Corp.</w:t>
            </w:r>
          </w:p>
        </w:tc>
        <w:tc>
          <w:tcPr>
            <w:tcW w:w="4419" w:type="dxa"/>
          </w:tcPr>
          <w:p w:rsidR="009C1C1C" w:rsidP="006B48CA" w14:paraId="09D5533B" w14:textId="77777777">
            <w:pPr>
              <w:pStyle w:val="ParaNum"/>
              <w:numPr>
                <w:ilvl w:val="0"/>
                <w:numId w:val="0"/>
              </w:numPr>
            </w:pPr>
            <w:r>
              <w:t>SpaceX</w:t>
            </w:r>
          </w:p>
        </w:tc>
      </w:tr>
      <w:tr w14:paraId="19AE0135" w14:textId="77777777" w:rsidTr="006B48CA">
        <w:tblPrEx>
          <w:tblW w:w="0" w:type="auto"/>
          <w:tblInd w:w="720" w:type="dxa"/>
          <w:tblLook w:val="04A0"/>
        </w:tblPrEx>
        <w:tc>
          <w:tcPr>
            <w:tcW w:w="4437" w:type="dxa"/>
          </w:tcPr>
          <w:p w:rsidR="009C1C1C" w:rsidP="006B48CA" w14:paraId="487D86BB" w14:textId="77777777">
            <w:pPr>
              <w:pStyle w:val="ParaNum"/>
              <w:numPr>
                <w:ilvl w:val="0"/>
                <w:numId w:val="0"/>
              </w:numPr>
            </w:pPr>
            <w:r>
              <w:t xml:space="preserve">Submarine Cable Coalition, comprised of the following:  Cable &amp; Wireless Networks, </w:t>
            </w:r>
            <w:r>
              <w:t>GlobeNet</w:t>
            </w:r>
            <w:r>
              <w:t xml:space="preserve"> Cabos </w:t>
            </w:r>
            <w:r>
              <w:t>Submarinos</w:t>
            </w:r>
            <w:r>
              <w:t xml:space="preserve"> America, Inc., GU Holdings, Inc. (a wholly owned subsidiary of Google LLC), </w:t>
            </w:r>
            <w:r>
              <w:t>Hawaiki</w:t>
            </w:r>
            <w:r>
              <w:t xml:space="preserve"> Submarine Cable USA LLC, </w:t>
            </w:r>
            <w:r>
              <w:t>Servicio</w:t>
            </w:r>
            <w:r>
              <w:t xml:space="preserve"> di </w:t>
            </w:r>
            <w:r>
              <w:t>Telecomunicacion</w:t>
            </w:r>
            <w:r>
              <w:t xml:space="preserve"> di Aruba (SETAR) N.V., and Tata Communications (America), Inc.</w:t>
            </w:r>
          </w:p>
        </w:tc>
        <w:tc>
          <w:tcPr>
            <w:tcW w:w="4419" w:type="dxa"/>
          </w:tcPr>
          <w:p w:rsidR="009C1C1C" w:rsidP="006B48CA" w14:paraId="12A687A2" w14:textId="77777777">
            <w:pPr>
              <w:pStyle w:val="ParaNum"/>
              <w:numPr>
                <w:ilvl w:val="0"/>
                <w:numId w:val="0"/>
              </w:numPr>
            </w:pPr>
            <w:r>
              <w:t>Submarine Cable Coalition</w:t>
            </w:r>
          </w:p>
        </w:tc>
      </w:tr>
      <w:tr w14:paraId="6993BB16" w14:textId="77777777" w:rsidTr="006B48CA">
        <w:tblPrEx>
          <w:tblW w:w="0" w:type="auto"/>
          <w:tblInd w:w="720" w:type="dxa"/>
          <w:tblLook w:val="04A0"/>
        </w:tblPrEx>
        <w:tc>
          <w:tcPr>
            <w:tcW w:w="4437" w:type="dxa"/>
          </w:tcPr>
          <w:p w:rsidR="009C1C1C" w:rsidP="006B48CA" w14:paraId="4371204D" w14:textId="77777777">
            <w:pPr>
              <w:pStyle w:val="ParaNum"/>
              <w:numPr>
                <w:ilvl w:val="0"/>
                <w:numId w:val="0"/>
              </w:numPr>
            </w:pPr>
            <w:r>
              <w:t>Telesat</w:t>
            </w:r>
            <w:r>
              <w:t xml:space="preserve"> Canada</w:t>
            </w:r>
          </w:p>
        </w:tc>
        <w:tc>
          <w:tcPr>
            <w:tcW w:w="4419" w:type="dxa"/>
          </w:tcPr>
          <w:p w:rsidR="009C1C1C" w:rsidP="006B48CA" w14:paraId="65F0FFD7" w14:textId="77777777">
            <w:pPr>
              <w:pStyle w:val="ParaNum"/>
              <w:numPr>
                <w:ilvl w:val="0"/>
                <w:numId w:val="0"/>
              </w:numPr>
            </w:pPr>
            <w:r>
              <w:t>Telesat</w:t>
            </w:r>
          </w:p>
        </w:tc>
      </w:tr>
    </w:tbl>
    <w:p w:rsidR="009C1C1C" w:rsidP="009C1C1C" w14:paraId="637D2EFB" w14:textId="77777777">
      <w:pPr>
        <w:pStyle w:val="ParaNum"/>
        <w:numPr>
          <w:ilvl w:val="0"/>
          <w:numId w:val="0"/>
        </w:numPr>
        <w:ind w:left="720"/>
      </w:pPr>
    </w:p>
    <w:p w:rsidR="009C1C1C" w:rsidP="009C1C1C" w14:paraId="548033EA" w14:textId="77777777">
      <w:pPr>
        <w:widowControl/>
      </w:pPr>
      <w:r>
        <w:br w:type="page"/>
      </w:r>
    </w:p>
    <w:p w:rsidR="009C1C1C" w:rsidRPr="005F6BC2" w:rsidP="009C1C1C" w14:paraId="555484F4" w14:textId="77777777">
      <w:pPr>
        <w:tabs>
          <w:tab w:val="left" w:pos="3629"/>
        </w:tabs>
        <w:jc w:val="center"/>
        <w:rPr>
          <w:b/>
          <w:szCs w:val="22"/>
        </w:rPr>
      </w:pPr>
      <w:r w:rsidRPr="005F6BC2">
        <w:rPr>
          <w:b/>
          <w:szCs w:val="22"/>
        </w:rPr>
        <w:t>APPENDIX B</w:t>
      </w:r>
    </w:p>
    <w:p w:rsidR="009C1C1C" w:rsidRPr="005F6BC2" w:rsidP="009C1C1C" w14:paraId="267D6287" w14:textId="77777777">
      <w:pPr>
        <w:tabs>
          <w:tab w:val="left" w:pos="3629"/>
        </w:tabs>
        <w:rPr>
          <w:b/>
          <w:szCs w:val="22"/>
        </w:rPr>
      </w:pPr>
    </w:p>
    <w:p w:rsidR="009C1C1C" w:rsidRPr="005F6BC2" w:rsidP="009C1C1C" w14:paraId="33399F5F" w14:textId="77777777">
      <w:pPr>
        <w:tabs>
          <w:tab w:val="left" w:pos="3629"/>
        </w:tabs>
        <w:jc w:val="center"/>
        <w:rPr>
          <w:b/>
          <w:szCs w:val="22"/>
        </w:rPr>
      </w:pPr>
      <w:r w:rsidRPr="005F6BC2">
        <w:rPr>
          <w:b/>
          <w:szCs w:val="22"/>
        </w:rPr>
        <w:t>Calculation of FY 20</w:t>
      </w:r>
      <w:r>
        <w:rPr>
          <w:b/>
          <w:szCs w:val="22"/>
        </w:rPr>
        <w:t>20</w:t>
      </w:r>
      <w:r w:rsidRPr="005F6BC2">
        <w:rPr>
          <w:b/>
          <w:szCs w:val="22"/>
        </w:rPr>
        <w:t xml:space="preserve"> Revenue Requirements and Pro-Rata Fees </w:t>
      </w:r>
    </w:p>
    <w:p w:rsidR="009C1C1C" w:rsidRPr="005F6BC2" w:rsidP="009C1C1C" w14:paraId="44A3E08B" w14:textId="77777777">
      <w:pPr>
        <w:tabs>
          <w:tab w:val="left" w:pos="3629"/>
        </w:tabs>
        <w:jc w:val="center"/>
        <w:rPr>
          <w:b/>
          <w:szCs w:val="22"/>
        </w:rPr>
      </w:pPr>
    </w:p>
    <w:p w:rsidR="009C1C1C" w:rsidRPr="005F6BC2" w:rsidP="009C1C1C" w14:paraId="5DEA16F3" w14:textId="77777777">
      <w:pPr>
        <w:tabs>
          <w:tab w:val="center" w:pos="5040"/>
        </w:tabs>
        <w:suppressAutoHyphens/>
        <w:outlineLvl w:val="0"/>
        <w:rPr>
          <w:b/>
          <w:szCs w:val="22"/>
        </w:rPr>
      </w:pPr>
      <w:r w:rsidRPr="005F6BC2">
        <w:rPr>
          <w:szCs w:val="22"/>
        </w:rPr>
        <w:t xml:space="preserve">Regulatory fees for the categories shaded in gray are collected by the Commission in advance to cover the term of the license and are submitted at the time the application is filed.  </w:t>
      </w:r>
    </w:p>
    <w:tbl>
      <w:tblPr>
        <w:tblW w:w="10350" w:type="dxa"/>
        <w:tblInd w:w="-563" w:type="dxa"/>
        <w:tblLayout w:type="fixed"/>
        <w:tblCellMar>
          <w:left w:w="30" w:type="dxa"/>
          <w:right w:w="30" w:type="dxa"/>
        </w:tblCellMar>
        <w:tblLook w:val="0000"/>
      </w:tblPr>
      <w:tblGrid>
        <w:gridCol w:w="2520"/>
        <w:gridCol w:w="1620"/>
        <w:gridCol w:w="450"/>
        <w:gridCol w:w="1260"/>
        <w:gridCol w:w="1170"/>
        <w:gridCol w:w="1170"/>
        <w:gridCol w:w="990"/>
        <w:gridCol w:w="1170"/>
      </w:tblGrid>
      <w:tr w14:paraId="3FA63414" w14:textId="77777777" w:rsidTr="006B48CA">
        <w:tblPrEx>
          <w:tblW w:w="10350" w:type="dxa"/>
          <w:tblInd w:w="-563" w:type="dxa"/>
          <w:tblLayout w:type="fixed"/>
          <w:tblCellMar>
            <w:left w:w="30" w:type="dxa"/>
            <w:right w:w="30" w:type="dxa"/>
          </w:tblCellMar>
          <w:tblLook w:val="0000"/>
        </w:tblPrEx>
        <w:trPr>
          <w:tblHeader/>
        </w:trPr>
        <w:tc>
          <w:tcPr>
            <w:tcW w:w="2520" w:type="dxa"/>
            <w:tcBorders>
              <w:top w:val="double" w:sz="6" w:space="0" w:color="auto"/>
              <w:left w:val="double" w:sz="6" w:space="0" w:color="auto"/>
              <w:bottom w:val="single" w:sz="18" w:space="0" w:color="auto"/>
            </w:tcBorders>
          </w:tcPr>
          <w:p w:rsidR="009C1C1C" w:rsidRPr="005F6BC2" w:rsidP="006B48CA" w14:paraId="787F5C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5F6BC2">
              <w:rPr>
                <w:b/>
                <w:szCs w:val="22"/>
              </w:rPr>
              <w:instrText xml:space="preserve">PRIVATE </w:instrText>
            </w:r>
            <w:r>
              <w:rPr>
                <w:b/>
                <w:szCs w:val="22"/>
              </w:rPr>
              <w:fldChar w:fldCharType="end"/>
            </w:r>
            <w:r w:rsidRPr="005F6BC2">
              <w:rPr>
                <w:b/>
                <w:szCs w:val="22"/>
              </w:rPr>
              <w:t>Fee Category</w:t>
            </w:r>
          </w:p>
        </w:tc>
        <w:tc>
          <w:tcPr>
            <w:tcW w:w="1620" w:type="dxa"/>
            <w:tcBorders>
              <w:top w:val="double" w:sz="6" w:space="0" w:color="auto"/>
              <w:left w:val="single" w:sz="6" w:space="0" w:color="auto"/>
              <w:bottom w:val="single" w:sz="18" w:space="0" w:color="auto"/>
            </w:tcBorders>
          </w:tcPr>
          <w:p w:rsidR="009C1C1C" w:rsidRPr="005F6BC2" w:rsidP="006B48CA" w14:paraId="48FADD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FY 20</w:t>
            </w:r>
            <w:r>
              <w:rPr>
                <w:b/>
                <w:szCs w:val="22"/>
              </w:rPr>
              <w:t>20</w:t>
            </w:r>
            <w:r w:rsidRPr="005F6BC2">
              <w:rPr>
                <w:b/>
                <w:szCs w:val="22"/>
              </w:rPr>
              <w:t xml:space="preserve"> Payment Units</w:t>
            </w:r>
          </w:p>
        </w:tc>
        <w:tc>
          <w:tcPr>
            <w:tcW w:w="450" w:type="dxa"/>
            <w:tcBorders>
              <w:top w:val="double" w:sz="6" w:space="0" w:color="auto"/>
              <w:left w:val="single" w:sz="6" w:space="0" w:color="auto"/>
              <w:bottom w:val="single" w:sz="18" w:space="0" w:color="auto"/>
            </w:tcBorders>
          </w:tcPr>
          <w:p w:rsidR="009C1C1C" w:rsidRPr="005F6BC2" w:rsidP="006B48CA" w14:paraId="5B1CBA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9C1C1C" w:rsidRPr="005F6BC2" w:rsidP="006B48CA" w14:paraId="782F5C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Yrs</w:t>
            </w:r>
          </w:p>
        </w:tc>
        <w:tc>
          <w:tcPr>
            <w:tcW w:w="1260" w:type="dxa"/>
            <w:tcBorders>
              <w:top w:val="double" w:sz="6" w:space="0" w:color="auto"/>
              <w:left w:val="single" w:sz="6" w:space="0" w:color="auto"/>
              <w:bottom w:val="single" w:sz="18" w:space="0" w:color="auto"/>
            </w:tcBorders>
          </w:tcPr>
          <w:p w:rsidR="009C1C1C" w:rsidRPr="005F6BC2" w:rsidP="006B48CA" w14:paraId="4BF670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FY 201</w:t>
            </w:r>
            <w:r>
              <w:rPr>
                <w:b/>
                <w:szCs w:val="22"/>
              </w:rPr>
              <w:t>9</w:t>
            </w:r>
            <w:r w:rsidRPr="005F6BC2">
              <w:rPr>
                <w:b/>
                <w:szCs w:val="22"/>
              </w:rPr>
              <w:t xml:space="preserve"> Revenue Estimate</w:t>
            </w:r>
          </w:p>
        </w:tc>
        <w:tc>
          <w:tcPr>
            <w:tcW w:w="1170" w:type="dxa"/>
            <w:tcBorders>
              <w:top w:val="double" w:sz="6" w:space="0" w:color="auto"/>
              <w:left w:val="single" w:sz="6" w:space="0" w:color="auto"/>
              <w:bottom w:val="single" w:sz="18" w:space="0" w:color="auto"/>
            </w:tcBorders>
          </w:tcPr>
          <w:p w:rsidR="009C1C1C" w:rsidRPr="005F6BC2" w:rsidP="006B48CA" w14:paraId="4854A0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Pro-Rated FY 20</w:t>
            </w:r>
            <w:r>
              <w:rPr>
                <w:b/>
                <w:szCs w:val="22"/>
              </w:rPr>
              <w:t>20</w:t>
            </w:r>
            <w:r w:rsidRPr="005F6BC2">
              <w:rPr>
                <w:b/>
                <w:szCs w:val="22"/>
              </w:rPr>
              <w:t xml:space="preserve"> Revenue Require-</w:t>
            </w:r>
            <w:r w:rsidRPr="005F6BC2">
              <w:rPr>
                <w:b/>
                <w:szCs w:val="22"/>
              </w:rPr>
              <w:t>ment</w:t>
            </w:r>
          </w:p>
        </w:tc>
        <w:tc>
          <w:tcPr>
            <w:tcW w:w="1170" w:type="dxa"/>
            <w:tcBorders>
              <w:top w:val="double" w:sz="6" w:space="0" w:color="auto"/>
              <w:left w:val="single" w:sz="6" w:space="0" w:color="auto"/>
              <w:bottom w:val="single" w:sz="18" w:space="0" w:color="auto"/>
              <w:right w:val="single" w:sz="6" w:space="0" w:color="auto"/>
            </w:tcBorders>
          </w:tcPr>
          <w:p w:rsidR="009C1C1C" w:rsidRPr="005F6BC2" w:rsidP="006B48CA" w14:paraId="719D72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b/>
                <w:szCs w:val="22"/>
              </w:rPr>
              <w:t>Computed FY 20</w:t>
            </w:r>
            <w:r>
              <w:rPr>
                <w:b/>
                <w:szCs w:val="22"/>
              </w:rPr>
              <w:t>20</w:t>
            </w:r>
            <w:r w:rsidRPr="005F6BC2">
              <w:rPr>
                <w:b/>
                <w:szCs w:val="22"/>
              </w:rPr>
              <w:t xml:space="preserve"> Regulatory Fee</w:t>
            </w:r>
          </w:p>
        </w:tc>
        <w:tc>
          <w:tcPr>
            <w:tcW w:w="990" w:type="dxa"/>
            <w:tcBorders>
              <w:top w:val="double" w:sz="6" w:space="0" w:color="auto"/>
              <w:left w:val="single" w:sz="6" w:space="0" w:color="auto"/>
              <w:bottom w:val="single" w:sz="18" w:space="0" w:color="auto"/>
            </w:tcBorders>
          </w:tcPr>
          <w:p w:rsidR="009C1C1C" w:rsidRPr="005F6BC2" w:rsidP="006B48CA" w14:paraId="403DFD2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 xml:space="preserve"> Rounded </w:t>
            </w:r>
          </w:p>
          <w:p w:rsidR="009C1C1C" w:rsidRPr="005F6BC2" w:rsidP="006B48CA" w14:paraId="25258F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FY 20</w:t>
            </w:r>
            <w:r>
              <w:rPr>
                <w:b/>
                <w:szCs w:val="22"/>
              </w:rPr>
              <w:t>20</w:t>
            </w:r>
            <w:r w:rsidRPr="005F6BC2">
              <w:rPr>
                <w:b/>
                <w:szCs w:val="22"/>
              </w:rPr>
              <w:t xml:space="preserve"> </w:t>
            </w:r>
          </w:p>
          <w:p w:rsidR="009C1C1C" w:rsidRPr="005F6BC2" w:rsidP="006B48CA" w14:paraId="2D0381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9C1C1C" w:rsidRPr="005F6BC2" w:rsidP="006B48CA" w14:paraId="7A7ADC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Expected</w:t>
            </w:r>
          </w:p>
          <w:p w:rsidR="009C1C1C" w:rsidRPr="005F6BC2" w:rsidP="006B48CA" w14:paraId="565933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FY 20</w:t>
            </w:r>
            <w:r>
              <w:rPr>
                <w:b/>
                <w:szCs w:val="22"/>
              </w:rPr>
              <w:t>20</w:t>
            </w:r>
          </w:p>
          <w:p w:rsidR="009C1C1C" w:rsidRPr="005F6BC2" w:rsidP="006B48CA" w14:paraId="3725C9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b/>
                <w:szCs w:val="22"/>
              </w:rPr>
              <w:t>Revenue</w:t>
            </w:r>
          </w:p>
        </w:tc>
      </w:tr>
      <w:tr w14:paraId="7455F711" w14:textId="77777777" w:rsidTr="006B48CA">
        <w:tblPrEx>
          <w:tblW w:w="10350" w:type="dxa"/>
          <w:tblInd w:w="-563" w:type="dxa"/>
          <w:tblLayout w:type="fixed"/>
          <w:tblCellMar>
            <w:left w:w="30" w:type="dxa"/>
            <w:right w:w="30" w:type="dxa"/>
          </w:tblCellMar>
          <w:tblLook w:val="0000"/>
        </w:tblPrEx>
        <w:tc>
          <w:tcPr>
            <w:tcW w:w="2520" w:type="dxa"/>
            <w:tcBorders>
              <w:top w:val="single" w:sz="18" w:space="0" w:color="auto"/>
              <w:left w:val="double" w:sz="4" w:space="0" w:color="auto"/>
              <w:bottom w:val="single" w:sz="8" w:space="0" w:color="auto"/>
              <w:right w:val="single" w:sz="8" w:space="0" w:color="auto"/>
            </w:tcBorders>
            <w:shd w:val="clear" w:color="auto" w:fill="C0C0C0"/>
          </w:tcPr>
          <w:p w:rsidR="009C1C1C" w:rsidRPr="005F6BC2" w:rsidP="006B48CA" w14:paraId="6628B3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9C1C1C" w:rsidRPr="005F6BC2" w:rsidP="006B48CA" w14:paraId="428CD6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w:t>
            </w:r>
            <w:r w:rsidRPr="005F6BC2">
              <w:rPr>
                <w:szCs w:val="22"/>
              </w:rPr>
              <w:t>50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9C1C1C" w:rsidRPr="005F6BC2" w:rsidP="006B48CA" w14:paraId="30047F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9C1C1C" w:rsidRPr="005F6BC2" w:rsidP="006B48CA" w14:paraId="3798CC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w:t>
            </w:r>
            <w:r w:rsidRPr="005F6BC2">
              <w:rPr>
                <w:szCs w:val="22"/>
              </w:rPr>
              <w:t>,</w:t>
            </w:r>
            <w:r>
              <w:rPr>
                <w:szCs w:val="22"/>
              </w:rPr>
              <w:t>5</w:t>
            </w:r>
            <w:r w:rsidRPr="005F6BC2">
              <w:rPr>
                <w:szCs w:val="22"/>
              </w:rPr>
              <w:t>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9C1C1C" w:rsidRPr="005F6BC2" w:rsidP="006B48CA" w14:paraId="7BE5EB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87</w:t>
            </w:r>
            <w:r w:rsidRPr="005F6BC2">
              <w:rPr>
                <w:szCs w:val="22"/>
              </w:rPr>
              <w:t>,500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9C1C1C" w:rsidRPr="005F6BC2" w:rsidP="006B48CA" w14:paraId="3E90F8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9C1C1C" w:rsidRPr="005F6BC2" w:rsidP="006B48CA" w14:paraId="5A96DD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9C1C1C" w:rsidRPr="005F6BC2" w:rsidP="006B48CA" w14:paraId="68AA9D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87</w:t>
            </w:r>
            <w:r w:rsidRPr="005F6BC2">
              <w:rPr>
                <w:szCs w:val="22"/>
              </w:rPr>
              <w:t>,500</w:t>
            </w:r>
          </w:p>
        </w:tc>
      </w:tr>
      <w:tr w14:paraId="0C0C6818" w14:textId="77777777" w:rsidTr="006B48CA">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9C1C1C" w:rsidRPr="005F6BC2" w:rsidP="006B48CA" w14:paraId="20F440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556911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1</w:t>
            </w:r>
            <w:r w:rsidRPr="005F6BC2">
              <w:rPr>
                <w:szCs w:val="22"/>
              </w:rPr>
              <w:t>,</w:t>
            </w:r>
            <w:r>
              <w:rPr>
                <w:szCs w:val="22"/>
              </w:rPr>
              <w:t>7</w:t>
            </w:r>
            <w:r w:rsidRPr="005F6BC2">
              <w:rPr>
                <w:szCs w:val="22"/>
              </w:rPr>
              <w:t>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3AC438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14BA26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1,240,000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44716A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170</w:t>
            </w:r>
            <w:r w:rsidRPr="005F6BC2">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4E1A88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6B0483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9C1C1C" w:rsidRPr="005F6BC2" w:rsidP="006B48CA" w14:paraId="272D33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170</w:t>
            </w:r>
            <w:r w:rsidRPr="005F6BC2">
              <w:rPr>
                <w:szCs w:val="22"/>
              </w:rPr>
              <w:t>,000</w:t>
            </w:r>
          </w:p>
        </w:tc>
      </w:tr>
      <w:tr w14:paraId="0477E625" w14:textId="77777777" w:rsidTr="006B48CA">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9C1C1C" w:rsidRPr="005F6BC2" w:rsidP="006B48CA" w14:paraId="530229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1500CE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2</w:t>
            </w:r>
            <w:r w:rsidRPr="005F6BC2">
              <w:rPr>
                <w:szCs w:val="22"/>
              </w:rPr>
              <w:t>,</w:t>
            </w:r>
            <w:r>
              <w:rPr>
                <w:szCs w:val="22"/>
              </w:rPr>
              <w:t>6</w:t>
            </w:r>
            <w:r w:rsidRPr="005F6BC2">
              <w:rPr>
                <w:szCs w:val="22"/>
              </w:rPr>
              <w:t>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5B1134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3E29FA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6B76AD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5F6BC2">
              <w:rPr>
                <w:szCs w:val="22"/>
              </w:rPr>
              <w:t>,</w:t>
            </w:r>
            <w:r>
              <w:rPr>
                <w:szCs w:val="22"/>
              </w:rPr>
              <w:t>150</w:t>
            </w:r>
            <w:r w:rsidRPr="005F6BC2">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42F1DB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53838D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9C1C1C" w:rsidRPr="005F6BC2" w:rsidP="006B48CA" w14:paraId="78CDA6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5F6BC2">
              <w:rPr>
                <w:szCs w:val="22"/>
              </w:rPr>
              <w:t>,</w:t>
            </w:r>
            <w:r>
              <w:rPr>
                <w:szCs w:val="22"/>
              </w:rPr>
              <w:t>150</w:t>
            </w:r>
            <w:r w:rsidRPr="005F6BC2">
              <w:rPr>
                <w:szCs w:val="22"/>
              </w:rPr>
              <w:t>,000</w:t>
            </w:r>
          </w:p>
        </w:tc>
      </w:tr>
      <w:tr w14:paraId="092C6312" w14:textId="77777777" w:rsidTr="006B48CA">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9C1C1C" w:rsidRPr="005F6BC2" w:rsidP="006B48CA" w14:paraId="06C4D4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4826D75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7,100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151FC8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7F6709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1,065,000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2EEB54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1,065,000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151BF2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6C3B6B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9C1C1C" w:rsidRPr="005F6BC2" w:rsidP="006B48CA" w14:paraId="3E9585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1,065,000</w:t>
            </w:r>
          </w:p>
        </w:tc>
      </w:tr>
      <w:tr w14:paraId="755A7100" w14:textId="77777777" w:rsidTr="006B48CA">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9C1C1C" w:rsidRPr="005F6BC2" w:rsidP="006B48CA" w14:paraId="06E14D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0C55EF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5F6BC2">
              <w:rPr>
                <w:szCs w:val="22"/>
              </w:rPr>
              <w:t xml:space="preserve">,500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57D86E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250C717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696AA9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5F6BC2">
              <w:rPr>
                <w:szCs w:val="22"/>
              </w:rPr>
              <w:t>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3BF056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0E387C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9C1C1C" w:rsidRPr="005F6BC2" w:rsidP="006B48CA" w14:paraId="28162A1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5F6BC2">
              <w:rPr>
                <w:szCs w:val="22"/>
              </w:rPr>
              <w:t>50,000</w:t>
            </w:r>
          </w:p>
        </w:tc>
      </w:tr>
      <w:tr w14:paraId="55EEE314" w14:textId="77777777" w:rsidTr="006B48CA">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9C1C1C" w:rsidRPr="005F6BC2" w:rsidP="006B48CA" w14:paraId="29ADFE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13042F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w:t>
            </w:r>
            <w:r w:rsidRPr="005F6BC2">
              <w:rPr>
                <w:szCs w:val="22"/>
              </w:rPr>
              <w:t xml:space="preserve">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229548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54007F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24,000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3222BF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w:t>
            </w:r>
            <w:r w:rsidRPr="005F6BC2">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7A1176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0AEA36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9C1C1C" w:rsidRPr="005F6BC2" w:rsidP="006B48CA" w14:paraId="563F50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w:t>
            </w:r>
            <w:r w:rsidRPr="005F6BC2">
              <w:rPr>
                <w:szCs w:val="22"/>
              </w:rPr>
              <w:t>000</w:t>
            </w:r>
          </w:p>
        </w:tc>
      </w:tr>
      <w:tr w14:paraId="19515C37" w14:textId="77777777" w:rsidTr="006B48CA">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9C1C1C" w:rsidRPr="005F6BC2" w:rsidP="006B48CA" w14:paraId="488A66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009406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1,100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49C74C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7DBD81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6A18AE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4FF0AC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9C1C1C" w:rsidRPr="005F6BC2" w:rsidP="006B48CA" w14:paraId="5F0782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9C1C1C" w:rsidRPr="005F6BC2" w:rsidP="006B48CA" w14:paraId="3E27D6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220,000</w:t>
            </w:r>
          </w:p>
        </w:tc>
      </w:tr>
      <w:tr w14:paraId="1B1114A0" w14:textId="77777777" w:rsidTr="006B48CA">
        <w:tblPrEx>
          <w:tblW w:w="10350" w:type="dxa"/>
          <w:tblInd w:w="-563" w:type="dxa"/>
          <w:tblLayout w:type="fixed"/>
          <w:tblCellMar>
            <w:left w:w="30" w:type="dxa"/>
            <w:right w:w="30" w:type="dxa"/>
          </w:tblCellMar>
          <w:tblLook w:val="0000"/>
        </w:tblPrEx>
        <w:tc>
          <w:tcPr>
            <w:tcW w:w="2520" w:type="dxa"/>
            <w:tcBorders>
              <w:top w:val="single" w:sz="8" w:space="0" w:color="auto"/>
              <w:left w:val="double" w:sz="6" w:space="0" w:color="auto"/>
            </w:tcBorders>
          </w:tcPr>
          <w:p w:rsidR="009C1C1C" w:rsidRPr="005F6BC2" w:rsidP="006B48CA" w14:paraId="614B5C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A</w:t>
            </w:r>
            <w:r w:rsidRPr="005F6BC2">
              <w:rPr>
                <w:szCs w:val="22"/>
                <w:vertAlign w:val="superscript"/>
              </w:rPr>
              <w:t>1</w:t>
            </w:r>
          </w:p>
        </w:tc>
        <w:tc>
          <w:tcPr>
            <w:tcW w:w="1620" w:type="dxa"/>
            <w:tcBorders>
              <w:top w:val="single" w:sz="8" w:space="0" w:color="auto"/>
              <w:left w:val="single" w:sz="6" w:space="0" w:color="auto"/>
            </w:tcBorders>
          </w:tcPr>
          <w:p w:rsidR="009C1C1C" w:rsidRPr="005F6BC2" w:rsidP="006B48CA" w14:paraId="233624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3</w:t>
            </w:r>
          </w:p>
        </w:tc>
        <w:tc>
          <w:tcPr>
            <w:tcW w:w="450" w:type="dxa"/>
            <w:tcBorders>
              <w:top w:val="single" w:sz="8" w:space="0" w:color="auto"/>
              <w:left w:val="single" w:sz="6" w:space="0" w:color="auto"/>
            </w:tcBorders>
          </w:tcPr>
          <w:p w:rsidR="009C1C1C" w:rsidRPr="005F6BC2" w:rsidP="006B48CA" w14:paraId="6F17FF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8" w:space="0" w:color="auto"/>
              <w:left w:val="single" w:sz="6" w:space="0" w:color="auto"/>
            </w:tcBorders>
          </w:tcPr>
          <w:p w:rsidR="009C1C1C" w:rsidRPr="005F6BC2" w:rsidP="006B48CA" w14:paraId="06B5F5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285,200</w:t>
            </w:r>
          </w:p>
        </w:tc>
        <w:tc>
          <w:tcPr>
            <w:tcW w:w="1170" w:type="dxa"/>
            <w:tcBorders>
              <w:top w:val="single" w:sz="8" w:space="0" w:color="auto"/>
              <w:left w:val="single" w:sz="6" w:space="0" w:color="auto"/>
            </w:tcBorders>
          </w:tcPr>
          <w:p w:rsidR="009C1C1C" w:rsidRPr="005F6BC2" w:rsidP="006B48CA" w14:paraId="0D8EF3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296,501</w:t>
            </w:r>
          </w:p>
        </w:tc>
        <w:tc>
          <w:tcPr>
            <w:tcW w:w="1170" w:type="dxa"/>
            <w:tcBorders>
              <w:top w:val="single" w:sz="8" w:space="0" w:color="auto"/>
              <w:left w:val="single" w:sz="6" w:space="0" w:color="auto"/>
              <w:right w:val="single" w:sz="6" w:space="0" w:color="auto"/>
            </w:tcBorders>
          </w:tcPr>
          <w:p w:rsidR="009C1C1C" w:rsidRPr="005F6BC2" w:rsidP="006B48CA" w14:paraId="40174F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w:t>
            </w:r>
            <w:r>
              <w:rPr>
                <w:szCs w:val="22"/>
              </w:rPr>
              <w:t>706</w:t>
            </w:r>
          </w:p>
        </w:tc>
        <w:tc>
          <w:tcPr>
            <w:tcW w:w="990" w:type="dxa"/>
            <w:tcBorders>
              <w:top w:val="single" w:sz="8" w:space="0" w:color="auto"/>
              <w:left w:val="single" w:sz="6" w:space="0" w:color="auto"/>
            </w:tcBorders>
          </w:tcPr>
          <w:p w:rsidR="009C1C1C" w:rsidRPr="005F6BC2" w:rsidP="006B48CA" w14:paraId="594137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w:t>
            </w:r>
            <w:r>
              <w:rPr>
                <w:szCs w:val="22"/>
              </w:rPr>
              <w:t>700</w:t>
            </w:r>
          </w:p>
        </w:tc>
        <w:tc>
          <w:tcPr>
            <w:tcW w:w="1170" w:type="dxa"/>
            <w:tcBorders>
              <w:top w:val="single" w:sz="8" w:space="0" w:color="auto"/>
              <w:left w:val="single" w:sz="6" w:space="0" w:color="auto"/>
              <w:right w:val="double" w:sz="6" w:space="0" w:color="auto"/>
            </w:tcBorders>
          </w:tcPr>
          <w:p w:rsidR="009C1C1C" w:rsidRPr="005F6BC2" w:rsidP="006B48CA" w14:paraId="35F88B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296,100</w:t>
            </w:r>
          </w:p>
        </w:tc>
      </w:tr>
      <w:tr w14:paraId="686FB3E4"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79510B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B</w:t>
            </w:r>
            <w:r w:rsidRPr="005F6BC2">
              <w:rPr>
                <w:szCs w:val="22"/>
                <w:vertAlign w:val="superscript"/>
              </w:rPr>
              <w:t>1</w:t>
            </w:r>
          </w:p>
        </w:tc>
        <w:tc>
          <w:tcPr>
            <w:tcW w:w="1620" w:type="dxa"/>
            <w:tcBorders>
              <w:top w:val="single" w:sz="6" w:space="0" w:color="auto"/>
              <w:left w:val="single" w:sz="6" w:space="0" w:color="auto"/>
            </w:tcBorders>
          </w:tcPr>
          <w:p w:rsidR="009C1C1C" w:rsidRPr="005F6BC2" w:rsidP="006B48CA" w14:paraId="351FE6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1,4</w:t>
            </w:r>
            <w:r>
              <w:rPr>
                <w:szCs w:val="22"/>
              </w:rPr>
              <w:t>58</w:t>
            </w:r>
          </w:p>
        </w:tc>
        <w:tc>
          <w:tcPr>
            <w:tcW w:w="450" w:type="dxa"/>
            <w:tcBorders>
              <w:top w:val="single" w:sz="6" w:space="0" w:color="auto"/>
              <w:left w:val="single" w:sz="6" w:space="0" w:color="auto"/>
            </w:tcBorders>
          </w:tcPr>
          <w:p w:rsidR="009C1C1C" w:rsidRPr="005F6BC2" w:rsidP="006B48CA" w14:paraId="23E529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9C1C1C" w:rsidRPr="005F6BC2" w:rsidP="006B48CA" w14:paraId="2981583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3,541,950</w:t>
            </w:r>
          </w:p>
        </w:tc>
        <w:tc>
          <w:tcPr>
            <w:tcW w:w="1170" w:type="dxa"/>
            <w:tcBorders>
              <w:top w:val="single" w:sz="6" w:space="0" w:color="auto"/>
              <w:left w:val="single" w:sz="6" w:space="0" w:color="auto"/>
            </w:tcBorders>
          </w:tcPr>
          <w:p w:rsidR="009C1C1C" w:rsidRPr="005F6BC2" w:rsidP="006B48CA" w14:paraId="62221F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3,678,692</w:t>
            </w:r>
          </w:p>
        </w:tc>
        <w:tc>
          <w:tcPr>
            <w:tcW w:w="1170" w:type="dxa"/>
            <w:tcBorders>
              <w:top w:val="single" w:sz="6" w:space="0" w:color="auto"/>
              <w:left w:val="single" w:sz="6" w:space="0" w:color="auto"/>
              <w:right w:val="single" w:sz="6" w:space="0" w:color="auto"/>
            </w:tcBorders>
          </w:tcPr>
          <w:p w:rsidR="009C1C1C" w:rsidRPr="005F6BC2" w:rsidP="006B48CA" w14:paraId="521BA2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r>
              <w:rPr>
                <w:szCs w:val="22"/>
              </w:rPr>
              <w:t>23</w:t>
            </w:r>
          </w:p>
        </w:tc>
        <w:tc>
          <w:tcPr>
            <w:tcW w:w="990" w:type="dxa"/>
            <w:tcBorders>
              <w:top w:val="single" w:sz="6" w:space="0" w:color="auto"/>
              <w:left w:val="single" w:sz="6" w:space="0" w:color="auto"/>
            </w:tcBorders>
          </w:tcPr>
          <w:p w:rsidR="009C1C1C" w:rsidRPr="005F6BC2" w:rsidP="006B48CA" w14:paraId="09250C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r>
              <w:rPr>
                <w:szCs w:val="22"/>
              </w:rPr>
              <w:t>25</w:t>
            </w:r>
          </w:p>
        </w:tc>
        <w:tc>
          <w:tcPr>
            <w:tcW w:w="1170" w:type="dxa"/>
            <w:tcBorders>
              <w:top w:val="single" w:sz="6" w:space="0" w:color="auto"/>
              <w:left w:val="single" w:sz="6" w:space="0" w:color="auto"/>
              <w:right w:val="double" w:sz="6" w:space="0" w:color="auto"/>
            </w:tcBorders>
          </w:tcPr>
          <w:p w:rsidR="009C1C1C" w:rsidRPr="005F6BC2" w:rsidP="006B48CA" w14:paraId="6D4AC4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3,681,450</w:t>
            </w:r>
          </w:p>
        </w:tc>
      </w:tr>
      <w:tr w14:paraId="7C805672"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20552F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C</w:t>
            </w:r>
            <w:r w:rsidRPr="005F6BC2">
              <w:rPr>
                <w:szCs w:val="22"/>
                <w:vertAlign w:val="superscript"/>
              </w:rPr>
              <w:t>1</w:t>
            </w:r>
          </w:p>
        </w:tc>
        <w:tc>
          <w:tcPr>
            <w:tcW w:w="1620" w:type="dxa"/>
            <w:tcBorders>
              <w:top w:val="single" w:sz="6" w:space="0" w:color="auto"/>
              <w:left w:val="single" w:sz="6" w:space="0" w:color="auto"/>
            </w:tcBorders>
          </w:tcPr>
          <w:p w:rsidR="009C1C1C" w:rsidRPr="005F6BC2" w:rsidP="006B48CA" w14:paraId="7EFA33B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w:t>
            </w:r>
            <w:r>
              <w:rPr>
                <w:szCs w:val="22"/>
              </w:rPr>
              <w:t>19</w:t>
            </w:r>
          </w:p>
        </w:tc>
        <w:tc>
          <w:tcPr>
            <w:tcW w:w="450" w:type="dxa"/>
            <w:tcBorders>
              <w:top w:val="single" w:sz="6" w:space="0" w:color="auto"/>
              <w:left w:val="single" w:sz="6" w:space="0" w:color="auto"/>
            </w:tcBorders>
          </w:tcPr>
          <w:p w:rsidR="009C1C1C" w:rsidRPr="005F6BC2" w:rsidP="006B48CA" w14:paraId="5FA0318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9C1C1C" w:rsidRPr="005F6BC2" w:rsidP="006B48CA" w14:paraId="1F98ED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1,266,000</w:t>
            </w:r>
          </w:p>
        </w:tc>
        <w:tc>
          <w:tcPr>
            <w:tcW w:w="1170" w:type="dxa"/>
            <w:tcBorders>
              <w:top w:val="single" w:sz="6" w:space="0" w:color="auto"/>
              <w:left w:val="single" w:sz="6" w:space="0" w:color="auto"/>
            </w:tcBorders>
          </w:tcPr>
          <w:p w:rsidR="009C1C1C" w:rsidRPr="005F6BC2" w:rsidP="006B48CA" w14:paraId="48E498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1,317,039</w:t>
            </w:r>
          </w:p>
        </w:tc>
        <w:tc>
          <w:tcPr>
            <w:tcW w:w="1170" w:type="dxa"/>
            <w:tcBorders>
              <w:top w:val="single" w:sz="6" w:space="0" w:color="auto"/>
              <w:left w:val="single" w:sz="6" w:space="0" w:color="auto"/>
              <w:right w:val="single" w:sz="6" w:space="0" w:color="auto"/>
            </w:tcBorders>
          </w:tcPr>
          <w:p w:rsidR="009C1C1C" w:rsidRPr="005F6BC2" w:rsidP="006B48CA" w14:paraId="04B51C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608</w:t>
            </w:r>
          </w:p>
        </w:tc>
        <w:tc>
          <w:tcPr>
            <w:tcW w:w="990" w:type="dxa"/>
            <w:tcBorders>
              <w:top w:val="single" w:sz="6" w:space="0" w:color="auto"/>
              <w:left w:val="single" w:sz="6" w:space="0" w:color="auto"/>
            </w:tcBorders>
          </w:tcPr>
          <w:p w:rsidR="009C1C1C" w:rsidRPr="005F6BC2" w:rsidP="006B48CA" w14:paraId="3301B5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600</w:t>
            </w:r>
          </w:p>
        </w:tc>
        <w:tc>
          <w:tcPr>
            <w:tcW w:w="1170" w:type="dxa"/>
            <w:tcBorders>
              <w:top w:val="single" w:sz="6" w:space="0" w:color="auto"/>
              <w:left w:val="single" w:sz="6" w:space="0" w:color="auto"/>
              <w:right w:val="double" w:sz="6" w:space="0" w:color="auto"/>
            </w:tcBorders>
          </w:tcPr>
          <w:p w:rsidR="009C1C1C" w:rsidRPr="005F6BC2" w:rsidP="006B48CA" w14:paraId="638B92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1,310,400</w:t>
            </w:r>
          </w:p>
        </w:tc>
      </w:tr>
      <w:tr w14:paraId="0C0CAA4E"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62814F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D</w:t>
            </w:r>
            <w:r w:rsidRPr="005F6BC2">
              <w:rPr>
                <w:szCs w:val="22"/>
                <w:vertAlign w:val="superscript"/>
              </w:rPr>
              <w:t>1</w:t>
            </w:r>
          </w:p>
        </w:tc>
        <w:tc>
          <w:tcPr>
            <w:tcW w:w="1620" w:type="dxa"/>
            <w:tcBorders>
              <w:top w:val="single" w:sz="6" w:space="0" w:color="auto"/>
              <w:left w:val="single" w:sz="6" w:space="0" w:color="auto"/>
            </w:tcBorders>
          </w:tcPr>
          <w:p w:rsidR="009C1C1C" w:rsidRPr="005F6BC2" w:rsidP="006B48CA" w14:paraId="15DC2C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372</w:t>
            </w:r>
          </w:p>
        </w:tc>
        <w:tc>
          <w:tcPr>
            <w:tcW w:w="450" w:type="dxa"/>
            <w:tcBorders>
              <w:top w:val="single" w:sz="6" w:space="0" w:color="auto"/>
              <w:left w:val="single" w:sz="6" w:space="0" w:color="auto"/>
            </w:tcBorders>
          </w:tcPr>
          <w:p w:rsidR="009C1C1C" w:rsidRPr="005F6BC2" w:rsidP="006B48CA" w14:paraId="3AB237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9C1C1C" w:rsidRPr="005F6BC2" w:rsidP="006B48CA" w14:paraId="62076D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4,200,800</w:t>
            </w:r>
          </w:p>
        </w:tc>
        <w:tc>
          <w:tcPr>
            <w:tcW w:w="1170" w:type="dxa"/>
            <w:tcBorders>
              <w:top w:val="single" w:sz="6" w:space="0" w:color="auto"/>
              <w:left w:val="single" w:sz="6" w:space="0" w:color="auto"/>
            </w:tcBorders>
          </w:tcPr>
          <w:p w:rsidR="009C1C1C" w:rsidRPr="005F6BC2" w:rsidP="006B48CA" w14:paraId="51EEB5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4,351,447</w:t>
            </w:r>
          </w:p>
        </w:tc>
        <w:tc>
          <w:tcPr>
            <w:tcW w:w="1170" w:type="dxa"/>
            <w:tcBorders>
              <w:top w:val="single" w:sz="6" w:space="0" w:color="auto"/>
              <w:left w:val="single" w:sz="6" w:space="0" w:color="auto"/>
              <w:right w:val="single" w:sz="6" w:space="0" w:color="auto"/>
            </w:tcBorders>
          </w:tcPr>
          <w:p w:rsidR="009C1C1C" w:rsidRPr="005F6BC2" w:rsidP="006B48CA" w14:paraId="4DBDA6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3,172</w:t>
            </w:r>
          </w:p>
        </w:tc>
        <w:tc>
          <w:tcPr>
            <w:tcW w:w="990" w:type="dxa"/>
            <w:tcBorders>
              <w:top w:val="single" w:sz="6" w:space="0" w:color="auto"/>
              <w:left w:val="single" w:sz="6" w:space="0" w:color="auto"/>
            </w:tcBorders>
          </w:tcPr>
          <w:p w:rsidR="009C1C1C" w:rsidRPr="005F6BC2" w:rsidP="006B48CA" w14:paraId="7FA9CD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3,175</w:t>
            </w:r>
          </w:p>
        </w:tc>
        <w:tc>
          <w:tcPr>
            <w:tcW w:w="1170" w:type="dxa"/>
            <w:tcBorders>
              <w:top w:val="single" w:sz="6" w:space="0" w:color="auto"/>
              <w:left w:val="single" w:sz="6" w:space="0" w:color="auto"/>
              <w:right w:val="double" w:sz="6" w:space="0" w:color="auto"/>
            </w:tcBorders>
          </w:tcPr>
          <w:p w:rsidR="009C1C1C" w:rsidRPr="005F6BC2" w:rsidP="006B48CA" w14:paraId="303F6B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w:t>
            </w:r>
            <w:r>
              <w:rPr>
                <w:szCs w:val="22"/>
              </w:rPr>
              <w:t>356,100</w:t>
            </w:r>
          </w:p>
        </w:tc>
      </w:tr>
      <w:tr w14:paraId="5899A910"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5CEE35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5F6BC2">
              <w:rPr>
                <w:szCs w:val="22"/>
                <w:lang w:val="pt-BR"/>
              </w:rPr>
              <w:t>FM Classes A, B1 &amp; C3</w:t>
            </w:r>
            <w:r w:rsidRPr="005F6BC2">
              <w:rPr>
                <w:szCs w:val="22"/>
                <w:vertAlign w:val="superscript"/>
              </w:rPr>
              <w:t>1</w:t>
            </w:r>
          </w:p>
        </w:tc>
        <w:tc>
          <w:tcPr>
            <w:tcW w:w="1620" w:type="dxa"/>
            <w:tcBorders>
              <w:top w:val="single" w:sz="6" w:space="0" w:color="auto"/>
              <w:left w:val="single" w:sz="6" w:space="0" w:color="auto"/>
            </w:tcBorders>
          </w:tcPr>
          <w:p w:rsidR="009C1C1C" w:rsidRPr="005F6BC2" w:rsidP="006B48CA" w14:paraId="3991B2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2,973</w:t>
            </w:r>
          </w:p>
        </w:tc>
        <w:tc>
          <w:tcPr>
            <w:tcW w:w="450" w:type="dxa"/>
            <w:tcBorders>
              <w:top w:val="single" w:sz="6" w:space="0" w:color="auto"/>
              <w:left w:val="single" w:sz="6" w:space="0" w:color="auto"/>
            </w:tcBorders>
          </w:tcPr>
          <w:p w:rsidR="009C1C1C" w:rsidRPr="005F6BC2" w:rsidP="006B48CA" w14:paraId="2580E7E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9C1C1C" w:rsidRPr="005F6BC2" w:rsidP="006B48CA" w14:paraId="5D4D33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8,823,375</w:t>
            </w:r>
          </w:p>
        </w:tc>
        <w:tc>
          <w:tcPr>
            <w:tcW w:w="1170" w:type="dxa"/>
            <w:tcBorders>
              <w:top w:val="single" w:sz="6" w:space="0" w:color="auto"/>
              <w:left w:val="single" w:sz="6" w:space="0" w:color="auto"/>
            </w:tcBorders>
          </w:tcPr>
          <w:p w:rsidR="009C1C1C" w:rsidRPr="005F6BC2" w:rsidP="006B48CA" w14:paraId="75CB0F1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9,156,345</w:t>
            </w:r>
          </w:p>
        </w:tc>
        <w:tc>
          <w:tcPr>
            <w:tcW w:w="1170" w:type="dxa"/>
            <w:tcBorders>
              <w:top w:val="single" w:sz="6" w:space="0" w:color="auto"/>
              <w:left w:val="single" w:sz="6" w:space="0" w:color="auto"/>
              <w:right w:val="single" w:sz="6" w:space="0" w:color="auto"/>
            </w:tcBorders>
          </w:tcPr>
          <w:p w:rsidR="009C1C1C" w:rsidRPr="005F6BC2" w:rsidP="006B48CA" w14:paraId="0A0F61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3,080</w:t>
            </w:r>
          </w:p>
        </w:tc>
        <w:tc>
          <w:tcPr>
            <w:tcW w:w="990" w:type="dxa"/>
            <w:tcBorders>
              <w:top w:val="single" w:sz="6" w:space="0" w:color="auto"/>
              <w:left w:val="single" w:sz="6" w:space="0" w:color="auto"/>
            </w:tcBorders>
          </w:tcPr>
          <w:p w:rsidR="009C1C1C" w:rsidRPr="005F6BC2" w:rsidP="006B48CA" w14:paraId="0B219A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3,075</w:t>
            </w:r>
          </w:p>
        </w:tc>
        <w:tc>
          <w:tcPr>
            <w:tcW w:w="1170" w:type="dxa"/>
            <w:tcBorders>
              <w:top w:val="single" w:sz="6" w:space="0" w:color="auto"/>
              <w:left w:val="single" w:sz="6" w:space="0" w:color="auto"/>
              <w:right w:val="double" w:sz="6" w:space="0" w:color="auto"/>
            </w:tcBorders>
          </w:tcPr>
          <w:p w:rsidR="009C1C1C" w:rsidRPr="005F6BC2" w:rsidP="006B48CA" w14:paraId="233237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9,141,975</w:t>
            </w:r>
          </w:p>
        </w:tc>
      </w:tr>
      <w:tr w14:paraId="432E8620"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19F7BCB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FM Classes B, C, C0, C1 &amp; C2</w:t>
            </w:r>
            <w:r w:rsidRPr="005F6BC2">
              <w:rPr>
                <w:szCs w:val="22"/>
                <w:vertAlign w:val="superscript"/>
              </w:rPr>
              <w:t>1</w:t>
            </w:r>
          </w:p>
        </w:tc>
        <w:tc>
          <w:tcPr>
            <w:tcW w:w="1620" w:type="dxa"/>
            <w:tcBorders>
              <w:top w:val="single" w:sz="6" w:space="0" w:color="auto"/>
              <w:left w:val="single" w:sz="6" w:space="0" w:color="auto"/>
            </w:tcBorders>
          </w:tcPr>
          <w:p w:rsidR="009C1C1C" w:rsidRPr="005F6BC2" w:rsidP="006B48CA" w14:paraId="500F22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3,146</w:t>
            </w:r>
          </w:p>
        </w:tc>
        <w:tc>
          <w:tcPr>
            <w:tcW w:w="450" w:type="dxa"/>
            <w:tcBorders>
              <w:top w:val="single" w:sz="6" w:space="0" w:color="auto"/>
              <w:left w:val="single" w:sz="6" w:space="0" w:color="auto"/>
            </w:tcBorders>
          </w:tcPr>
          <w:p w:rsidR="009C1C1C" w:rsidRPr="005F6BC2" w:rsidP="006B48CA" w14:paraId="6FB7E5E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9C1C1C" w:rsidRPr="005F6BC2" w:rsidP="006B48CA" w14:paraId="7CFB7B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10,833,000</w:t>
            </w:r>
          </w:p>
        </w:tc>
        <w:tc>
          <w:tcPr>
            <w:tcW w:w="1170" w:type="dxa"/>
            <w:tcBorders>
              <w:top w:val="single" w:sz="6" w:space="0" w:color="auto"/>
              <w:left w:val="single" w:sz="6" w:space="0" w:color="auto"/>
            </w:tcBorders>
          </w:tcPr>
          <w:p w:rsidR="009C1C1C" w:rsidRPr="005F6BC2" w:rsidP="006B48CA" w14:paraId="56CEF9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11,216,626</w:t>
            </w:r>
          </w:p>
        </w:tc>
        <w:tc>
          <w:tcPr>
            <w:tcW w:w="1170" w:type="dxa"/>
            <w:tcBorders>
              <w:top w:val="single" w:sz="6" w:space="0" w:color="auto"/>
              <w:left w:val="single" w:sz="6" w:space="0" w:color="auto"/>
              <w:right w:val="single" w:sz="6" w:space="0" w:color="auto"/>
            </w:tcBorders>
          </w:tcPr>
          <w:p w:rsidR="009C1C1C" w:rsidRPr="005F6BC2" w:rsidP="006B48CA" w14:paraId="5D48CC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565</w:t>
            </w:r>
          </w:p>
        </w:tc>
        <w:tc>
          <w:tcPr>
            <w:tcW w:w="990" w:type="dxa"/>
            <w:tcBorders>
              <w:top w:val="single" w:sz="6" w:space="0" w:color="auto"/>
              <w:left w:val="single" w:sz="6" w:space="0" w:color="auto"/>
            </w:tcBorders>
          </w:tcPr>
          <w:p w:rsidR="009C1C1C" w:rsidRPr="005F6BC2" w:rsidP="006B48CA" w14:paraId="4CDB07E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575</w:t>
            </w:r>
          </w:p>
        </w:tc>
        <w:tc>
          <w:tcPr>
            <w:tcW w:w="1170" w:type="dxa"/>
            <w:tcBorders>
              <w:top w:val="single" w:sz="6" w:space="0" w:color="auto"/>
              <w:left w:val="single" w:sz="6" w:space="0" w:color="auto"/>
              <w:right w:val="double" w:sz="6" w:space="0" w:color="auto"/>
            </w:tcBorders>
          </w:tcPr>
          <w:p w:rsidR="009C1C1C" w:rsidRPr="005F6BC2" w:rsidP="006B48CA" w14:paraId="09CAC6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11,246,950</w:t>
            </w:r>
          </w:p>
        </w:tc>
      </w:tr>
      <w:tr w14:paraId="48722079" w14:textId="77777777" w:rsidTr="006B48CA">
        <w:tblPrEx>
          <w:tblW w:w="10350" w:type="dxa"/>
          <w:tblInd w:w="-563" w:type="dxa"/>
          <w:tblLayout w:type="fixed"/>
          <w:tblCellMar>
            <w:left w:w="30" w:type="dxa"/>
            <w:right w:w="30" w:type="dxa"/>
          </w:tblCellMar>
          <w:tblLook w:val="0000"/>
        </w:tblPrEx>
        <w:trPr>
          <w:trHeight w:val="534"/>
        </w:trPr>
        <w:tc>
          <w:tcPr>
            <w:tcW w:w="2520" w:type="dxa"/>
            <w:tcBorders>
              <w:top w:val="single" w:sz="6" w:space="0" w:color="auto"/>
              <w:left w:val="double" w:sz="6" w:space="0" w:color="auto"/>
            </w:tcBorders>
          </w:tcPr>
          <w:p w:rsidR="009C1C1C" w:rsidRPr="005F6BC2" w:rsidP="006B48CA" w14:paraId="6ADC61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AM Construction Permits </w:t>
            </w:r>
            <w:r w:rsidRPr="005F6BC2">
              <w:rPr>
                <w:szCs w:val="22"/>
                <w:vertAlign w:val="superscript"/>
              </w:rPr>
              <w:t>2</w:t>
            </w:r>
          </w:p>
        </w:tc>
        <w:tc>
          <w:tcPr>
            <w:tcW w:w="1620" w:type="dxa"/>
            <w:tcBorders>
              <w:top w:val="single" w:sz="6" w:space="0" w:color="auto"/>
              <w:left w:val="single" w:sz="6" w:space="0" w:color="auto"/>
            </w:tcBorders>
          </w:tcPr>
          <w:p w:rsidR="009C1C1C" w:rsidRPr="005F6BC2" w:rsidP="006B48CA" w14:paraId="2385F6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w:t>
            </w:r>
            <w:r w:rsidRPr="005F6BC2">
              <w:rPr>
                <w:szCs w:val="22"/>
              </w:rPr>
              <w:t xml:space="preserve"> </w:t>
            </w:r>
          </w:p>
        </w:tc>
        <w:tc>
          <w:tcPr>
            <w:tcW w:w="450" w:type="dxa"/>
            <w:tcBorders>
              <w:top w:val="single" w:sz="6" w:space="0" w:color="auto"/>
              <w:left w:val="single" w:sz="6" w:space="0" w:color="auto"/>
            </w:tcBorders>
          </w:tcPr>
          <w:p w:rsidR="009C1C1C" w:rsidRPr="005F6BC2" w:rsidP="006B48CA" w14:paraId="654938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4505D9D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1,785</w:t>
            </w:r>
          </w:p>
        </w:tc>
        <w:tc>
          <w:tcPr>
            <w:tcW w:w="1170" w:type="dxa"/>
            <w:tcBorders>
              <w:top w:val="single" w:sz="6" w:space="0" w:color="auto"/>
              <w:left w:val="single" w:sz="6" w:space="0" w:color="auto"/>
            </w:tcBorders>
          </w:tcPr>
          <w:p w:rsidR="009C1C1C" w:rsidRPr="005F6BC2" w:rsidP="006B48CA" w14:paraId="0C82710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3,660</w:t>
            </w:r>
          </w:p>
        </w:tc>
        <w:tc>
          <w:tcPr>
            <w:tcW w:w="1170" w:type="dxa"/>
            <w:tcBorders>
              <w:top w:val="single" w:sz="6" w:space="0" w:color="auto"/>
              <w:left w:val="single" w:sz="6" w:space="0" w:color="auto"/>
              <w:right w:val="single" w:sz="6" w:space="0" w:color="auto"/>
            </w:tcBorders>
          </w:tcPr>
          <w:p w:rsidR="009C1C1C" w:rsidRPr="005F6BC2" w:rsidP="006B48CA" w14:paraId="03362F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610</w:t>
            </w:r>
          </w:p>
        </w:tc>
        <w:tc>
          <w:tcPr>
            <w:tcW w:w="990" w:type="dxa"/>
            <w:tcBorders>
              <w:top w:val="single" w:sz="6" w:space="0" w:color="auto"/>
              <w:left w:val="single" w:sz="6" w:space="0" w:color="auto"/>
            </w:tcBorders>
          </w:tcPr>
          <w:p w:rsidR="009C1C1C" w:rsidRPr="005F6BC2" w:rsidP="006B48CA" w14:paraId="50BB7A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610</w:t>
            </w:r>
          </w:p>
        </w:tc>
        <w:tc>
          <w:tcPr>
            <w:tcW w:w="1170" w:type="dxa"/>
            <w:tcBorders>
              <w:top w:val="single" w:sz="6" w:space="0" w:color="auto"/>
              <w:left w:val="single" w:sz="6" w:space="0" w:color="auto"/>
              <w:right w:val="double" w:sz="6" w:space="0" w:color="auto"/>
            </w:tcBorders>
          </w:tcPr>
          <w:p w:rsidR="009C1C1C" w:rsidRPr="005F6BC2" w:rsidP="006B48CA" w14:paraId="4369AF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3,660</w:t>
            </w:r>
          </w:p>
        </w:tc>
      </w:tr>
      <w:tr w14:paraId="421CC313"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5D5494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FM Construction Permits</w:t>
            </w:r>
            <w:r w:rsidRPr="005F6BC2">
              <w:rPr>
                <w:szCs w:val="22"/>
                <w:vertAlign w:val="superscript"/>
              </w:rPr>
              <w:t>2</w:t>
            </w:r>
          </w:p>
        </w:tc>
        <w:tc>
          <w:tcPr>
            <w:tcW w:w="1620" w:type="dxa"/>
            <w:tcBorders>
              <w:top w:val="single" w:sz="6" w:space="0" w:color="auto"/>
              <w:left w:val="single" w:sz="6" w:space="0" w:color="auto"/>
            </w:tcBorders>
          </w:tcPr>
          <w:p w:rsidR="009C1C1C" w:rsidRPr="005F6BC2" w:rsidP="006B48CA" w14:paraId="10D5BF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0</w:t>
            </w:r>
            <w:r w:rsidRPr="005F6BC2">
              <w:rPr>
                <w:szCs w:val="22"/>
              </w:rPr>
              <w:t xml:space="preserve"> </w:t>
            </w:r>
          </w:p>
        </w:tc>
        <w:tc>
          <w:tcPr>
            <w:tcW w:w="450" w:type="dxa"/>
            <w:tcBorders>
              <w:top w:val="single" w:sz="6" w:space="0" w:color="auto"/>
              <w:left w:val="single" w:sz="6" w:space="0" w:color="auto"/>
            </w:tcBorders>
          </w:tcPr>
          <w:p w:rsidR="009C1C1C" w:rsidRPr="005F6BC2" w:rsidP="006B48CA" w14:paraId="7314C6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7F1193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7,000</w:t>
            </w:r>
          </w:p>
        </w:tc>
        <w:tc>
          <w:tcPr>
            <w:tcW w:w="1170" w:type="dxa"/>
            <w:tcBorders>
              <w:top w:val="single" w:sz="6" w:space="0" w:color="auto"/>
              <w:left w:val="single" w:sz="6" w:space="0" w:color="auto"/>
            </w:tcBorders>
          </w:tcPr>
          <w:p w:rsidR="009C1C1C" w:rsidRPr="005F6BC2" w:rsidP="006B48CA" w14:paraId="6045D0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4</w:t>
            </w:r>
            <w:r w:rsidRPr="005F6BC2">
              <w:rPr>
                <w:szCs w:val="22"/>
              </w:rPr>
              <w:t>,</w:t>
            </w:r>
            <w:r>
              <w:rPr>
                <w:szCs w:val="22"/>
              </w:rPr>
              <w:t>5</w:t>
            </w:r>
            <w:r w:rsidRPr="005F6BC2">
              <w:rPr>
                <w:szCs w:val="22"/>
              </w:rPr>
              <w:t>00</w:t>
            </w:r>
          </w:p>
        </w:tc>
        <w:tc>
          <w:tcPr>
            <w:tcW w:w="1170" w:type="dxa"/>
            <w:tcBorders>
              <w:top w:val="single" w:sz="6" w:space="0" w:color="auto"/>
              <w:left w:val="single" w:sz="6" w:space="0" w:color="auto"/>
              <w:right w:val="single" w:sz="6" w:space="0" w:color="auto"/>
            </w:tcBorders>
          </w:tcPr>
          <w:p w:rsidR="009C1C1C" w:rsidRPr="005F6BC2" w:rsidP="006B48CA" w14:paraId="7168E9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r>
              <w:rPr>
                <w:szCs w:val="22"/>
              </w:rPr>
              <w:t>75</w:t>
            </w:r>
          </w:p>
        </w:tc>
        <w:tc>
          <w:tcPr>
            <w:tcW w:w="990" w:type="dxa"/>
            <w:tcBorders>
              <w:top w:val="single" w:sz="6" w:space="0" w:color="auto"/>
              <w:left w:val="single" w:sz="6" w:space="0" w:color="auto"/>
            </w:tcBorders>
          </w:tcPr>
          <w:p w:rsidR="009C1C1C" w:rsidRPr="005F6BC2" w:rsidP="006B48CA" w14:paraId="60E2D0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r>
              <w:rPr>
                <w:szCs w:val="22"/>
              </w:rPr>
              <w:t>75</w:t>
            </w:r>
          </w:p>
        </w:tc>
        <w:tc>
          <w:tcPr>
            <w:tcW w:w="1170" w:type="dxa"/>
            <w:tcBorders>
              <w:top w:val="single" w:sz="6" w:space="0" w:color="auto"/>
              <w:left w:val="single" w:sz="6" w:space="0" w:color="auto"/>
              <w:right w:val="double" w:sz="6" w:space="0" w:color="auto"/>
            </w:tcBorders>
          </w:tcPr>
          <w:p w:rsidR="009C1C1C" w:rsidRPr="005F6BC2" w:rsidP="006B48CA" w14:paraId="785A7A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4</w:t>
            </w:r>
            <w:r w:rsidRPr="005F6BC2">
              <w:rPr>
                <w:szCs w:val="22"/>
              </w:rPr>
              <w:t>,</w:t>
            </w:r>
            <w:r>
              <w:rPr>
                <w:szCs w:val="22"/>
              </w:rPr>
              <w:t>5</w:t>
            </w:r>
            <w:r w:rsidRPr="005F6BC2">
              <w:rPr>
                <w:szCs w:val="22"/>
              </w:rPr>
              <w:t>00</w:t>
            </w:r>
          </w:p>
        </w:tc>
      </w:tr>
      <w:tr w14:paraId="04261F65" w14:textId="77777777" w:rsidTr="006B48CA">
        <w:tblPrEx>
          <w:tblW w:w="10350" w:type="dxa"/>
          <w:tblInd w:w="-563" w:type="dxa"/>
          <w:tblLayout w:type="fixed"/>
          <w:tblCellMar>
            <w:left w:w="30" w:type="dxa"/>
            <w:right w:w="30" w:type="dxa"/>
          </w:tblCellMar>
          <w:tblLook w:val="0000"/>
        </w:tblPrEx>
        <w:trPr>
          <w:trHeight w:val="444"/>
        </w:trPr>
        <w:tc>
          <w:tcPr>
            <w:tcW w:w="2520" w:type="dxa"/>
            <w:tcBorders>
              <w:top w:val="single" w:sz="6" w:space="0" w:color="auto"/>
              <w:left w:val="double" w:sz="6" w:space="0" w:color="auto"/>
            </w:tcBorders>
          </w:tcPr>
          <w:p w:rsidR="009C1C1C" w:rsidP="006B48CA" w14:paraId="647484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Pr>
                <w:szCs w:val="22"/>
              </w:rPr>
              <w:t>Digital Television</w:t>
            </w:r>
            <w:r>
              <w:rPr>
                <w:szCs w:val="22"/>
                <w:vertAlign w:val="superscript"/>
              </w:rPr>
              <w:t>5</w:t>
            </w:r>
          </w:p>
          <w:p w:rsidR="009C1C1C" w:rsidRPr="001B0532" w:rsidP="006B48CA" w14:paraId="651D17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Pr>
                <w:szCs w:val="22"/>
              </w:rPr>
              <w:t>(including Satellite TV)</w:t>
            </w:r>
            <w:r w:rsidRPr="001B0532">
              <w:rPr>
                <w:szCs w:val="22"/>
                <w:vertAlign w:val="superscript"/>
              </w:rPr>
              <w:t xml:space="preserve"> </w:t>
            </w:r>
          </w:p>
        </w:tc>
        <w:tc>
          <w:tcPr>
            <w:tcW w:w="1620" w:type="dxa"/>
            <w:tcBorders>
              <w:top w:val="single" w:sz="6" w:space="0" w:color="auto"/>
              <w:left w:val="single" w:sz="6" w:space="0" w:color="auto"/>
            </w:tcBorders>
          </w:tcPr>
          <w:p w:rsidR="009C1C1C" w:rsidRPr="005F6BC2" w:rsidP="006B48CA" w14:paraId="282D80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3.25 billion population</w:t>
            </w:r>
          </w:p>
        </w:tc>
        <w:tc>
          <w:tcPr>
            <w:tcW w:w="450" w:type="dxa"/>
            <w:tcBorders>
              <w:top w:val="single" w:sz="6" w:space="0" w:color="auto"/>
              <w:left w:val="single" w:sz="6" w:space="0" w:color="auto"/>
            </w:tcBorders>
          </w:tcPr>
          <w:p w:rsidR="009C1C1C" w:rsidRPr="005F6BC2" w:rsidP="006B48CA" w14:paraId="74964F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9C1C1C" w:rsidRPr="005F6BC2" w:rsidP="006B48CA" w14:paraId="456E5D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24,294,675</w:t>
            </w:r>
          </w:p>
        </w:tc>
        <w:tc>
          <w:tcPr>
            <w:tcW w:w="1170" w:type="dxa"/>
            <w:tcBorders>
              <w:top w:val="single" w:sz="6" w:space="0" w:color="auto"/>
              <w:left w:val="single" w:sz="6" w:space="0" w:color="auto"/>
            </w:tcBorders>
          </w:tcPr>
          <w:p w:rsidR="009C1C1C" w:rsidRPr="005F6BC2" w:rsidP="006B48CA" w14:paraId="35FA47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25,473,855</w:t>
            </w:r>
          </w:p>
        </w:tc>
        <w:tc>
          <w:tcPr>
            <w:tcW w:w="1170" w:type="dxa"/>
            <w:tcBorders>
              <w:top w:val="single" w:sz="6" w:space="0" w:color="auto"/>
              <w:left w:val="single" w:sz="6" w:space="0" w:color="auto"/>
              <w:right w:val="single" w:sz="6" w:space="0" w:color="auto"/>
            </w:tcBorders>
          </w:tcPr>
          <w:p w:rsidR="009C1C1C" w:rsidRPr="005F6BC2" w:rsidP="006B48CA" w14:paraId="5DA7B1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.00783665</w:t>
            </w:r>
          </w:p>
        </w:tc>
        <w:tc>
          <w:tcPr>
            <w:tcW w:w="990" w:type="dxa"/>
            <w:tcBorders>
              <w:top w:val="single" w:sz="6" w:space="0" w:color="auto"/>
              <w:left w:val="single" w:sz="6" w:space="0" w:color="auto"/>
            </w:tcBorders>
          </w:tcPr>
          <w:p w:rsidR="009C1C1C" w:rsidRPr="005F6BC2" w:rsidP="006B48CA" w14:paraId="055C4A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.007837</w:t>
            </w:r>
          </w:p>
        </w:tc>
        <w:tc>
          <w:tcPr>
            <w:tcW w:w="1170" w:type="dxa"/>
            <w:tcBorders>
              <w:top w:val="single" w:sz="6" w:space="0" w:color="auto"/>
              <w:left w:val="single" w:sz="6" w:space="0" w:color="auto"/>
              <w:right w:val="double" w:sz="6" w:space="0" w:color="auto"/>
            </w:tcBorders>
          </w:tcPr>
          <w:p w:rsidR="009C1C1C" w:rsidRPr="005F6BC2" w:rsidP="006B48CA" w14:paraId="40AE92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25,473,855</w:t>
            </w:r>
          </w:p>
        </w:tc>
      </w:tr>
      <w:tr w14:paraId="6ECF405B"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9C1C1C" w:rsidRPr="005F6BC2" w:rsidP="006B48CA" w14:paraId="458F264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Digital TV Construction Permits</w:t>
            </w:r>
            <w:r w:rsidRPr="005F6BC2">
              <w:rPr>
                <w:szCs w:val="22"/>
                <w:vertAlign w:val="superscript"/>
              </w:rPr>
              <w:t>2</w:t>
            </w:r>
          </w:p>
        </w:tc>
        <w:tc>
          <w:tcPr>
            <w:tcW w:w="1620" w:type="dxa"/>
            <w:tcBorders>
              <w:top w:val="single" w:sz="6" w:space="0" w:color="auto"/>
              <w:left w:val="single" w:sz="6" w:space="0" w:color="auto"/>
              <w:bottom w:val="single" w:sz="6" w:space="0" w:color="auto"/>
            </w:tcBorders>
          </w:tcPr>
          <w:p w:rsidR="009C1C1C" w:rsidRPr="005F6BC2" w:rsidP="006B48CA" w14:paraId="1FBC61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3 </w:t>
            </w:r>
          </w:p>
        </w:tc>
        <w:tc>
          <w:tcPr>
            <w:tcW w:w="450" w:type="dxa"/>
            <w:tcBorders>
              <w:top w:val="single" w:sz="6" w:space="0" w:color="auto"/>
              <w:left w:val="single" w:sz="6" w:space="0" w:color="auto"/>
              <w:bottom w:val="single" w:sz="6" w:space="0" w:color="auto"/>
            </w:tcBorders>
          </w:tcPr>
          <w:p w:rsidR="009C1C1C" w:rsidRPr="005F6BC2" w:rsidP="006B48CA" w14:paraId="18FB71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6" w:space="0" w:color="auto"/>
            </w:tcBorders>
          </w:tcPr>
          <w:p w:rsidR="009C1C1C" w:rsidRPr="005F6BC2" w:rsidP="006B48CA" w14:paraId="013E24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13,350</w:t>
            </w:r>
          </w:p>
        </w:tc>
        <w:tc>
          <w:tcPr>
            <w:tcW w:w="1170" w:type="dxa"/>
            <w:tcBorders>
              <w:top w:val="single" w:sz="6" w:space="0" w:color="auto"/>
              <w:left w:val="single" w:sz="6" w:space="0" w:color="auto"/>
              <w:bottom w:val="single" w:sz="6" w:space="0" w:color="auto"/>
            </w:tcBorders>
          </w:tcPr>
          <w:p w:rsidR="009C1C1C" w:rsidRPr="005F6BC2" w:rsidP="006B48CA" w14:paraId="481B61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14,850</w:t>
            </w:r>
          </w:p>
        </w:tc>
        <w:tc>
          <w:tcPr>
            <w:tcW w:w="1170" w:type="dxa"/>
            <w:tcBorders>
              <w:top w:val="single" w:sz="6" w:space="0" w:color="auto"/>
              <w:left w:val="single" w:sz="6" w:space="0" w:color="auto"/>
              <w:bottom w:val="single" w:sz="6" w:space="0" w:color="auto"/>
              <w:right w:val="single" w:sz="6" w:space="0" w:color="auto"/>
            </w:tcBorders>
          </w:tcPr>
          <w:p w:rsidR="009C1C1C" w:rsidRPr="005F6BC2" w:rsidP="006B48CA" w14:paraId="5D7392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4,950</w:t>
            </w:r>
          </w:p>
        </w:tc>
        <w:tc>
          <w:tcPr>
            <w:tcW w:w="990" w:type="dxa"/>
            <w:tcBorders>
              <w:top w:val="single" w:sz="6" w:space="0" w:color="auto"/>
              <w:left w:val="single" w:sz="6" w:space="0" w:color="auto"/>
              <w:bottom w:val="single" w:sz="6" w:space="0" w:color="auto"/>
            </w:tcBorders>
          </w:tcPr>
          <w:p w:rsidR="009C1C1C" w:rsidRPr="005F6BC2" w:rsidP="006B48CA" w14:paraId="35C5D3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4,950</w:t>
            </w:r>
          </w:p>
        </w:tc>
        <w:tc>
          <w:tcPr>
            <w:tcW w:w="1170" w:type="dxa"/>
            <w:tcBorders>
              <w:top w:val="single" w:sz="6" w:space="0" w:color="auto"/>
              <w:left w:val="single" w:sz="6" w:space="0" w:color="auto"/>
              <w:bottom w:val="single" w:sz="6" w:space="0" w:color="auto"/>
              <w:right w:val="double" w:sz="6" w:space="0" w:color="auto"/>
            </w:tcBorders>
          </w:tcPr>
          <w:p w:rsidR="009C1C1C" w:rsidRPr="005F6BC2" w:rsidP="006B48CA" w14:paraId="016084B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14,850</w:t>
            </w:r>
          </w:p>
        </w:tc>
      </w:tr>
      <w:tr w14:paraId="4C9EF2E7"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9C1C1C" w:rsidRPr="005F6BC2" w:rsidP="006B48CA" w14:paraId="1FE4DCE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LPTV/Translators/ Boosters/Class A TV</w:t>
            </w:r>
          </w:p>
        </w:tc>
        <w:tc>
          <w:tcPr>
            <w:tcW w:w="1620" w:type="dxa"/>
            <w:tcBorders>
              <w:top w:val="single" w:sz="6" w:space="0" w:color="auto"/>
              <w:left w:val="single" w:sz="6" w:space="0" w:color="auto"/>
              <w:bottom w:val="single" w:sz="6" w:space="0" w:color="auto"/>
            </w:tcBorders>
          </w:tcPr>
          <w:p w:rsidR="009C1C1C" w:rsidRPr="005F6BC2" w:rsidP="006B48CA" w14:paraId="29FB09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5,340</w:t>
            </w:r>
            <w:r w:rsidRPr="005F6BC2">
              <w:rPr>
                <w:szCs w:val="22"/>
              </w:rPr>
              <w:t xml:space="preserve"> </w:t>
            </w:r>
          </w:p>
        </w:tc>
        <w:tc>
          <w:tcPr>
            <w:tcW w:w="450" w:type="dxa"/>
            <w:tcBorders>
              <w:top w:val="single" w:sz="6" w:space="0" w:color="auto"/>
              <w:left w:val="single" w:sz="6" w:space="0" w:color="auto"/>
              <w:bottom w:val="single" w:sz="6" w:space="0" w:color="auto"/>
            </w:tcBorders>
          </w:tcPr>
          <w:p w:rsidR="009C1C1C" w:rsidRPr="005F6BC2" w:rsidP="006B48CA" w14:paraId="1EA9F6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6" w:space="0" w:color="auto"/>
            </w:tcBorders>
          </w:tcPr>
          <w:p w:rsidR="009C1C1C" w:rsidRPr="005F6BC2" w:rsidP="006B48CA" w14:paraId="797015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1,621,500</w:t>
            </w:r>
          </w:p>
        </w:tc>
        <w:tc>
          <w:tcPr>
            <w:tcW w:w="1170" w:type="dxa"/>
            <w:tcBorders>
              <w:top w:val="single" w:sz="6" w:space="0" w:color="auto"/>
              <w:left w:val="single" w:sz="6" w:space="0" w:color="auto"/>
              <w:bottom w:val="single" w:sz="6" w:space="0" w:color="auto"/>
            </w:tcBorders>
          </w:tcPr>
          <w:p w:rsidR="009C1C1C" w:rsidRPr="005F6BC2" w:rsidP="006B48CA" w14:paraId="5C028A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1,684,648</w:t>
            </w:r>
          </w:p>
        </w:tc>
        <w:tc>
          <w:tcPr>
            <w:tcW w:w="1170" w:type="dxa"/>
            <w:tcBorders>
              <w:top w:val="single" w:sz="6" w:space="0" w:color="auto"/>
              <w:left w:val="single" w:sz="6" w:space="0" w:color="auto"/>
              <w:bottom w:val="single" w:sz="6" w:space="0" w:color="auto"/>
              <w:right w:val="single" w:sz="6" w:space="0" w:color="auto"/>
            </w:tcBorders>
          </w:tcPr>
          <w:p w:rsidR="009C1C1C" w:rsidRPr="005F6BC2" w:rsidP="006B48CA" w14:paraId="687EE5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15</w:t>
            </w:r>
            <w:r w:rsidRPr="005F6BC2">
              <w:rPr>
                <w:szCs w:val="22"/>
              </w:rPr>
              <w:t>.</w:t>
            </w:r>
            <w:r>
              <w:rPr>
                <w:szCs w:val="22"/>
              </w:rPr>
              <w:t>5</w:t>
            </w:r>
          </w:p>
        </w:tc>
        <w:tc>
          <w:tcPr>
            <w:tcW w:w="990" w:type="dxa"/>
            <w:tcBorders>
              <w:top w:val="single" w:sz="6" w:space="0" w:color="auto"/>
              <w:left w:val="single" w:sz="6" w:space="0" w:color="auto"/>
              <w:bottom w:val="single" w:sz="6" w:space="0" w:color="auto"/>
            </w:tcBorders>
          </w:tcPr>
          <w:p w:rsidR="009C1C1C" w:rsidRPr="005F6BC2" w:rsidP="006B48CA" w14:paraId="67431C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15</w:t>
            </w:r>
          </w:p>
        </w:tc>
        <w:tc>
          <w:tcPr>
            <w:tcW w:w="1170" w:type="dxa"/>
            <w:tcBorders>
              <w:top w:val="single" w:sz="6" w:space="0" w:color="auto"/>
              <w:left w:val="single" w:sz="6" w:space="0" w:color="auto"/>
              <w:bottom w:val="single" w:sz="6" w:space="0" w:color="auto"/>
              <w:right w:val="double" w:sz="6" w:space="0" w:color="auto"/>
            </w:tcBorders>
          </w:tcPr>
          <w:p w:rsidR="009C1C1C" w:rsidRPr="005F6BC2" w:rsidP="006B48CA" w14:paraId="149FAC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1,682,100</w:t>
            </w:r>
          </w:p>
        </w:tc>
      </w:tr>
      <w:tr w14:paraId="55F09D4B"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4" w:space="0" w:color="auto"/>
            </w:tcBorders>
          </w:tcPr>
          <w:p w:rsidR="009C1C1C" w:rsidRPr="005F6BC2" w:rsidP="006B48CA" w14:paraId="08D96C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CARS Stations</w:t>
            </w:r>
          </w:p>
        </w:tc>
        <w:tc>
          <w:tcPr>
            <w:tcW w:w="1620" w:type="dxa"/>
            <w:tcBorders>
              <w:top w:val="single" w:sz="6" w:space="0" w:color="auto"/>
              <w:left w:val="single" w:sz="6" w:space="0" w:color="auto"/>
              <w:bottom w:val="double" w:sz="4" w:space="0" w:color="auto"/>
            </w:tcBorders>
          </w:tcPr>
          <w:p w:rsidR="009C1C1C" w:rsidRPr="005F6BC2" w:rsidP="006B48CA" w14:paraId="18318E0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w:t>
            </w:r>
            <w:r w:rsidRPr="005F6BC2">
              <w:rPr>
                <w:szCs w:val="22"/>
              </w:rPr>
              <w:t xml:space="preserve"> </w:t>
            </w:r>
          </w:p>
        </w:tc>
        <w:tc>
          <w:tcPr>
            <w:tcW w:w="450" w:type="dxa"/>
            <w:tcBorders>
              <w:top w:val="single" w:sz="6" w:space="0" w:color="auto"/>
              <w:left w:val="single" w:sz="6" w:space="0" w:color="auto"/>
              <w:bottom w:val="double" w:sz="4" w:space="0" w:color="auto"/>
            </w:tcBorders>
          </w:tcPr>
          <w:p w:rsidR="009C1C1C" w:rsidRPr="005F6BC2" w:rsidP="006B48CA" w14:paraId="4021C00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double" w:sz="4" w:space="0" w:color="auto"/>
            </w:tcBorders>
          </w:tcPr>
          <w:p w:rsidR="009C1C1C" w:rsidRPr="005F6BC2" w:rsidP="006B48CA" w14:paraId="69D012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202,125</w:t>
            </w:r>
          </w:p>
        </w:tc>
        <w:tc>
          <w:tcPr>
            <w:tcW w:w="1170" w:type="dxa"/>
            <w:tcBorders>
              <w:top w:val="single" w:sz="6" w:space="0" w:color="auto"/>
              <w:left w:val="single" w:sz="6" w:space="0" w:color="auto"/>
              <w:bottom w:val="double" w:sz="4" w:space="0" w:color="auto"/>
            </w:tcBorders>
          </w:tcPr>
          <w:p w:rsidR="009C1C1C" w:rsidRPr="005F6BC2" w:rsidP="006B48CA" w14:paraId="6E5EAE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208,683</w:t>
            </w:r>
          </w:p>
        </w:tc>
        <w:tc>
          <w:tcPr>
            <w:tcW w:w="1170" w:type="dxa"/>
            <w:tcBorders>
              <w:top w:val="single" w:sz="6" w:space="0" w:color="auto"/>
              <w:left w:val="single" w:sz="6" w:space="0" w:color="auto"/>
              <w:bottom w:val="double" w:sz="4" w:space="0" w:color="auto"/>
              <w:right w:val="single" w:sz="6" w:space="0" w:color="auto"/>
            </w:tcBorders>
          </w:tcPr>
          <w:p w:rsidR="009C1C1C" w:rsidRPr="005F6BC2" w:rsidP="006B48CA" w14:paraId="41609B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304</w:t>
            </w:r>
          </w:p>
        </w:tc>
        <w:tc>
          <w:tcPr>
            <w:tcW w:w="990" w:type="dxa"/>
            <w:tcBorders>
              <w:top w:val="single" w:sz="6" w:space="0" w:color="auto"/>
              <w:left w:val="single" w:sz="6" w:space="0" w:color="auto"/>
              <w:bottom w:val="double" w:sz="4" w:space="0" w:color="auto"/>
            </w:tcBorders>
          </w:tcPr>
          <w:p w:rsidR="009C1C1C" w:rsidRPr="005F6BC2" w:rsidP="006B48CA" w14:paraId="32444B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300</w:t>
            </w:r>
          </w:p>
        </w:tc>
        <w:tc>
          <w:tcPr>
            <w:tcW w:w="1170" w:type="dxa"/>
            <w:tcBorders>
              <w:top w:val="single" w:sz="6" w:space="0" w:color="auto"/>
              <w:left w:val="single" w:sz="6" w:space="0" w:color="auto"/>
              <w:bottom w:val="double" w:sz="4" w:space="0" w:color="auto"/>
              <w:right w:val="double" w:sz="6" w:space="0" w:color="auto"/>
            </w:tcBorders>
          </w:tcPr>
          <w:p w:rsidR="009C1C1C" w:rsidRPr="005F6BC2" w:rsidP="006B48CA" w14:paraId="0105C8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208,000</w:t>
            </w:r>
          </w:p>
        </w:tc>
      </w:tr>
      <w:tr w14:paraId="5836098D" w14:textId="77777777" w:rsidTr="006B48CA">
        <w:tblPrEx>
          <w:tblW w:w="10350" w:type="dxa"/>
          <w:tblInd w:w="-563" w:type="dxa"/>
          <w:tblLayout w:type="fixed"/>
          <w:tblCellMar>
            <w:left w:w="30" w:type="dxa"/>
            <w:right w:w="30" w:type="dxa"/>
          </w:tblCellMar>
          <w:tblLook w:val="0000"/>
        </w:tblPrEx>
        <w:tc>
          <w:tcPr>
            <w:tcW w:w="2520" w:type="dxa"/>
            <w:tcBorders>
              <w:top w:val="double" w:sz="4" w:space="0" w:color="auto"/>
              <w:left w:val="double" w:sz="6" w:space="0" w:color="auto"/>
              <w:bottom w:val="single" w:sz="4" w:space="0" w:color="auto"/>
            </w:tcBorders>
          </w:tcPr>
          <w:p w:rsidR="009C1C1C" w:rsidRPr="005F6BC2" w:rsidP="006B48CA" w14:paraId="0ACF17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Cable TV Systems, including IPTV </w:t>
            </w:r>
          </w:p>
        </w:tc>
        <w:tc>
          <w:tcPr>
            <w:tcW w:w="1620" w:type="dxa"/>
            <w:tcBorders>
              <w:top w:val="double" w:sz="4" w:space="0" w:color="auto"/>
              <w:left w:val="single" w:sz="6" w:space="0" w:color="auto"/>
              <w:bottom w:val="single" w:sz="4" w:space="0" w:color="auto"/>
            </w:tcBorders>
          </w:tcPr>
          <w:p w:rsidR="009C1C1C" w:rsidRPr="005F6BC2" w:rsidP="006B48CA" w14:paraId="45B8B8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55,500,000</w:t>
            </w:r>
            <w:r w:rsidRPr="005F6BC2">
              <w:rPr>
                <w:szCs w:val="22"/>
              </w:rPr>
              <w:t xml:space="preserve"> </w:t>
            </w:r>
          </w:p>
        </w:tc>
        <w:tc>
          <w:tcPr>
            <w:tcW w:w="450" w:type="dxa"/>
            <w:tcBorders>
              <w:top w:val="double" w:sz="4" w:space="0" w:color="auto"/>
              <w:left w:val="single" w:sz="6" w:space="0" w:color="auto"/>
              <w:bottom w:val="single" w:sz="4" w:space="0" w:color="auto"/>
            </w:tcBorders>
          </w:tcPr>
          <w:p w:rsidR="009C1C1C" w:rsidRPr="005F6BC2" w:rsidP="006B48CA" w14:paraId="5A8B8F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double" w:sz="4" w:space="0" w:color="auto"/>
              <w:left w:val="single" w:sz="6" w:space="0" w:color="auto"/>
              <w:bottom w:val="single" w:sz="4" w:space="0" w:color="auto"/>
            </w:tcBorders>
          </w:tcPr>
          <w:p w:rsidR="009C1C1C" w:rsidRPr="005F6BC2" w:rsidP="006B48CA" w14:paraId="37080D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49,020,000</w:t>
            </w:r>
          </w:p>
        </w:tc>
        <w:tc>
          <w:tcPr>
            <w:tcW w:w="1170" w:type="dxa"/>
            <w:tcBorders>
              <w:top w:val="double" w:sz="4" w:space="0" w:color="auto"/>
              <w:left w:val="single" w:sz="6" w:space="0" w:color="auto"/>
              <w:bottom w:val="single" w:sz="4" w:space="0" w:color="auto"/>
            </w:tcBorders>
          </w:tcPr>
          <w:p w:rsidR="009C1C1C" w:rsidRPr="005F6BC2" w:rsidP="006B48CA" w14:paraId="4AEE2C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49,207,472</w:t>
            </w:r>
          </w:p>
        </w:tc>
        <w:tc>
          <w:tcPr>
            <w:tcW w:w="1170" w:type="dxa"/>
            <w:tcBorders>
              <w:top w:val="double" w:sz="4" w:space="0" w:color="auto"/>
              <w:left w:val="single" w:sz="6" w:space="0" w:color="auto"/>
              <w:bottom w:val="single" w:sz="4" w:space="0" w:color="auto"/>
              <w:right w:val="single" w:sz="6" w:space="0" w:color="auto"/>
            </w:tcBorders>
          </w:tcPr>
          <w:p w:rsidR="009C1C1C" w:rsidRPr="005F6BC2" w:rsidP="006B48CA" w14:paraId="2E386E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w:t>
            </w:r>
            <w:r>
              <w:rPr>
                <w:szCs w:val="22"/>
              </w:rPr>
              <w:t>887</w:t>
            </w:r>
          </w:p>
        </w:tc>
        <w:tc>
          <w:tcPr>
            <w:tcW w:w="990" w:type="dxa"/>
            <w:tcBorders>
              <w:top w:val="double" w:sz="4" w:space="0" w:color="auto"/>
              <w:left w:val="single" w:sz="6" w:space="0" w:color="auto"/>
              <w:bottom w:val="single" w:sz="4" w:space="0" w:color="auto"/>
            </w:tcBorders>
          </w:tcPr>
          <w:p w:rsidR="009C1C1C" w:rsidRPr="005F6BC2" w:rsidP="006B48CA" w14:paraId="4605B4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w:t>
            </w:r>
            <w:r>
              <w:rPr>
                <w:szCs w:val="22"/>
              </w:rPr>
              <w:t>89</w:t>
            </w:r>
          </w:p>
        </w:tc>
        <w:tc>
          <w:tcPr>
            <w:tcW w:w="1170" w:type="dxa"/>
            <w:tcBorders>
              <w:top w:val="double" w:sz="4" w:space="0" w:color="auto"/>
              <w:left w:val="single" w:sz="6" w:space="0" w:color="auto"/>
              <w:bottom w:val="single" w:sz="4" w:space="0" w:color="auto"/>
              <w:right w:val="double" w:sz="6" w:space="0" w:color="auto"/>
            </w:tcBorders>
          </w:tcPr>
          <w:p w:rsidR="009C1C1C" w:rsidRPr="005F6BC2" w:rsidP="006B48CA" w14:paraId="63F20E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49,395,000</w:t>
            </w:r>
          </w:p>
        </w:tc>
      </w:tr>
      <w:tr w14:paraId="02BB3EBE" w14:textId="77777777" w:rsidTr="006B48CA">
        <w:tblPrEx>
          <w:tblW w:w="10350" w:type="dxa"/>
          <w:tblInd w:w="-563" w:type="dxa"/>
          <w:tblLayout w:type="fixed"/>
          <w:tblCellMar>
            <w:left w:w="30" w:type="dxa"/>
            <w:right w:w="30" w:type="dxa"/>
          </w:tblCellMar>
          <w:tblLook w:val="0000"/>
        </w:tblPrEx>
        <w:tc>
          <w:tcPr>
            <w:tcW w:w="2520" w:type="dxa"/>
            <w:tcBorders>
              <w:top w:val="single" w:sz="4" w:space="0" w:color="auto"/>
              <w:left w:val="double" w:sz="6" w:space="0" w:color="auto"/>
            </w:tcBorders>
          </w:tcPr>
          <w:p w:rsidR="009C1C1C" w:rsidRPr="005F6BC2" w:rsidP="006B48CA" w14:paraId="2C1959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Direct Broadcast Satellite (DBS)</w:t>
            </w:r>
          </w:p>
        </w:tc>
        <w:tc>
          <w:tcPr>
            <w:tcW w:w="1620" w:type="dxa"/>
            <w:tcBorders>
              <w:top w:val="single" w:sz="4" w:space="0" w:color="auto"/>
              <w:left w:val="single" w:sz="6" w:space="0" w:color="auto"/>
            </w:tcBorders>
          </w:tcPr>
          <w:p w:rsidR="009C1C1C" w:rsidRPr="005F6BC2" w:rsidP="006B48CA" w14:paraId="639B2A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27,800,000</w:t>
            </w:r>
          </w:p>
        </w:tc>
        <w:tc>
          <w:tcPr>
            <w:tcW w:w="450" w:type="dxa"/>
            <w:tcBorders>
              <w:top w:val="single" w:sz="4" w:space="0" w:color="auto"/>
              <w:left w:val="single" w:sz="6" w:space="0" w:color="auto"/>
            </w:tcBorders>
          </w:tcPr>
          <w:p w:rsidR="009C1C1C" w:rsidRPr="005F6BC2" w:rsidP="006B48CA" w14:paraId="52C85D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4" w:space="0" w:color="auto"/>
              <w:left w:val="single" w:sz="6" w:space="0" w:color="auto"/>
            </w:tcBorders>
          </w:tcPr>
          <w:p w:rsidR="009C1C1C" w:rsidRPr="005F6BC2" w:rsidP="006B48CA" w14:paraId="6BC011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18,000,000</w:t>
            </w:r>
          </w:p>
        </w:tc>
        <w:tc>
          <w:tcPr>
            <w:tcW w:w="1170" w:type="dxa"/>
            <w:tcBorders>
              <w:top w:val="single" w:sz="4" w:space="0" w:color="auto"/>
              <w:left w:val="single" w:sz="6" w:space="0" w:color="auto"/>
            </w:tcBorders>
          </w:tcPr>
          <w:p w:rsidR="009C1C1C" w:rsidRPr="005F6BC2" w:rsidP="006B48CA" w14:paraId="427A4A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20,117,050</w:t>
            </w:r>
          </w:p>
        </w:tc>
        <w:tc>
          <w:tcPr>
            <w:tcW w:w="1170" w:type="dxa"/>
            <w:tcBorders>
              <w:top w:val="single" w:sz="4" w:space="0" w:color="auto"/>
              <w:left w:val="single" w:sz="6" w:space="0" w:color="auto"/>
              <w:right w:val="single" w:sz="6" w:space="0" w:color="auto"/>
            </w:tcBorders>
          </w:tcPr>
          <w:p w:rsidR="009C1C1C" w:rsidRPr="005F6BC2" w:rsidP="006B48CA" w14:paraId="68782E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.724</w:t>
            </w:r>
          </w:p>
        </w:tc>
        <w:tc>
          <w:tcPr>
            <w:tcW w:w="990" w:type="dxa"/>
            <w:tcBorders>
              <w:top w:val="single" w:sz="4" w:space="0" w:color="auto"/>
              <w:left w:val="single" w:sz="6" w:space="0" w:color="auto"/>
            </w:tcBorders>
          </w:tcPr>
          <w:p w:rsidR="009C1C1C" w:rsidRPr="005F6BC2" w:rsidP="006B48CA" w14:paraId="659E3F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w:t>
            </w:r>
            <w:r>
              <w:rPr>
                <w:szCs w:val="22"/>
              </w:rPr>
              <w:t>72</w:t>
            </w:r>
          </w:p>
        </w:tc>
        <w:tc>
          <w:tcPr>
            <w:tcW w:w="1170" w:type="dxa"/>
            <w:tcBorders>
              <w:top w:val="single" w:sz="4" w:space="0" w:color="auto"/>
              <w:left w:val="single" w:sz="6" w:space="0" w:color="auto"/>
              <w:right w:val="double" w:sz="6" w:space="0" w:color="auto"/>
            </w:tcBorders>
          </w:tcPr>
          <w:p w:rsidR="009C1C1C" w:rsidRPr="005F6BC2" w:rsidP="006B48CA" w14:paraId="02E769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20,116,000</w:t>
            </w:r>
          </w:p>
        </w:tc>
      </w:tr>
      <w:tr w14:paraId="1838B7A8"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6462AC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Interstate Telecommunication Service Providers</w:t>
            </w:r>
          </w:p>
        </w:tc>
        <w:tc>
          <w:tcPr>
            <w:tcW w:w="1620" w:type="dxa"/>
            <w:tcBorders>
              <w:top w:val="single" w:sz="6" w:space="0" w:color="auto"/>
              <w:left w:val="single" w:sz="6" w:space="0" w:color="auto"/>
            </w:tcBorders>
          </w:tcPr>
          <w:p w:rsidR="009C1C1C" w:rsidRPr="005F6BC2" w:rsidP="006B48CA" w14:paraId="3880CB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$30,700,000,000</w:t>
            </w:r>
          </w:p>
        </w:tc>
        <w:tc>
          <w:tcPr>
            <w:tcW w:w="450" w:type="dxa"/>
            <w:tcBorders>
              <w:top w:val="single" w:sz="6" w:space="0" w:color="auto"/>
              <w:left w:val="single" w:sz="6" w:space="0" w:color="auto"/>
            </w:tcBorders>
          </w:tcPr>
          <w:p w:rsidR="009C1C1C" w:rsidRPr="005F6BC2" w:rsidP="006B48CA" w14:paraId="400C66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36C1B3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102,708,000</w:t>
            </w:r>
          </w:p>
        </w:tc>
        <w:tc>
          <w:tcPr>
            <w:tcW w:w="1170" w:type="dxa"/>
            <w:tcBorders>
              <w:top w:val="single" w:sz="6" w:space="0" w:color="auto"/>
              <w:left w:val="single" w:sz="6" w:space="0" w:color="auto"/>
            </w:tcBorders>
          </w:tcPr>
          <w:p w:rsidR="009C1C1C" w:rsidRPr="005F6BC2" w:rsidP="006B48CA" w14:paraId="401871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98,504,384</w:t>
            </w:r>
          </w:p>
        </w:tc>
        <w:tc>
          <w:tcPr>
            <w:tcW w:w="1170" w:type="dxa"/>
            <w:tcBorders>
              <w:top w:val="single" w:sz="6" w:space="0" w:color="auto"/>
              <w:left w:val="single" w:sz="6" w:space="0" w:color="auto"/>
              <w:right w:val="single" w:sz="6" w:space="0" w:color="auto"/>
            </w:tcBorders>
          </w:tcPr>
          <w:p w:rsidR="009C1C1C" w:rsidRPr="005F6BC2" w:rsidP="006B48CA" w14:paraId="04B636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0.003</w:t>
            </w:r>
            <w:r>
              <w:rPr>
                <w:szCs w:val="22"/>
              </w:rPr>
              <w:t>209</w:t>
            </w:r>
          </w:p>
        </w:tc>
        <w:tc>
          <w:tcPr>
            <w:tcW w:w="990" w:type="dxa"/>
            <w:tcBorders>
              <w:top w:val="single" w:sz="6" w:space="0" w:color="auto"/>
              <w:left w:val="single" w:sz="6" w:space="0" w:color="auto"/>
            </w:tcBorders>
          </w:tcPr>
          <w:p w:rsidR="009C1C1C" w:rsidRPr="005F6BC2" w:rsidP="006B48CA" w14:paraId="5D601A1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0.003</w:t>
            </w:r>
            <w:r>
              <w:rPr>
                <w:szCs w:val="22"/>
              </w:rPr>
              <w:t>21</w:t>
            </w:r>
          </w:p>
        </w:tc>
        <w:tc>
          <w:tcPr>
            <w:tcW w:w="1170" w:type="dxa"/>
            <w:tcBorders>
              <w:top w:val="single" w:sz="6" w:space="0" w:color="auto"/>
              <w:left w:val="single" w:sz="6" w:space="0" w:color="auto"/>
              <w:right w:val="double" w:sz="6" w:space="0" w:color="auto"/>
            </w:tcBorders>
          </w:tcPr>
          <w:p w:rsidR="009C1C1C" w:rsidRPr="005F6BC2" w:rsidP="006B48CA" w14:paraId="4AD63E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98,547,000</w:t>
            </w:r>
          </w:p>
        </w:tc>
      </w:tr>
      <w:tr w14:paraId="336B6419"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52EA6C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Toll Free Numbers</w:t>
            </w:r>
          </w:p>
        </w:tc>
        <w:tc>
          <w:tcPr>
            <w:tcW w:w="1620" w:type="dxa"/>
            <w:tcBorders>
              <w:top w:val="single" w:sz="6" w:space="0" w:color="auto"/>
              <w:left w:val="single" w:sz="6" w:space="0" w:color="auto"/>
            </w:tcBorders>
          </w:tcPr>
          <w:p w:rsidR="009C1C1C" w:rsidRPr="005F6BC2" w:rsidP="006B48CA" w14:paraId="06493E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33,000,000</w:t>
            </w:r>
          </w:p>
        </w:tc>
        <w:tc>
          <w:tcPr>
            <w:tcW w:w="450" w:type="dxa"/>
            <w:tcBorders>
              <w:top w:val="single" w:sz="6" w:space="0" w:color="auto"/>
              <w:left w:val="single" w:sz="6" w:space="0" w:color="auto"/>
            </w:tcBorders>
          </w:tcPr>
          <w:p w:rsidR="009C1C1C" w:rsidRPr="005F6BC2" w:rsidP="006B48CA" w14:paraId="430007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9C1C1C" w:rsidRPr="005F6BC2" w:rsidP="006B48CA" w14:paraId="732AC2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3,960,000</w:t>
            </w:r>
          </w:p>
        </w:tc>
        <w:tc>
          <w:tcPr>
            <w:tcW w:w="1170" w:type="dxa"/>
            <w:tcBorders>
              <w:top w:val="single" w:sz="6" w:space="0" w:color="auto"/>
              <w:left w:val="single" w:sz="6" w:space="0" w:color="auto"/>
            </w:tcBorders>
          </w:tcPr>
          <w:p w:rsidR="009C1C1C" w:rsidRPr="005F6BC2" w:rsidP="006B48CA" w14:paraId="4A76C4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3,975,316</w:t>
            </w:r>
          </w:p>
        </w:tc>
        <w:tc>
          <w:tcPr>
            <w:tcW w:w="1170" w:type="dxa"/>
            <w:tcBorders>
              <w:top w:val="single" w:sz="6" w:space="0" w:color="auto"/>
              <w:left w:val="single" w:sz="6" w:space="0" w:color="auto"/>
              <w:right w:val="single" w:sz="6" w:space="0" w:color="auto"/>
            </w:tcBorders>
          </w:tcPr>
          <w:p w:rsidR="009C1C1C" w:rsidRPr="005F6BC2" w:rsidP="006B48CA" w14:paraId="495CAF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w:t>
            </w:r>
            <w:r>
              <w:rPr>
                <w:szCs w:val="22"/>
              </w:rPr>
              <w:t>205</w:t>
            </w:r>
          </w:p>
        </w:tc>
        <w:tc>
          <w:tcPr>
            <w:tcW w:w="990" w:type="dxa"/>
            <w:tcBorders>
              <w:top w:val="single" w:sz="6" w:space="0" w:color="auto"/>
              <w:left w:val="single" w:sz="6" w:space="0" w:color="auto"/>
            </w:tcBorders>
          </w:tcPr>
          <w:p w:rsidR="009C1C1C" w:rsidRPr="005F6BC2" w:rsidP="006B48CA" w14:paraId="03C49A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0.12</w:t>
            </w:r>
          </w:p>
        </w:tc>
        <w:tc>
          <w:tcPr>
            <w:tcW w:w="1170" w:type="dxa"/>
            <w:tcBorders>
              <w:top w:val="single" w:sz="6" w:space="0" w:color="auto"/>
              <w:left w:val="single" w:sz="6" w:space="0" w:color="auto"/>
              <w:right w:val="double" w:sz="6" w:space="0" w:color="auto"/>
            </w:tcBorders>
          </w:tcPr>
          <w:p w:rsidR="009C1C1C" w:rsidRPr="005F6BC2" w:rsidP="006B48CA" w14:paraId="286485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3,960,000</w:t>
            </w:r>
          </w:p>
        </w:tc>
      </w:tr>
      <w:tr w14:paraId="248ED703"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39EBF50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CMRS Mobile Services (Cellular/Public Mobile)</w:t>
            </w:r>
          </w:p>
        </w:tc>
        <w:tc>
          <w:tcPr>
            <w:tcW w:w="1620" w:type="dxa"/>
            <w:tcBorders>
              <w:top w:val="single" w:sz="6" w:space="0" w:color="auto"/>
              <w:left w:val="single" w:sz="6" w:space="0" w:color="auto"/>
            </w:tcBorders>
          </w:tcPr>
          <w:p w:rsidR="009C1C1C" w:rsidRPr="005F6BC2" w:rsidP="006B48CA" w14:paraId="2C235D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42</w:t>
            </w:r>
            <w:r>
              <w:rPr>
                <w:szCs w:val="22"/>
              </w:rPr>
              <w:t>5</w:t>
            </w:r>
            <w:r w:rsidRPr="005F6BC2">
              <w:rPr>
                <w:szCs w:val="22"/>
              </w:rPr>
              <w:t xml:space="preserve">,000,000 </w:t>
            </w:r>
          </w:p>
        </w:tc>
        <w:tc>
          <w:tcPr>
            <w:tcW w:w="450" w:type="dxa"/>
            <w:tcBorders>
              <w:top w:val="single" w:sz="6" w:space="0" w:color="auto"/>
              <w:left w:val="single" w:sz="6" w:space="0" w:color="auto"/>
            </w:tcBorders>
          </w:tcPr>
          <w:p w:rsidR="009C1C1C" w:rsidRPr="005F6BC2" w:rsidP="006B48CA" w14:paraId="63C47A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0397121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79,990,000</w:t>
            </w:r>
          </w:p>
        </w:tc>
        <w:tc>
          <w:tcPr>
            <w:tcW w:w="1170" w:type="dxa"/>
            <w:tcBorders>
              <w:top w:val="single" w:sz="6" w:space="0" w:color="auto"/>
              <w:left w:val="single" w:sz="6" w:space="0" w:color="auto"/>
            </w:tcBorders>
          </w:tcPr>
          <w:p w:rsidR="009C1C1C" w:rsidRPr="005F6BC2" w:rsidP="006B48CA" w14:paraId="559E8B3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72,127,369</w:t>
            </w:r>
          </w:p>
        </w:tc>
        <w:tc>
          <w:tcPr>
            <w:tcW w:w="1170" w:type="dxa"/>
            <w:tcBorders>
              <w:top w:val="single" w:sz="6" w:space="0" w:color="auto"/>
              <w:left w:val="single" w:sz="6" w:space="0" w:color="auto"/>
              <w:right w:val="single" w:sz="6" w:space="0" w:color="auto"/>
            </w:tcBorders>
          </w:tcPr>
          <w:p w:rsidR="009C1C1C" w:rsidRPr="005F6BC2" w:rsidP="006B48CA" w14:paraId="3E4FD56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w:t>
            </w:r>
            <w:r>
              <w:rPr>
                <w:szCs w:val="22"/>
              </w:rPr>
              <w:t>697</w:t>
            </w:r>
          </w:p>
        </w:tc>
        <w:tc>
          <w:tcPr>
            <w:tcW w:w="990" w:type="dxa"/>
            <w:tcBorders>
              <w:top w:val="single" w:sz="6" w:space="0" w:color="auto"/>
              <w:left w:val="single" w:sz="6" w:space="0" w:color="auto"/>
            </w:tcBorders>
          </w:tcPr>
          <w:p w:rsidR="009C1C1C" w:rsidRPr="005F6BC2" w:rsidP="006B48CA" w14:paraId="17B9FB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w:t>
            </w:r>
            <w:r>
              <w:rPr>
                <w:szCs w:val="22"/>
              </w:rPr>
              <w:t>7</w:t>
            </w:r>
          </w:p>
        </w:tc>
        <w:tc>
          <w:tcPr>
            <w:tcW w:w="1170" w:type="dxa"/>
            <w:tcBorders>
              <w:top w:val="single" w:sz="6" w:space="0" w:color="auto"/>
              <w:left w:val="single" w:sz="6" w:space="0" w:color="auto"/>
              <w:right w:val="double" w:sz="6" w:space="0" w:color="auto"/>
            </w:tcBorders>
          </w:tcPr>
          <w:p w:rsidR="009C1C1C" w:rsidRPr="005F6BC2" w:rsidP="006B48CA" w14:paraId="550464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72,250,000</w:t>
            </w:r>
          </w:p>
        </w:tc>
      </w:tr>
      <w:tr w14:paraId="0631DD01"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16DB67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CMRS Messag</w:t>
            </w:r>
            <w:r>
              <w:rPr>
                <w:szCs w:val="22"/>
              </w:rPr>
              <w:t>ing</w:t>
            </w:r>
            <w:r w:rsidRPr="005F6BC2">
              <w:rPr>
                <w:szCs w:val="22"/>
              </w:rPr>
              <w:t xml:space="preserve"> Services</w:t>
            </w:r>
          </w:p>
        </w:tc>
        <w:tc>
          <w:tcPr>
            <w:tcW w:w="1620" w:type="dxa"/>
            <w:tcBorders>
              <w:top w:val="single" w:sz="6" w:space="0" w:color="auto"/>
              <w:left w:val="single" w:sz="6" w:space="0" w:color="auto"/>
            </w:tcBorders>
          </w:tcPr>
          <w:p w:rsidR="009C1C1C" w:rsidRPr="005F6BC2" w:rsidP="006B48CA" w14:paraId="7A1508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1,900,000 </w:t>
            </w:r>
          </w:p>
        </w:tc>
        <w:tc>
          <w:tcPr>
            <w:tcW w:w="450" w:type="dxa"/>
            <w:tcBorders>
              <w:top w:val="single" w:sz="6" w:space="0" w:color="auto"/>
              <w:left w:val="single" w:sz="6" w:space="0" w:color="auto"/>
            </w:tcBorders>
          </w:tcPr>
          <w:p w:rsidR="009C1C1C" w:rsidRPr="005F6BC2" w:rsidP="006B48CA" w14:paraId="13EC23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652361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c>
          <w:tcPr>
            <w:tcW w:w="1170" w:type="dxa"/>
            <w:tcBorders>
              <w:top w:val="single" w:sz="6" w:space="0" w:color="auto"/>
              <w:left w:val="single" w:sz="6" w:space="0" w:color="auto"/>
            </w:tcBorders>
          </w:tcPr>
          <w:p w:rsidR="009C1C1C" w:rsidRPr="005F6BC2" w:rsidP="006B48CA" w14:paraId="195D57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c>
          <w:tcPr>
            <w:tcW w:w="1170" w:type="dxa"/>
            <w:tcBorders>
              <w:top w:val="single" w:sz="6" w:space="0" w:color="auto"/>
              <w:left w:val="single" w:sz="6" w:space="0" w:color="auto"/>
              <w:right w:val="single" w:sz="6" w:space="0" w:color="auto"/>
            </w:tcBorders>
          </w:tcPr>
          <w:p w:rsidR="009C1C1C" w:rsidRPr="005F6BC2" w:rsidP="006B48CA" w14:paraId="2CF99A2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0.0800</w:t>
            </w:r>
          </w:p>
        </w:tc>
        <w:tc>
          <w:tcPr>
            <w:tcW w:w="990" w:type="dxa"/>
            <w:tcBorders>
              <w:top w:val="single" w:sz="6" w:space="0" w:color="auto"/>
              <w:left w:val="single" w:sz="6" w:space="0" w:color="auto"/>
            </w:tcBorders>
          </w:tcPr>
          <w:p w:rsidR="009C1C1C" w:rsidRPr="005F6BC2" w:rsidP="006B48CA" w14:paraId="7E9CCD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0.080</w:t>
            </w:r>
          </w:p>
        </w:tc>
        <w:tc>
          <w:tcPr>
            <w:tcW w:w="1170" w:type="dxa"/>
            <w:tcBorders>
              <w:top w:val="single" w:sz="6" w:space="0" w:color="auto"/>
              <w:left w:val="single" w:sz="6" w:space="0" w:color="auto"/>
              <w:right w:val="double" w:sz="6" w:space="0" w:color="auto"/>
            </w:tcBorders>
          </w:tcPr>
          <w:p w:rsidR="009C1C1C" w:rsidRPr="005F6BC2" w:rsidP="006B48CA" w14:paraId="607511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r>
      <w:tr w14:paraId="7F8558A8"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41F8137B"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BRS/</w:t>
            </w:r>
            <w:r w:rsidRPr="005F6BC2">
              <w:rPr>
                <w:szCs w:val="22"/>
                <w:vertAlign w:val="superscript"/>
              </w:rPr>
              <w:t>3</w:t>
            </w:r>
          </w:p>
          <w:p w:rsidR="009C1C1C" w:rsidRPr="005F6BC2" w:rsidP="006B48CA" w14:paraId="65101E4A"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LMDS </w:t>
            </w:r>
          </w:p>
          <w:p w:rsidR="009C1C1C" w:rsidRPr="005F6BC2" w:rsidP="006B48CA" w14:paraId="3666D719"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9C1C1C" w:rsidRPr="005F6BC2" w:rsidP="006B48CA" w14:paraId="2256A8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w:t>
            </w:r>
            <w:r>
              <w:rPr>
                <w:szCs w:val="22"/>
              </w:rPr>
              <w:t>8</w:t>
            </w:r>
            <w:r w:rsidRPr="005F6BC2">
              <w:rPr>
                <w:szCs w:val="22"/>
              </w:rPr>
              <w:t>0</w:t>
            </w:r>
          </w:p>
          <w:p w:rsidR="009C1C1C" w:rsidRPr="005F6BC2" w:rsidP="006B48CA" w14:paraId="7180CA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5F6BC2">
              <w:rPr>
                <w:szCs w:val="22"/>
              </w:rPr>
              <w:t>40</w:t>
            </w:r>
          </w:p>
          <w:p w:rsidR="009C1C1C" w:rsidRPr="005F6BC2" w:rsidP="006B48CA" w14:paraId="74E886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9C1C1C" w:rsidRPr="005F6BC2" w:rsidP="006B48CA" w14:paraId="17723F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p w:rsidR="009C1C1C" w:rsidRPr="005F6BC2" w:rsidP="006B48CA" w14:paraId="1500C8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p w:rsidR="009C1C1C" w:rsidRPr="005F6BC2" w:rsidP="006B48CA" w14:paraId="5A225A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9C1C1C" w:rsidRPr="005F6BC2" w:rsidP="006B48CA" w14:paraId="7303FC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869,400</w:t>
            </w:r>
          </w:p>
          <w:p w:rsidR="009C1C1C" w:rsidRPr="005F6BC2" w:rsidP="006B48CA" w14:paraId="7AF28B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96,600</w:t>
            </w:r>
          </w:p>
        </w:tc>
        <w:tc>
          <w:tcPr>
            <w:tcW w:w="1170" w:type="dxa"/>
            <w:tcBorders>
              <w:top w:val="single" w:sz="6" w:space="0" w:color="auto"/>
              <w:left w:val="single" w:sz="6" w:space="0" w:color="auto"/>
            </w:tcBorders>
          </w:tcPr>
          <w:p w:rsidR="009C1C1C" w:rsidRPr="005F6BC2" w:rsidP="006B48CA" w14:paraId="45D81D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716,800</w:t>
            </w:r>
          </w:p>
          <w:p w:rsidR="009C1C1C" w:rsidRPr="005F6BC2" w:rsidP="006B48CA" w14:paraId="0EFC77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190,400</w:t>
            </w:r>
          </w:p>
        </w:tc>
        <w:tc>
          <w:tcPr>
            <w:tcW w:w="1170" w:type="dxa"/>
            <w:tcBorders>
              <w:top w:val="single" w:sz="6" w:space="0" w:color="auto"/>
              <w:left w:val="single" w:sz="6" w:space="0" w:color="auto"/>
              <w:right w:val="single" w:sz="6" w:space="0" w:color="auto"/>
            </w:tcBorders>
          </w:tcPr>
          <w:p w:rsidR="009C1C1C" w:rsidRPr="005F6BC2" w:rsidP="006B48CA" w14:paraId="0685FE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p w:rsidR="009C1C1C" w:rsidRPr="005F6BC2" w:rsidP="006B48CA" w14:paraId="5D7DA7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tc>
        <w:tc>
          <w:tcPr>
            <w:tcW w:w="990" w:type="dxa"/>
            <w:tcBorders>
              <w:top w:val="single" w:sz="6" w:space="0" w:color="auto"/>
              <w:left w:val="single" w:sz="6" w:space="0" w:color="auto"/>
            </w:tcBorders>
          </w:tcPr>
          <w:p w:rsidR="009C1C1C" w:rsidRPr="005F6BC2" w:rsidP="006B48CA" w14:paraId="38A23D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p w:rsidR="009C1C1C" w:rsidRPr="005F6BC2" w:rsidP="006B48CA" w14:paraId="433041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p w:rsidR="009C1C1C" w:rsidRPr="005F6BC2" w:rsidP="006B48CA" w14:paraId="2D51FA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9C1C1C" w:rsidRPr="005F6BC2" w:rsidP="006B48CA" w14:paraId="3D0F71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716,800</w:t>
            </w:r>
          </w:p>
          <w:p w:rsidR="009C1C1C" w:rsidRPr="005F6BC2" w:rsidP="006B48CA" w14:paraId="147C4C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190,400</w:t>
            </w:r>
          </w:p>
        </w:tc>
      </w:tr>
      <w:tr w14:paraId="71FFC6BA"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39A7347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 xml:space="preserve">Per Gbps circuit Int’l Bearer Circuits </w:t>
            </w:r>
          </w:p>
          <w:p w:rsidR="009C1C1C" w:rsidRPr="005F6BC2" w:rsidP="006B48CA" w14:paraId="5E93C6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Terrestrial (Common &amp; Non-Common) &amp; Satellite (Common &amp; Non-Common) </w:t>
            </w:r>
          </w:p>
        </w:tc>
        <w:tc>
          <w:tcPr>
            <w:tcW w:w="1620" w:type="dxa"/>
            <w:tcBorders>
              <w:top w:val="single" w:sz="6" w:space="0" w:color="auto"/>
              <w:left w:val="single" w:sz="6" w:space="0" w:color="auto"/>
            </w:tcBorders>
          </w:tcPr>
          <w:p w:rsidR="009C1C1C" w:rsidRPr="005F6BC2" w:rsidP="006B48CA" w14:paraId="662DCC8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10,700</w:t>
            </w:r>
            <w:r w:rsidRPr="005F6BC2">
              <w:rPr>
                <w:szCs w:val="22"/>
              </w:rPr>
              <w:t xml:space="preserve"> </w:t>
            </w:r>
          </w:p>
        </w:tc>
        <w:tc>
          <w:tcPr>
            <w:tcW w:w="450" w:type="dxa"/>
            <w:tcBorders>
              <w:top w:val="single" w:sz="6" w:space="0" w:color="auto"/>
              <w:left w:val="single" w:sz="6" w:space="0" w:color="auto"/>
            </w:tcBorders>
          </w:tcPr>
          <w:p w:rsidR="009C1C1C" w:rsidRPr="005F6BC2" w:rsidP="006B48CA" w14:paraId="060C42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1F6840F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900,240</w:t>
            </w:r>
          </w:p>
        </w:tc>
        <w:tc>
          <w:tcPr>
            <w:tcW w:w="1170" w:type="dxa"/>
            <w:tcBorders>
              <w:top w:val="single" w:sz="6" w:space="0" w:color="auto"/>
              <w:left w:val="single" w:sz="6" w:space="0" w:color="auto"/>
            </w:tcBorders>
          </w:tcPr>
          <w:p w:rsidR="009C1C1C" w:rsidRPr="005F6BC2" w:rsidP="006B48CA" w14:paraId="7D923A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436,293</w:t>
            </w:r>
          </w:p>
        </w:tc>
        <w:tc>
          <w:tcPr>
            <w:tcW w:w="1170" w:type="dxa"/>
            <w:tcBorders>
              <w:top w:val="single" w:sz="6" w:space="0" w:color="auto"/>
              <w:left w:val="single" w:sz="6" w:space="0" w:color="auto"/>
              <w:right w:val="single" w:sz="6" w:space="0" w:color="auto"/>
            </w:tcBorders>
          </w:tcPr>
          <w:p w:rsidR="009C1C1C" w:rsidRPr="005F6BC2" w:rsidP="006B48CA" w14:paraId="6DD350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40.8</w:t>
            </w:r>
          </w:p>
        </w:tc>
        <w:tc>
          <w:tcPr>
            <w:tcW w:w="990" w:type="dxa"/>
            <w:tcBorders>
              <w:top w:val="single" w:sz="6" w:space="0" w:color="auto"/>
              <w:left w:val="single" w:sz="6" w:space="0" w:color="auto"/>
            </w:tcBorders>
          </w:tcPr>
          <w:p w:rsidR="009C1C1C" w:rsidRPr="005F6BC2" w:rsidP="006B48CA" w14:paraId="5EBB5F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41</w:t>
            </w:r>
          </w:p>
        </w:tc>
        <w:tc>
          <w:tcPr>
            <w:tcW w:w="1170" w:type="dxa"/>
            <w:tcBorders>
              <w:top w:val="single" w:sz="6" w:space="0" w:color="auto"/>
              <w:left w:val="single" w:sz="6" w:space="0" w:color="auto"/>
              <w:right w:val="double" w:sz="6" w:space="0" w:color="auto"/>
            </w:tcBorders>
          </w:tcPr>
          <w:p w:rsidR="009C1C1C" w:rsidRPr="005F6BC2" w:rsidP="006B48CA" w14:paraId="553F21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438,700</w:t>
            </w:r>
          </w:p>
        </w:tc>
      </w:tr>
      <w:tr w14:paraId="6EA1E703"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7C77BBF0" w14:textId="77777777">
            <w:pPr>
              <w:tabs>
                <w:tab w:val="left" w:pos="-1440"/>
                <w:tab w:val="left" w:pos="-720"/>
                <w:tab w:val="left" w:pos="720"/>
                <w:tab w:val="left" w:pos="750"/>
                <w:tab w:val="left" w:pos="1440"/>
                <w:tab w:val="left" w:pos="2160"/>
                <w:tab w:val="left" w:pos="2880"/>
                <w:tab w:val="left" w:pos="3600"/>
                <w:tab w:val="left" w:pos="4680"/>
                <w:tab w:val="left" w:pos="5040"/>
              </w:tabs>
              <w:suppressAutoHyphens/>
              <w:spacing w:after="48"/>
              <w:rPr>
                <w:szCs w:val="22"/>
              </w:rPr>
            </w:pPr>
            <w:r w:rsidRPr="005F6BC2">
              <w:rPr>
                <w:szCs w:val="22"/>
              </w:rPr>
              <w:t xml:space="preserve">Submarine Cable Providers (See chart at bottom of Appendix </w:t>
            </w:r>
            <w:r>
              <w:rPr>
                <w:szCs w:val="22"/>
              </w:rPr>
              <w:t>C</w:t>
            </w:r>
            <w:r w:rsidRPr="005F6BC2">
              <w:rPr>
                <w:szCs w:val="22"/>
              </w:rPr>
              <w:t>)</w:t>
            </w:r>
            <w:r w:rsidRPr="005F6BC2">
              <w:rPr>
                <w:szCs w:val="22"/>
                <w:vertAlign w:val="superscript"/>
              </w:rPr>
              <w:t>4</w:t>
            </w:r>
          </w:p>
        </w:tc>
        <w:tc>
          <w:tcPr>
            <w:tcW w:w="1620" w:type="dxa"/>
            <w:tcBorders>
              <w:top w:val="single" w:sz="6" w:space="0" w:color="auto"/>
              <w:left w:val="single" w:sz="6" w:space="0" w:color="auto"/>
            </w:tcBorders>
          </w:tcPr>
          <w:p w:rsidR="009C1C1C" w:rsidRPr="005F6BC2" w:rsidP="006B48CA" w14:paraId="1871D5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8.5625</w:t>
            </w:r>
          </w:p>
        </w:tc>
        <w:tc>
          <w:tcPr>
            <w:tcW w:w="450" w:type="dxa"/>
            <w:tcBorders>
              <w:top w:val="single" w:sz="6" w:space="0" w:color="auto"/>
              <w:left w:val="single" w:sz="6" w:space="0" w:color="auto"/>
            </w:tcBorders>
          </w:tcPr>
          <w:p w:rsidR="009C1C1C" w:rsidRPr="005F6BC2" w:rsidP="006B48CA" w14:paraId="6216B9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1CCFA9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6,36</w:t>
            </w:r>
            <w:r>
              <w:rPr>
                <w:szCs w:val="22"/>
              </w:rPr>
              <w:t>3</w:t>
            </w:r>
            <w:r w:rsidRPr="005F6BC2">
              <w:rPr>
                <w:szCs w:val="22"/>
              </w:rPr>
              <w:t>,</w:t>
            </w:r>
            <w:r>
              <w:rPr>
                <w:szCs w:val="22"/>
              </w:rPr>
              <w:t>741</w:t>
            </w:r>
          </w:p>
        </w:tc>
        <w:tc>
          <w:tcPr>
            <w:tcW w:w="1170" w:type="dxa"/>
            <w:tcBorders>
              <w:top w:val="single" w:sz="6" w:space="0" w:color="auto"/>
              <w:left w:val="single" w:sz="6" w:space="0" w:color="auto"/>
            </w:tcBorders>
          </w:tcPr>
          <w:p w:rsidR="009C1C1C" w:rsidRPr="005F6BC2" w:rsidP="006B48CA" w14:paraId="65B8779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8,280,414</w:t>
            </w:r>
          </w:p>
        </w:tc>
        <w:tc>
          <w:tcPr>
            <w:tcW w:w="1170" w:type="dxa"/>
            <w:tcBorders>
              <w:top w:val="single" w:sz="6" w:space="0" w:color="auto"/>
              <w:left w:val="single" w:sz="6" w:space="0" w:color="auto"/>
              <w:right w:val="single" w:sz="6" w:space="0" w:color="auto"/>
            </w:tcBorders>
          </w:tcPr>
          <w:p w:rsidR="009C1C1C" w:rsidRPr="005F6BC2" w:rsidP="006B48CA" w14:paraId="70D1D1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214,727</w:t>
            </w:r>
          </w:p>
        </w:tc>
        <w:tc>
          <w:tcPr>
            <w:tcW w:w="990" w:type="dxa"/>
            <w:tcBorders>
              <w:top w:val="single" w:sz="6" w:space="0" w:color="auto"/>
              <w:left w:val="single" w:sz="6" w:space="0" w:color="auto"/>
            </w:tcBorders>
          </w:tcPr>
          <w:p w:rsidR="009C1C1C" w:rsidRPr="005F6BC2" w:rsidP="006B48CA" w14:paraId="3C5176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214,725</w:t>
            </w:r>
          </w:p>
        </w:tc>
        <w:tc>
          <w:tcPr>
            <w:tcW w:w="1170" w:type="dxa"/>
            <w:tcBorders>
              <w:top w:val="single" w:sz="6" w:space="0" w:color="auto"/>
              <w:left w:val="single" w:sz="6" w:space="0" w:color="auto"/>
              <w:right w:val="double" w:sz="6" w:space="0" w:color="auto"/>
            </w:tcBorders>
          </w:tcPr>
          <w:p w:rsidR="009C1C1C" w:rsidRPr="005F6BC2" w:rsidP="006B48CA" w14:paraId="1C2C68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8,280,333</w:t>
            </w:r>
          </w:p>
        </w:tc>
      </w:tr>
      <w:tr w14:paraId="693AEB57" w14:textId="77777777" w:rsidTr="006B48CA">
        <w:tblPrEx>
          <w:tblW w:w="10350" w:type="dxa"/>
          <w:tblInd w:w="-563" w:type="dxa"/>
          <w:tblLayout w:type="fixed"/>
          <w:tblCellMar>
            <w:left w:w="30" w:type="dxa"/>
            <w:right w:w="30" w:type="dxa"/>
          </w:tblCellMar>
          <w:tblLook w:val="0000"/>
        </w:tblPrEx>
        <w:trPr>
          <w:trHeight w:val="370"/>
        </w:trPr>
        <w:tc>
          <w:tcPr>
            <w:tcW w:w="2520" w:type="dxa"/>
            <w:tcBorders>
              <w:top w:val="single" w:sz="6" w:space="0" w:color="auto"/>
              <w:left w:val="double" w:sz="6" w:space="0" w:color="auto"/>
            </w:tcBorders>
          </w:tcPr>
          <w:p w:rsidR="009C1C1C" w:rsidRPr="005F6BC2" w:rsidP="006B48CA" w14:paraId="542841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 xml:space="preserve">Earth Stations </w:t>
            </w:r>
          </w:p>
        </w:tc>
        <w:tc>
          <w:tcPr>
            <w:tcW w:w="1620" w:type="dxa"/>
            <w:tcBorders>
              <w:top w:val="single" w:sz="6" w:space="0" w:color="auto"/>
              <w:left w:val="single" w:sz="6" w:space="0" w:color="auto"/>
            </w:tcBorders>
          </w:tcPr>
          <w:p w:rsidR="009C1C1C" w:rsidRPr="005F6BC2" w:rsidP="006B48CA" w14:paraId="2771E6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0</w:t>
            </w:r>
            <w:r w:rsidRPr="005F6BC2">
              <w:rPr>
                <w:szCs w:val="22"/>
              </w:rPr>
              <w:t xml:space="preserve">00 </w:t>
            </w:r>
          </w:p>
        </w:tc>
        <w:tc>
          <w:tcPr>
            <w:tcW w:w="450" w:type="dxa"/>
            <w:tcBorders>
              <w:top w:val="single" w:sz="6" w:space="0" w:color="auto"/>
              <w:left w:val="single" w:sz="6" w:space="0" w:color="auto"/>
            </w:tcBorders>
          </w:tcPr>
          <w:p w:rsidR="009C1C1C" w:rsidRPr="005F6BC2" w:rsidP="006B48CA" w14:paraId="5796A6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9C1C1C" w:rsidRPr="005F6BC2" w:rsidP="006B48CA" w14:paraId="497207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1,402,500</w:t>
            </w:r>
          </w:p>
        </w:tc>
        <w:tc>
          <w:tcPr>
            <w:tcW w:w="1170" w:type="dxa"/>
            <w:tcBorders>
              <w:top w:val="single" w:sz="6" w:space="0" w:color="auto"/>
              <w:left w:val="single" w:sz="6" w:space="0" w:color="auto"/>
            </w:tcBorders>
          </w:tcPr>
          <w:p w:rsidR="009C1C1C" w:rsidRPr="005F6BC2" w:rsidP="006B48CA" w14:paraId="36A616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678,050</w:t>
            </w:r>
          </w:p>
        </w:tc>
        <w:tc>
          <w:tcPr>
            <w:tcW w:w="1170" w:type="dxa"/>
            <w:tcBorders>
              <w:top w:val="single" w:sz="6" w:space="0" w:color="auto"/>
              <w:left w:val="single" w:sz="6" w:space="0" w:color="auto"/>
              <w:right w:val="single" w:sz="6" w:space="0" w:color="auto"/>
            </w:tcBorders>
          </w:tcPr>
          <w:p w:rsidR="009C1C1C" w:rsidRPr="005F6BC2" w:rsidP="006B48CA" w14:paraId="1CC9DB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559</w:t>
            </w:r>
          </w:p>
        </w:tc>
        <w:tc>
          <w:tcPr>
            <w:tcW w:w="990" w:type="dxa"/>
            <w:tcBorders>
              <w:top w:val="single" w:sz="6" w:space="0" w:color="auto"/>
              <w:left w:val="single" w:sz="6" w:space="0" w:color="auto"/>
            </w:tcBorders>
          </w:tcPr>
          <w:p w:rsidR="009C1C1C" w:rsidRPr="005F6BC2" w:rsidP="006B48CA" w14:paraId="06F135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tc>
        <w:tc>
          <w:tcPr>
            <w:tcW w:w="1170" w:type="dxa"/>
            <w:tcBorders>
              <w:top w:val="single" w:sz="6" w:space="0" w:color="auto"/>
              <w:left w:val="single" w:sz="6" w:space="0" w:color="auto"/>
              <w:right w:val="double" w:sz="6" w:space="0" w:color="auto"/>
            </w:tcBorders>
          </w:tcPr>
          <w:p w:rsidR="009C1C1C" w:rsidRPr="005F6BC2" w:rsidP="006B48CA" w14:paraId="6EA91F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680,000</w:t>
            </w:r>
          </w:p>
        </w:tc>
      </w:tr>
      <w:tr w14:paraId="76C44809" w14:textId="77777777" w:rsidTr="006B48CA">
        <w:tblPrEx>
          <w:tblW w:w="10350" w:type="dxa"/>
          <w:tblInd w:w="-563" w:type="dxa"/>
          <w:tblLayout w:type="fixed"/>
          <w:tblCellMar>
            <w:left w:w="30" w:type="dxa"/>
            <w:right w:w="30" w:type="dxa"/>
          </w:tblCellMar>
          <w:tblLook w:val="0000"/>
        </w:tblPrEx>
        <w:trPr>
          <w:trHeight w:val="595"/>
        </w:trPr>
        <w:tc>
          <w:tcPr>
            <w:tcW w:w="2520" w:type="dxa"/>
            <w:tcBorders>
              <w:top w:val="single" w:sz="6" w:space="0" w:color="auto"/>
              <w:left w:val="double" w:sz="6" w:space="0" w:color="auto"/>
            </w:tcBorders>
          </w:tcPr>
          <w:p w:rsidR="009C1C1C" w:rsidRPr="005F6BC2" w:rsidP="006B48CA" w14:paraId="146348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Space Stations (Geostationary) </w:t>
            </w:r>
          </w:p>
        </w:tc>
        <w:tc>
          <w:tcPr>
            <w:tcW w:w="1620" w:type="dxa"/>
            <w:tcBorders>
              <w:top w:val="single" w:sz="6" w:space="0" w:color="auto"/>
              <w:left w:val="single" w:sz="6" w:space="0" w:color="auto"/>
            </w:tcBorders>
          </w:tcPr>
          <w:p w:rsidR="009C1C1C" w:rsidRPr="005F6BC2" w:rsidP="006B48CA" w14:paraId="3FDED6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164</w:t>
            </w:r>
          </w:p>
        </w:tc>
        <w:tc>
          <w:tcPr>
            <w:tcW w:w="450" w:type="dxa"/>
            <w:tcBorders>
              <w:top w:val="single" w:sz="6" w:space="0" w:color="auto"/>
              <w:left w:val="single" w:sz="6" w:space="0" w:color="auto"/>
            </w:tcBorders>
          </w:tcPr>
          <w:p w:rsidR="009C1C1C" w:rsidRPr="005F6BC2" w:rsidP="006B48CA" w14:paraId="62E0F9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2" w:space="0" w:color="auto"/>
            </w:tcBorders>
          </w:tcPr>
          <w:p w:rsidR="009C1C1C" w:rsidRPr="005F6BC2" w:rsidP="006B48CA" w14:paraId="6BD5A8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15,643,250</w:t>
            </w:r>
          </w:p>
        </w:tc>
        <w:tc>
          <w:tcPr>
            <w:tcW w:w="1170" w:type="dxa"/>
            <w:tcBorders>
              <w:top w:val="single" w:sz="6" w:space="0" w:color="auto"/>
              <w:left w:val="single" w:sz="6" w:space="0" w:color="auto"/>
              <w:bottom w:val="single" w:sz="2" w:space="0" w:color="auto"/>
            </w:tcBorders>
          </w:tcPr>
          <w:p w:rsidR="009C1C1C" w:rsidRPr="005F6BC2" w:rsidP="006B48CA" w14:paraId="7E9CB9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6,092,194</w:t>
            </w:r>
          </w:p>
        </w:tc>
        <w:tc>
          <w:tcPr>
            <w:tcW w:w="1170" w:type="dxa"/>
            <w:tcBorders>
              <w:top w:val="single" w:sz="6" w:space="0" w:color="auto"/>
              <w:left w:val="single" w:sz="6" w:space="0" w:color="auto"/>
              <w:right w:val="single" w:sz="6" w:space="0" w:color="auto"/>
            </w:tcBorders>
          </w:tcPr>
          <w:p w:rsidR="009C1C1C" w:rsidRPr="005F6BC2" w:rsidP="006B48CA" w14:paraId="5D7D19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98,123.1</w:t>
            </w:r>
          </w:p>
        </w:tc>
        <w:tc>
          <w:tcPr>
            <w:tcW w:w="990" w:type="dxa"/>
            <w:tcBorders>
              <w:top w:val="single" w:sz="6" w:space="0" w:color="auto"/>
              <w:left w:val="single" w:sz="6" w:space="0" w:color="auto"/>
            </w:tcBorders>
          </w:tcPr>
          <w:p w:rsidR="009C1C1C" w:rsidRPr="005F6BC2" w:rsidP="006B48CA" w14:paraId="233A11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98,125</w:t>
            </w:r>
          </w:p>
        </w:tc>
        <w:tc>
          <w:tcPr>
            <w:tcW w:w="1170" w:type="dxa"/>
            <w:tcBorders>
              <w:top w:val="single" w:sz="6" w:space="0" w:color="auto"/>
              <w:left w:val="single" w:sz="6" w:space="0" w:color="auto"/>
              <w:bottom w:val="single" w:sz="2" w:space="0" w:color="auto"/>
              <w:right w:val="double" w:sz="6" w:space="0" w:color="auto"/>
            </w:tcBorders>
          </w:tcPr>
          <w:p w:rsidR="009C1C1C" w:rsidRPr="005F6BC2" w:rsidP="006B48CA" w14:paraId="05C522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6,092,500</w:t>
            </w:r>
          </w:p>
        </w:tc>
      </w:tr>
      <w:tr w14:paraId="5E401383" w14:textId="77777777" w:rsidTr="006B48CA">
        <w:tblPrEx>
          <w:tblW w:w="10350" w:type="dxa"/>
          <w:tblInd w:w="-563" w:type="dxa"/>
          <w:tblLayout w:type="fixed"/>
          <w:tblCellMar>
            <w:left w:w="30" w:type="dxa"/>
            <w:right w:w="30" w:type="dxa"/>
          </w:tblCellMar>
          <w:tblLook w:val="0000"/>
        </w:tblPrEx>
        <w:trPr>
          <w:trHeight w:val="813"/>
        </w:trPr>
        <w:tc>
          <w:tcPr>
            <w:tcW w:w="2520" w:type="dxa"/>
            <w:tcBorders>
              <w:top w:val="single" w:sz="6" w:space="0" w:color="auto"/>
              <w:left w:val="double" w:sz="6" w:space="0" w:color="auto"/>
            </w:tcBorders>
          </w:tcPr>
          <w:p w:rsidR="009C1C1C" w:rsidRPr="005F6BC2" w:rsidP="006B48CA" w14:paraId="630C83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Space Stations (Non-Geostationary) </w:t>
            </w:r>
          </w:p>
          <w:p w:rsidR="009C1C1C" w:rsidRPr="005F6BC2" w:rsidP="006B48CA" w14:paraId="722EAC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9C1C1C" w:rsidRPr="005F6BC2" w:rsidP="006B48CA" w14:paraId="039730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18</w:t>
            </w:r>
          </w:p>
        </w:tc>
        <w:tc>
          <w:tcPr>
            <w:tcW w:w="450" w:type="dxa"/>
            <w:tcBorders>
              <w:top w:val="single" w:sz="6" w:space="0" w:color="auto"/>
              <w:left w:val="single" w:sz="6" w:space="0" w:color="auto"/>
            </w:tcBorders>
          </w:tcPr>
          <w:p w:rsidR="009C1C1C" w:rsidRPr="005F6BC2" w:rsidP="006B48CA" w14:paraId="5A23A1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p w:rsidR="009C1C1C" w:rsidRPr="005F6BC2" w:rsidP="006B48CA" w14:paraId="240334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9C1C1C" w:rsidRPr="005F6BC2" w:rsidP="006B48CA" w14:paraId="29FE21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1,084,125</w:t>
            </w:r>
          </w:p>
        </w:tc>
        <w:tc>
          <w:tcPr>
            <w:tcW w:w="1170" w:type="dxa"/>
            <w:tcBorders>
              <w:top w:val="single" w:sz="2" w:space="0" w:color="auto"/>
              <w:left w:val="nil"/>
              <w:bottom w:val="single" w:sz="2" w:space="0" w:color="auto"/>
              <w:right w:val="single" w:sz="2" w:space="0" w:color="auto"/>
            </w:tcBorders>
          </w:tcPr>
          <w:p w:rsidR="009C1C1C" w:rsidRPr="005F6BC2" w:rsidP="006B48CA" w14:paraId="156062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4,023,049</w:t>
            </w:r>
          </w:p>
        </w:tc>
        <w:tc>
          <w:tcPr>
            <w:tcW w:w="1170" w:type="dxa"/>
            <w:tcBorders>
              <w:top w:val="single" w:sz="6" w:space="0" w:color="auto"/>
              <w:left w:val="nil"/>
              <w:right w:val="single" w:sz="6" w:space="0" w:color="auto"/>
            </w:tcBorders>
          </w:tcPr>
          <w:p w:rsidR="009C1C1C" w:rsidRPr="005F6BC2" w:rsidP="006B48CA" w14:paraId="2DB21C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223,503</w:t>
            </w:r>
          </w:p>
        </w:tc>
        <w:tc>
          <w:tcPr>
            <w:tcW w:w="990" w:type="dxa"/>
            <w:tcBorders>
              <w:top w:val="single" w:sz="6" w:space="0" w:color="auto"/>
              <w:left w:val="single" w:sz="6" w:space="0" w:color="auto"/>
            </w:tcBorders>
          </w:tcPr>
          <w:p w:rsidR="009C1C1C" w:rsidRPr="005F6BC2" w:rsidP="006B48CA" w14:paraId="24FD6E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223,500</w:t>
            </w:r>
          </w:p>
        </w:tc>
        <w:tc>
          <w:tcPr>
            <w:tcW w:w="1170" w:type="dxa"/>
            <w:tcBorders>
              <w:top w:val="single" w:sz="2" w:space="0" w:color="auto"/>
              <w:left w:val="single" w:sz="2" w:space="0" w:color="auto"/>
              <w:bottom w:val="single" w:sz="2" w:space="0" w:color="auto"/>
              <w:right w:val="double" w:sz="2" w:space="0" w:color="auto"/>
            </w:tcBorders>
          </w:tcPr>
          <w:p w:rsidR="009C1C1C" w:rsidRPr="005F6BC2" w:rsidP="006B48CA" w14:paraId="298B40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Pr>
                <w:szCs w:val="22"/>
              </w:rPr>
              <w:t>4,023,000</w:t>
            </w:r>
          </w:p>
        </w:tc>
      </w:tr>
      <w:tr w14:paraId="65038FC9"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9C1C1C" w:rsidRPr="005F6BC2" w:rsidP="006B48CA" w14:paraId="5B397B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5F6BC2">
              <w:rPr>
                <w:b/>
                <w:szCs w:val="22"/>
              </w:rPr>
              <w:t>******  Total Estimated Revenue to be Collected</w:t>
            </w:r>
          </w:p>
        </w:tc>
        <w:tc>
          <w:tcPr>
            <w:tcW w:w="1620" w:type="dxa"/>
            <w:tcBorders>
              <w:top w:val="single" w:sz="6" w:space="0" w:color="auto"/>
              <w:left w:val="single" w:sz="6" w:space="0" w:color="auto"/>
            </w:tcBorders>
          </w:tcPr>
          <w:p w:rsidR="009C1C1C" w:rsidRPr="005F6BC2" w:rsidP="006B48CA" w14:paraId="47533B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9C1C1C" w:rsidRPr="005F6BC2" w:rsidP="006B48CA" w14:paraId="5F24AE1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9C1C1C" w:rsidRPr="005F6BC2" w:rsidP="006B48CA" w14:paraId="1D369C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w:t>
            </w:r>
            <w:r>
              <w:rPr>
                <w:b/>
                <w:szCs w:val="22"/>
              </w:rPr>
              <w:t>40,929,616</w:t>
            </w:r>
          </w:p>
        </w:tc>
        <w:tc>
          <w:tcPr>
            <w:tcW w:w="1170" w:type="dxa"/>
            <w:tcBorders>
              <w:top w:val="single" w:sz="2" w:space="0" w:color="auto"/>
              <w:left w:val="single" w:sz="6" w:space="0" w:color="auto"/>
              <w:bottom w:val="single" w:sz="2" w:space="0" w:color="auto"/>
            </w:tcBorders>
          </w:tcPr>
          <w:p w:rsidR="009C1C1C" w:rsidRPr="005F6BC2" w:rsidP="006B48CA" w14:paraId="5325F5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w:t>
            </w:r>
            <w:r>
              <w:rPr>
                <w:b/>
                <w:szCs w:val="22"/>
              </w:rPr>
              <w:t>38,686,759</w:t>
            </w:r>
          </w:p>
          <w:p w:rsidR="009C1C1C" w:rsidRPr="005F6BC2" w:rsidP="006B48CA" w14:paraId="7259B9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9C1C1C" w:rsidRPr="005F6BC2" w:rsidP="006B48CA" w14:paraId="771C398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9C1C1C" w:rsidRPr="005F6BC2" w:rsidP="006B48CA" w14:paraId="10D6DC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9C1C1C" w:rsidRPr="005F6BC2" w:rsidP="006B48CA" w14:paraId="1DD08E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338,940,733</w:t>
            </w:r>
          </w:p>
        </w:tc>
      </w:tr>
      <w:tr w14:paraId="4F6B3D14" w14:textId="77777777" w:rsidTr="006B48CA">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6" w:space="0" w:color="auto"/>
            </w:tcBorders>
          </w:tcPr>
          <w:p w:rsidR="009C1C1C" w:rsidRPr="005F6BC2" w:rsidP="006B48CA" w14:paraId="54B004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5F6BC2">
              <w:rPr>
                <w:b/>
                <w:szCs w:val="22"/>
              </w:rPr>
              <w:t>******  Total Revenue Requirement</w:t>
            </w:r>
          </w:p>
        </w:tc>
        <w:tc>
          <w:tcPr>
            <w:tcW w:w="1620" w:type="dxa"/>
            <w:tcBorders>
              <w:top w:val="single" w:sz="6" w:space="0" w:color="auto"/>
              <w:left w:val="single" w:sz="6" w:space="0" w:color="auto"/>
              <w:bottom w:val="double" w:sz="6" w:space="0" w:color="auto"/>
            </w:tcBorders>
          </w:tcPr>
          <w:p w:rsidR="009C1C1C" w:rsidRPr="005F6BC2" w:rsidP="006B48CA" w14:paraId="7F9B7E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9C1C1C" w:rsidRPr="005F6BC2" w:rsidP="006B48CA" w14:paraId="0B582D3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9C1C1C" w:rsidRPr="005F6BC2" w:rsidP="006B48CA" w14:paraId="50CA38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w:t>
            </w:r>
            <w:r>
              <w:rPr>
                <w:b/>
                <w:szCs w:val="22"/>
              </w:rPr>
              <w:t>39,000,000</w:t>
            </w:r>
          </w:p>
        </w:tc>
        <w:tc>
          <w:tcPr>
            <w:tcW w:w="1170" w:type="dxa"/>
            <w:tcBorders>
              <w:top w:val="single" w:sz="2" w:space="0" w:color="auto"/>
              <w:left w:val="single" w:sz="2" w:space="0" w:color="auto"/>
              <w:bottom w:val="double" w:sz="6" w:space="0" w:color="auto"/>
              <w:right w:val="single" w:sz="2" w:space="0" w:color="auto"/>
            </w:tcBorders>
          </w:tcPr>
          <w:p w:rsidR="009C1C1C" w:rsidRPr="005F6BC2" w:rsidP="006B48CA" w14:paraId="78ECD4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339,000,000</w:t>
            </w:r>
          </w:p>
        </w:tc>
        <w:tc>
          <w:tcPr>
            <w:tcW w:w="1170" w:type="dxa"/>
            <w:tcBorders>
              <w:top w:val="single" w:sz="6" w:space="0" w:color="auto"/>
              <w:left w:val="nil"/>
              <w:bottom w:val="double" w:sz="6" w:space="0" w:color="auto"/>
              <w:right w:val="single" w:sz="6" w:space="0" w:color="auto"/>
            </w:tcBorders>
          </w:tcPr>
          <w:p w:rsidR="009C1C1C" w:rsidRPr="005F6BC2" w:rsidP="006B48CA" w14:paraId="30A9F7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9C1C1C" w:rsidRPr="005F6BC2" w:rsidP="006B48CA" w14:paraId="037F53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9C1C1C" w:rsidRPr="005F6BC2" w:rsidP="006B48CA" w14:paraId="46A1FC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339,000,000</w:t>
            </w:r>
          </w:p>
        </w:tc>
      </w:tr>
      <w:tr w14:paraId="726DA4A7" w14:textId="77777777" w:rsidTr="006B48CA">
        <w:tblPrEx>
          <w:tblW w:w="10350" w:type="dxa"/>
          <w:tblInd w:w="-563" w:type="dxa"/>
          <w:tblLayout w:type="fixed"/>
          <w:tblCellMar>
            <w:left w:w="30" w:type="dxa"/>
            <w:right w:w="30" w:type="dxa"/>
          </w:tblCellMar>
          <w:tblLook w:val="0000"/>
        </w:tblPrEx>
        <w:tc>
          <w:tcPr>
            <w:tcW w:w="2520" w:type="dxa"/>
            <w:tcBorders>
              <w:top w:val="double" w:sz="6" w:space="0" w:color="auto"/>
              <w:left w:val="double" w:sz="6" w:space="0" w:color="auto"/>
              <w:bottom w:val="double" w:sz="6" w:space="0" w:color="auto"/>
            </w:tcBorders>
          </w:tcPr>
          <w:p w:rsidR="009C1C1C" w:rsidRPr="005F6BC2" w:rsidP="006B48CA" w14:paraId="6012F9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5F6BC2">
              <w:rPr>
                <w:b/>
                <w:szCs w:val="22"/>
              </w:rPr>
              <w:t xml:space="preserve">                   Difference</w:t>
            </w:r>
          </w:p>
        </w:tc>
        <w:tc>
          <w:tcPr>
            <w:tcW w:w="1620" w:type="dxa"/>
            <w:tcBorders>
              <w:top w:val="double" w:sz="6" w:space="0" w:color="auto"/>
              <w:left w:val="single" w:sz="6" w:space="0" w:color="auto"/>
              <w:bottom w:val="double" w:sz="6" w:space="0" w:color="auto"/>
            </w:tcBorders>
          </w:tcPr>
          <w:p w:rsidR="009C1C1C" w:rsidRPr="005F6BC2" w:rsidP="006B48CA" w14:paraId="52FA06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9C1C1C" w:rsidRPr="005F6BC2" w:rsidP="006B48CA" w14:paraId="5CD291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9C1C1C" w:rsidRPr="005F6BC2" w:rsidP="006B48CA" w14:paraId="152A56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1,929,616</w:t>
            </w:r>
          </w:p>
        </w:tc>
        <w:tc>
          <w:tcPr>
            <w:tcW w:w="1170" w:type="dxa"/>
            <w:tcBorders>
              <w:top w:val="double" w:sz="6" w:space="0" w:color="auto"/>
              <w:left w:val="single" w:sz="6" w:space="0" w:color="auto"/>
              <w:bottom w:val="double" w:sz="6" w:space="0" w:color="auto"/>
            </w:tcBorders>
          </w:tcPr>
          <w:p w:rsidR="009C1C1C" w:rsidRPr="005F6BC2" w:rsidP="006B48CA" w14:paraId="145124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(313,241)</w:t>
            </w:r>
          </w:p>
        </w:tc>
        <w:tc>
          <w:tcPr>
            <w:tcW w:w="1170" w:type="dxa"/>
            <w:tcBorders>
              <w:top w:val="double" w:sz="6" w:space="0" w:color="auto"/>
              <w:left w:val="single" w:sz="6" w:space="0" w:color="auto"/>
              <w:bottom w:val="double" w:sz="6" w:space="0" w:color="auto"/>
              <w:right w:val="single" w:sz="6" w:space="0" w:color="auto"/>
            </w:tcBorders>
          </w:tcPr>
          <w:p w:rsidR="009C1C1C" w:rsidRPr="005F6BC2" w:rsidP="006B48CA" w14:paraId="07EAAD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9C1C1C" w:rsidRPr="005F6BC2" w:rsidP="006B48CA" w14:paraId="5118DB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9C1C1C" w:rsidRPr="005F6BC2" w:rsidP="006B48CA" w14:paraId="419B007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(59,267)</w:t>
            </w:r>
          </w:p>
        </w:tc>
      </w:tr>
    </w:tbl>
    <w:p w:rsidR="009C1C1C" w:rsidRPr="005F6BC2" w:rsidP="009C1C1C" w14:paraId="7352892F" w14:textId="77777777">
      <w:pPr>
        <w:tabs>
          <w:tab w:val="left" w:pos="3629"/>
        </w:tabs>
        <w:jc w:val="center"/>
        <w:rPr>
          <w:b/>
        </w:rPr>
      </w:pPr>
    </w:p>
    <w:p w:rsidR="009C1C1C" w:rsidRPr="005F6BC2" w:rsidP="009C1C1C" w14:paraId="4065CD48" w14:textId="77777777">
      <w:pPr>
        <w:widowControl/>
        <w:rPr>
          <w:szCs w:val="22"/>
          <w:u w:val="single"/>
        </w:rPr>
      </w:pPr>
      <w:r w:rsidRPr="005F6BC2">
        <w:rPr>
          <w:szCs w:val="22"/>
          <w:u w:val="single"/>
        </w:rPr>
        <w:br w:type="page"/>
      </w:r>
      <w:r w:rsidRPr="005F6BC2">
        <w:rPr>
          <w:szCs w:val="22"/>
          <w:u w:val="single"/>
        </w:rPr>
        <w:t>Notes on Appendix B</w:t>
      </w:r>
    </w:p>
    <w:p w:rsidR="009C1C1C" w:rsidRPr="005F6BC2" w:rsidP="009C1C1C" w14:paraId="1C810AB7" w14:textId="77777777">
      <w:pPr>
        <w:widowControl/>
        <w:rPr>
          <w:szCs w:val="22"/>
        </w:rPr>
      </w:pPr>
    </w:p>
    <w:p w:rsidR="009C1C1C" w:rsidRPr="005F6BC2" w:rsidP="009C1C1C" w14:paraId="1D84D3DE" w14:textId="77777777">
      <w:pPr>
        <w:widowControl/>
        <w:rPr>
          <w:szCs w:val="22"/>
        </w:rPr>
      </w:pPr>
      <w:r w:rsidRPr="005F6BC2">
        <w:rPr>
          <w:szCs w:val="22"/>
          <w:vertAlign w:val="superscript"/>
        </w:rPr>
        <w:t>1</w:t>
      </w:r>
      <w:r w:rsidRPr="005F6BC2">
        <w:rPr>
          <w:szCs w:val="22"/>
        </w:rPr>
        <w:t xml:space="preserve"> The fee amounts listed in the column entitled “Rounded New FY 20</w:t>
      </w:r>
      <w:r>
        <w:rPr>
          <w:szCs w:val="22"/>
        </w:rPr>
        <w:t>20</w:t>
      </w:r>
      <w:r w:rsidRPr="005F6BC2">
        <w:rPr>
          <w:szCs w:val="22"/>
        </w:rPr>
        <w:t xml:space="preserve"> Regulatory Fee” constitute a weighted average broadcast regulatory fee by class of service.  The actual FY 20</w:t>
      </w:r>
      <w:r>
        <w:rPr>
          <w:szCs w:val="22"/>
        </w:rPr>
        <w:t>20</w:t>
      </w:r>
      <w:r w:rsidRPr="005F6BC2">
        <w:rPr>
          <w:szCs w:val="22"/>
        </w:rPr>
        <w:t xml:space="preserve"> regulatory fees for AM/FM radio station are listed on a grid located at the end of Appendix C.</w:t>
      </w:r>
    </w:p>
    <w:p w:rsidR="009C1C1C" w:rsidRPr="005F6BC2" w:rsidP="009C1C1C" w14:paraId="0BC0A6C5" w14:textId="77777777">
      <w:pPr>
        <w:widowControl/>
        <w:rPr>
          <w:szCs w:val="22"/>
        </w:rPr>
      </w:pPr>
    </w:p>
    <w:p w:rsidR="009C1C1C" w:rsidRPr="005F6BC2" w:rsidP="009C1C1C" w14:paraId="78CA931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sidRPr="005F6BC2">
        <w:rPr>
          <w:szCs w:val="22"/>
          <w:vertAlign w:val="superscript"/>
        </w:rPr>
        <w:t>2</w:t>
      </w:r>
      <w:r w:rsidRPr="005F6BC2">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9C1C1C" w:rsidRPr="005F6BC2" w:rsidP="009C1C1C" w14:paraId="0E7A4D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vertAlign w:val="superscript"/>
        </w:rPr>
        <w:t>3</w:t>
      </w:r>
      <w:r w:rsidRPr="005F6BC2">
        <w:rPr>
          <w:szCs w:val="22"/>
        </w:rPr>
        <w:t xml:space="preserve"> </w:t>
      </w:r>
      <w:r>
        <w:rPr>
          <w:szCs w:val="22"/>
        </w:rPr>
        <w:t xml:space="preserve">The </w:t>
      </w:r>
      <w:r w:rsidRPr="005F6BC2">
        <w:rPr>
          <w:szCs w:val="22"/>
        </w:rPr>
        <w:t xml:space="preserve">MDS/MMDS category was renamed Broadband Radio Service (BRS).  </w:t>
      </w:r>
      <w:r w:rsidRPr="005F6BC2">
        <w:rPr>
          <w:i/>
          <w:szCs w:val="22"/>
        </w:rPr>
        <w:t>See Amendment of Parts 1, 21, 73, 74 and 101 of the Commission’s Rules to Facilitate the Provision of Fixed and Mobile Broadband Access, Educational and Other Advanced Services in the 2150-2162 and 2500-2690 MHz Bands</w:t>
      </w:r>
      <w:r w:rsidRPr="005F6BC2">
        <w:rPr>
          <w:szCs w:val="22"/>
        </w:rPr>
        <w:t>, Report &amp; Order and Further Notice of Proposed Rulemaking, 19 FCC Rcd 14165, 14169, para. 6 (2004).</w:t>
      </w:r>
    </w:p>
    <w:p w:rsidR="009C1C1C" w:rsidP="009C1C1C" w14:paraId="05094B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vertAlign w:val="superscript"/>
        </w:rPr>
        <w:t>4</w:t>
      </w:r>
      <w:r w:rsidRPr="005F6BC2">
        <w:rPr>
          <w:szCs w:val="22"/>
        </w:rPr>
        <w:t xml:space="preserve"> The chart at the end of Appendix C lists the submarine cable bearer circuit regulatory fees (common and non-common carrier basis) that resulted from the adoption of the </w:t>
      </w:r>
      <w:r w:rsidRPr="005F6BC2">
        <w:rPr>
          <w:i/>
          <w:szCs w:val="22"/>
        </w:rPr>
        <w:t xml:space="preserve">Assessment and Collection of Regulatory Fees for Fiscal Year 2008, </w:t>
      </w:r>
      <w:r w:rsidRPr="005F6BC2">
        <w:rPr>
          <w:szCs w:val="22"/>
        </w:rPr>
        <w:t xml:space="preserve">Report and Order and Further Notice of Proposed Rulemaking, 24 FCC Rcd 6388 (2008) and </w:t>
      </w:r>
      <w:r w:rsidRPr="005F6BC2">
        <w:rPr>
          <w:i/>
          <w:szCs w:val="22"/>
        </w:rPr>
        <w:t>Assessment and Collection of Regulatory Fees for Fiscal Year 2008</w:t>
      </w:r>
      <w:r w:rsidRPr="005F6BC2">
        <w:rPr>
          <w:szCs w:val="22"/>
        </w:rPr>
        <w:t>, Second Report and Order, 24 FCC Rcd 4208 (2009).</w:t>
      </w:r>
      <w:r>
        <w:rPr>
          <w:szCs w:val="22"/>
        </w:rPr>
        <w:t xml:space="preserve">  The Submarine Cable fee in Appendix B is a weighted average of the various fee payers in the chart at the end of Appendix C. </w:t>
      </w:r>
    </w:p>
    <w:p w:rsidR="009C1C1C" w:rsidRPr="003E784F" w:rsidP="009C1C1C" w14:paraId="50B4C7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Pr>
          <w:szCs w:val="22"/>
          <w:vertAlign w:val="superscript"/>
        </w:rPr>
        <w:t xml:space="preserve">5 </w:t>
      </w:r>
      <w:r>
        <w:rPr>
          <w:szCs w:val="22"/>
        </w:rPr>
        <w:t xml:space="preserve">The actual digital television regulatory fees to be paid by call sign are identified in Appendix </w:t>
      </w:r>
      <w:r w:rsidRPr="002C7C70">
        <w:rPr>
          <w:szCs w:val="22"/>
        </w:rPr>
        <w:t>G</w:t>
      </w:r>
      <w:r w:rsidRPr="00AA1125">
        <w:rPr>
          <w:szCs w:val="22"/>
        </w:rPr>
        <w:t>.</w:t>
      </w:r>
      <w:r>
        <w:rPr>
          <w:szCs w:val="22"/>
        </w:rPr>
        <w:t xml:space="preserve">  </w:t>
      </w:r>
    </w:p>
    <w:p w:rsidR="009C1C1C" w:rsidRPr="005F6BC2" w:rsidP="009C1C1C" w14:paraId="424FD7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rPr>
        <w:t xml:space="preserve">   </w:t>
      </w:r>
    </w:p>
    <w:p w:rsidR="009C1C1C" w:rsidRPr="005F6BC2" w:rsidP="009C1C1C" w14:paraId="0C1D7255" w14:textId="77777777">
      <w:pPr>
        <w:widowControl/>
        <w:rPr>
          <w:b/>
          <w:szCs w:val="22"/>
        </w:rPr>
        <w:sectPr w:rsidSect="0017072C">
          <w:headerReference w:type="even" r:id="rId16"/>
          <w:headerReference w:type="default" r:id="rId17"/>
          <w:footerReference w:type="even" r:id="rId18"/>
          <w:headerReference w:type="first" r:id="rId19"/>
          <w:endnotePr>
            <w:numFmt w:val="decimal"/>
          </w:endnotePr>
          <w:pgSz w:w="12240" w:h="15840" w:code="1"/>
          <w:pgMar w:top="1440" w:right="1440" w:bottom="720" w:left="1440" w:header="720" w:footer="720" w:gutter="0"/>
          <w:cols w:space="720"/>
          <w:noEndnote/>
          <w:titlePg/>
          <w:docGrid w:linePitch="299"/>
        </w:sectPr>
      </w:pPr>
    </w:p>
    <w:p w:rsidR="009C1C1C" w:rsidRPr="005F6BC2" w:rsidP="009C1C1C" w14:paraId="60B7D88E" w14:textId="77777777">
      <w:pPr>
        <w:tabs>
          <w:tab w:val="left" w:pos="3629"/>
        </w:tabs>
        <w:jc w:val="center"/>
        <w:rPr>
          <w:b/>
          <w:szCs w:val="22"/>
        </w:rPr>
      </w:pPr>
      <w:r w:rsidRPr="005F6BC2">
        <w:rPr>
          <w:b/>
          <w:szCs w:val="22"/>
        </w:rPr>
        <w:t>APPENDIX C</w:t>
      </w:r>
    </w:p>
    <w:p w:rsidR="009C1C1C" w:rsidRPr="005F6BC2" w:rsidP="009C1C1C" w14:paraId="07FBA9D7" w14:textId="77777777">
      <w:pPr>
        <w:tabs>
          <w:tab w:val="left" w:pos="3629"/>
        </w:tabs>
        <w:jc w:val="center"/>
        <w:rPr>
          <w:b/>
          <w:szCs w:val="22"/>
        </w:rPr>
      </w:pPr>
    </w:p>
    <w:p w:rsidR="009C1C1C" w:rsidP="009C1C1C" w14:paraId="5CAF3FF2" w14:textId="77777777">
      <w:pPr>
        <w:tabs>
          <w:tab w:val="left" w:pos="3629"/>
        </w:tabs>
        <w:jc w:val="center"/>
        <w:rPr>
          <w:b/>
          <w:szCs w:val="22"/>
        </w:rPr>
      </w:pPr>
      <w:r w:rsidRPr="005F6BC2">
        <w:rPr>
          <w:b/>
          <w:szCs w:val="22"/>
        </w:rPr>
        <w:t>Regulatory Fees</w:t>
      </w:r>
    </w:p>
    <w:p w:rsidR="009C1C1C" w:rsidRPr="005F6BC2" w:rsidP="009C1C1C" w14:paraId="4A351283" w14:textId="77777777">
      <w:pPr>
        <w:tabs>
          <w:tab w:val="left" w:pos="3629"/>
        </w:tabs>
        <w:jc w:val="center"/>
        <w:rPr>
          <w:b/>
          <w:szCs w:val="22"/>
        </w:rPr>
      </w:pPr>
      <w:r w:rsidRPr="005F6BC2">
        <w:rPr>
          <w:b/>
          <w:szCs w:val="22"/>
        </w:rPr>
        <w:t>FY 20</w:t>
      </w:r>
      <w:r>
        <w:rPr>
          <w:b/>
          <w:szCs w:val="22"/>
        </w:rPr>
        <w:t>20</w:t>
      </w:r>
    </w:p>
    <w:p w:rsidR="009C1C1C" w:rsidRPr="005F6BC2" w:rsidP="009C1C1C" w14:paraId="7113FF22" w14:textId="77777777">
      <w:pPr>
        <w:tabs>
          <w:tab w:val="left" w:pos="3629"/>
        </w:tabs>
        <w:jc w:val="center"/>
        <w:rPr>
          <w:b/>
          <w:szCs w:val="22"/>
        </w:rPr>
      </w:pPr>
    </w:p>
    <w:p w:rsidR="009C1C1C" w:rsidRPr="005F6BC2" w:rsidP="009C1C1C" w14:paraId="272FA97F" w14:textId="77777777">
      <w:pPr>
        <w:tabs>
          <w:tab w:val="center" w:pos="5040"/>
        </w:tabs>
        <w:suppressAutoHyphens/>
        <w:outlineLvl w:val="0"/>
        <w:rPr>
          <w:szCs w:val="22"/>
        </w:rPr>
      </w:pPr>
      <w:r w:rsidRPr="005F6BC2">
        <w:rPr>
          <w:szCs w:val="22"/>
        </w:rPr>
        <w:t>Regulatory fees for the categories shaded in gray are collected by the Commission in advance to cover the term of the license and are submitted at the time the application is filed.</w:t>
      </w:r>
    </w:p>
    <w:p w:rsidR="009C1C1C" w:rsidRPr="005F6BC2" w:rsidP="009C1C1C" w14:paraId="6A8647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5F6BC2">
        <w:rPr>
          <w:szCs w:val="22"/>
        </w:rPr>
        <w:tab/>
      </w:r>
      <w:r w:rsidRPr="005F6BC2">
        <w:rPr>
          <w:szCs w:val="22"/>
        </w:rPr>
        <w:tab/>
      </w:r>
      <w:r w:rsidRPr="005F6BC2">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1D2317E6" w14:textId="77777777" w:rsidTr="006B48CA">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9C1C1C" w:rsidRPr="005F6BC2" w:rsidP="006B48CA" w14:paraId="3C74B5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5F6BC2">
              <w:rPr>
                <w:szCs w:val="22"/>
              </w:rPr>
              <w:instrText xml:space="preserve">PRIVATE </w:instrText>
            </w:r>
            <w:r>
              <w:rPr>
                <w:szCs w:val="22"/>
              </w:rPr>
              <w:fldChar w:fldCharType="end"/>
            </w:r>
          </w:p>
          <w:p w:rsidR="009C1C1C" w:rsidRPr="005F6BC2" w:rsidP="006B48CA" w14:paraId="646228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Fee Category</w:t>
            </w:r>
          </w:p>
          <w:p w:rsidR="009C1C1C" w:rsidRPr="005F6BC2" w:rsidP="006B48CA" w14:paraId="24B070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9C1C1C" w:rsidRPr="005F6BC2" w:rsidP="006B48CA" w14:paraId="1FC991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5F6BC2">
              <w:rPr>
                <w:b/>
                <w:szCs w:val="22"/>
              </w:rPr>
              <w:t>Annual Regulatory Fee</w:t>
            </w:r>
          </w:p>
          <w:p w:rsidR="009C1C1C" w:rsidRPr="005F6BC2" w:rsidP="006B48CA" w14:paraId="12E959B4" w14:textId="77777777">
            <w:pPr>
              <w:tabs>
                <w:tab w:val="center" w:pos="850"/>
              </w:tabs>
              <w:suppressAutoHyphens/>
              <w:spacing w:after="54"/>
              <w:jc w:val="center"/>
              <w:rPr>
                <w:b/>
                <w:szCs w:val="22"/>
              </w:rPr>
            </w:pPr>
            <w:r w:rsidRPr="005F6BC2">
              <w:rPr>
                <w:b/>
                <w:szCs w:val="22"/>
              </w:rPr>
              <w:t>(U.S. $s)</w:t>
            </w:r>
          </w:p>
        </w:tc>
      </w:tr>
      <w:tr w14:paraId="7CEFD08C" w14:textId="77777777" w:rsidTr="006B48CA">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9C1C1C" w:rsidRPr="005F6BC2" w:rsidP="006B48CA" w14:paraId="66588D4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5F6BC2">
              <w:rPr>
                <w:szCs w:val="22"/>
              </w:rPr>
              <w:t>PLMRS (per license) (Exclusive Use) (47 CFR part 90)</w:t>
            </w:r>
          </w:p>
        </w:tc>
        <w:tc>
          <w:tcPr>
            <w:tcW w:w="1747" w:type="dxa"/>
            <w:tcBorders>
              <w:top w:val="single" w:sz="6" w:space="0" w:color="auto"/>
            </w:tcBorders>
            <w:shd w:val="clear" w:color="auto" w:fill="C0C0C0"/>
          </w:tcPr>
          <w:p w:rsidR="009C1C1C" w:rsidRPr="005F6BC2" w:rsidP="006B48CA" w14:paraId="6E318608"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14:paraId="0C7CF7FE"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17207D94"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5F6BC2">
              <w:rPr>
                <w:szCs w:val="22"/>
              </w:rPr>
              <w:t>Microwave (per license) (47 CFR part 101)</w:t>
            </w:r>
            <w:r w:rsidRPr="005F6BC2">
              <w:rPr>
                <w:szCs w:val="22"/>
              </w:rPr>
              <w:tab/>
            </w:r>
          </w:p>
        </w:tc>
        <w:tc>
          <w:tcPr>
            <w:tcW w:w="1747" w:type="dxa"/>
            <w:shd w:val="clear" w:color="auto" w:fill="C0C0C0"/>
          </w:tcPr>
          <w:p w:rsidR="009C1C1C" w:rsidRPr="005F6BC2" w:rsidP="006B48CA" w14:paraId="547E4DD6"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14:paraId="60363F06"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3142784E" w14:textId="77777777">
            <w:pPr>
              <w:tabs>
                <w:tab w:val="left" w:pos="-1440"/>
                <w:tab w:val="left" w:pos="-720"/>
              </w:tabs>
              <w:suppressAutoHyphens/>
              <w:spacing w:before="90" w:after="54"/>
              <w:rPr>
                <w:szCs w:val="22"/>
              </w:rPr>
            </w:pPr>
            <w:r w:rsidRPr="005F6BC2">
              <w:rPr>
                <w:szCs w:val="22"/>
              </w:rPr>
              <w:t>Marine (Ship) (per station) (47 CFR part 80)</w:t>
            </w:r>
          </w:p>
        </w:tc>
        <w:tc>
          <w:tcPr>
            <w:tcW w:w="1747" w:type="dxa"/>
            <w:shd w:val="clear" w:color="auto" w:fill="C0C0C0"/>
          </w:tcPr>
          <w:p w:rsidR="009C1C1C" w:rsidRPr="005F6BC2" w:rsidP="006B48CA" w14:paraId="5E0E288B" w14:textId="77777777">
            <w:pPr>
              <w:tabs>
                <w:tab w:val="left" w:pos="-1440"/>
                <w:tab w:val="left" w:pos="-720"/>
              </w:tabs>
              <w:suppressAutoHyphens/>
              <w:spacing w:before="90" w:after="54"/>
              <w:jc w:val="center"/>
              <w:rPr>
                <w:szCs w:val="22"/>
              </w:rPr>
            </w:pPr>
            <w:r w:rsidRPr="005F6BC2">
              <w:rPr>
                <w:szCs w:val="22"/>
              </w:rPr>
              <w:t>15</w:t>
            </w:r>
          </w:p>
        </w:tc>
      </w:tr>
      <w:tr w14:paraId="6125D2CD"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1C1CC3EA" w14:textId="77777777">
            <w:pPr>
              <w:tabs>
                <w:tab w:val="left" w:pos="-1440"/>
                <w:tab w:val="left" w:pos="-720"/>
              </w:tabs>
              <w:suppressAutoHyphens/>
              <w:spacing w:before="90" w:after="54"/>
              <w:rPr>
                <w:szCs w:val="22"/>
              </w:rPr>
            </w:pPr>
            <w:r w:rsidRPr="005F6BC2">
              <w:rPr>
                <w:szCs w:val="22"/>
              </w:rPr>
              <w:t>Marine (Coast) (per license) (47 CFR part 80)</w:t>
            </w:r>
          </w:p>
        </w:tc>
        <w:tc>
          <w:tcPr>
            <w:tcW w:w="1747" w:type="dxa"/>
            <w:shd w:val="clear" w:color="auto" w:fill="C0C0C0"/>
          </w:tcPr>
          <w:p w:rsidR="009C1C1C" w:rsidRPr="005F6BC2" w:rsidP="006B48CA" w14:paraId="1694AFB8" w14:textId="77777777">
            <w:pPr>
              <w:tabs>
                <w:tab w:val="left" w:pos="-1440"/>
                <w:tab w:val="left" w:pos="-720"/>
              </w:tabs>
              <w:suppressAutoHyphens/>
              <w:spacing w:before="90" w:after="54"/>
              <w:jc w:val="center"/>
              <w:rPr>
                <w:szCs w:val="22"/>
              </w:rPr>
            </w:pPr>
            <w:r w:rsidRPr="005F6BC2">
              <w:rPr>
                <w:szCs w:val="22"/>
              </w:rPr>
              <w:t>40</w:t>
            </w:r>
          </w:p>
        </w:tc>
      </w:tr>
      <w:tr w14:paraId="25594891"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0314DBB7" w14:textId="77777777">
            <w:pPr>
              <w:tabs>
                <w:tab w:val="left" w:pos="-1440"/>
                <w:tab w:val="left" w:pos="-720"/>
              </w:tabs>
              <w:suppressAutoHyphens/>
              <w:spacing w:before="90" w:after="54"/>
              <w:rPr>
                <w:szCs w:val="22"/>
              </w:rPr>
            </w:pPr>
            <w:r w:rsidRPr="005F6BC2">
              <w:rPr>
                <w:szCs w:val="22"/>
              </w:rPr>
              <w:t>Rural Radio (47 CFR part 22) (previously listed under the Land Mobile category)</w:t>
            </w:r>
          </w:p>
        </w:tc>
        <w:tc>
          <w:tcPr>
            <w:tcW w:w="1747" w:type="dxa"/>
            <w:shd w:val="clear" w:color="auto" w:fill="C0C0C0"/>
          </w:tcPr>
          <w:p w:rsidR="009C1C1C" w:rsidRPr="005F6BC2" w:rsidP="006B48CA" w14:paraId="523DBBC5" w14:textId="77777777">
            <w:pPr>
              <w:tabs>
                <w:tab w:val="left" w:pos="-1440"/>
                <w:tab w:val="left" w:pos="-720"/>
              </w:tabs>
              <w:suppressAutoHyphens/>
              <w:spacing w:before="90" w:after="54"/>
              <w:jc w:val="center"/>
              <w:rPr>
                <w:szCs w:val="22"/>
              </w:rPr>
            </w:pPr>
            <w:r w:rsidRPr="005F6BC2">
              <w:rPr>
                <w:szCs w:val="22"/>
              </w:rPr>
              <w:t>10</w:t>
            </w:r>
          </w:p>
        </w:tc>
      </w:tr>
      <w:tr w14:paraId="13159067"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6D419E8B" w14:textId="77777777">
            <w:pPr>
              <w:tabs>
                <w:tab w:val="left" w:pos="-1440"/>
                <w:tab w:val="left" w:pos="-720"/>
              </w:tabs>
              <w:suppressAutoHyphens/>
              <w:spacing w:before="90" w:after="54"/>
              <w:rPr>
                <w:szCs w:val="22"/>
              </w:rPr>
            </w:pPr>
            <w:r w:rsidRPr="005F6BC2">
              <w:rPr>
                <w:szCs w:val="22"/>
              </w:rPr>
              <w:t>PLMRS (Shared Use) (per license) (47 CFR part 90)</w:t>
            </w:r>
          </w:p>
        </w:tc>
        <w:tc>
          <w:tcPr>
            <w:tcW w:w="1747" w:type="dxa"/>
            <w:shd w:val="clear" w:color="auto" w:fill="C0C0C0"/>
          </w:tcPr>
          <w:p w:rsidR="009C1C1C" w:rsidRPr="005F6BC2" w:rsidP="006B48CA" w14:paraId="096C195C" w14:textId="77777777">
            <w:pPr>
              <w:tabs>
                <w:tab w:val="left" w:pos="-1440"/>
                <w:tab w:val="left" w:pos="-720"/>
              </w:tabs>
              <w:suppressAutoHyphens/>
              <w:spacing w:before="90" w:after="54"/>
              <w:jc w:val="center"/>
              <w:rPr>
                <w:szCs w:val="22"/>
              </w:rPr>
            </w:pPr>
            <w:r w:rsidRPr="005F6BC2">
              <w:rPr>
                <w:szCs w:val="22"/>
              </w:rPr>
              <w:t>10</w:t>
            </w:r>
          </w:p>
        </w:tc>
      </w:tr>
      <w:tr w14:paraId="56308109"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3D5178D0"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Aviation (Aircraft) (per station) (47 CFR part 87)</w:t>
            </w:r>
            <w:r w:rsidRPr="005F6BC2">
              <w:rPr>
                <w:szCs w:val="22"/>
              </w:rPr>
              <w:tab/>
            </w:r>
            <w:r w:rsidRPr="005F6BC2">
              <w:rPr>
                <w:szCs w:val="22"/>
              </w:rPr>
              <w:tab/>
            </w:r>
            <w:r w:rsidRPr="005F6BC2">
              <w:rPr>
                <w:szCs w:val="22"/>
              </w:rPr>
              <w:tab/>
            </w:r>
          </w:p>
        </w:tc>
        <w:tc>
          <w:tcPr>
            <w:tcW w:w="1747" w:type="dxa"/>
            <w:shd w:val="clear" w:color="auto" w:fill="C0C0C0"/>
          </w:tcPr>
          <w:p w:rsidR="009C1C1C" w:rsidRPr="005F6BC2" w:rsidP="006B48CA" w14:paraId="7994A2A5" w14:textId="77777777">
            <w:pPr>
              <w:tabs>
                <w:tab w:val="left" w:pos="-1440"/>
                <w:tab w:val="left" w:pos="-720"/>
              </w:tabs>
              <w:suppressAutoHyphens/>
              <w:spacing w:before="90" w:after="54"/>
              <w:jc w:val="center"/>
              <w:rPr>
                <w:szCs w:val="22"/>
              </w:rPr>
            </w:pPr>
            <w:r w:rsidRPr="005F6BC2">
              <w:rPr>
                <w:szCs w:val="22"/>
              </w:rPr>
              <w:t>10</w:t>
            </w:r>
          </w:p>
        </w:tc>
      </w:tr>
      <w:tr w14:paraId="0658249F"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1DD32218"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Aviation (Ground) (per license) (47 CFR part 87)</w:t>
            </w:r>
            <w:r w:rsidRPr="005F6BC2">
              <w:rPr>
                <w:szCs w:val="22"/>
              </w:rPr>
              <w:tab/>
            </w:r>
          </w:p>
        </w:tc>
        <w:tc>
          <w:tcPr>
            <w:tcW w:w="1747" w:type="dxa"/>
            <w:shd w:val="clear" w:color="auto" w:fill="C0C0C0"/>
          </w:tcPr>
          <w:p w:rsidR="009C1C1C" w:rsidRPr="005F6BC2" w:rsidP="006B48CA" w14:paraId="47CFB4CE" w14:textId="77777777">
            <w:pPr>
              <w:tabs>
                <w:tab w:val="left" w:pos="-1440"/>
                <w:tab w:val="left" w:pos="-720"/>
              </w:tabs>
              <w:suppressAutoHyphens/>
              <w:spacing w:before="90" w:after="54"/>
              <w:jc w:val="center"/>
              <w:rPr>
                <w:szCs w:val="22"/>
              </w:rPr>
            </w:pPr>
            <w:r w:rsidRPr="005F6BC2">
              <w:rPr>
                <w:szCs w:val="22"/>
              </w:rPr>
              <w:t>20</w:t>
            </w:r>
          </w:p>
        </w:tc>
      </w:tr>
      <w:tr w14:paraId="687D288C"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7E819CCF" w14:textId="77777777">
            <w:pPr>
              <w:tabs>
                <w:tab w:val="left" w:pos="-1440"/>
                <w:tab w:val="left" w:pos="-720"/>
              </w:tabs>
              <w:suppressAutoHyphens/>
              <w:spacing w:before="90" w:after="54"/>
              <w:rPr>
                <w:szCs w:val="22"/>
              </w:rPr>
            </w:pPr>
            <w:r w:rsidRPr="005F6BC2">
              <w:rPr>
                <w:szCs w:val="22"/>
              </w:rPr>
              <w:t>CMRS Mobile/Cellular Services (per unit) (47 CFR parts 20, 22, 24, 27, 80 and 90)</w:t>
            </w:r>
          </w:p>
        </w:tc>
        <w:tc>
          <w:tcPr>
            <w:tcW w:w="1747" w:type="dxa"/>
          </w:tcPr>
          <w:p w:rsidR="009C1C1C" w:rsidRPr="005F6BC2" w:rsidP="006B48CA" w14:paraId="4D69A21E" w14:textId="77777777">
            <w:pPr>
              <w:tabs>
                <w:tab w:val="left" w:pos="-1440"/>
                <w:tab w:val="left" w:pos="-720"/>
              </w:tabs>
              <w:suppressAutoHyphens/>
              <w:spacing w:before="90" w:after="54"/>
              <w:jc w:val="center"/>
              <w:rPr>
                <w:szCs w:val="22"/>
              </w:rPr>
            </w:pPr>
            <w:r w:rsidRPr="005F6BC2">
              <w:rPr>
                <w:szCs w:val="22"/>
              </w:rPr>
              <w:t>.1</w:t>
            </w:r>
            <w:r>
              <w:rPr>
                <w:szCs w:val="22"/>
              </w:rPr>
              <w:t>7</w:t>
            </w:r>
          </w:p>
        </w:tc>
      </w:tr>
      <w:tr w14:paraId="1D7F45B8"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24895FEC" w14:textId="77777777">
            <w:pPr>
              <w:tabs>
                <w:tab w:val="left" w:pos="-1440"/>
                <w:tab w:val="left" w:pos="-720"/>
              </w:tabs>
              <w:suppressAutoHyphens/>
              <w:spacing w:before="90" w:after="54"/>
              <w:rPr>
                <w:szCs w:val="22"/>
              </w:rPr>
            </w:pPr>
            <w:r w:rsidRPr="005F6BC2">
              <w:rPr>
                <w:szCs w:val="22"/>
              </w:rPr>
              <w:t>CMRS Messaging Services (per unit) (47 CFR parts 20, 22, 24 and 90)</w:t>
            </w:r>
          </w:p>
        </w:tc>
        <w:tc>
          <w:tcPr>
            <w:tcW w:w="1747" w:type="dxa"/>
          </w:tcPr>
          <w:p w:rsidR="009C1C1C" w:rsidRPr="005F6BC2" w:rsidP="006B48CA" w14:paraId="4531AB23" w14:textId="77777777">
            <w:pPr>
              <w:tabs>
                <w:tab w:val="left" w:pos="-1440"/>
                <w:tab w:val="left" w:pos="-720"/>
              </w:tabs>
              <w:suppressAutoHyphens/>
              <w:spacing w:before="90" w:after="54"/>
              <w:jc w:val="center"/>
              <w:rPr>
                <w:szCs w:val="22"/>
              </w:rPr>
            </w:pPr>
            <w:r w:rsidRPr="005F6BC2">
              <w:rPr>
                <w:szCs w:val="22"/>
              </w:rPr>
              <w:t>.08</w:t>
            </w:r>
          </w:p>
        </w:tc>
      </w:tr>
      <w:tr w14:paraId="77173885"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36A25BD1" w14:textId="77777777">
            <w:pPr>
              <w:tabs>
                <w:tab w:val="left" w:pos="-1440"/>
                <w:tab w:val="left" w:pos="-720"/>
              </w:tabs>
              <w:suppressAutoHyphens/>
              <w:spacing w:before="90" w:after="54"/>
              <w:rPr>
                <w:szCs w:val="22"/>
              </w:rPr>
            </w:pPr>
            <w:r w:rsidRPr="005F6BC2">
              <w:rPr>
                <w:szCs w:val="22"/>
              </w:rPr>
              <w:t>Broadband Radio Service (formerly MMDS/ MDS) (per license) (47 CFR part 27)</w:t>
            </w:r>
          </w:p>
          <w:p w:rsidR="009C1C1C" w:rsidRPr="005F6BC2" w:rsidP="006B48CA" w14:paraId="0DA92EB4" w14:textId="77777777">
            <w:pPr>
              <w:tabs>
                <w:tab w:val="left" w:pos="-1440"/>
                <w:tab w:val="left" w:pos="-720"/>
              </w:tabs>
              <w:suppressAutoHyphens/>
              <w:spacing w:before="90" w:after="54"/>
              <w:rPr>
                <w:szCs w:val="22"/>
              </w:rPr>
            </w:pPr>
            <w:r w:rsidRPr="005F6BC2">
              <w:rPr>
                <w:szCs w:val="22"/>
              </w:rPr>
              <w:t>Local Multipoint Distribution Service (per call sign) (47 CFR, part 101)</w:t>
            </w:r>
          </w:p>
          <w:p w:rsidR="009C1C1C" w:rsidRPr="005F6BC2" w:rsidP="006B48CA" w14:paraId="2E7177B3" w14:textId="77777777">
            <w:pPr>
              <w:tabs>
                <w:tab w:val="left" w:pos="-1440"/>
                <w:tab w:val="left" w:pos="-720"/>
              </w:tabs>
              <w:suppressAutoHyphens/>
              <w:spacing w:before="90" w:after="54"/>
              <w:rPr>
                <w:szCs w:val="22"/>
              </w:rPr>
            </w:pPr>
          </w:p>
        </w:tc>
        <w:tc>
          <w:tcPr>
            <w:tcW w:w="1747" w:type="dxa"/>
          </w:tcPr>
          <w:p w:rsidR="009C1C1C" w:rsidRPr="005F6BC2" w:rsidP="006B48CA" w14:paraId="5209CC5E" w14:textId="77777777">
            <w:pPr>
              <w:tabs>
                <w:tab w:val="left" w:pos="-1440"/>
                <w:tab w:val="left" w:pos="-720"/>
              </w:tabs>
              <w:suppressAutoHyphens/>
              <w:spacing w:before="90" w:after="54"/>
              <w:jc w:val="center"/>
              <w:rPr>
                <w:szCs w:val="22"/>
              </w:rPr>
            </w:pPr>
            <w:r>
              <w:rPr>
                <w:szCs w:val="22"/>
              </w:rPr>
              <w:t>560</w:t>
            </w:r>
          </w:p>
          <w:p w:rsidR="009C1C1C" w:rsidRPr="005F6BC2" w:rsidP="006B48CA" w14:paraId="5CF210C8" w14:textId="77777777">
            <w:pPr>
              <w:tabs>
                <w:tab w:val="left" w:pos="-1440"/>
                <w:tab w:val="left" w:pos="-720"/>
              </w:tabs>
              <w:suppressAutoHyphens/>
              <w:spacing w:before="90" w:after="54"/>
              <w:jc w:val="center"/>
              <w:rPr>
                <w:szCs w:val="22"/>
              </w:rPr>
            </w:pPr>
          </w:p>
          <w:p w:rsidR="009C1C1C" w:rsidRPr="005F6BC2" w:rsidP="006B48CA" w14:paraId="4D7AB24E" w14:textId="77777777">
            <w:pPr>
              <w:tabs>
                <w:tab w:val="left" w:pos="-1440"/>
                <w:tab w:val="left" w:pos="-720"/>
              </w:tabs>
              <w:suppressAutoHyphens/>
              <w:spacing w:before="90" w:after="54"/>
              <w:jc w:val="center"/>
              <w:rPr>
                <w:szCs w:val="22"/>
              </w:rPr>
            </w:pPr>
            <w:r>
              <w:rPr>
                <w:szCs w:val="22"/>
              </w:rPr>
              <w:t>560</w:t>
            </w:r>
          </w:p>
        </w:tc>
      </w:tr>
      <w:tr w14:paraId="26C5943E"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50E02C85" w14:textId="77777777">
            <w:pPr>
              <w:tabs>
                <w:tab w:val="left" w:pos="-1440"/>
                <w:tab w:val="left" w:pos="-720"/>
              </w:tabs>
              <w:suppressAutoHyphens/>
              <w:spacing w:before="90" w:after="54"/>
              <w:rPr>
                <w:szCs w:val="22"/>
              </w:rPr>
            </w:pPr>
            <w:r w:rsidRPr="005F6BC2">
              <w:rPr>
                <w:szCs w:val="22"/>
              </w:rPr>
              <w:t>AM Radio Construction Permits</w:t>
            </w:r>
          </w:p>
        </w:tc>
        <w:tc>
          <w:tcPr>
            <w:tcW w:w="1747" w:type="dxa"/>
          </w:tcPr>
          <w:p w:rsidR="009C1C1C" w:rsidRPr="005F6BC2" w:rsidP="006B48CA" w14:paraId="4318BADD" w14:textId="77777777">
            <w:pPr>
              <w:tabs>
                <w:tab w:val="left" w:pos="-1440"/>
                <w:tab w:val="left" w:pos="-720"/>
              </w:tabs>
              <w:suppressAutoHyphens/>
              <w:spacing w:before="90" w:after="54"/>
              <w:jc w:val="center"/>
              <w:rPr>
                <w:szCs w:val="22"/>
              </w:rPr>
            </w:pPr>
            <w:r>
              <w:rPr>
                <w:szCs w:val="22"/>
              </w:rPr>
              <w:t>610</w:t>
            </w:r>
          </w:p>
        </w:tc>
      </w:tr>
      <w:tr w14:paraId="0190399A"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04D4CDD7" w14:textId="77777777">
            <w:pPr>
              <w:tabs>
                <w:tab w:val="left" w:pos="-1440"/>
                <w:tab w:val="left" w:pos="-720"/>
              </w:tabs>
              <w:suppressAutoHyphens/>
              <w:spacing w:before="90" w:after="54"/>
              <w:rPr>
                <w:szCs w:val="22"/>
              </w:rPr>
            </w:pPr>
            <w:r w:rsidRPr="005F6BC2">
              <w:rPr>
                <w:szCs w:val="22"/>
              </w:rPr>
              <w:t>FM Radio Construction Permits</w:t>
            </w:r>
          </w:p>
        </w:tc>
        <w:tc>
          <w:tcPr>
            <w:tcW w:w="1747" w:type="dxa"/>
          </w:tcPr>
          <w:p w:rsidR="009C1C1C" w:rsidRPr="005F6BC2" w:rsidP="006B48CA" w14:paraId="72E9773C" w14:textId="77777777">
            <w:pPr>
              <w:tabs>
                <w:tab w:val="left" w:pos="-1440"/>
                <w:tab w:val="left" w:pos="-720"/>
              </w:tabs>
              <w:suppressAutoHyphens/>
              <w:spacing w:before="90" w:after="54"/>
              <w:jc w:val="center"/>
              <w:rPr>
                <w:szCs w:val="22"/>
              </w:rPr>
            </w:pPr>
            <w:r w:rsidRPr="005F6BC2">
              <w:rPr>
                <w:szCs w:val="22"/>
              </w:rPr>
              <w:t>1,0</w:t>
            </w:r>
            <w:r>
              <w:rPr>
                <w:szCs w:val="22"/>
              </w:rPr>
              <w:t>75</w:t>
            </w:r>
          </w:p>
        </w:tc>
      </w:tr>
      <w:tr w14:paraId="0E2F4F9E"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14FE85B7" w14:textId="77777777">
            <w:pPr>
              <w:tabs>
                <w:tab w:val="left" w:pos="-1440"/>
                <w:tab w:val="left" w:pos="-720"/>
              </w:tabs>
              <w:suppressAutoHyphens/>
              <w:spacing w:before="90" w:after="54"/>
              <w:rPr>
                <w:szCs w:val="22"/>
              </w:rPr>
            </w:pPr>
            <w:r w:rsidRPr="005F6BC2">
              <w:rPr>
                <w:szCs w:val="22"/>
              </w:rPr>
              <w:t>AM and FM Broadcast Radio Station Fees</w:t>
            </w:r>
          </w:p>
        </w:tc>
        <w:tc>
          <w:tcPr>
            <w:tcW w:w="1747" w:type="dxa"/>
          </w:tcPr>
          <w:p w:rsidR="009C1C1C" w:rsidRPr="005F6BC2" w:rsidP="006B48CA" w14:paraId="035C7CE0" w14:textId="77777777">
            <w:pPr>
              <w:tabs>
                <w:tab w:val="left" w:pos="-1440"/>
                <w:tab w:val="left" w:pos="-720"/>
              </w:tabs>
              <w:suppressAutoHyphens/>
              <w:spacing w:before="90" w:after="54"/>
              <w:jc w:val="center"/>
              <w:rPr>
                <w:szCs w:val="22"/>
              </w:rPr>
            </w:pPr>
            <w:r w:rsidRPr="005F6BC2">
              <w:rPr>
                <w:szCs w:val="22"/>
              </w:rPr>
              <w:t>See Table Below</w:t>
            </w:r>
          </w:p>
        </w:tc>
      </w:tr>
      <w:tr w14:paraId="1941CBE4"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480E1F00" w14:textId="77777777">
            <w:pPr>
              <w:tabs>
                <w:tab w:val="left" w:pos="-1440"/>
                <w:tab w:val="left" w:pos="-720"/>
              </w:tabs>
              <w:suppressAutoHyphens/>
              <w:spacing w:before="90" w:after="54"/>
              <w:rPr>
                <w:szCs w:val="22"/>
              </w:rPr>
            </w:pPr>
            <w:r w:rsidRPr="005F6BC2">
              <w:rPr>
                <w:szCs w:val="22"/>
              </w:rPr>
              <w:t>Digital TV (47 CFR part 73) VHF and UHF Commercial</w:t>
            </w:r>
            <w:r>
              <w:rPr>
                <w:szCs w:val="22"/>
              </w:rPr>
              <w:t xml:space="preserve"> Fee Factor</w:t>
            </w:r>
          </w:p>
        </w:tc>
        <w:tc>
          <w:tcPr>
            <w:tcW w:w="1747" w:type="dxa"/>
          </w:tcPr>
          <w:p w:rsidR="009C1C1C" w:rsidRPr="00546C27" w:rsidP="006B48CA" w14:paraId="60C826D7" w14:textId="77777777">
            <w:pPr>
              <w:tabs>
                <w:tab w:val="left" w:pos="-1440"/>
                <w:tab w:val="left" w:pos="-720"/>
              </w:tabs>
              <w:suppressAutoHyphens/>
              <w:spacing w:before="90" w:after="54"/>
              <w:rPr>
                <w:szCs w:val="22"/>
              </w:rPr>
            </w:pPr>
            <w:r>
              <w:rPr>
                <w:szCs w:val="22"/>
              </w:rPr>
              <w:t>$.007837</w:t>
            </w:r>
          </w:p>
          <w:p w:rsidR="009C1C1C" w:rsidRPr="00ED4FB1" w:rsidP="006B48CA" w14:paraId="7986F48C" w14:textId="77777777">
            <w:pPr>
              <w:tabs>
                <w:tab w:val="left" w:pos="-1440"/>
                <w:tab w:val="left" w:pos="-720"/>
              </w:tabs>
              <w:suppressAutoHyphens/>
              <w:spacing w:before="90" w:after="54"/>
              <w:rPr>
                <w:szCs w:val="22"/>
              </w:rPr>
            </w:pPr>
            <w:r w:rsidRPr="00ED4FB1">
              <w:rPr>
                <w:szCs w:val="22"/>
              </w:rPr>
              <w:t xml:space="preserve">See Appendix. </w:t>
            </w:r>
            <w:r>
              <w:rPr>
                <w:szCs w:val="22"/>
              </w:rPr>
              <w:t>G</w:t>
            </w:r>
            <w:r w:rsidRPr="00ED4FB1">
              <w:rPr>
                <w:szCs w:val="22"/>
              </w:rPr>
              <w:t xml:space="preserve"> for fee amounts due, also available at</w:t>
            </w:r>
          </w:p>
          <w:p w:rsidR="009C1C1C" w:rsidRPr="005F6BC2" w:rsidP="006B48CA" w14:paraId="49609505" w14:textId="77777777">
            <w:pPr>
              <w:rPr>
                <w:szCs w:val="22"/>
              </w:rPr>
            </w:pPr>
            <w:hyperlink r:id="rId20" w:history="1">
              <w:r w:rsidRPr="005F6BC2">
                <w:rPr>
                  <w:rStyle w:val="Hyperlink"/>
                </w:rPr>
                <w:t>https://www.fcc.gov/licensing-databases/fees/regulatory-fees</w:t>
              </w:r>
            </w:hyperlink>
          </w:p>
        </w:tc>
      </w:tr>
      <w:tr w14:paraId="5D512F84"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0C37B2F6" w14:textId="77777777">
            <w:pPr>
              <w:tabs>
                <w:tab w:val="left" w:pos="-1440"/>
                <w:tab w:val="left" w:pos="-720"/>
                <w:tab w:val="left" w:pos="0"/>
              </w:tabs>
              <w:suppressAutoHyphens/>
              <w:spacing w:before="90" w:after="54"/>
              <w:ind w:left="720" w:hanging="720"/>
              <w:rPr>
                <w:szCs w:val="22"/>
              </w:rPr>
            </w:pPr>
            <w:r w:rsidRPr="005F6BC2">
              <w:rPr>
                <w:szCs w:val="22"/>
              </w:rPr>
              <w:tab/>
            </w:r>
            <w:r>
              <w:rPr>
                <w:szCs w:val="22"/>
              </w:rPr>
              <w:t xml:space="preserve">Digital TV </w:t>
            </w:r>
            <w:r w:rsidRPr="005F6BC2">
              <w:rPr>
                <w:szCs w:val="22"/>
              </w:rPr>
              <w:t>Construction Permits</w:t>
            </w:r>
          </w:p>
        </w:tc>
        <w:tc>
          <w:tcPr>
            <w:tcW w:w="1747" w:type="dxa"/>
          </w:tcPr>
          <w:p w:rsidR="009C1C1C" w:rsidRPr="005F6BC2" w:rsidP="006B48CA" w14:paraId="4FD945A2" w14:textId="77777777">
            <w:pPr>
              <w:tabs>
                <w:tab w:val="left" w:pos="-1440"/>
                <w:tab w:val="left" w:pos="-720"/>
              </w:tabs>
              <w:suppressAutoHyphens/>
              <w:spacing w:before="90" w:after="54"/>
              <w:jc w:val="center"/>
              <w:rPr>
                <w:szCs w:val="22"/>
              </w:rPr>
            </w:pPr>
            <w:r>
              <w:rPr>
                <w:szCs w:val="22"/>
              </w:rPr>
              <w:t>4,950</w:t>
            </w:r>
          </w:p>
        </w:tc>
      </w:tr>
      <w:tr w14:paraId="6103B180" w14:textId="77777777" w:rsidTr="006B48CA">
        <w:tblPrEx>
          <w:tblW w:w="8587" w:type="dxa"/>
          <w:tblInd w:w="210" w:type="dxa"/>
          <w:tblLayout w:type="fixed"/>
          <w:tblCellMar>
            <w:left w:w="120" w:type="dxa"/>
            <w:right w:w="120" w:type="dxa"/>
          </w:tblCellMar>
          <w:tblLook w:val="0000"/>
        </w:tblPrEx>
        <w:tc>
          <w:tcPr>
            <w:tcW w:w="6840" w:type="dxa"/>
          </w:tcPr>
          <w:p w:rsidR="009C1C1C" w:rsidP="006B48CA" w14:paraId="0E98C8BA"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Low Power TV, Class A TV, TV/FM Translators &amp; Boosters (47 CFR</w:t>
            </w:r>
          </w:p>
          <w:p w:rsidR="009C1C1C" w:rsidRPr="005F6BC2" w:rsidP="006B48CA" w14:paraId="16593F05"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 part 74)</w:t>
            </w:r>
          </w:p>
        </w:tc>
        <w:tc>
          <w:tcPr>
            <w:tcW w:w="1747" w:type="dxa"/>
          </w:tcPr>
          <w:p w:rsidR="009C1C1C" w:rsidRPr="005F6BC2" w:rsidP="006B48CA" w14:paraId="78D3662C" w14:textId="77777777">
            <w:pPr>
              <w:tabs>
                <w:tab w:val="left" w:pos="-1440"/>
                <w:tab w:val="left" w:pos="-720"/>
              </w:tabs>
              <w:suppressAutoHyphens/>
              <w:spacing w:before="90" w:after="54"/>
              <w:jc w:val="center"/>
              <w:rPr>
                <w:szCs w:val="22"/>
              </w:rPr>
            </w:pPr>
            <w:r w:rsidRPr="005F6BC2">
              <w:rPr>
                <w:szCs w:val="22"/>
              </w:rPr>
              <w:t>3</w:t>
            </w:r>
            <w:r>
              <w:rPr>
                <w:szCs w:val="22"/>
              </w:rPr>
              <w:t>15</w:t>
            </w:r>
          </w:p>
        </w:tc>
      </w:tr>
      <w:tr w14:paraId="1D351CF0"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65BD5DBB"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CARS (47 CFR part 78)</w:t>
            </w:r>
            <w:r w:rsidRPr="005F6BC2">
              <w:rPr>
                <w:szCs w:val="22"/>
              </w:rPr>
              <w:tab/>
            </w:r>
          </w:p>
        </w:tc>
        <w:tc>
          <w:tcPr>
            <w:tcW w:w="1747" w:type="dxa"/>
          </w:tcPr>
          <w:p w:rsidR="009C1C1C" w:rsidRPr="005F6BC2" w:rsidP="006B48CA" w14:paraId="2CC1ADCB" w14:textId="77777777">
            <w:pPr>
              <w:tabs>
                <w:tab w:val="left" w:pos="-1440"/>
                <w:tab w:val="left" w:pos="-720"/>
              </w:tabs>
              <w:suppressAutoHyphens/>
              <w:spacing w:before="90" w:after="54"/>
              <w:jc w:val="center"/>
              <w:rPr>
                <w:szCs w:val="22"/>
              </w:rPr>
            </w:pPr>
            <w:r w:rsidRPr="005F6BC2">
              <w:rPr>
                <w:szCs w:val="22"/>
              </w:rPr>
              <w:t>1,</w:t>
            </w:r>
            <w:r>
              <w:rPr>
                <w:szCs w:val="22"/>
              </w:rPr>
              <w:t>300</w:t>
            </w:r>
          </w:p>
        </w:tc>
      </w:tr>
      <w:tr w14:paraId="5D2F2011"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19A3F503" w14:textId="77777777">
            <w:pPr>
              <w:tabs>
                <w:tab w:val="left" w:pos="-1440"/>
                <w:tab w:val="left" w:pos="-720"/>
              </w:tabs>
              <w:suppressAutoHyphens/>
              <w:spacing w:before="90" w:after="54"/>
              <w:rPr>
                <w:szCs w:val="22"/>
              </w:rPr>
            </w:pPr>
            <w:r w:rsidRPr="005F6BC2">
              <w:rPr>
                <w:szCs w:val="22"/>
              </w:rPr>
              <w:t>Cable Television Systems (per subscriber) (47 CFR part 76), Including IPTV</w:t>
            </w:r>
          </w:p>
        </w:tc>
        <w:tc>
          <w:tcPr>
            <w:tcW w:w="1747" w:type="dxa"/>
          </w:tcPr>
          <w:p w:rsidR="009C1C1C" w:rsidRPr="005F6BC2" w:rsidP="006B48CA" w14:paraId="41FB350E" w14:textId="77777777">
            <w:pPr>
              <w:tabs>
                <w:tab w:val="left" w:pos="-1440"/>
                <w:tab w:val="left" w:pos="-720"/>
              </w:tabs>
              <w:suppressAutoHyphens/>
              <w:spacing w:before="90" w:after="54"/>
              <w:jc w:val="center"/>
              <w:rPr>
                <w:szCs w:val="22"/>
              </w:rPr>
            </w:pPr>
            <w:r w:rsidRPr="005F6BC2">
              <w:rPr>
                <w:szCs w:val="22"/>
              </w:rPr>
              <w:t>.</w:t>
            </w:r>
            <w:r>
              <w:rPr>
                <w:szCs w:val="22"/>
              </w:rPr>
              <w:t>89</w:t>
            </w:r>
          </w:p>
        </w:tc>
      </w:tr>
      <w:tr w14:paraId="07026180"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73EE1F0A" w14:textId="77777777">
            <w:pPr>
              <w:tabs>
                <w:tab w:val="left" w:pos="-1440"/>
                <w:tab w:val="left" w:pos="-720"/>
              </w:tabs>
              <w:suppressAutoHyphens/>
              <w:spacing w:before="90" w:after="54"/>
              <w:rPr>
                <w:szCs w:val="22"/>
              </w:rPr>
            </w:pPr>
            <w:r w:rsidRPr="005F6BC2">
              <w:rPr>
                <w:szCs w:val="22"/>
              </w:rPr>
              <w:t>Direct Broadcast Service (DBS) (per subscriber) (as defined by section 602(13) of the Act)</w:t>
            </w:r>
          </w:p>
        </w:tc>
        <w:tc>
          <w:tcPr>
            <w:tcW w:w="1747" w:type="dxa"/>
          </w:tcPr>
          <w:p w:rsidR="009C1C1C" w:rsidRPr="005F6BC2" w:rsidP="006B48CA" w14:paraId="1129ADEF" w14:textId="77777777">
            <w:pPr>
              <w:tabs>
                <w:tab w:val="left" w:pos="-1440"/>
                <w:tab w:val="left" w:pos="-720"/>
              </w:tabs>
              <w:suppressAutoHyphens/>
              <w:spacing w:before="90" w:after="54"/>
              <w:jc w:val="center"/>
              <w:rPr>
                <w:szCs w:val="22"/>
              </w:rPr>
            </w:pPr>
            <w:r w:rsidRPr="005F6BC2">
              <w:rPr>
                <w:szCs w:val="22"/>
              </w:rPr>
              <w:t>.</w:t>
            </w:r>
            <w:r>
              <w:rPr>
                <w:szCs w:val="22"/>
              </w:rPr>
              <w:t>72</w:t>
            </w:r>
          </w:p>
        </w:tc>
      </w:tr>
      <w:tr w14:paraId="0D45C177"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01631D68" w14:textId="77777777">
            <w:pPr>
              <w:tabs>
                <w:tab w:val="left" w:pos="-1440"/>
                <w:tab w:val="left" w:pos="-720"/>
              </w:tabs>
              <w:suppressAutoHyphens/>
              <w:spacing w:before="90" w:after="54"/>
              <w:rPr>
                <w:szCs w:val="22"/>
              </w:rPr>
            </w:pPr>
            <w:r w:rsidRPr="005F6BC2">
              <w:rPr>
                <w:szCs w:val="22"/>
              </w:rPr>
              <w:t>Interstate Telecommunication Service Providers (per revenue dollar)</w:t>
            </w:r>
          </w:p>
        </w:tc>
        <w:tc>
          <w:tcPr>
            <w:tcW w:w="1747" w:type="dxa"/>
          </w:tcPr>
          <w:p w:rsidR="009C1C1C" w:rsidRPr="005F6BC2" w:rsidP="006B48CA" w14:paraId="526BD135" w14:textId="77777777">
            <w:pPr>
              <w:tabs>
                <w:tab w:val="left" w:pos="-1440"/>
                <w:tab w:val="left" w:pos="-720"/>
              </w:tabs>
              <w:suppressAutoHyphens/>
              <w:spacing w:before="90" w:after="54"/>
              <w:jc w:val="center"/>
              <w:rPr>
                <w:szCs w:val="22"/>
              </w:rPr>
            </w:pPr>
            <w:r w:rsidRPr="005F6BC2">
              <w:rPr>
                <w:szCs w:val="22"/>
              </w:rPr>
              <w:t>.003</w:t>
            </w:r>
            <w:r>
              <w:rPr>
                <w:szCs w:val="22"/>
              </w:rPr>
              <w:t>21</w:t>
            </w:r>
          </w:p>
        </w:tc>
      </w:tr>
      <w:tr w14:paraId="707D06AF"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481B9DB0" w14:textId="77777777">
            <w:pPr>
              <w:tabs>
                <w:tab w:val="left" w:pos="-1440"/>
                <w:tab w:val="left" w:pos="-720"/>
              </w:tabs>
              <w:suppressAutoHyphens/>
              <w:spacing w:before="90" w:after="54"/>
              <w:rPr>
                <w:szCs w:val="22"/>
              </w:rPr>
            </w:pPr>
            <w:r w:rsidRPr="005F6BC2">
              <w:rPr>
                <w:szCs w:val="22"/>
              </w:rPr>
              <w:t>Toll Free (per toll free subscriber) (47 CFR section 52.101 (f) of the rules)</w:t>
            </w:r>
          </w:p>
        </w:tc>
        <w:tc>
          <w:tcPr>
            <w:tcW w:w="1747" w:type="dxa"/>
          </w:tcPr>
          <w:p w:rsidR="009C1C1C" w:rsidRPr="005F6BC2" w:rsidP="006B48CA" w14:paraId="667D5043" w14:textId="77777777">
            <w:pPr>
              <w:tabs>
                <w:tab w:val="left" w:pos="-1440"/>
                <w:tab w:val="left" w:pos="-720"/>
              </w:tabs>
              <w:suppressAutoHyphens/>
              <w:spacing w:before="90" w:after="54"/>
              <w:jc w:val="center"/>
              <w:rPr>
                <w:szCs w:val="22"/>
              </w:rPr>
            </w:pPr>
            <w:r w:rsidRPr="005F6BC2">
              <w:rPr>
                <w:szCs w:val="22"/>
              </w:rPr>
              <w:t>.12</w:t>
            </w:r>
          </w:p>
        </w:tc>
      </w:tr>
      <w:tr w14:paraId="3FF03274"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07765A71" w14:textId="77777777">
            <w:pPr>
              <w:tabs>
                <w:tab w:val="left" w:pos="-1440"/>
                <w:tab w:val="left" w:pos="-720"/>
              </w:tabs>
              <w:suppressAutoHyphens/>
              <w:spacing w:before="90" w:after="54"/>
              <w:rPr>
                <w:szCs w:val="22"/>
              </w:rPr>
            </w:pPr>
            <w:r w:rsidRPr="005F6BC2">
              <w:rPr>
                <w:szCs w:val="22"/>
              </w:rPr>
              <w:t>Earth Stations (47 CFR part 25)</w:t>
            </w:r>
          </w:p>
        </w:tc>
        <w:tc>
          <w:tcPr>
            <w:tcW w:w="1747" w:type="dxa"/>
          </w:tcPr>
          <w:p w:rsidR="009C1C1C" w:rsidRPr="005F6BC2" w:rsidP="006B48CA" w14:paraId="6278660F" w14:textId="77777777">
            <w:pPr>
              <w:tabs>
                <w:tab w:val="left" w:pos="-1440"/>
                <w:tab w:val="left" w:pos="-720"/>
              </w:tabs>
              <w:suppressAutoHyphens/>
              <w:spacing w:before="90" w:after="54"/>
              <w:jc w:val="center"/>
              <w:rPr>
                <w:szCs w:val="22"/>
              </w:rPr>
            </w:pPr>
            <w:r>
              <w:rPr>
                <w:szCs w:val="22"/>
              </w:rPr>
              <w:t>560</w:t>
            </w:r>
          </w:p>
        </w:tc>
      </w:tr>
      <w:tr w14:paraId="4D1641D5"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7CCC6048" w14:textId="77777777">
            <w:pPr>
              <w:tabs>
                <w:tab w:val="left" w:pos="-1440"/>
                <w:tab w:val="left" w:pos="-720"/>
              </w:tabs>
              <w:suppressAutoHyphens/>
              <w:spacing w:before="90" w:after="54"/>
              <w:rPr>
                <w:szCs w:val="22"/>
              </w:rPr>
            </w:pPr>
            <w:r w:rsidRPr="005F6BC2">
              <w:rPr>
                <w:szCs w:val="22"/>
              </w:rPr>
              <w:t>Space Stations (per operational station in geostationary orbit) (47 CFR part 25) also includes DBS Service (per operational station) (47 CFR part 100)</w:t>
            </w:r>
          </w:p>
        </w:tc>
        <w:tc>
          <w:tcPr>
            <w:tcW w:w="1747" w:type="dxa"/>
          </w:tcPr>
          <w:p w:rsidR="009C1C1C" w:rsidRPr="005F6BC2" w:rsidP="006B48CA" w14:paraId="4796A9AF" w14:textId="77777777">
            <w:pPr>
              <w:tabs>
                <w:tab w:val="left" w:pos="-1440"/>
                <w:tab w:val="left" w:pos="-720"/>
              </w:tabs>
              <w:suppressAutoHyphens/>
              <w:spacing w:before="90"/>
              <w:jc w:val="center"/>
              <w:rPr>
                <w:szCs w:val="22"/>
              </w:rPr>
            </w:pPr>
          </w:p>
          <w:p w:rsidR="009C1C1C" w:rsidRPr="005F6BC2" w:rsidP="006B48CA" w14:paraId="79F87E67" w14:textId="77777777">
            <w:pPr>
              <w:tabs>
                <w:tab w:val="left" w:pos="-1440"/>
                <w:tab w:val="left" w:pos="-720"/>
              </w:tabs>
              <w:suppressAutoHyphens/>
              <w:spacing w:after="54"/>
              <w:jc w:val="center"/>
              <w:rPr>
                <w:szCs w:val="22"/>
              </w:rPr>
            </w:pPr>
            <w:r>
              <w:rPr>
                <w:szCs w:val="22"/>
              </w:rPr>
              <w:t>98,125</w:t>
            </w:r>
          </w:p>
        </w:tc>
      </w:tr>
      <w:tr w14:paraId="4DB1648A"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69E87180" w14:textId="77777777">
            <w:pPr>
              <w:tabs>
                <w:tab w:val="left" w:pos="-1440"/>
                <w:tab w:val="left" w:pos="-720"/>
              </w:tabs>
              <w:suppressAutoHyphens/>
              <w:spacing w:before="90" w:after="54"/>
              <w:rPr>
                <w:szCs w:val="22"/>
              </w:rPr>
            </w:pPr>
            <w:r w:rsidRPr="005F6BC2">
              <w:rPr>
                <w:szCs w:val="22"/>
              </w:rPr>
              <w:t>Space Stations (per operational system in non-geostationary orbit) (47 CFR part 25)</w:t>
            </w:r>
          </w:p>
        </w:tc>
        <w:tc>
          <w:tcPr>
            <w:tcW w:w="1747" w:type="dxa"/>
          </w:tcPr>
          <w:p w:rsidR="009C1C1C" w:rsidRPr="005F6BC2" w:rsidP="006B48CA" w14:paraId="155735A3" w14:textId="77777777">
            <w:pPr>
              <w:tabs>
                <w:tab w:val="left" w:pos="-1440"/>
                <w:tab w:val="left" w:pos="-720"/>
              </w:tabs>
              <w:suppressAutoHyphens/>
              <w:spacing w:before="90" w:after="54"/>
              <w:jc w:val="center"/>
              <w:rPr>
                <w:szCs w:val="22"/>
              </w:rPr>
            </w:pPr>
            <w:r>
              <w:rPr>
                <w:szCs w:val="22"/>
              </w:rPr>
              <w:t>223,500</w:t>
            </w:r>
          </w:p>
        </w:tc>
      </w:tr>
      <w:tr w14:paraId="3D2D53C3" w14:textId="77777777" w:rsidTr="006B48CA">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9C1C1C" w:rsidRPr="005F6BC2" w:rsidP="006B48CA" w14:paraId="296AD00F" w14:textId="77777777">
            <w:pPr>
              <w:tabs>
                <w:tab w:val="left" w:pos="-1440"/>
                <w:tab w:val="left" w:pos="-720"/>
              </w:tabs>
              <w:suppressAutoHyphens/>
              <w:spacing w:before="90" w:after="54"/>
            </w:pPr>
            <w:r w:rsidRPr="005F6BC2">
              <w:t>International Bearer Circuits - Terrestrial/Satellites (per Gbps circuit)</w:t>
            </w:r>
          </w:p>
        </w:tc>
        <w:tc>
          <w:tcPr>
            <w:tcW w:w="1747" w:type="dxa"/>
            <w:tcBorders>
              <w:bottom w:val="single" w:sz="6" w:space="0" w:color="auto"/>
            </w:tcBorders>
          </w:tcPr>
          <w:p w:rsidR="009C1C1C" w:rsidRPr="005F6BC2" w:rsidP="006B48CA" w14:paraId="01BCA5B2" w14:textId="77777777">
            <w:pPr>
              <w:tabs>
                <w:tab w:val="left" w:pos="-1440"/>
                <w:tab w:val="left" w:pos="-720"/>
              </w:tabs>
              <w:suppressAutoHyphens/>
              <w:spacing w:before="90" w:after="54"/>
              <w:jc w:val="center"/>
              <w:rPr>
                <w:szCs w:val="22"/>
              </w:rPr>
            </w:pPr>
            <w:r>
              <w:rPr>
                <w:szCs w:val="22"/>
              </w:rPr>
              <w:t>$41</w:t>
            </w:r>
          </w:p>
        </w:tc>
      </w:tr>
      <w:tr w14:paraId="770160B2" w14:textId="77777777" w:rsidTr="006B48CA">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9C1C1C" w:rsidRPr="005F6BC2" w:rsidP="006B48CA" w14:paraId="0EF33F3B"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Submarine Cable Landing Licenses Fee (per cable system) </w:t>
            </w:r>
          </w:p>
        </w:tc>
        <w:tc>
          <w:tcPr>
            <w:tcW w:w="1747" w:type="dxa"/>
            <w:tcBorders>
              <w:bottom w:val="double" w:sz="4" w:space="0" w:color="auto"/>
            </w:tcBorders>
          </w:tcPr>
          <w:p w:rsidR="009C1C1C" w:rsidRPr="005F6BC2" w:rsidP="006B48CA" w14:paraId="24CD6751" w14:textId="77777777">
            <w:pPr>
              <w:tabs>
                <w:tab w:val="left" w:pos="-1440"/>
                <w:tab w:val="left" w:pos="-720"/>
              </w:tabs>
              <w:suppressAutoHyphens/>
              <w:spacing w:before="90" w:after="54"/>
              <w:jc w:val="center"/>
              <w:rPr>
                <w:szCs w:val="22"/>
              </w:rPr>
            </w:pPr>
            <w:r w:rsidRPr="005F6BC2">
              <w:rPr>
                <w:szCs w:val="22"/>
              </w:rPr>
              <w:t>See Table Below</w:t>
            </w:r>
          </w:p>
        </w:tc>
      </w:tr>
    </w:tbl>
    <w:p w:rsidR="009C1C1C" w:rsidRPr="008E0D6F" w:rsidP="009C1C1C" w14:paraId="0AE77771" w14:textId="77777777">
      <w:pPr>
        <w:widowControl/>
        <w:rPr>
          <w:b/>
          <w:szCs w:val="22"/>
        </w:rPr>
      </w:pPr>
      <w:r w:rsidRPr="005F6BC2">
        <w:rPr>
          <w:b/>
          <w:szCs w:val="22"/>
        </w:rPr>
        <w:br w:type="page"/>
      </w:r>
    </w:p>
    <w:p w:rsidR="009C1C1C" w:rsidP="009C1C1C" w14:paraId="6CDDD761" w14:textId="77777777"/>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34BF3BD6" w14:textId="77777777" w:rsidTr="006B48CA">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9C1C1C" w:rsidRPr="005F6BC2" w:rsidP="006B48CA" w14:paraId="159CA053" w14:textId="77777777">
            <w:pPr>
              <w:spacing w:before="42" w:after="104"/>
              <w:jc w:val="center"/>
              <w:rPr>
                <w:b/>
                <w:bCs/>
                <w:sz w:val="20"/>
              </w:rPr>
            </w:pPr>
            <w:r w:rsidRPr="005F6BC2">
              <w:rPr>
                <w:b/>
                <w:bCs/>
                <w:sz w:val="20"/>
              </w:rPr>
              <w:t>FY 20</w:t>
            </w:r>
            <w:r>
              <w:rPr>
                <w:b/>
                <w:bCs/>
                <w:sz w:val="20"/>
              </w:rPr>
              <w:t>20</w:t>
            </w:r>
            <w:r w:rsidRPr="005F6BC2">
              <w:rPr>
                <w:b/>
                <w:bCs/>
                <w:sz w:val="20"/>
              </w:rPr>
              <w:t xml:space="preserve"> RADIO STATION REGULATORY FEES</w:t>
            </w:r>
          </w:p>
        </w:tc>
      </w:tr>
      <w:tr w14:paraId="4ED973A0"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2767569D" w14:textId="77777777">
            <w:pPr>
              <w:spacing w:before="42"/>
              <w:jc w:val="center"/>
              <w:rPr>
                <w:b/>
                <w:bCs/>
                <w:sz w:val="20"/>
              </w:rPr>
            </w:pPr>
            <w:r w:rsidRPr="005F6BC2">
              <w:rPr>
                <w:b/>
                <w:bCs/>
                <w:sz w:val="20"/>
              </w:rPr>
              <w:t xml:space="preserve">Population </w:t>
            </w:r>
          </w:p>
          <w:p w:rsidR="009C1C1C" w:rsidRPr="005F6BC2" w:rsidP="006B48CA" w14:paraId="42727EA8" w14:textId="77777777">
            <w:pPr>
              <w:spacing w:after="104"/>
              <w:jc w:val="center"/>
              <w:rPr>
                <w:b/>
                <w:bCs/>
                <w:sz w:val="20"/>
              </w:rPr>
            </w:pPr>
            <w:r w:rsidRPr="005F6BC2">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3D71C0A8" w14:textId="77777777">
            <w:pPr>
              <w:spacing w:before="42" w:after="104"/>
              <w:jc w:val="center"/>
              <w:rPr>
                <w:b/>
                <w:bCs/>
                <w:sz w:val="20"/>
              </w:rPr>
            </w:pPr>
            <w:r w:rsidRPr="005F6BC2">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4FF8CDC3" w14:textId="77777777">
            <w:pPr>
              <w:spacing w:before="42" w:after="104"/>
              <w:jc w:val="center"/>
              <w:rPr>
                <w:b/>
                <w:bCs/>
                <w:sz w:val="20"/>
              </w:rPr>
            </w:pPr>
            <w:r w:rsidRPr="005F6BC2">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16FA9ECA" w14:textId="77777777">
            <w:pPr>
              <w:spacing w:before="42" w:after="104"/>
              <w:jc w:val="center"/>
              <w:rPr>
                <w:b/>
                <w:bCs/>
                <w:sz w:val="20"/>
              </w:rPr>
            </w:pPr>
            <w:r w:rsidRPr="005F6BC2">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27AA62E8" w14:textId="77777777">
            <w:pPr>
              <w:spacing w:before="42" w:after="104"/>
              <w:jc w:val="center"/>
              <w:rPr>
                <w:b/>
                <w:bCs/>
                <w:sz w:val="20"/>
              </w:rPr>
            </w:pPr>
            <w:r w:rsidRPr="005F6BC2">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4EA1289C" w14:textId="77777777">
            <w:pPr>
              <w:spacing w:before="42"/>
              <w:jc w:val="center"/>
              <w:rPr>
                <w:b/>
                <w:bCs/>
                <w:sz w:val="20"/>
                <w:lang w:val="pt-BR"/>
              </w:rPr>
            </w:pPr>
            <w:r w:rsidRPr="005F6BC2">
              <w:rPr>
                <w:b/>
                <w:bCs/>
                <w:sz w:val="20"/>
                <w:lang w:val="pt-BR"/>
              </w:rPr>
              <w:t>FM Classes</w:t>
            </w:r>
          </w:p>
          <w:p w:rsidR="009C1C1C" w:rsidRPr="005F6BC2" w:rsidP="006B48CA" w14:paraId="179FC9B5" w14:textId="77777777">
            <w:pPr>
              <w:spacing w:after="104"/>
              <w:jc w:val="center"/>
              <w:rPr>
                <w:b/>
                <w:bCs/>
                <w:sz w:val="20"/>
                <w:lang w:val="pt-BR"/>
              </w:rPr>
            </w:pPr>
            <w:r w:rsidRPr="005F6BC2">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9C1C1C" w:rsidRPr="005F6BC2" w:rsidP="006B48CA" w14:paraId="6809E0D8" w14:textId="77777777">
            <w:pPr>
              <w:spacing w:before="42"/>
              <w:jc w:val="center"/>
              <w:rPr>
                <w:b/>
                <w:bCs/>
                <w:sz w:val="20"/>
                <w:lang w:val="pt-BR"/>
              </w:rPr>
            </w:pPr>
            <w:r w:rsidRPr="005F6BC2">
              <w:rPr>
                <w:b/>
                <w:bCs/>
                <w:sz w:val="20"/>
                <w:lang w:val="pt-BR"/>
              </w:rPr>
              <w:t>FM Classes</w:t>
            </w:r>
          </w:p>
          <w:p w:rsidR="009C1C1C" w:rsidRPr="005F6BC2" w:rsidP="006B48CA" w14:paraId="5E03B23B" w14:textId="77777777">
            <w:pPr>
              <w:spacing w:after="104"/>
              <w:jc w:val="center"/>
              <w:rPr>
                <w:b/>
                <w:bCs/>
                <w:sz w:val="20"/>
                <w:lang w:val="pt-BR"/>
              </w:rPr>
            </w:pPr>
            <w:r w:rsidRPr="005F6BC2">
              <w:rPr>
                <w:b/>
                <w:bCs/>
                <w:sz w:val="20"/>
                <w:lang w:val="pt-BR"/>
              </w:rPr>
              <w:t>B, C, C0, C1 &amp; C2</w:t>
            </w:r>
          </w:p>
        </w:tc>
      </w:tr>
      <w:tr w14:paraId="7B4C61C7"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07359413" w14:textId="77777777">
            <w:pPr>
              <w:spacing w:before="42" w:after="104"/>
              <w:rPr>
                <w:b/>
                <w:bCs/>
                <w:sz w:val="20"/>
              </w:rPr>
            </w:pPr>
            <w:r w:rsidRPr="005F6BC2">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D7E534D" w14:textId="77777777">
            <w:pPr>
              <w:spacing w:before="42" w:after="104"/>
              <w:jc w:val="right"/>
              <w:rPr>
                <w:sz w:val="20"/>
              </w:rPr>
            </w:pPr>
            <w:r w:rsidRPr="005F6BC2">
              <w:rPr>
                <w:szCs w:val="22"/>
              </w:rPr>
              <w:t>$</w:t>
            </w:r>
            <w:r>
              <w:rPr>
                <w:szCs w:val="22"/>
              </w:rPr>
              <w:t>975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24E85DD" w14:textId="77777777">
            <w:pPr>
              <w:spacing w:before="42" w:after="104"/>
              <w:jc w:val="right"/>
              <w:rPr>
                <w:sz w:val="20"/>
              </w:rPr>
            </w:pPr>
            <w:r w:rsidRPr="005F6BC2">
              <w:rPr>
                <w:szCs w:val="22"/>
              </w:rPr>
              <w:t>$</w:t>
            </w:r>
            <w:r>
              <w:rPr>
                <w:szCs w:val="22"/>
              </w:rPr>
              <w:t>700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97267C4" w14:textId="77777777">
            <w:pPr>
              <w:spacing w:before="42" w:after="104"/>
              <w:jc w:val="right"/>
              <w:rPr>
                <w:sz w:val="20"/>
              </w:rPr>
            </w:pPr>
            <w:r w:rsidRPr="005F6BC2">
              <w:rPr>
                <w:szCs w:val="22"/>
              </w:rPr>
              <w:t>$</w:t>
            </w:r>
            <w:r>
              <w:rPr>
                <w:szCs w:val="22"/>
              </w:rPr>
              <w:t>610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3503CD67" w14:textId="77777777">
            <w:pPr>
              <w:spacing w:before="42" w:after="104"/>
              <w:jc w:val="right"/>
              <w:rPr>
                <w:sz w:val="20"/>
              </w:rPr>
            </w:pPr>
            <w:r w:rsidRPr="005F6BC2">
              <w:rPr>
                <w:szCs w:val="22"/>
              </w:rPr>
              <w:t>$6</w:t>
            </w:r>
            <w:r>
              <w:rPr>
                <w:szCs w:val="22"/>
              </w:rPr>
              <w:t>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DEBC45A" w14:textId="77777777">
            <w:pPr>
              <w:spacing w:before="42" w:after="104"/>
              <w:jc w:val="right"/>
              <w:rPr>
                <w:sz w:val="20"/>
              </w:rPr>
            </w:pPr>
            <w:r w:rsidRPr="005F6BC2">
              <w:rPr>
                <w:szCs w:val="22"/>
              </w:rPr>
              <w:t>$1,0</w:t>
            </w:r>
            <w:r>
              <w:rPr>
                <w:szCs w:val="22"/>
              </w:rPr>
              <w:t>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08D8AC08" w14:textId="77777777">
            <w:pPr>
              <w:spacing w:before="42" w:after="104"/>
              <w:jc w:val="right"/>
              <w:rPr>
                <w:sz w:val="20"/>
              </w:rPr>
            </w:pPr>
            <w:r w:rsidRPr="005F6BC2">
              <w:rPr>
                <w:szCs w:val="22"/>
              </w:rPr>
              <w:t>$1,2</w:t>
            </w:r>
            <w:r>
              <w:rPr>
                <w:szCs w:val="22"/>
              </w:rPr>
              <w:t>25</w:t>
            </w:r>
          </w:p>
        </w:tc>
      </w:tr>
      <w:tr w14:paraId="34B7F630"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3C501C4F" w14:textId="77777777">
            <w:pPr>
              <w:spacing w:before="42" w:after="104"/>
              <w:rPr>
                <w:b/>
                <w:bCs/>
                <w:sz w:val="20"/>
              </w:rPr>
            </w:pPr>
            <w:r w:rsidRPr="005F6BC2">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85AD6D7" w14:textId="77777777">
            <w:pPr>
              <w:spacing w:before="42" w:after="104"/>
              <w:jc w:val="right"/>
              <w:rPr>
                <w:sz w:val="20"/>
              </w:rPr>
            </w:pPr>
            <w:r w:rsidRPr="005F6BC2">
              <w:rPr>
                <w:szCs w:val="22"/>
              </w:rPr>
              <w:t>$1,</w:t>
            </w:r>
            <w:r>
              <w:rPr>
                <w:szCs w:val="22"/>
              </w:rPr>
              <w:t>475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FF0F5A1" w14:textId="77777777">
            <w:pPr>
              <w:spacing w:before="42" w:after="104"/>
              <w:jc w:val="right"/>
              <w:rPr>
                <w:sz w:val="20"/>
              </w:rPr>
            </w:pPr>
            <w:r w:rsidRPr="005F6BC2">
              <w:rPr>
                <w:szCs w:val="22"/>
              </w:rPr>
              <w:t>$1,0</w:t>
            </w:r>
            <w:r>
              <w:rPr>
                <w:szCs w:val="22"/>
              </w:rPr>
              <w:t>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5A0C2789" w14:textId="77777777">
            <w:pPr>
              <w:spacing w:before="42" w:after="104"/>
              <w:jc w:val="right"/>
              <w:rPr>
                <w:sz w:val="20"/>
              </w:rPr>
            </w:pPr>
            <w:r w:rsidRPr="005F6BC2">
              <w:rPr>
                <w:szCs w:val="22"/>
              </w:rPr>
              <w:t>$</w:t>
            </w:r>
            <w:r>
              <w:rPr>
                <w:szCs w:val="22"/>
              </w:rPr>
              <w:t>915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1F558AF6" w14:textId="77777777">
            <w:pPr>
              <w:spacing w:before="42" w:after="104"/>
              <w:jc w:val="right"/>
              <w:rPr>
                <w:sz w:val="20"/>
              </w:rPr>
            </w:pPr>
            <w:r w:rsidRPr="005F6BC2">
              <w:rPr>
                <w:szCs w:val="22"/>
              </w:rPr>
              <w:t>$</w:t>
            </w:r>
            <w:r>
              <w:rPr>
                <w:szCs w:val="22"/>
              </w:rPr>
              <w:t>1,000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FC0D131" w14:textId="77777777">
            <w:pPr>
              <w:spacing w:before="42" w:after="104"/>
              <w:jc w:val="right"/>
              <w:rPr>
                <w:sz w:val="20"/>
              </w:rPr>
            </w:pPr>
            <w:r w:rsidRPr="005F6BC2">
              <w:rPr>
                <w:szCs w:val="22"/>
              </w:rPr>
              <w:t>$1,</w:t>
            </w:r>
            <w:r>
              <w:rPr>
                <w:szCs w:val="22"/>
              </w:rPr>
              <w:t>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132605C4" w14:textId="77777777">
            <w:pPr>
              <w:spacing w:before="42" w:after="104"/>
              <w:jc w:val="right"/>
              <w:rPr>
                <w:sz w:val="20"/>
              </w:rPr>
            </w:pPr>
            <w:r w:rsidRPr="005F6BC2">
              <w:rPr>
                <w:szCs w:val="22"/>
              </w:rPr>
              <w:t>$1,8</w:t>
            </w:r>
            <w:r>
              <w:rPr>
                <w:szCs w:val="22"/>
              </w:rPr>
              <w:t>50</w:t>
            </w:r>
          </w:p>
        </w:tc>
      </w:tr>
      <w:tr w14:paraId="78EB7CFD"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106C5BF1" w14:textId="77777777">
            <w:pPr>
              <w:spacing w:before="42" w:after="104"/>
              <w:rPr>
                <w:b/>
                <w:bCs/>
                <w:sz w:val="20"/>
              </w:rPr>
            </w:pPr>
            <w:r w:rsidRPr="005F6BC2">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80FF17D" w14:textId="77777777">
            <w:pPr>
              <w:spacing w:before="42" w:after="104"/>
              <w:jc w:val="right"/>
              <w:rPr>
                <w:sz w:val="20"/>
              </w:rPr>
            </w:pPr>
            <w:r w:rsidRPr="005F6BC2">
              <w:rPr>
                <w:szCs w:val="22"/>
              </w:rPr>
              <w:t>$2,</w:t>
            </w:r>
            <w:r>
              <w:rPr>
                <w:szCs w:val="22"/>
              </w:rPr>
              <w:t>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06B00016" w14:textId="77777777">
            <w:pPr>
              <w:spacing w:before="42" w:after="104"/>
              <w:jc w:val="right"/>
              <w:rPr>
                <w:sz w:val="20"/>
              </w:rPr>
            </w:pPr>
            <w:r w:rsidRPr="005F6BC2">
              <w:rPr>
                <w:szCs w:val="22"/>
              </w:rPr>
              <w:t>$1,</w:t>
            </w:r>
            <w:r>
              <w:rPr>
                <w:szCs w:val="22"/>
              </w:rPr>
              <w:t>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8FFFDE5" w14:textId="77777777">
            <w:pPr>
              <w:spacing w:before="42" w:after="104"/>
              <w:jc w:val="right"/>
              <w:rPr>
                <w:sz w:val="20"/>
              </w:rPr>
            </w:pPr>
            <w:r w:rsidRPr="005F6BC2">
              <w:rPr>
                <w:szCs w:val="22"/>
              </w:rPr>
              <w:t>$1,</w:t>
            </w:r>
            <w:r>
              <w:rPr>
                <w:szCs w:val="22"/>
              </w:rPr>
              <w:t>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FBC12FA" w14:textId="77777777">
            <w:pPr>
              <w:spacing w:before="42" w:after="104"/>
              <w:jc w:val="right"/>
              <w:rPr>
                <w:sz w:val="20"/>
              </w:rPr>
            </w:pPr>
            <w:r w:rsidRPr="005F6BC2">
              <w:rPr>
                <w:szCs w:val="22"/>
              </w:rPr>
              <w:t>$1,</w:t>
            </w:r>
            <w:r>
              <w:rPr>
                <w:szCs w:val="22"/>
              </w:rPr>
              <w:t>500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D310A63" w14:textId="77777777">
            <w:pPr>
              <w:spacing w:before="42" w:after="104"/>
              <w:jc w:val="right"/>
              <w:rPr>
                <w:sz w:val="20"/>
              </w:rPr>
            </w:pPr>
            <w:r w:rsidRPr="005F6BC2">
              <w:rPr>
                <w:szCs w:val="22"/>
              </w:rPr>
              <w:t>$2,</w:t>
            </w:r>
            <w:r>
              <w:rPr>
                <w:szCs w:val="22"/>
              </w:rPr>
              <w:t>425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0D6864B0" w14:textId="77777777">
            <w:pPr>
              <w:spacing w:before="42" w:after="104"/>
              <w:jc w:val="right"/>
              <w:rPr>
                <w:sz w:val="20"/>
              </w:rPr>
            </w:pPr>
            <w:r w:rsidRPr="005F6BC2">
              <w:rPr>
                <w:szCs w:val="22"/>
              </w:rPr>
              <w:t>$2,</w:t>
            </w:r>
            <w:r>
              <w:rPr>
                <w:szCs w:val="22"/>
              </w:rPr>
              <w:t>750</w:t>
            </w:r>
          </w:p>
        </w:tc>
      </w:tr>
      <w:tr w14:paraId="788AF0F7"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7D26F9EE" w14:textId="77777777">
            <w:pPr>
              <w:spacing w:before="42" w:after="104"/>
              <w:rPr>
                <w:b/>
                <w:bCs/>
                <w:sz w:val="20"/>
              </w:rPr>
            </w:pPr>
            <w:r w:rsidRPr="005F6BC2">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5B4F21C3" w14:textId="77777777">
            <w:pPr>
              <w:spacing w:before="42" w:after="104"/>
              <w:jc w:val="right"/>
              <w:rPr>
                <w:sz w:val="20"/>
              </w:rPr>
            </w:pPr>
            <w:r w:rsidRPr="005F6BC2">
              <w:rPr>
                <w:szCs w:val="22"/>
              </w:rPr>
              <w:t>$3,</w:t>
            </w:r>
            <w:r>
              <w:rPr>
                <w:szCs w:val="22"/>
              </w:rPr>
              <w:t>300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05CF0AE3" w14:textId="77777777">
            <w:pPr>
              <w:spacing w:before="42" w:after="104"/>
              <w:jc w:val="right"/>
              <w:rPr>
                <w:sz w:val="20"/>
              </w:rPr>
            </w:pPr>
            <w:r w:rsidRPr="005F6BC2">
              <w:rPr>
                <w:szCs w:val="22"/>
              </w:rPr>
              <w:t>$2,</w:t>
            </w:r>
            <w:r>
              <w:rPr>
                <w:szCs w:val="22"/>
              </w:rPr>
              <w:t>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2E16028" w14:textId="77777777">
            <w:pPr>
              <w:spacing w:before="42" w:after="104"/>
              <w:jc w:val="right"/>
              <w:rPr>
                <w:sz w:val="20"/>
              </w:rPr>
            </w:pPr>
            <w:r w:rsidRPr="005F6BC2">
              <w:rPr>
                <w:szCs w:val="22"/>
              </w:rPr>
              <w:t>$2,</w:t>
            </w:r>
            <w:r>
              <w:rPr>
                <w:szCs w:val="22"/>
              </w:rPr>
              <w:t>050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4B32D97D" w14:textId="77777777">
            <w:pPr>
              <w:spacing w:before="42" w:after="104"/>
              <w:jc w:val="right"/>
              <w:rPr>
                <w:sz w:val="20"/>
              </w:rPr>
            </w:pPr>
            <w:r w:rsidRPr="005F6BC2">
              <w:rPr>
                <w:szCs w:val="22"/>
              </w:rPr>
              <w:t>$2,</w:t>
            </w:r>
            <w:r>
              <w:rPr>
                <w:szCs w:val="22"/>
              </w:rPr>
              <w:t>275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8CE6D18" w14:textId="77777777">
            <w:pPr>
              <w:spacing w:before="42" w:after="104"/>
              <w:jc w:val="right"/>
              <w:rPr>
                <w:sz w:val="20"/>
              </w:rPr>
            </w:pPr>
            <w:r w:rsidRPr="005F6BC2">
              <w:rPr>
                <w:szCs w:val="22"/>
              </w:rPr>
              <w:t>$3,</w:t>
            </w:r>
            <w:r>
              <w:rPr>
                <w:szCs w:val="22"/>
              </w:rPr>
              <w:t>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223C2602" w14:textId="77777777">
            <w:pPr>
              <w:spacing w:before="42" w:after="104"/>
              <w:jc w:val="right"/>
              <w:rPr>
                <w:sz w:val="20"/>
              </w:rPr>
            </w:pPr>
            <w:r w:rsidRPr="005F6BC2">
              <w:rPr>
                <w:szCs w:val="22"/>
              </w:rPr>
              <w:t>$4,</w:t>
            </w:r>
            <w:r>
              <w:rPr>
                <w:szCs w:val="22"/>
              </w:rPr>
              <w:t>150</w:t>
            </w:r>
          </w:p>
        </w:tc>
      </w:tr>
      <w:tr w14:paraId="11B6AC23"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054B368F" w14:textId="77777777">
            <w:pPr>
              <w:spacing w:before="42" w:after="104"/>
              <w:rPr>
                <w:b/>
                <w:bCs/>
                <w:sz w:val="20"/>
              </w:rPr>
            </w:pPr>
            <w:r w:rsidRPr="005F6BC2">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3178C51F" w14:textId="77777777">
            <w:pPr>
              <w:spacing w:before="42" w:after="104"/>
              <w:jc w:val="right"/>
              <w:rPr>
                <w:sz w:val="20"/>
              </w:rPr>
            </w:pPr>
            <w:r w:rsidRPr="00A555F7">
              <w:rPr>
                <w:sz w:val="20"/>
              </w:rPr>
              <w:t>$</w:t>
            </w:r>
            <w:r>
              <w:rPr>
                <w:sz w:val="20"/>
              </w:rPr>
              <w:t>4,925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012F0072" w14:textId="77777777">
            <w:pPr>
              <w:spacing w:before="42" w:after="104"/>
              <w:jc w:val="right"/>
              <w:rPr>
                <w:sz w:val="20"/>
              </w:rPr>
            </w:pPr>
            <w:r w:rsidRPr="005F6BC2">
              <w:rPr>
                <w:szCs w:val="22"/>
              </w:rPr>
              <w:t>$3,</w:t>
            </w:r>
            <w:r>
              <w:rPr>
                <w:szCs w:val="22"/>
              </w:rPr>
              <w:t>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0330C226" w14:textId="77777777">
            <w:pPr>
              <w:spacing w:before="42" w:after="104"/>
              <w:jc w:val="right"/>
              <w:rPr>
                <w:sz w:val="20"/>
              </w:rPr>
            </w:pPr>
            <w:r w:rsidRPr="005F6BC2">
              <w:rPr>
                <w:szCs w:val="22"/>
              </w:rPr>
              <w:t>$3,</w:t>
            </w:r>
            <w:r>
              <w:rPr>
                <w:szCs w:val="22"/>
              </w:rPr>
              <w:t>075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0094F025" w14:textId="77777777">
            <w:pPr>
              <w:spacing w:before="42" w:after="104"/>
              <w:jc w:val="right"/>
              <w:rPr>
                <w:sz w:val="20"/>
              </w:rPr>
            </w:pPr>
            <w:r w:rsidRPr="005F6BC2">
              <w:rPr>
                <w:szCs w:val="22"/>
              </w:rPr>
              <w:t>$3,</w:t>
            </w:r>
            <w:r>
              <w:rPr>
                <w:szCs w:val="22"/>
              </w:rPr>
              <w:t>400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CCD6D3A" w14:textId="77777777">
            <w:pPr>
              <w:spacing w:before="42" w:after="104"/>
              <w:jc w:val="right"/>
              <w:rPr>
                <w:sz w:val="20"/>
              </w:rPr>
            </w:pPr>
            <w:r w:rsidRPr="005F6BC2">
              <w:rPr>
                <w:szCs w:val="22"/>
              </w:rPr>
              <w:t>$5,</w:t>
            </w:r>
            <w:r>
              <w:rPr>
                <w:szCs w:val="22"/>
              </w:rPr>
              <w:t>450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1FE43AF6" w14:textId="77777777">
            <w:pPr>
              <w:spacing w:before="42" w:after="104"/>
              <w:jc w:val="right"/>
              <w:rPr>
                <w:sz w:val="20"/>
              </w:rPr>
            </w:pPr>
            <w:r w:rsidRPr="005F6BC2">
              <w:rPr>
                <w:szCs w:val="22"/>
              </w:rPr>
              <w:t>$6,</w:t>
            </w:r>
            <w:r>
              <w:rPr>
                <w:szCs w:val="22"/>
              </w:rPr>
              <w:t>200</w:t>
            </w:r>
          </w:p>
        </w:tc>
      </w:tr>
      <w:tr w14:paraId="3D679D12" w14:textId="77777777" w:rsidTr="006B48CA">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9C1C1C" w:rsidRPr="005F6BC2" w:rsidP="006B48CA" w14:paraId="27F67A1B" w14:textId="77777777">
            <w:pPr>
              <w:spacing w:before="42" w:after="104"/>
              <w:rPr>
                <w:b/>
                <w:bCs/>
                <w:sz w:val="20"/>
              </w:rPr>
            </w:pPr>
            <w:r w:rsidRPr="005F6BC2">
              <w:rPr>
                <w:b/>
                <w:bCs/>
                <w:sz w:val="20"/>
              </w:rPr>
              <w:t>1,200,001 – 3,000,00</w:t>
            </w:r>
            <w:r>
              <w:rPr>
                <w:b/>
                <w:bCs/>
                <w:sz w:val="20"/>
              </w:rPr>
              <w:t>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35B72AE9" w14:textId="77777777">
            <w:pPr>
              <w:spacing w:before="42" w:after="104"/>
              <w:jc w:val="right"/>
              <w:rPr>
                <w:sz w:val="20"/>
              </w:rPr>
            </w:pPr>
            <w:r w:rsidRPr="005F6BC2">
              <w:rPr>
                <w:szCs w:val="22"/>
              </w:rPr>
              <w:t>$7,</w:t>
            </w:r>
            <w:r>
              <w:rPr>
                <w:szCs w:val="22"/>
              </w:rPr>
              <w:t>400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4EF602F6" w14:textId="77777777">
            <w:pPr>
              <w:spacing w:before="42" w:after="104"/>
              <w:jc w:val="right"/>
              <w:rPr>
                <w:sz w:val="20"/>
              </w:rPr>
            </w:pPr>
            <w:r w:rsidRPr="005F6BC2">
              <w:rPr>
                <w:szCs w:val="22"/>
              </w:rPr>
              <w:t>$5,</w:t>
            </w:r>
            <w:r>
              <w:rPr>
                <w:szCs w:val="22"/>
              </w:rPr>
              <w:t>325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4EDC7ACC" w14:textId="77777777">
            <w:pPr>
              <w:spacing w:before="42" w:after="104"/>
              <w:jc w:val="right"/>
              <w:rPr>
                <w:sz w:val="20"/>
              </w:rPr>
            </w:pPr>
            <w:r w:rsidRPr="005F6BC2">
              <w:rPr>
                <w:szCs w:val="22"/>
              </w:rPr>
              <w:t>$4,</w:t>
            </w:r>
            <w:r>
              <w:rPr>
                <w:szCs w:val="22"/>
              </w:rPr>
              <w:t>625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7B5FBF5E" w14:textId="77777777">
            <w:pPr>
              <w:spacing w:before="42" w:after="104"/>
              <w:jc w:val="right"/>
              <w:rPr>
                <w:sz w:val="20"/>
              </w:rPr>
            </w:pPr>
            <w:r w:rsidRPr="005F6BC2">
              <w:rPr>
                <w:szCs w:val="22"/>
              </w:rPr>
              <w:t>$</w:t>
            </w:r>
            <w:r>
              <w:rPr>
                <w:szCs w:val="22"/>
              </w:rPr>
              <w:t>5,100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233D827E" w14:textId="77777777">
            <w:pPr>
              <w:spacing w:before="42" w:after="104"/>
              <w:jc w:val="right"/>
              <w:rPr>
                <w:sz w:val="20"/>
              </w:rPr>
            </w:pPr>
            <w:r w:rsidRPr="005F6BC2">
              <w:rPr>
                <w:szCs w:val="22"/>
              </w:rPr>
              <w:t>$</w:t>
            </w:r>
            <w:r>
              <w:rPr>
                <w:szCs w:val="22"/>
              </w:rPr>
              <w:t>8,175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9C1C1C" w:rsidRPr="005F6BC2" w:rsidP="006B48CA" w14:paraId="09C3F3AB" w14:textId="77777777">
            <w:pPr>
              <w:spacing w:before="42" w:after="104"/>
              <w:jc w:val="right"/>
              <w:rPr>
                <w:sz w:val="20"/>
              </w:rPr>
            </w:pPr>
            <w:r w:rsidRPr="005F6BC2">
              <w:rPr>
                <w:szCs w:val="22"/>
              </w:rPr>
              <w:t>$9,</w:t>
            </w:r>
            <w:r>
              <w:rPr>
                <w:szCs w:val="22"/>
              </w:rPr>
              <w:t>300</w:t>
            </w:r>
          </w:p>
        </w:tc>
      </w:tr>
      <w:tr w14:paraId="60CEB60C" w14:textId="77777777" w:rsidTr="006B48CA">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9C1C1C" w:rsidRPr="005F6BC2" w:rsidP="006B48CA" w14:paraId="4B018CFC" w14:textId="77777777">
            <w:pPr>
              <w:spacing w:before="42" w:after="104"/>
              <w:rPr>
                <w:b/>
                <w:bCs/>
                <w:sz w:val="20"/>
              </w:rPr>
            </w:pPr>
            <w:r w:rsidRPr="005F6BC2">
              <w:rPr>
                <w:b/>
                <w:bCs/>
                <w:sz w:val="20"/>
              </w:rPr>
              <w:t>3,000,001 – 6,000,00</w:t>
            </w:r>
            <w:r>
              <w:rPr>
                <w:b/>
                <w:bCs/>
                <w:sz w:val="20"/>
              </w:rPr>
              <w:t>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158A8A66" w14:textId="77777777">
            <w:pPr>
              <w:spacing w:before="42" w:after="104"/>
              <w:jc w:val="right"/>
              <w:rPr>
                <w:sz w:val="20"/>
              </w:rPr>
            </w:pPr>
            <w:r w:rsidRPr="005F6BC2">
              <w:rPr>
                <w:szCs w:val="22"/>
              </w:rPr>
              <w:t>$1</w:t>
            </w:r>
            <w:r>
              <w:rPr>
                <w:szCs w:val="22"/>
              </w:rPr>
              <w:t>1,100</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7EEC1F47" w14:textId="77777777">
            <w:pPr>
              <w:spacing w:before="42" w:after="104"/>
              <w:jc w:val="right"/>
              <w:rPr>
                <w:sz w:val="20"/>
              </w:rPr>
            </w:pPr>
            <w:r w:rsidRPr="005F6BC2">
              <w:rPr>
                <w:szCs w:val="22"/>
              </w:rPr>
              <w:t>$</w:t>
            </w:r>
            <w:r>
              <w:rPr>
                <w:szCs w:val="22"/>
              </w:rPr>
              <w:t>7,975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4378D7C9" w14:textId="77777777">
            <w:pPr>
              <w:spacing w:before="42" w:after="104"/>
              <w:jc w:val="right"/>
              <w:rPr>
                <w:sz w:val="20"/>
              </w:rPr>
            </w:pPr>
            <w:r w:rsidRPr="005F6BC2">
              <w:rPr>
                <w:szCs w:val="22"/>
              </w:rPr>
              <w:t>$</w:t>
            </w:r>
            <w:r>
              <w:rPr>
                <w:szCs w:val="22"/>
              </w:rPr>
              <w:t>6,950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0DFB1091" w14:textId="77777777">
            <w:pPr>
              <w:spacing w:before="42" w:after="104"/>
              <w:jc w:val="right"/>
              <w:rPr>
                <w:sz w:val="20"/>
              </w:rPr>
            </w:pPr>
            <w:r w:rsidRPr="005F6BC2">
              <w:rPr>
                <w:szCs w:val="22"/>
              </w:rPr>
              <w:t>$7,</w:t>
            </w:r>
            <w:r>
              <w:rPr>
                <w:szCs w:val="22"/>
              </w:rPr>
              <w:t>625</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73B73648" w14:textId="77777777">
            <w:pPr>
              <w:spacing w:before="42" w:after="104"/>
              <w:jc w:val="right"/>
              <w:rPr>
                <w:sz w:val="20"/>
              </w:rPr>
            </w:pPr>
            <w:r w:rsidRPr="005F6BC2">
              <w:rPr>
                <w:szCs w:val="22"/>
              </w:rPr>
              <w:t>$1</w:t>
            </w:r>
            <w:r>
              <w:rPr>
                <w:szCs w:val="22"/>
              </w:rPr>
              <w:t>2,250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9C1C1C" w:rsidRPr="005F6BC2" w:rsidP="006B48CA" w14:paraId="56AA5D6B" w14:textId="77777777">
            <w:pPr>
              <w:spacing w:before="42" w:after="104"/>
              <w:jc w:val="right"/>
              <w:rPr>
                <w:sz w:val="20"/>
              </w:rPr>
            </w:pPr>
            <w:r w:rsidRPr="005F6BC2">
              <w:rPr>
                <w:szCs w:val="22"/>
              </w:rPr>
              <w:t>$1</w:t>
            </w:r>
            <w:r>
              <w:rPr>
                <w:szCs w:val="22"/>
              </w:rPr>
              <w:t>3,950</w:t>
            </w:r>
          </w:p>
        </w:tc>
      </w:tr>
      <w:tr w14:paraId="57A674E4" w14:textId="77777777" w:rsidTr="006B48CA">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9C1C1C" w:rsidRPr="005F6BC2" w:rsidP="006B48CA" w14:paraId="752AE4F0" w14:textId="77777777">
            <w:pPr>
              <w:spacing w:before="42" w:after="104"/>
              <w:rPr>
                <w:b/>
                <w:bCs/>
                <w:sz w:val="20"/>
              </w:rPr>
            </w:pPr>
            <w:r w:rsidRPr="005F6BC2">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099DD1B0" w14:textId="77777777">
            <w:pPr>
              <w:spacing w:before="42" w:after="104"/>
              <w:jc w:val="right"/>
              <w:rPr>
                <w:sz w:val="20"/>
              </w:rPr>
            </w:pPr>
            <w:r w:rsidRPr="005F6BC2">
              <w:rPr>
                <w:szCs w:val="22"/>
              </w:rPr>
              <w:t>$1</w:t>
            </w:r>
            <w:r>
              <w:rPr>
                <w:szCs w:val="22"/>
              </w:rPr>
              <w:t>6,675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06820237" w14:textId="77777777">
            <w:pPr>
              <w:spacing w:before="42" w:after="104"/>
              <w:jc w:val="right"/>
              <w:rPr>
                <w:sz w:val="20"/>
              </w:rPr>
            </w:pPr>
            <w:r w:rsidRPr="005F6BC2">
              <w:rPr>
                <w:szCs w:val="22"/>
              </w:rPr>
              <w:t>$1</w:t>
            </w:r>
            <w:r>
              <w:rPr>
                <w:szCs w:val="22"/>
              </w:rPr>
              <w:t>1,975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449BB113" w14:textId="77777777">
            <w:pPr>
              <w:spacing w:before="42" w:after="104"/>
              <w:jc w:val="right"/>
              <w:rPr>
                <w:sz w:val="20"/>
              </w:rPr>
            </w:pPr>
            <w:r w:rsidRPr="005F6BC2">
              <w:rPr>
                <w:szCs w:val="22"/>
              </w:rPr>
              <w:t>$10,</w:t>
            </w:r>
            <w:r>
              <w:rPr>
                <w:szCs w:val="22"/>
              </w:rPr>
              <w:t>425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23E50F7A" w14:textId="77777777">
            <w:pPr>
              <w:spacing w:before="42" w:after="104"/>
              <w:jc w:val="right"/>
              <w:rPr>
                <w:sz w:val="20"/>
              </w:rPr>
            </w:pPr>
            <w:r w:rsidRPr="005F6BC2">
              <w:rPr>
                <w:szCs w:val="22"/>
              </w:rPr>
              <w:t>$11,</w:t>
            </w:r>
            <w:r>
              <w:rPr>
                <w:szCs w:val="22"/>
              </w:rPr>
              <w:t>450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258F928A" w14:textId="77777777">
            <w:pPr>
              <w:spacing w:before="42" w:after="104"/>
              <w:jc w:val="right"/>
              <w:rPr>
                <w:sz w:val="20"/>
              </w:rPr>
            </w:pPr>
            <w:r w:rsidRPr="005F6BC2">
              <w:rPr>
                <w:szCs w:val="22"/>
              </w:rPr>
              <w:t>$1</w:t>
            </w:r>
            <w:r>
              <w:rPr>
                <w:szCs w:val="22"/>
              </w:rPr>
              <w:t>8,375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9C1C1C" w:rsidRPr="005F6BC2" w:rsidP="006B48CA" w14:paraId="0FF57C19" w14:textId="77777777">
            <w:pPr>
              <w:spacing w:before="42" w:after="104"/>
              <w:jc w:val="right"/>
              <w:rPr>
                <w:sz w:val="20"/>
              </w:rPr>
            </w:pPr>
            <w:r w:rsidRPr="005F6BC2">
              <w:rPr>
                <w:szCs w:val="22"/>
              </w:rPr>
              <w:t>$2</w:t>
            </w:r>
            <w:r>
              <w:rPr>
                <w:szCs w:val="22"/>
              </w:rPr>
              <w:t>0,925</w:t>
            </w:r>
          </w:p>
        </w:tc>
      </w:tr>
    </w:tbl>
    <w:p w:rsidR="009C1C1C" w:rsidRPr="00A555F7" w:rsidP="009C1C1C" w14:paraId="27DF364E" w14:textId="77777777">
      <w:pPr>
        <w:widowControl/>
        <w:rPr>
          <w:b/>
        </w:rPr>
      </w:pPr>
    </w:p>
    <w:p w:rsidR="009C1C1C" w:rsidP="009C1C1C" w14:paraId="39332242" w14:textId="77777777">
      <w:pPr>
        <w:pStyle w:val="ParaNum"/>
        <w:numPr>
          <w:ilvl w:val="0"/>
          <w:numId w:val="0"/>
        </w:numPr>
        <w:ind w:left="720"/>
      </w:pPr>
    </w:p>
    <w:p w:rsidR="009C1C1C" w:rsidP="009C1C1C" w14:paraId="79B6023C" w14:textId="77777777">
      <w:pPr>
        <w:pStyle w:val="ParaNum"/>
        <w:numPr>
          <w:ilvl w:val="0"/>
          <w:numId w:val="0"/>
        </w:numPr>
        <w:ind w:left="720"/>
        <w:jc w:val="center"/>
        <w:rPr>
          <w:b/>
          <w:bCs/>
        </w:rPr>
      </w:pPr>
      <w:r w:rsidRPr="00A555F7">
        <w:rPr>
          <w:b/>
        </w:rPr>
        <w:t>FY 2020 International Bearer Circuits - Submarine Cable Systems</w:t>
      </w:r>
    </w:p>
    <w:p w:rsidR="009C1C1C" w:rsidRPr="00A555F7" w:rsidP="009C1C1C" w14:paraId="5680A3D8" w14:textId="77777777">
      <w:pPr>
        <w:pStyle w:val="ParaNum"/>
        <w:numPr>
          <w:ilvl w:val="0"/>
          <w:numId w:val="0"/>
        </w:numPr>
        <w:ind w:left="720"/>
        <w:jc w:val="center"/>
        <w:rPr>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07E39C83" w14:textId="77777777" w:rsidTr="006B48CA">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9C1C1C" w:rsidRPr="005F6BC2" w:rsidP="006B48CA" w14:paraId="201A6C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9C1C1C" w:rsidRPr="005F6BC2" w:rsidP="006B48CA" w14:paraId="30C580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201</w:t>
            </w:r>
            <w:r>
              <w:rPr>
                <w:b/>
                <w:szCs w:val="22"/>
              </w:rPr>
              <w:t>9</w:t>
            </w:r>
            <w:r w:rsidRPr="005F6BC2">
              <w:rPr>
                <w:b/>
                <w:szCs w:val="22"/>
              </w:rPr>
              <w:t>)</w:t>
            </w:r>
          </w:p>
        </w:tc>
        <w:tc>
          <w:tcPr>
            <w:tcW w:w="2291" w:type="dxa"/>
          </w:tcPr>
          <w:p w:rsidR="009C1C1C" w:rsidP="006B48CA" w14:paraId="23CD60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9C1C1C" w:rsidRPr="005F6BC2" w:rsidP="006B48CA" w14:paraId="1908D8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9C1C1C" w:rsidRPr="005F6BC2" w:rsidP="006B48CA" w14:paraId="0373AD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20 Regulatory Fees</w:t>
            </w:r>
          </w:p>
        </w:tc>
      </w:tr>
      <w:tr w14:paraId="2BD26B05" w14:textId="77777777" w:rsidTr="006B48CA">
        <w:tblPrEx>
          <w:tblW w:w="0" w:type="auto"/>
          <w:tblInd w:w="175" w:type="dxa"/>
          <w:tblLook w:val="01E0"/>
        </w:tblPrEx>
        <w:trPr>
          <w:trHeight w:val="576"/>
        </w:trPr>
        <w:tc>
          <w:tcPr>
            <w:tcW w:w="3649" w:type="dxa"/>
            <w:vAlign w:val="center"/>
          </w:tcPr>
          <w:p w:rsidR="009C1C1C" w:rsidRPr="005F6BC2" w:rsidP="006B48CA" w14:paraId="41F811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9C1C1C" w:rsidP="006B48CA" w14:paraId="64C05E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9C1C1C" w:rsidP="006B48CA" w14:paraId="42FC1C6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9C1C1C" w:rsidRPr="005F6BC2" w:rsidP="006B48CA" w14:paraId="5CD9D5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$13,450</w:t>
            </w:r>
          </w:p>
        </w:tc>
      </w:tr>
      <w:tr w14:paraId="4F8011B1" w14:textId="77777777" w:rsidTr="006B48CA">
        <w:tblPrEx>
          <w:tblW w:w="0" w:type="auto"/>
          <w:tblInd w:w="175" w:type="dxa"/>
          <w:tblLook w:val="01E0"/>
        </w:tblPrEx>
        <w:trPr>
          <w:trHeight w:val="576"/>
        </w:trPr>
        <w:tc>
          <w:tcPr>
            <w:tcW w:w="3649" w:type="dxa"/>
            <w:vAlign w:val="center"/>
          </w:tcPr>
          <w:p w:rsidR="009C1C1C" w:rsidRPr="005F6BC2" w:rsidP="006B48CA" w14:paraId="426067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9C1C1C" w:rsidP="006B48CA" w14:paraId="076994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9C1C1C" w:rsidRPr="005F6BC2" w:rsidP="006B48CA" w14:paraId="7875C4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9C1C1C" w:rsidRPr="005F6BC2" w:rsidP="006B48CA" w14:paraId="58EE78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Pr>
                <w:bCs/>
                <w:szCs w:val="22"/>
              </w:rPr>
              <w:t>26,875</w:t>
            </w:r>
          </w:p>
        </w:tc>
      </w:tr>
      <w:tr w14:paraId="4F6F098E" w14:textId="77777777" w:rsidTr="006B48CA">
        <w:tblPrEx>
          <w:tblW w:w="0" w:type="auto"/>
          <w:tblInd w:w="175" w:type="dxa"/>
          <w:tblLook w:val="01E0"/>
        </w:tblPrEx>
        <w:trPr>
          <w:trHeight w:val="576"/>
        </w:trPr>
        <w:tc>
          <w:tcPr>
            <w:tcW w:w="3649" w:type="dxa"/>
            <w:vAlign w:val="center"/>
          </w:tcPr>
          <w:p w:rsidR="009C1C1C" w:rsidRPr="005F6BC2" w:rsidP="006B48CA" w14:paraId="7F33890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9C1C1C" w:rsidP="006B48CA" w14:paraId="771C56DC" w14:textId="77777777">
            <w:pPr>
              <w:jc w:val="center"/>
              <w:rPr>
                <w:bCs/>
                <w:szCs w:val="22"/>
              </w:rPr>
            </w:pPr>
          </w:p>
          <w:p w:rsidR="009C1C1C" w:rsidRPr="005F6BC2" w:rsidP="006B48CA" w14:paraId="153D323B" w14:textId="77777777">
            <w:pPr>
              <w:jc w:val="center"/>
              <w:rPr>
                <w:bCs/>
                <w:szCs w:val="22"/>
              </w:rPr>
            </w:pPr>
            <w:r>
              <w:rPr>
                <w:bCs/>
                <w:szCs w:val="22"/>
              </w:rPr>
              <w:t>.25 Units</w:t>
            </w:r>
          </w:p>
        </w:tc>
        <w:tc>
          <w:tcPr>
            <w:tcW w:w="3235" w:type="dxa"/>
            <w:vAlign w:val="center"/>
          </w:tcPr>
          <w:p w:rsidR="009C1C1C" w:rsidRPr="005F6BC2" w:rsidP="006B48CA" w14:paraId="67BCC218" w14:textId="77777777">
            <w:pPr>
              <w:jc w:val="center"/>
              <w:rPr>
                <w:spacing w:val="-3"/>
                <w:szCs w:val="22"/>
              </w:rPr>
            </w:pPr>
            <w:r w:rsidRPr="005F6BC2">
              <w:rPr>
                <w:bCs/>
                <w:szCs w:val="22"/>
              </w:rPr>
              <w:t>$</w:t>
            </w:r>
            <w:r>
              <w:rPr>
                <w:bCs/>
                <w:szCs w:val="22"/>
              </w:rPr>
              <w:t>53,750</w:t>
            </w:r>
          </w:p>
        </w:tc>
      </w:tr>
      <w:tr w14:paraId="678F1E2F" w14:textId="77777777" w:rsidTr="006B48CA">
        <w:tblPrEx>
          <w:tblW w:w="0" w:type="auto"/>
          <w:tblInd w:w="175" w:type="dxa"/>
          <w:tblLook w:val="01E0"/>
        </w:tblPrEx>
        <w:trPr>
          <w:trHeight w:val="576"/>
        </w:trPr>
        <w:tc>
          <w:tcPr>
            <w:tcW w:w="3649" w:type="dxa"/>
            <w:vAlign w:val="center"/>
          </w:tcPr>
          <w:p w:rsidR="009C1C1C" w:rsidRPr="005F6BC2" w:rsidP="006B48CA" w14:paraId="71CE69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9C1C1C" w:rsidP="006B48CA" w14:paraId="16B4EFD7" w14:textId="77777777">
            <w:pPr>
              <w:jc w:val="center"/>
              <w:rPr>
                <w:bCs/>
                <w:szCs w:val="22"/>
              </w:rPr>
            </w:pPr>
          </w:p>
          <w:p w:rsidR="009C1C1C" w:rsidRPr="005F6BC2" w:rsidP="006B48CA" w14:paraId="3661D0DD" w14:textId="77777777">
            <w:pPr>
              <w:jc w:val="center"/>
              <w:rPr>
                <w:bCs/>
                <w:szCs w:val="22"/>
              </w:rPr>
            </w:pPr>
            <w:r>
              <w:rPr>
                <w:bCs/>
                <w:szCs w:val="22"/>
              </w:rPr>
              <w:t>.5 Units</w:t>
            </w:r>
          </w:p>
        </w:tc>
        <w:tc>
          <w:tcPr>
            <w:tcW w:w="3235" w:type="dxa"/>
            <w:vAlign w:val="center"/>
          </w:tcPr>
          <w:p w:rsidR="009C1C1C" w:rsidRPr="005F6BC2" w:rsidP="006B48CA" w14:paraId="61968C3E" w14:textId="77777777">
            <w:pPr>
              <w:jc w:val="center"/>
              <w:rPr>
                <w:spacing w:val="-3"/>
                <w:szCs w:val="22"/>
              </w:rPr>
            </w:pPr>
            <w:r w:rsidRPr="005F6BC2">
              <w:rPr>
                <w:bCs/>
                <w:szCs w:val="22"/>
              </w:rPr>
              <w:t>$</w:t>
            </w:r>
            <w:r>
              <w:rPr>
                <w:bCs/>
                <w:szCs w:val="22"/>
              </w:rPr>
              <w:t>107,500</w:t>
            </w:r>
          </w:p>
        </w:tc>
      </w:tr>
      <w:tr w14:paraId="1A7C05C2" w14:textId="77777777" w:rsidTr="006B48CA">
        <w:tblPrEx>
          <w:tblW w:w="0" w:type="auto"/>
          <w:tblInd w:w="175" w:type="dxa"/>
          <w:tblLook w:val="01E0"/>
        </w:tblPrEx>
        <w:trPr>
          <w:trHeight w:val="576"/>
        </w:trPr>
        <w:tc>
          <w:tcPr>
            <w:tcW w:w="3649" w:type="dxa"/>
            <w:vAlign w:val="center"/>
          </w:tcPr>
          <w:p w:rsidR="009C1C1C" w:rsidRPr="005F6BC2" w:rsidP="006B48CA" w14:paraId="7885CD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9C1C1C" w:rsidP="006B48CA" w14:paraId="403C1F61" w14:textId="77777777">
            <w:pPr>
              <w:jc w:val="center"/>
              <w:rPr>
                <w:bCs/>
                <w:szCs w:val="22"/>
              </w:rPr>
            </w:pPr>
          </w:p>
          <w:p w:rsidR="009C1C1C" w:rsidRPr="005F6BC2" w:rsidP="006B48CA" w14:paraId="5D8C9631" w14:textId="77777777">
            <w:pPr>
              <w:jc w:val="center"/>
              <w:rPr>
                <w:bCs/>
                <w:szCs w:val="22"/>
              </w:rPr>
            </w:pPr>
            <w:r>
              <w:rPr>
                <w:bCs/>
                <w:szCs w:val="22"/>
              </w:rPr>
              <w:t>1.0 Unit</w:t>
            </w:r>
          </w:p>
        </w:tc>
        <w:tc>
          <w:tcPr>
            <w:tcW w:w="3235" w:type="dxa"/>
            <w:vAlign w:val="center"/>
          </w:tcPr>
          <w:p w:rsidR="009C1C1C" w:rsidRPr="005F6BC2" w:rsidP="006B48CA" w14:paraId="756ABA5A" w14:textId="77777777">
            <w:pPr>
              <w:jc w:val="center"/>
              <w:rPr>
                <w:spacing w:val="-3"/>
                <w:szCs w:val="22"/>
              </w:rPr>
            </w:pPr>
            <w:r w:rsidRPr="005F6BC2">
              <w:rPr>
                <w:bCs/>
                <w:szCs w:val="22"/>
              </w:rPr>
              <w:t>$</w:t>
            </w:r>
            <w:r>
              <w:rPr>
                <w:bCs/>
                <w:szCs w:val="22"/>
              </w:rPr>
              <w:t>215,000</w:t>
            </w:r>
          </w:p>
        </w:tc>
      </w:tr>
      <w:tr w14:paraId="095F9CB9" w14:textId="77777777" w:rsidTr="006B48CA">
        <w:tblPrEx>
          <w:tblW w:w="0" w:type="auto"/>
          <w:tblInd w:w="175" w:type="dxa"/>
          <w:tblLook w:val="01E0"/>
        </w:tblPrEx>
        <w:trPr>
          <w:trHeight w:val="576"/>
        </w:trPr>
        <w:tc>
          <w:tcPr>
            <w:tcW w:w="3649" w:type="dxa"/>
            <w:vAlign w:val="center"/>
          </w:tcPr>
          <w:p w:rsidR="009C1C1C" w:rsidRPr="005F6BC2" w:rsidP="006B48CA" w14:paraId="22F5AF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9C1C1C" w:rsidP="006B48CA" w14:paraId="464A76AB" w14:textId="77777777">
            <w:pPr>
              <w:jc w:val="center"/>
              <w:rPr>
                <w:bCs/>
                <w:szCs w:val="22"/>
              </w:rPr>
            </w:pPr>
          </w:p>
          <w:p w:rsidR="009C1C1C" w:rsidRPr="005F6BC2" w:rsidP="006B48CA" w14:paraId="31B7673F" w14:textId="77777777">
            <w:pPr>
              <w:jc w:val="center"/>
              <w:rPr>
                <w:bCs/>
                <w:szCs w:val="22"/>
              </w:rPr>
            </w:pPr>
            <w:r w:rsidRPr="0014092A">
              <w:rPr>
                <w:bCs/>
                <w:szCs w:val="22"/>
              </w:rPr>
              <w:t>2.0 Units</w:t>
            </w:r>
          </w:p>
        </w:tc>
        <w:tc>
          <w:tcPr>
            <w:tcW w:w="3235" w:type="dxa"/>
            <w:vAlign w:val="center"/>
          </w:tcPr>
          <w:p w:rsidR="009C1C1C" w:rsidRPr="005F6BC2" w:rsidP="006B48CA" w14:paraId="6400AFA8" w14:textId="77777777">
            <w:pPr>
              <w:jc w:val="center"/>
              <w:rPr>
                <w:szCs w:val="22"/>
              </w:rPr>
            </w:pPr>
            <w:r w:rsidRPr="005F6BC2">
              <w:rPr>
                <w:bCs/>
                <w:szCs w:val="22"/>
              </w:rPr>
              <w:t>$</w:t>
            </w:r>
            <w:r>
              <w:rPr>
                <w:bCs/>
                <w:szCs w:val="22"/>
              </w:rPr>
              <w:t>430,000</w:t>
            </w:r>
          </w:p>
        </w:tc>
      </w:tr>
    </w:tbl>
    <w:p w:rsidR="009C1C1C" w:rsidP="009C1C1C" w14:paraId="340C0CC5" w14:textId="77777777">
      <w:pPr>
        <w:pStyle w:val="ParaNum"/>
        <w:numPr>
          <w:ilvl w:val="0"/>
          <w:numId w:val="0"/>
        </w:numPr>
        <w:rPr>
          <w:highlight w:val="yellow"/>
        </w:rPr>
      </w:pPr>
      <w:r w:rsidRPr="00342331">
        <w:rPr>
          <w:highlight w:val="yellow"/>
        </w:rPr>
        <w:t xml:space="preserve"> </w:t>
      </w:r>
    </w:p>
    <w:p w:rsidR="009C1C1C" w:rsidP="009C1C1C" w14:paraId="4D52B7CF" w14:textId="77777777">
      <w:pPr>
        <w:pStyle w:val="ParaNum"/>
        <w:numPr>
          <w:ilvl w:val="0"/>
          <w:numId w:val="0"/>
        </w:numPr>
        <w:ind w:left="720"/>
      </w:pPr>
    </w:p>
    <w:p w:rsidR="009C1C1C" w:rsidP="009C1C1C" w14:paraId="79625CA8" w14:textId="77777777">
      <w:pPr>
        <w:pStyle w:val="ParaNum"/>
        <w:numPr>
          <w:ilvl w:val="0"/>
          <w:numId w:val="0"/>
        </w:numPr>
        <w:ind w:left="720"/>
      </w:pPr>
    </w:p>
    <w:p w:rsidR="009C1C1C" w:rsidP="009C1C1C" w14:paraId="4D899EC7" w14:textId="77777777">
      <w:pPr>
        <w:pStyle w:val="ParaNum"/>
        <w:numPr>
          <w:ilvl w:val="0"/>
          <w:numId w:val="0"/>
        </w:numPr>
        <w:ind w:left="720"/>
      </w:pPr>
    </w:p>
    <w:p w:rsidR="009C1C1C" w:rsidP="009C1C1C" w14:paraId="339D1AFA" w14:textId="77777777">
      <w:pPr>
        <w:pStyle w:val="ParaNum"/>
        <w:numPr>
          <w:ilvl w:val="0"/>
          <w:numId w:val="0"/>
        </w:numPr>
        <w:ind w:left="720"/>
      </w:pPr>
    </w:p>
    <w:p w:rsidR="009C1C1C" w:rsidRPr="005F6BC2" w:rsidP="009C1C1C" w14:paraId="2D20A4C4" w14:textId="77777777">
      <w:pPr>
        <w:widowControl/>
        <w:rPr>
          <w:b/>
          <w:szCs w:val="22"/>
        </w:rPr>
        <w:sectPr w:rsidSect="007E0AA3">
          <w:footnotePr>
            <w:numRestart w:val="eachSect"/>
          </w:footnotePr>
          <w:endnotePr>
            <w:numFmt w:val="decimal"/>
          </w:endnotePr>
          <w:pgSz w:w="12240" w:h="15840"/>
          <w:pgMar w:top="1440" w:right="1440" w:bottom="720" w:left="1440" w:header="720" w:footer="720" w:gutter="0"/>
          <w:cols w:space="720"/>
          <w:noEndnote/>
          <w:docGrid w:linePitch="299"/>
        </w:sectPr>
      </w:pPr>
    </w:p>
    <w:p w:rsidR="009C1C1C" w:rsidRPr="005F6BC2" w:rsidP="009C1C1C" w14:paraId="585DB2AB" w14:textId="77777777">
      <w:pPr>
        <w:tabs>
          <w:tab w:val="left" w:pos="3629"/>
        </w:tabs>
        <w:jc w:val="center"/>
        <w:rPr>
          <w:b/>
          <w:szCs w:val="22"/>
        </w:rPr>
      </w:pPr>
      <w:r w:rsidRPr="005F6BC2">
        <w:rPr>
          <w:b/>
          <w:szCs w:val="22"/>
        </w:rPr>
        <w:t>APPENDIX D</w:t>
      </w:r>
    </w:p>
    <w:p w:rsidR="009C1C1C" w:rsidRPr="005F6BC2" w:rsidP="009C1C1C" w14:paraId="1D9C1E31" w14:textId="77777777">
      <w:pPr>
        <w:tabs>
          <w:tab w:val="left" w:pos="3629"/>
        </w:tabs>
        <w:jc w:val="center"/>
        <w:rPr>
          <w:b/>
          <w:szCs w:val="22"/>
        </w:rPr>
      </w:pPr>
    </w:p>
    <w:p w:rsidR="009C1C1C" w:rsidRPr="005F6BC2" w:rsidP="009C1C1C" w14:paraId="093F1000" w14:textId="77777777">
      <w:pPr>
        <w:tabs>
          <w:tab w:val="left" w:pos="3629"/>
        </w:tabs>
        <w:jc w:val="center"/>
        <w:rPr>
          <w:b/>
          <w:szCs w:val="22"/>
        </w:rPr>
      </w:pPr>
      <w:r w:rsidRPr="005F6BC2">
        <w:rPr>
          <w:b/>
          <w:szCs w:val="22"/>
        </w:rPr>
        <w:t>Sources of Payment Unit Estimates for FY 20</w:t>
      </w:r>
      <w:r>
        <w:rPr>
          <w:b/>
          <w:szCs w:val="22"/>
        </w:rPr>
        <w:t>20</w:t>
      </w:r>
    </w:p>
    <w:p w:rsidR="009C1C1C" w:rsidRPr="005F6BC2" w:rsidP="009C1C1C" w14:paraId="53558D71" w14:textId="77777777">
      <w:pPr>
        <w:tabs>
          <w:tab w:val="left" w:pos="3629"/>
        </w:tabs>
        <w:jc w:val="center"/>
        <w:rPr>
          <w:b/>
          <w:szCs w:val="22"/>
        </w:rPr>
      </w:pPr>
    </w:p>
    <w:p w:rsidR="009C1C1C" w:rsidRPr="005F6BC2" w:rsidP="009C1C1C" w14:paraId="141FFF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5F6BC2">
        <w:rPr>
          <w:szCs w:val="22"/>
        </w:rPr>
        <w:t>In order to calculate individual service fees for FY 20</w:t>
      </w:r>
      <w:r>
        <w:rPr>
          <w:szCs w:val="22"/>
        </w:rPr>
        <w:t>20</w:t>
      </w:r>
      <w:r w:rsidRPr="005F6BC2">
        <w:rPr>
          <w:szCs w:val="22"/>
        </w:rPr>
        <w:t>, we adjusted FY 20</w:t>
      </w:r>
      <w:r>
        <w:rPr>
          <w:szCs w:val="22"/>
        </w:rPr>
        <w:t>20</w:t>
      </w:r>
      <w:r w:rsidRPr="005F6BC2">
        <w:rPr>
          <w:szCs w:val="22"/>
        </w:rPr>
        <w:t xml:space="preserve"> payment units for each service to more accurately reflect expected FY 20</w:t>
      </w:r>
      <w:r>
        <w:rPr>
          <w:szCs w:val="22"/>
        </w:rPr>
        <w:t>20</w:t>
      </w:r>
      <w:r w:rsidRPr="005F6BC2">
        <w:rPr>
          <w:szCs w:val="22"/>
        </w:rPr>
        <w:t xml:space="preserve"> payment liabilities.  </w:t>
      </w:r>
      <w:r w:rsidRPr="005F6BC2">
        <w:rPr>
          <w:spacing w:val="-2"/>
          <w:szCs w:val="22"/>
        </w:rPr>
        <w:t>We obtained our updated estimates through a variety of means</w:t>
      </w:r>
      <w:r>
        <w:rPr>
          <w:spacing w:val="-2"/>
          <w:szCs w:val="22"/>
        </w:rPr>
        <w:t xml:space="preserve"> and sources</w:t>
      </w:r>
      <w:r w:rsidRPr="005F6BC2">
        <w:rPr>
          <w:spacing w:val="-2"/>
          <w:szCs w:val="22"/>
        </w:rPr>
        <w:t>. For example, we used Commission licensee data bases, actual prior year payment records and industry and trade association projections</w:t>
      </w:r>
      <w:r>
        <w:rPr>
          <w:spacing w:val="-2"/>
          <w:szCs w:val="22"/>
        </w:rPr>
        <w:t>,</w:t>
      </w:r>
      <w:r w:rsidRPr="005F6BC2">
        <w:rPr>
          <w:spacing w:val="-2"/>
          <w:szCs w:val="22"/>
        </w:rPr>
        <w:t xml:space="preserve"> when available.  The databases we consulted include </w:t>
      </w:r>
      <w:r w:rsidRPr="005F6BC2">
        <w:rPr>
          <w:szCs w:val="22"/>
        </w:rPr>
        <w:t>our Universal Licensing System (ULS), International Bureau Filing System (IBFS), Consolidated Database System (CDBS)</w:t>
      </w:r>
      <w:r>
        <w:rPr>
          <w:szCs w:val="22"/>
        </w:rPr>
        <w:t>,</w:t>
      </w:r>
      <w:r w:rsidRPr="005F6BC2">
        <w:rPr>
          <w:szCs w:val="22"/>
        </w:rPr>
        <w:t xml:space="preserve"> </w:t>
      </w:r>
      <w:r>
        <w:rPr>
          <w:szCs w:val="22"/>
        </w:rPr>
        <w:t>Licensing and Management System (LMS)</w:t>
      </w:r>
      <w:r w:rsidRPr="005F6BC2">
        <w:rPr>
          <w:szCs w:val="22"/>
        </w:rPr>
        <w:t xml:space="preserve"> and Cable Operations and Licensing System (COALS), as well as reports generated within the Commission such as the Wireless Telecommunications Bureau’s </w:t>
      </w:r>
      <w:r w:rsidRPr="005F6BC2">
        <w:rPr>
          <w:i/>
          <w:szCs w:val="22"/>
        </w:rPr>
        <w:t>Numbering Resource Utilization Forecast</w:t>
      </w:r>
      <w:r w:rsidRPr="005F6BC2">
        <w:rPr>
          <w:szCs w:val="22"/>
        </w:rPr>
        <w:t xml:space="preserve">.  </w:t>
      </w:r>
      <w:r>
        <w:rPr>
          <w:szCs w:val="22"/>
        </w:rPr>
        <w:t>Regulatory fee payment units are not all the same for all fee categories.  For most fee categories, the term “units” reflect licenses or permits that have been issued, but for other fee categories, the term “units” reflect quantities such as subscribers, population counts, circuit counts, telephone numbers, and revenues.</w:t>
      </w:r>
    </w:p>
    <w:p w:rsidR="009C1C1C" w:rsidRPr="005F6BC2" w:rsidP="009C1C1C" w14:paraId="2AA4DD1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9C1C1C" w:rsidRPr="005F6BC2" w:rsidP="009C1C1C" w14:paraId="11C3C7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5F6BC2">
        <w:rPr>
          <w:spacing w:val="-2"/>
          <w:szCs w:val="22"/>
        </w:rPr>
        <w:t>We sought verification for these estimates from multiple sources and, in all cases, we compared FY 20</w:t>
      </w:r>
      <w:r>
        <w:rPr>
          <w:spacing w:val="-2"/>
          <w:szCs w:val="22"/>
        </w:rPr>
        <w:t>20</w:t>
      </w:r>
      <w:r w:rsidRPr="005F6BC2">
        <w:rPr>
          <w:spacing w:val="-2"/>
          <w:szCs w:val="22"/>
        </w:rPr>
        <w:t xml:space="preserve"> estimates with actual FY 201</w:t>
      </w:r>
      <w:r>
        <w:rPr>
          <w:spacing w:val="-2"/>
          <w:szCs w:val="22"/>
        </w:rPr>
        <w:t>9</w:t>
      </w:r>
      <w:r w:rsidRPr="005F6BC2">
        <w:rPr>
          <w:spacing w:val="-2"/>
          <w:szCs w:val="22"/>
        </w:rPr>
        <w:t xml:space="preserve">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w:t>
      </w:r>
      <w:r>
        <w:rPr>
          <w:spacing w:val="-2"/>
          <w:szCs w:val="22"/>
        </w:rPr>
        <w:t>20</w:t>
      </w:r>
      <w:r w:rsidRPr="005F6BC2">
        <w:rPr>
          <w:spacing w:val="-2"/>
          <w:szCs w:val="22"/>
        </w:rPr>
        <w:t xml:space="preserve"> and the fact that, in many services, the number of actual licensees or station operators fluctuates from time to time due to economic, technical, or other reasons.  When we note, for example, that our estimated FY 20</w:t>
      </w:r>
      <w:r>
        <w:rPr>
          <w:spacing w:val="-2"/>
          <w:szCs w:val="22"/>
        </w:rPr>
        <w:t>20</w:t>
      </w:r>
      <w:r w:rsidRPr="005F6BC2">
        <w:rPr>
          <w:spacing w:val="-2"/>
          <w:szCs w:val="22"/>
        </w:rPr>
        <w:t xml:space="preserve"> payment units are based on FY 201</w:t>
      </w:r>
      <w:r>
        <w:rPr>
          <w:spacing w:val="-2"/>
          <w:szCs w:val="22"/>
        </w:rPr>
        <w:t>9</w:t>
      </w:r>
      <w:r w:rsidRPr="005F6BC2">
        <w:rPr>
          <w:spacing w:val="-2"/>
          <w:szCs w:val="22"/>
        </w:rPr>
        <w:t xml:space="preserve"> actual payment units, it does not necessarily mean that our FY 20</w:t>
      </w:r>
      <w:r>
        <w:rPr>
          <w:spacing w:val="-2"/>
          <w:szCs w:val="22"/>
        </w:rPr>
        <w:t>20</w:t>
      </w:r>
      <w:r w:rsidRPr="005F6BC2">
        <w:rPr>
          <w:spacing w:val="-2"/>
          <w:szCs w:val="22"/>
        </w:rPr>
        <w:t xml:space="preserve"> projection is exactly the same number as in FY 201</w:t>
      </w:r>
      <w:r>
        <w:rPr>
          <w:spacing w:val="-2"/>
          <w:szCs w:val="22"/>
        </w:rPr>
        <w:t>9</w:t>
      </w:r>
      <w:r w:rsidRPr="005F6BC2">
        <w:rPr>
          <w:spacing w:val="-2"/>
          <w:szCs w:val="22"/>
        </w:rPr>
        <w:t>.  We have either rounded the FY 20</w:t>
      </w:r>
      <w:r>
        <w:rPr>
          <w:spacing w:val="-2"/>
          <w:szCs w:val="22"/>
        </w:rPr>
        <w:t>19</w:t>
      </w:r>
      <w:r w:rsidRPr="005F6BC2">
        <w:rPr>
          <w:spacing w:val="-2"/>
          <w:szCs w:val="22"/>
        </w:rPr>
        <w:t xml:space="preserve"> number or adjusted it slightly to account for these variables.</w:t>
      </w:r>
    </w:p>
    <w:p w:rsidR="009C1C1C" w:rsidRPr="005F6BC2" w:rsidP="009C1C1C" w14:paraId="1EDA9F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5F6BC2">
        <w:rPr>
          <w:szCs w:val="22"/>
        </w:rPr>
        <w:t xml:space="preserve"> </w:t>
      </w:r>
    </w:p>
    <w:tbl>
      <w:tblPr>
        <w:tblW w:w="8640" w:type="dxa"/>
        <w:tblInd w:w="120" w:type="dxa"/>
        <w:tblLayout w:type="fixed"/>
        <w:tblCellMar>
          <w:left w:w="120" w:type="dxa"/>
          <w:right w:w="120" w:type="dxa"/>
        </w:tblCellMar>
        <w:tblLook w:val="0000"/>
      </w:tblPr>
      <w:tblGrid>
        <w:gridCol w:w="2978"/>
        <w:gridCol w:w="5662"/>
      </w:tblGrid>
      <w:tr w14:paraId="59AB732F" w14:textId="77777777" w:rsidTr="006B48CA">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9C1C1C" w:rsidRPr="005F6BC2" w:rsidP="006B48CA" w14:paraId="442107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5F6BC2">
              <w:rPr>
                <w:szCs w:val="22"/>
              </w:rPr>
              <w:instrText xml:space="preserve">PRIVATE </w:instrText>
            </w:r>
            <w:r>
              <w:rPr>
                <w:szCs w:val="22"/>
              </w:rPr>
              <w:fldChar w:fldCharType="end"/>
            </w:r>
            <w:r w:rsidRPr="005F6BC2">
              <w:rPr>
                <w:b/>
                <w:szCs w:val="22"/>
              </w:rPr>
              <w:t>FEE CATEGORY</w:t>
            </w:r>
          </w:p>
        </w:tc>
        <w:tc>
          <w:tcPr>
            <w:tcW w:w="5662" w:type="dxa"/>
            <w:tcBorders>
              <w:top w:val="double" w:sz="6" w:space="0" w:color="auto"/>
              <w:left w:val="single" w:sz="6" w:space="0" w:color="auto"/>
              <w:right w:val="double" w:sz="6" w:space="0" w:color="auto"/>
            </w:tcBorders>
          </w:tcPr>
          <w:p w:rsidR="009C1C1C" w:rsidRPr="005F6BC2" w:rsidP="006B48CA" w14:paraId="4229D3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5F6BC2">
              <w:rPr>
                <w:b/>
                <w:szCs w:val="22"/>
              </w:rPr>
              <w:t>SOURCES OF PAYMENT UNIT ESTIMATES</w:t>
            </w:r>
          </w:p>
        </w:tc>
      </w:tr>
      <w:tr w14:paraId="5AA043B1"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216EC7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9C1C1C" w:rsidRPr="005F6BC2" w:rsidP="006B48CA" w14:paraId="31DF32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14:paraId="13EA597E"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5151C1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CMRS Cellular/Mobile Services </w:t>
            </w:r>
          </w:p>
        </w:tc>
        <w:tc>
          <w:tcPr>
            <w:tcW w:w="5662" w:type="dxa"/>
            <w:tcBorders>
              <w:top w:val="single" w:sz="6" w:space="0" w:color="auto"/>
              <w:left w:val="single" w:sz="6" w:space="0" w:color="auto"/>
              <w:right w:val="double" w:sz="6" w:space="0" w:color="auto"/>
            </w:tcBorders>
          </w:tcPr>
          <w:p w:rsidR="009C1C1C" w:rsidRPr="005F6BC2" w:rsidP="006B48CA" w14:paraId="486CE0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WTB projection reports, and FY 201</w:t>
            </w:r>
            <w:r>
              <w:rPr>
                <w:szCs w:val="22"/>
              </w:rPr>
              <w:t>9</w:t>
            </w:r>
            <w:r w:rsidRPr="005F6BC2">
              <w:rPr>
                <w:szCs w:val="22"/>
              </w:rPr>
              <w:t xml:space="preserve"> payment data. </w:t>
            </w:r>
          </w:p>
        </w:tc>
      </w:tr>
      <w:tr w14:paraId="2C7FF6CC"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2077EA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CMRS Messaging Services</w:t>
            </w:r>
          </w:p>
        </w:tc>
        <w:tc>
          <w:tcPr>
            <w:tcW w:w="5662" w:type="dxa"/>
            <w:tcBorders>
              <w:top w:val="single" w:sz="6" w:space="0" w:color="auto"/>
              <w:left w:val="single" w:sz="6" w:space="0" w:color="auto"/>
              <w:right w:val="double" w:sz="6" w:space="0" w:color="auto"/>
            </w:tcBorders>
          </w:tcPr>
          <w:p w:rsidR="009C1C1C" w:rsidRPr="005F6BC2" w:rsidP="006B48CA" w14:paraId="336B0A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WTB reports, and FY 201</w:t>
            </w:r>
            <w:r>
              <w:rPr>
                <w:szCs w:val="22"/>
              </w:rPr>
              <w:t>9</w:t>
            </w:r>
            <w:r w:rsidRPr="005F6BC2">
              <w:rPr>
                <w:szCs w:val="22"/>
              </w:rPr>
              <w:t xml:space="preserve"> payment data.  </w:t>
            </w:r>
          </w:p>
        </w:tc>
      </w:tr>
      <w:tr w14:paraId="4D199AF9"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442BBF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AM/FM Radio Stations</w:t>
            </w:r>
          </w:p>
        </w:tc>
        <w:tc>
          <w:tcPr>
            <w:tcW w:w="5662" w:type="dxa"/>
            <w:tcBorders>
              <w:top w:val="single" w:sz="6" w:space="0" w:color="auto"/>
              <w:left w:val="single" w:sz="6" w:space="0" w:color="auto"/>
              <w:right w:val="double" w:sz="6" w:space="0" w:color="auto"/>
            </w:tcBorders>
          </w:tcPr>
          <w:p w:rsidR="009C1C1C" w:rsidRPr="005F6BC2" w:rsidP="006B48CA" w14:paraId="5D5CD3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CDBS data, adjusted for exemptions, and actual FY 201</w:t>
            </w:r>
            <w:r>
              <w:rPr>
                <w:szCs w:val="22"/>
              </w:rPr>
              <w:t>9</w:t>
            </w:r>
            <w:r w:rsidRPr="005F6BC2">
              <w:rPr>
                <w:szCs w:val="22"/>
              </w:rPr>
              <w:t xml:space="preserve"> payment units.</w:t>
            </w:r>
          </w:p>
        </w:tc>
      </w:tr>
      <w:tr w14:paraId="0071C812"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6A5B28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Digital TV Stations (Combined VHF/UHF units)</w:t>
            </w:r>
          </w:p>
        </w:tc>
        <w:tc>
          <w:tcPr>
            <w:tcW w:w="5662" w:type="dxa"/>
            <w:tcBorders>
              <w:top w:val="single" w:sz="6" w:space="0" w:color="auto"/>
              <w:left w:val="single" w:sz="6" w:space="0" w:color="auto"/>
              <w:right w:val="double" w:sz="6" w:space="0" w:color="auto"/>
            </w:tcBorders>
          </w:tcPr>
          <w:p w:rsidR="009C1C1C" w:rsidRPr="005F6BC2" w:rsidP="006B48CA" w14:paraId="463F2B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F130E">
              <w:t xml:space="preserve">Based on </w:t>
            </w:r>
            <w:r>
              <w:t>LMS</w:t>
            </w:r>
            <w:r w:rsidRPr="006F130E">
              <w:t xml:space="preserve"> data, fee rate adjusted for exemptions, and population figures </w:t>
            </w:r>
            <w:r>
              <w:t xml:space="preserve">are </w:t>
            </w:r>
            <w:r w:rsidRPr="006F130E">
              <w:t>calculated based on individual station parameters.</w:t>
            </w:r>
          </w:p>
        </w:tc>
      </w:tr>
      <w:tr w14:paraId="0FA72E0F"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9C1C1C" w:rsidRPr="005F6BC2" w:rsidP="006B48CA" w14:paraId="28151B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9C1C1C" w:rsidRPr="005F6BC2" w:rsidP="006B48CA" w14:paraId="4CC72A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CDBS data, adjusted for exemptions, and actual FY 201</w:t>
            </w:r>
            <w:r>
              <w:rPr>
                <w:szCs w:val="22"/>
              </w:rPr>
              <w:t>9</w:t>
            </w:r>
            <w:r w:rsidRPr="005F6BC2">
              <w:rPr>
                <w:szCs w:val="22"/>
              </w:rPr>
              <w:t xml:space="preserve"> payment units. </w:t>
            </w:r>
          </w:p>
        </w:tc>
      </w:tr>
      <w:tr w14:paraId="425CB020"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9C1C1C" w:rsidRPr="005F6BC2" w:rsidP="006B48CA" w14:paraId="1B9EA1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9C1C1C" w:rsidRPr="005F6BC2" w:rsidP="006B48CA" w14:paraId="2FB809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Based on </w:t>
            </w:r>
            <w:r>
              <w:rPr>
                <w:szCs w:val="22"/>
              </w:rPr>
              <w:t>LMS</w:t>
            </w:r>
            <w:r w:rsidRPr="005F6BC2">
              <w:rPr>
                <w:szCs w:val="22"/>
              </w:rPr>
              <w:t xml:space="preserve"> data, adjusted for exemptions, and actual FY 201</w:t>
            </w:r>
            <w:r>
              <w:rPr>
                <w:szCs w:val="22"/>
              </w:rPr>
              <w:t>9</w:t>
            </w:r>
            <w:r w:rsidRPr="005F6BC2">
              <w:rPr>
                <w:szCs w:val="22"/>
              </w:rPr>
              <w:t xml:space="preserve"> payment units.</w:t>
            </w:r>
          </w:p>
        </w:tc>
      </w:tr>
      <w:tr w14:paraId="243C1645" w14:textId="77777777" w:rsidTr="006B48CA">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9C1C1C" w:rsidRPr="005F6BC2" w:rsidP="006B48CA" w14:paraId="78DD8D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BRS (formerly </w:t>
            </w:r>
            <w:r w:rsidRPr="005F6BC2">
              <w:rPr>
                <w:szCs w:val="22"/>
              </w:rPr>
              <w:t>MDS/MMDS)LMDS</w:t>
            </w:r>
          </w:p>
        </w:tc>
        <w:tc>
          <w:tcPr>
            <w:tcW w:w="5662" w:type="dxa"/>
            <w:tcBorders>
              <w:top w:val="double" w:sz="4" w:space="0" w:color="auto"/>
              <w:left w:val="single" w:sz="6" w:space="0" w:color="auto"/>
              <w:bottom w:val="single" w:sz="4" w:space="0" w:color="auto"/>
              <w:right w:val="double" w:sz="6" w:space="0" w:color="auto"/>
            </w:tcBorders>
          </w:tcPr>
          <w:p w:rsidR="009C1C1C" w:rsidRPr="005F6BC2" w:rsidP="006B48CA" w14:paraId="668555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WTB reports and actual FY 201</w:t>
            </w:r>
            <w:r>
              <w:rPr>
                <w:szCs w:val="22"/>
              </w:rPr>
              <w:t>9</w:t>
            </w:r>
            <w:r w:rsidRPr="005F6BC2">
              <w:rPr>
                <w:szCs w:val="22"/>
              </w:rPr>
              <w:t xml:space="preserve"> payment units.  </w:t>
            </w:r>
            <w:r w:rsidRPr="005F6BC2">
              <w:rPr>
                <w:szCs w:val="22"/>
              </w:rPr>
              <w:t>Based on WTB reports and actual FY 201</w:t>
            </w:r>
            <w:r>
              <w:rPr>
                <w:szCs w:val="22"/>
              </w:rPr>
              <w:t>9</w:t>
            </w:r>
            <w:r w:rsidRPr="005F6BC2">
              <w:rPr>
                <w:szCs w:val="22"/>
              </w:rPr>
              <w:t xml:space="preserve"> payment units.</w:t>
            </w:r>
          </w:p>
        </w:tc>
      </w:tr>
      <w:tr w14:paraId="45991EAF" w14:textId="77777777" w:rsidTr="006B48CA">
        <w:tblPrEx>
          <w:tblW w:w="8640" w:type="dxa"/>
          <w:tblInd w:w="120" w:type="dxa"/>
          <w:tblLayout w:type="fixed"/>
          <w:tblCellMar>
            <w:left w:w="120" w:type="dxa"/>
            <w:right w:w="120" w:type="dxa"/>
          </w:tblCellMar>
          <w:tblLook w:val="0000"/>
        </w:tblPrEx>
        <w:trPr>
          <w:cantSplit/>
        </w:trPr>
        <w:tc>
          <w:tcPr>
            <w:tcW w:w="2978" w:type="dxa"/>
            <w:tcBorders>
              <w:top w:val="single" w:sz="4" w:space="0" w:color="auto"/>
              <w:left w:val="double" w:sz="6" w:space="0" w:color="auto"/>
            </w:tcBorders>
          </w:tcPr>
          <w:p w:rsidR="009C1C1C" w:rsidRPr="005F6BC2" w:rsidP="006B48CA" w14:paraId="302F08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Cable Television Relay Service (CARS) Stations</w:t>
            </w:r>
          </w:p>
        </w:tc>
        <w:tc>
          <w:tcPr>
            <w:tcW w:w="5662" w:type="dxa"/>
            <w:tcBorders>
              <w:top w:val="single" w:sz="4" w:space="0" w:color="auto"/>
              <w:left w:val="single" w:sz="6" w:space="0" w:color="auto"/>
              <w:right w:val="double" w:sz="6" w:space="0" w:color="auto"/>
            </w:tcBorders>
          </w:tcPr>
          <w:p w:rsidR="009C1C1C" w:rsidRPr="005F6BC2" w:rsidP="006B48CA" w14:paraId="17702D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data from Media Bureau’s COALS database and actual FY 201</w:t>
            </w:r>
            <w:r>
              <w:rPr>
                <w:szCs w:val="22"/>
              </w:rPr>
              <w:t>9</w:t>
            </w:r>
            <w:r w:rsidRPr="005F6BC2">
              <w:rPr>
                <w:szCs w:val="22"/>
              </w:rPr>
              <w:t xml:space="preserve"> payment units.</w:t>
            </w:r>
          </w:p>
        </w:tc>
      </w:tr>
      <w:tr w14:paraId="75D9BA68"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1E3AEE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9C1C1C" w:rsidRPr="005F6BC2" w:rsidP="006B48CA" w14:paraId="55ECBB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publicly available data sources for estimated subscriber counts and actual FY 201</w:t>
            </w:r>
            <w:r>
              <w:rPr>
                <w:szCs w:val="22"/>
              </w:rPr>
              <w:t>9</w:t>
            </w:r>
            <w:r w:rsidRPr="005F6BC2">
              <w:rPr>
                <w:szCs w:val="22"/>
              </w:rPr>
              <w:t xml:space="preserve"> payment units. </w:t>
            </w:r>
          </w:p>
        </w:tc>
      </w:tr>
      <w:tr w14:paraId="013E1D3D"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3CD10E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Interstate Telecommunication Service Providers</w:t>
            </w:r>
          </w:p>
        </w:tc>
        <w:tc>
          <w:tcPr>
            <w:tcW w:w="5662" w:type="dxa"/>
            <w:tcBorders>
              <w:top w:val="single" w:sz="6" w:space="0" w:color="auto"/>
              <w:left w:val="single" w:sz="6" w:space="0" w:color="auto"/>
              <w:right w:val="double" w:sz="6" w:space="0" w:color="auto"/>
            </w:tcBorders>
          </w:tcPr>
          <w:p w:rsidR="009C1C1C" w:rsidRPr="005F6BC2" w:rsidP="006B48CA" w14:paraId="3B1DCC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FCC Form 499-Q data for the four quarters of calendar year 201</w:t>
            </w:r>
            <w:r>
              <w:rPr>
                <w:szCs w:val="22"/>
              </w:rPr>
              <w:t>9</w:t>
            </w:r>
            <w:r w:rsidRPr="005F6BC2">
              <w:rPr>
                <w:szCs w:val="22"/>
              </w:rPr>
              <w:t>, the Wireline Competition Bureau projected the amount of calendar year 201</w:t>
            </w:r>
            <w:r>
              <w:rPr>
                <w:szCs w:val="22"/>
              </w:rPr>
              <w:t>9</w:t>
            </w:r>
            <w:r w:rsidRPr="005F6BC2">
              <w:rPr>
                <w:szCs w:val="22"/>
              </w:rPr>
              <w:t xml:space="preserve"> revenue that will be reported on </w:t>
            </w:r>
            <w:r>
              <w:rPr>
                <w:szCs w:val="22"/>
              </w:rPr>
              <w:t xml:space="preserve">the </w:t>
            </w:r>
            <w:r w:rsidRPr="005F6BC2">
              <w:rPr>
                <w:szCs w:val="22"/>
              </w:rPr>
              <w:t>20</w:t>
            </w:r>
            <w:r>
              <w:rPr>
                <w:szCs w:val="22"/>
              </w:rPr>
              <w:t>20</w:t>
            </w:r>
            <w:r w:rsidRPr="005F6BC2">
              <w:rPr>
                <w:szCs w:val="22"/>
              </w:rPr>
              <w:t xml:space="preserve"> FCC Form 499-A worksheets due in April 20</w:t>
            </w:r>
            <w:r>
              <w:rPr>
                <w:szCs w:val="22"/>
              </w:rPr>
              <w:t>20</w:t>
            </w:r>
            <w:r w:rsidRPr="005F6BC2">
              <w:rPr>
                <w:szCs w:val="22"/>
              </w:rPr>
              <w:t>.</w:t>
            </w:r>
          </w:p>
        </w:tc>
      </w:tr>
      <w:tr w14:paraId="6C9F6FDB"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46F46D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Earth Stations</w:t>
            </w:r>
          </w:p>
        </w:tc>
        <w:tc>
          <w:tcPr>
            <w:tcW w:w="5662" w:type="dxa"/>
            <w:tcBorders>
              <w:top w:val="single" w:sz="6" w:space="0" w:color="auto"/>
              <w:left w:val="single" w:sz="6" w:space="0" w:color="auto"/>
              <w:right w:val="double" w:sz="6" w:space="0" w:color="auto"/>
            </w:tcBorders>
          </w:tcPr>
          <w:p w:rsidR="009C1C1C" w:rsidRPr="005F6BC2" w:rsidP="006B48CA" w14:paraId="2A2BC7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licensing data and actual FY 201</w:t>
            </w:r>
            <w:r>
              <w:rPr>
                <w:szCs w:val="22"/>
              </w:rPr>
              <w:t>9</w:t>
            </w:r>
            <w:r w:rsidRPr="005F6BC2">
              <w:rPr>
                <w:szCs w:val="22"/>
              </w:rPr>
              <w:t xml:space="preserve"> payment units.</w:t>
            </w:r>
          </w:p>
        </w:tc>
      </w:tr>
      <w:tr w14:paraId="66147425"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9C1C1C" w:rsidRPr="005F6BC2" w:rsidP="006B48CA" w14:paraId="3B93071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Space Stations (GSOs &amp; NGSOs)</w:t>
            </w:r>
          </w:p>
        </w:tc>
        <w:tc>
          <w:tcPr>
            <w:tcW w:w="5662" w:type="dxa"/>
            <w:tcBorders>
              <w:top w:val="single" w:sz="6" w:space="0" w:color="auto"/>
              <w:left w:val="single" w:sz="6" w:space="0" w:color="auto"/>
              <w:right w:val="double" w:sz="6" w:space="0" w:color="auto"/>
            </w:tcBorders>
          </w:tcPr>
          <w:p w:rsidR="009C1C1C" w:rsidRPr="005F6BC2" w:rsidP="006B48CA" w14:paraId="1283D1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data reports and actual FY 201</w:t>
            </w:r>
            <w:r>
              <w:rPr>
                <w:szCs w:val="22"/>
              </w:rPr>
              <w:t>9</w:t>
            </w:r>
            <w:r w:rsidRPr="005F6BC2">
              <w:rPr>
                <w:szCs w:val="22"/>
              </w:rPr>
              <w:t xml:space="preserve"> payment units.</w:t>
            </w:r>
          </w:p>
        </w:tc>
      </w:tr>
      <w:tr w14:paraId="1B8F89F4"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9C1C1C" w:rsidRPr="005F6BC2" w:rsidP="006B48CA" w14:paraId="39B8A50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9C1C1C" w:rsidRPr="005F6BC2" w:rsidP="006B48CA" w14:paraId="7B9EF0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reports and submissions by licensees, adjusted as necessary</w:t>
            </w:r>
            <w:r>
              <w:rPr>
                <w:szCs w:val="22"/>
              </w:rPr>
              <w:t xml:space="preserve">, and </w:t>
            </w:r>
            <w:r w:rsidRPr="005F6BC2">
              <w:rPr>
                <w:szCs w:val="22"/>
              </w:rPr>
              <w:t>actual FY 201</w:t>
            </w:r>
            <w:r>
              <w:rPr>
                <w:szCs w:val="22"/>
              </w:rPr>
              <w:t>9</w:t>
            </w:r>
            <w:r w:rsidRPr="005F6BC2">
              <w:rPr>
                <w:szCs w:val="22"/>
              </w:rPr>
              <w:t xml:space="preserve"> payment units.</w:t>
            </w:r>
          </w:p>
        </w:tc>
      </w:tr>
      <w:tr w14:paraId="7B070A15" w14:textId="77777777" w:rsidTr="006B48CA">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9C1C1C" w:rsidRPr="005F6BC2" w:rsidP="006B48CA" w14:paraId="6CAC151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9C1C1C" w:rsidRPr="005F6BC2" w:rsidP="006B48CA" w14:paraId="20B280E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license information</w:t>
            </w:r>
            <w:r>
              <w:rPr>
                <w:szCs w:val="22"/>
              </w:rPr>
              <w:t>,</w:t>
            </w:r>
            <w:r w:rsidRPr="005F6BC2">
              <w:rPr>
                <w:szCs w:val="22"/>
              </w:rPr>
              <w:t xml:space="preserve"> </w:t>
            </w:r>
            <w:r>
              <w:rPr>
                <w:szCs w:val="22"/>
              </w:rPr>
              <w:t xml:space="preserve">and </w:t>
            </w:r>
            <w:r w:rsidRPr="005F6BC2">
              <w:rPr>
                <w:szCs w:val="22"/>
              </w:rPr>
              <w:t>actual FY 201</w:t>
            </w:r>
            <w:r>
              <w:rPr>
                <w:szCs w:val="22"/>
              </w:rPr>
              <w:t>9</w:t>
            </w:r>
            <w:r w:rsidRPr="005F6BC2">
              <w:rPr>
                <w:szCs w:val="22"/>
              </w:rPr>
              <w:t xml:space="preserve"> payment units.</w:t>
            </w:r>
          </w:p>
        </w:tc>
      </w:tr>
    </w:tbl>
    <w:p w:rsidR="009C1C1C" w:rsidRPr="005F6BC2" w:rsidP="009C1C1C" w14:paraId="581AB95E" w14:textId="77777777">
      <w:pPr>
        <w:widowControl/>
        <w:jc w:val="center"/>
        <w:rPr>
          <w:szCs w:val="22"/>
        </w:rPr>
        <w:sectPr w:rsidSect="007E0AA3">
          <w:footnotePr>
            <w:numRestart w:val="eachSect"/>
          </w:footnotePr>
          <w:endnotePr>
            <w:numFmt w:val="decimal"/>
          </w:endnotePr>
          <w:pgSz w:w="12240" w:h="15840"/>
          <w:pgMar w:top="1440" w:right="1440" w:bottom="720" w:left="1440" w:header="720" w:footer="720" w:gutter="0"/>
          <w:cols w:space="720"/>
          <w:noEndnote/>
          <w:docGrid w:linePitch="299"/>
        </w:sectPr>
      </w:pPr>
    </w:p>
    <w:p w:rsidR="009C1C1C" w:rsidRPr="005F6BC2" w:rsidP="009C1C1C" w14:paraId="1446412A" w14:textId="77777777">
      <w:pPr>
        <w:tabs>
          <w:tab w:val="left" w:pos="3629"/>
        </w:tabs>
        <w:jc w:val="center"/>
        <w:rPr>
          <w:b/>
          <w:szCs w:val="22"/>
        </w:rPr>
      </w:pPr>
      <w:r w:rsidRPr="005F6BC2">
        <w:rPr>
          <w:b/>
          <w:szCs w:val="22"/>
        </w:rPr>
        <w:t>APPENDIX E</w:t>
      </w:r>
    </w:p>
    <w:p w:rsidR="009C1C1C" w:rsidRPr="005F6BC2" w:rsidP="009C1C1C" w14:paraId="663E9EF4" w14:textId="77777777">
      <w:pPr>
        <w:tabs>
          <w:tab w:val="left" w:pos="3629"/>
        </w:tabs>
        <w:jc w:val="center"/>
        <w:rPr>
          <w:b/>
          <w:szCs w:val="22"/>
        </w:rPr>
      </w:pPr>
    </w:p>
    <w:p w:rsidR="009C1C1C" w:rsidRPr="005F6BC2" w:rsidP="009C1C1C" w14:paraId="0B64E769" w14:textId="77777777">
      <w:pPr>
        <w:tabs>
          <w:tab w:val="left" w:pos="3629"/>
        </w:tabs>
        <w:jc w:val="center"/>
        <w:rPr>
          <w:b/>
          <w:szCs w:val="22"/>
        </w:rPr>
      </w:pPr>
      <w:r w:rsidRPr="005F6BC2">
        <w:rPr>
          <w:b/>
          <w:szCs w:val="22"/>
        </w:rPr>
        <w:t>Factors, Measurements, and Calculations that Determine Station Signal Contours and Associated Population Coverages</w:t>
      </w:r>
    </w:p>
    <w:p w:rsidR="009C1C1C" w:rsidRPr="005F6BC2" w:rsidP="009C1C1C" w14:paraId="390E68C8" w14:textId="77777777">
      <w:pPr>
        <w:tabs>
          <w:tab w:val="left" w:pos="3629"/>
        </w:tabs>
        <w:jc w:val="center"/>
        <w:rPr>
          <w:b/>
          <w:szCs w:val="22"/>
        </w:rPr>
      </w:pPr>
    </w:p>
    <w:p w:rsidR="009C1C1C" w:rsidRPr="005F6BC2" w:rsidP="009C1C1C" w14:paraId="78D69E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r w:rsidRPr="005F6BC2">
        <w:rPr>
          <w:b/>
          <w:spacing w:val="-3"/>
          <w:szCs w:val="22"/>
          <w:u w:val="single"/>
        </w:rPr>
        <w:t xml:space="preserve">AM </w:t>
      </w:r>
      <w:r w:rsidRPr="005F6BC2">
        <w:rPr>
          <w:b/>
          <w:szCs w:val="22"/>
          <w:u w:val="single"/>
        </w:rPr>
        <w:t>Stations</w:t>
      </w:r>
    </w:p>
    <w:p w:rsidR="009C1C1C" w:rsidRPr="005F6BC2" w:rsidP="009C1C1C" w14:paraId="5C9E44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9C1C1C" w:rsidRPr="005F6BC2" w:rsidP="009C1C1C" w14:paraId="3EA56F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5F6BC2">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w:t>
      </w:r>
      <w:r w:rsidRPr="005F6BC2">
        <w:rPr>
          <w:szCs w:val="22"/>
        </w:rPr>
        <w:t>milliVolt</w:t>
      </w:r>
      <w:r w:rsidRPr="005F6BC2">
        <w:rPr>
          <w:szCs w:val="22"/>
        </w:rPr>
        <w:t xml:space="preserve">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9C1C1C" w:rsidRPr="005F6BC2" w:rsidP="009C1C1C" w14:paraId="6BA703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9C1C1C" w:rsidRPr="005F6BC2" w:rsidP="009C1C1C" w14:paraId="0150D74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5F6BC2">
        <w:rPr>
          <w:b/>
          <w:szCs w:val="22"/>
        </w:rPr>
        <w:tab/>
      </w:r>
      <w:r w:rsidRPr="005F6BC2">
        <w:rPr>
          <w:b/>
          <w:szCs w:val="22"/>
          <w:u w:val="single"/>
        </w:rPr>
        <w:t>FM Stations</w:t>
      </w:r>
    </w:p>
    <w:p w:rsidR="009C1C1C" w:rsidRPr="005F6BC2" w:rsidP="009C1C1C" w14:paraId="15608F7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9C1C1C" w:rsidRPr="005F6BC2" w:rsidP="009C1C1C" w14:paraId="346BE687"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r w:rsidRPr="005F6BC2">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w:t>
      </w:r>
      <w:r w:rsidRPr="005F6BC2">
        <w:rPr>
          <w:szCs w:val="22"/>
        </w:rPr>
        <w:t>dBu</w:t>
      </w:r>
      <w:r w:rsidRPr="005F6BC2">
        <w:rPr>
          <w:szCs w:val="22"/>
        </w:rPr>
        <w:t xml:space="preserve"> (decibel above 1 </w:t>
      </w:r>
      <w:r w:rsidRPr="005F6BC2">
        <w:rPr>
          <w:szCs w:val="22"/>
        </w:rPr>
        <w:t>microVolt</w:t>
      </w:r>
      <w:r w:rsidRPr="005F6BC2">
        <w:rPr>
          <w:szCs w:val="22"/>
        </w:rPr>
        <w:t xml:space="preserve">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9C1C1C" w:rsidRPr="005F6BC2" w:rsidP="009C1C1C" w14:paraId="2A778D6B"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9C1C1C" w:rsidP="009C1C1C" w14:paraId="4778FED3" w14:textId="77777777">
      <w:pPr>
        <w:jc w:val="center"/>
        <w:rPr>
          <w:b/>
          <w:szCs w:val="22"/>
        </w:rPr>
      </w:pPr>
      <w:r>
        <w:br w:type="page"/>
      </w:r>
      <w:r w:rsidRPr="005F6BC2">
        <w:rPr>
          <w:b/>
          <w:szCs w:val="22"/>
        </w:rPr>
        <w:t xml:space="preserve">APPENDIX </w:t>
      </w:r>
      <w:r>
        <w:rPr>
          <w:b/>
          <w:szCs w:val="22"/>
        </w:rPr>
        <w:t>F</w:t>
      </w:r>
    </w:p>
    <w:p w:rsidR="009C1C1C" w:rsidP="009C1C1C" w14:paraId="07D4C8A6" w14:textId="77777777">
      <w:pPr>
        <w:jc w:val="center"/>
        <w:rPr>
          <w:b/>
          <w:szCs w:val="22"/>
        </w:rPr>
      </w:pPr>
    </w:p>
    <w:p w:rsidR="009C1C1C" w:rsidRPr="00B4251C" w:rsidP="009C1C1C" w14:paraId="092237F6" w14:textId="77777777">
      <w:pPr>
        <w:tabs>
          <w:tab w:val="left" w:pos="3629"/>
        </w:tabs>
        <w:spacing w:after="120"/>
        <w:jc w:val="center"/>
        <w:rPr>
          <w:b/>
          <w:szCs w:val="22"/>
        </w:rPr>
      </w:pPr>
      <w:r>
        <w:rPr>
          <w:b/>
          <w:szCs w:val="22"/>
        </w:rPr>
        <w:t>Satellite Charts for FY 2020 Regulatory Fees</w:t>
      </w:r>
    </w:p>
    <w:p w:rsidR="009C1C1C" w:rsidP="009C1C1C" w14:paraId="00C99FEE" w14:textId="77777777">
      <w:pPr>
        <w:rPr>
          <w:b/>
          <w:bCs/>
        </w:rPr>
      </w:pPr>
      <w:r>
        <w:rPr>
          <w:b/>
          <w:bCs/>
        </w:rPr>
        <w:t>U.S.-Licensed Space Stations</w:t>
      </w:r>
    </w:p>
    <w:p w:rsidR="009C1C1C" w:rsidRPr="00F4288E" w:rsidP="009C1C1C" w14:paraId="52090C7B" w14:textId="77777777">
      <w:pPr>
        <w:rPr>
          <w:b/>
          <w:bCs/>
        </w:rPr>
      </w:pPr>
    </w:p>
    <w:tbl>
      <w:tblPr>
        <w:tblW w:w="9445" w:type="dxa"/>
        <w:tblLook w:val="04A0"/>
      </w:tblPr>
      <w:tblGrid>
        <w:gridCol w:w="4225"/>
        <w:gridCol w:w="1402"/>
        <w:gridCol w:w="2558"/>
        <w:gridCol w:w="1260"/>
      </w:tblGrid>
      <w:tr w14:paraId="1AAE48D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C1C" w:rsidRPr="00500EA4" w:rsidP="006B48CA" w14:paraId="4030AC2B" w14:textId="77777777">
            <w:pPr>
              <w:jc w:val="center"/>
              <w:rPr>
                <w:rFonts w:ascii="Calibri" w:hAnsi="Calibri"/>
                <w:b/>
                <w:bCs/>
                <w:color w:val="000000"/>
                <w:u w:val="single"/>
              </w:rPr>
            </w:pPr>
            <w:r w:rsidRPr="00500EA4">
              <w:rPr>
                <w:rFonts w:ascii="Calibri" w:hAnsi="Calibri"/>
                <w:b/>
                <w:bCs/>
                <w:color w:val="000000"/>
                <w:u w:val="single"/>
              </w:rPr>
              <w:t>LICENSEE</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9C1C1C" w:rsidRPr="00500EA4" w:rsidP="006B48CA" w14:paraId="2649B8A0" w14:textId="77777777">
            <w:pPr>
              <w:jc w:val="center"/>
              <w:rPr>
                <w:rFonts w:ascii="Calibri" w:hAnsi="Calibri"/>
                <w:b/>
                <w:bCs/>
                <w:color w:val="000000"/>
                <w:u w:val="single"/>
              </w:rPr>
            </w:pPr>
            <w:r w:rsidRPr="00500EA4">
              <w:rPr>
                <w:rFonts w:ascii="Calibri" w:hAnsi="Calibri"/>
                <w:b/>
                <w:bCs/>
                <w:color w:val="000000"/>
                <w:u w:val="single"/>
              </w:rPr>
              <w:t>CALL SIGN</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9C1C1C" w:rsidRPr="00500EA4" w:rsidP="006B48CA" w14:paraId="753CA525" w14:textId="77777777">
            <w:pPr>
              <w:jc w:val="center"/>
              <w:rPr>
                <w:rFonts w:ascii="Calibri" w:hAnsi="Calibri"/>
                <w:b/>
                <w:bCs/>
                <w:color w:val="000000"/>
                <w:u w:val="single"/>
              </w:rPr>
            </w:pPr>
            <w:r>
              <w:rPr>
                <w:rFonts w:ascii="Calibri" w:hAnsi="Calibri"/>
                <w:b/>
                <w:bCs/>
                <w:color w:val="000000"/>
                <w:u w:val="single"/>
              </w:rPr>
              <w:t>SATELLITE</w:t>
            </w:r>
            <w:r w:rsidRPr="00500EA4">
              <w:rPr>
                <w:rFonts w:ascii="Calibri" w:hAnsi="Calibri"/>
                <w:b/>
                <w:bCs/>
                <w:color w:val="000000"/>
                <w:u w:val="single"/>
              </w:rPr>
              <w:t xml:space="preserve"> NAME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C1C1C" w:rsidRPr="00500EA4" w:rsidP="006B48CA" w14:paraId="3298602C" w14:textId="77777777">
            <w:pPr>
              <w:jc w:val="center"/>
              <w:rPr>
                <w:rFonts w:ascii="Calibri" w:hAnsi="Calibri"/>
                <w:b/>
                <w:bCs/>
                <w:color w:val="000000"/>
                <w:u w:val="single"/>
              </w:rPr>
            </w:pPr>
            <w:r w:rsidRPr="00500EA4">
              <w:rPr>
                <w:rFonts w:ascii="Calibri" w:hAnsi="Calibri"/>
                <w:b/>
                <w:bCs/>
                <w:color w:val="000000"/>
                <w:u w:val="single"/>
              </w:rPr>
              <w:t>TYPE</w:t>
            </w:r>
          </w:p>
        </w:tc>
      </w:tr>
      <w:tr w14:paraId="554F4C92"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2B2CECD8" w14:textId="77777777">
            <w:pPr>
              <w:rPr>
                <w:color w:val="000000"/>
              </w:rPr>
            </w:pPr>
            <w:r>
              <w:rPr>
                <w:color w:val="000000"/>
              </w:rPr>
              <w:t>Astro Digital U.S., Inc.</w:t>
            </w:r>
          </w:p>
        </w:tc>
        <w:tc>
          <w:tcPr>
            <w:tcW w:w="1402" w:type="dxa"/>
            <w:tcBorders>
              <w:top w:val="nil"/>
              <w:left w:val="nil"/>
              <w:bottom w:val="single" w:sz="4" w:space="0" w:color="auto"/>
              <w:right w:val="single" w:sz="4" w:space="0" w:color="auto"/>
            </w:tcBorders>
            <w:shd w:val="clear" w:color="auto" w:fill="auto"/>
            <w:vAlign w:val="bottom"/>
          </w:tcPr>
          <w:p w:rsidR="009C1C1C" w:rsidRPr="00500EA4" w:rsidP="006B48CA" w14:paraId="7586EFA9" w14:textId="77777777">
            <w:pPr>
              <w:jc w:val="center"/>
              <w:rPr>
                <w:color w:val="000000"/>
              </w:rPr>
            </w:pPr>
            <w:r>
              <w:rPr>
                <w:color w:val="000000"/>
              </w:rPr>
              <w:t>S3014</w:t>
            </w:r>
          </w:p>
        </w:tc>
        <w:tc>
          <w:tcPr>
            <w:tcW w:w="2558" w:type="dxa"/>
            <w:tcBorders>
              <w:top w:val="nil"/>
              <w:left w:val="nil"/>
              <w:bottom w:val="single" w:sz="4" w:space="0" w:color="auto"/>
              <w:right w:val="single" w:sz="4" w:space="0" w:color="auto"/>
            </w:tcBorders>
            <w:shd w:val="clear" w:color="auto" w:fill="auto"/>
            <w:vAlign w:val="bottom"/>
          </w:tcPr>
          <w:p w:rsidR="009C1C1C" w:rsidRPr="00500EA4" w:rsidP="006B48CA" w14:paraId="54A51463" w14:textId="77777777">
            <w:pPr>
              <w:jc w:val="center"/>
              <w:rPr>
                <w:color w:val="000000"/>
              </w:rPr>
            </w:pPr>
            <w:r>
              <w:rPr>
                <w:color w:val="000000"/>
              </w:rPr>
              <w:t>LANDMAPPER-BC</w:t>
            </w:r>
          </w:p>
        </w:tc>
        <w:tc>
          <w:tcPr>
            <w:tcW w:w="1260" w:type="dxa"/>
            <w:tcBorders>
              <w:top w:val="nil"/>
              <w:left w:val="nil"/>
              <w:bottom w:val="single" w:sz="4" w:space="0" w:color="auto"/>
              <w:right w:val="single" w:sz="4" w:space="0" w:color="auto"/>
            </w:tcBorders>
            <w:shd w:val="clear" w:color="auto" w:fill="auto"/>
            <w:vAlign w:val="bottom"/>
          </w:tcPr>
          <w:p w:rsidR="009C1C1C" w:rsidRPr="00500EA4" w:rsidP="006B48CA" w14:paraId="5C0C0CAE" w14:textId="77777777">
            <w:pPr>
              <w:jc w:val="center"/>
              <w:rPr>
                <w:color w:val="000000"/>
              </w:rPr>
            </w:pPr>
            <w:r>
              <w:rPr>
                <w:color w:val="000000"/>
              </w:rPr>
              <w:t>NGSO</w:t>
            </w:r>
          </w:p>
        </w:tc>
      </w:tr>
      <w:tr w14:paraId="50046AA4"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5E396351" w14:textId="77777777">
            <w:pPr>
              <w:rPr>
                <w:color w:val="000000"/>
              </w:rPr>
            </w:pPr>
            <w:r>
              <w:rPr>
                <w:color w:val="000000"/>
              </w:rPr>
              <w:t>BlackSky</w:t>
            </w:r>
            <w:r>
              <w:rPr>
                <w:color w:val="000000"/>
              </w:rPr>
              <w:t xml:space="preserve"> Global, LLC</w:t>
            </w:r>
          </w:p>
        </w:tc>
        <w:tc>
          <w:tcPr>
            <w:tcW w:w="1402" w:type="dxa"/>
            <w:tcBorders>
              <w:top w:val="nil"/>
              <w:left w:val="nil"/>
              <w:bottom w:val="single" w:sz="4" w:space="0" w:color="auto"/>
              <w:right w:val="single" w:sz="4" w:space="0" w:color="auto"/>
            </w:tcBorders>
            <w:shd w:val="clear" w:color="auto" w:fill="auto"/>
            <w:vAlign w:val="bottom"/>
            <w:hideMark/>
          </w:tcPr>
          <w:p w:rsidR="009C1C1C" w:rsidRPr="00500EA4" w:rsidP="006B48CA" w14:paraId="5AA3F1F1" w14:textId="77777777">
            <w:pPr>
              <w:jc w:val="center"/>
              <w:rPr>
                <w:color w:val="000000"/>
              </w:rPr>
            </w:pPr>
            <w:r>
              <w:rPr>
                <w:color w:val="000000"/>
              </w:rPr>
              <w:t>S3032</w:t>
            </w:r>
          </w:p>
        </w:tc>
        <w:tc>
          <w:tcPr>
            <w:tcW w:w="2558" w:type="dxa"/>
            <w:tcBorders>
              <w:top w:val="nil"/>
              <w:left w:val="nil"/>
              <w:bottom w:val="single" w:sz="4" w:space="0" w:color="auto"/>
              <w:right w:val="single" w:sz="4" w:space="0" w:color="auto"/>
            </w:tcBorders>
            <w:shd w:val="clear" w:color="auto" w:fill="auto"/>
            <w:vAlign w:val="bottom"/>
            <w:hideMark/>
          </w:tcPr>
          <w:p w:rsidR="009C1C1C" w:rsidRPr="00500EA4" w:rsidP="006B48CA" w14:paraId="5E858A62" w14:textId="77777777">
            <w:pPr>
              <w:jc w:val="center"/>
              <w:rPr>
                <w:color w:val="000000"/>
              </w:rPr>
            </w:pPr>
            <w:r>
              <w:rPr>
                <w:color w:val="000000"/>
              </w:rPr>
              <w:t>Global 1, 2, 3, &amp; 4</w:t>
            </w:r>
          </w:p>
        </w:tc>
        <w:tc>
          <w:tcPr>
            <w:tcW w:w="1260" w:type="dxa"/>
            <w:tcBorders>
              <w:top w:val="nil"/>
              <w:left w:val="nil"/>
              <w:bottom w:val="single" w:sz="4" w:space="0" w:color="auto"/>
              <w:right w:val="single" w:sz="4" w:space="0" w:color="auto"/>
            </w:tcBorders>
            <w:shd w:val="clear" w:color="auto" w:fill="auto"/>
            <w:vAlign w:val="bottom"/>
            <w:hideMark/>
          </w:tcPr>
          <w:p w:rsidR="009C1C1C" w:rsidRPr="00500EA4" w:rsidP="006B48CA" w14:paraId="441AB7A7" w14:textId="77777777">
            <w:pPr>
              <w:jc w:val="center"/>
              <w:rPr>
                <w:color w:val="000000"/>
              </w:rPr>
            </w:pPr>
            <w:r>
              <w:rPr>
                <w:color w:val="000000"/>
              </w:rPr>
              <w:t>NGSO</w:t>
            </w:r>
          </w:p>
        </w:tc>
      </w:tr>
      <w:tr w14:paraId="79A4EF87"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547C01C6" w14:textId="77777777">
            <w:pPr>
              <w:rPr>
                <w:color w:val="000000"/>
              </w:rPr>
            </w:pPr>
            <w:r>
              <w:rPr>
                <w:color w:val="000000"/>
              </w:rPr>
              <w:t>DG Consents Sub, Inc.</w:t>
            </w:r>
          </w:p>
        </w:tc>
        <w:tc>
          <w:tcPr>
            <w:tcW w:w="1402" w:type="dxa"/>
            <w:tcBorders>
              <w:top w:val="nil"/>
              <w:left w:val="nil"/>
              <w:bottom w:val="single" w:sz="4" w:space="0" w:color="auto"/>
              <w:right w:val="single" w:sz="4" w:space="0" w:color="auto"/>
            </w:tcBorders>
            <w:shd w:val="clear" w:color="auto" w:fill="auto"/>
            <w:vAlign w:val="bottom"/>
            <w:hideMark/>
          </w:tcPr>
          <w:p w:rsidR="009C1C1C" w:rsidRPr="00500EA4" w:rsidP="006B48CA" w14:paraId="345CEDDC" w14:textId="77777777">
            <w:pPr>
              <w:jc w:val="center"/>
              <w:rPr>
                <w:color w:val="000000"/>
              </w:rPr>
            </w:pPr>
            <w:r>
              <w:rPr>
                <w:color w:val="000000"/>
              </w:rPr>
              <w:t>S2129</w:t>
            </w:r>
          </w:p>
        </w:tc>
        <w:tc>
          <w:tcPr>
            <w:tcW w:w="2558" w:type="dxa"/>
            <w:tcBorders>
              <w:top w:val="nil"/>
              <w:left w:val="nil"/>
              <w:bottom w:val="single" w:sz="4" w:space="0" w:color="auto"/>
              <w:right w:val="single" w:sz="4" w:space="0" w:color="auto"/>
            </w:tcBorders>
            <w:shd w:val="clear" w:color="auto" w:fill="auto"/>
            <w:vAlign w:val="bottom"/>
            <w:hideMark/>
          </w:tcPr>
          <w:p w:rsidR="009C1C1C" w:rsidRPr="00500EA4" w:rsidP="006B48CA" w14:paraId="6C1DDE18" w14:textId="77777777">
            <w:pPr>
              <w:jc w:val="center"/>
              <w:rPr>
                <w:color w:val="000000"/>
              </w:rPr>
            </w:pPr>
            <w:r>
              <w:rPr>
                <w:color w:val="000000"/>
              </w:rPr>
              <w:t>WORLDVIEW-LEGION</w:t>
            </w:r>
          </w:p>
        </w:tc>
        <w:tc>
          <w:tcPr>
            <w:tcW w:w="1260" w:type="dxa"/>
            <w:tcBorders>
              <w:top w:val="nil"/>
              <w:left w:val="nil"/>
              <w:bottom w:val="single" w:sz="4" w:space="0" w:color="auto"/>
              <w:right w:val="single" w:sz="4" w:space="0" w:color="auto"/>
            </w:tcBorders>
            <w:shd w:val="clear" w:color="auto" w:fill="auto"/>
            <w:vAlign w:val="bottom"/>
            <w:hideMark/>
          </w:tcPr>
          <w:p w:rsidR="009C1C1C" w:rsidRPr="00500EA4" w:rsidP="006B48CA" w14:paraId="50DE425E" w14:textId="77777777">
            <w:pPr>
              <w:jc w:val="center"/>
              <w:rPr>
                <w:color w:val="000000"/>
              </w:rPr>
            </w:pPr>
            <w:r>
              <w:rPr>
                <w:color w:val="000000"/>
              </w:rPr>
              <w:t>NGSO</w:t>
            </w:r>
          </w:p>
        </w:tc>
      </w:tr>
      <w:tr w14:paraId="4B69770B"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47861703" w14:textId="77777777">
            <w:pPr>
              <w:rPr>
                <w:color w:val="000000"/>
              </w:rPr>
            </w:pPr>
            <w:r>
              <w:rPr>
                <w:color w:val="000000"/>
              </w:rPr>
              <w:t>DG Consents Sub, Inc.</w:t>
            </w:r>
          </w:p>
        </w:tc>
        <w:tc>
          <w:tcPr>
            <w:tcW w:w="1402" w:type="dxa"/>
            <w:tcBorders>
              <w:top w:val="nil"/>
              <w:left w:val="nil"/>
              <w:bottom w:val="single" w:sz="4" w:space="0" w:color="auto"/>
              <w:right w:val="single" w:sz="4" w:space="0" w:color="auto"/>
            </w:tcBorders>
            <w:shd w:val="clear" w:color="auto" w:fill="auto"/>
            <w:vAlign w:val="bottom"/>
            <w:hideMark/>
          </w:tcPr>
          <w:p w:rsidR="009C1C1C" w:rsidRPr="00500EA4" w:rsidP="006B48CA" w14:paraId="7E2DA96D" w14:textId="77777777">
            <w:pPr>
              <w:jc w:val="center"/>
              <w:rPr>
                <w:color w:val="000000"/>
              </w:rPr>
            </w:pPr>
            <w:r>
              <w:rPr>
                <w:color w:val="000000"/>
              </w:rPr>
              <w:t>S2348</w:t>
            </w:r>
          </w:p>
        </w:tc>
        <w:tc>
          <w:tcPr>
            <w:tcW w:w="2558" w:type="dxa"/>
            <w:tcBorders>
              <w:top w:val="nil"/>
              <w:left w:val="nil"/>
              <w:bottom w:val="single" w:sz="4" w:space="0" w:color="auto"/>
              <w:right w:val="single" w:sz="4" w:space="0" w:color="auto"/>
            </w:tcBorders>
            <w:shd w:val="clear" w:color="auto" w:fill="auto"/>
            <w:vAlign w:val="bottom"/>
            <w:hideMark/>
          </w:tcPr>
          <w:p w:rsidR="009C1C1C" w:rsidRPr="00500EA4" w:rsidP="006B48CA" w14:paraId="38C9A48C" w14:textId="77777777">
            <w:pPr>
              <w:jc w:val="center"/>
              <w:rPr>
                <w:color w:val="000000"/>
              </w:rPr>
            </w:pPr>
            <w:r>
              <w:rPr>
                <w:color w:val="000000"/>
              </w:rPr>
              <w:t>WORLDVIEW-4</w:t>
            </w:r>
          </w:p>
        </w:tc>
        <w:tc>
          <w:tcPr>
            <w:tcW w:w="1260" w:type="dxa"/>
            <w:tcBorders>
              <w:top w:val="nil"/>
              <w:left w:val="nil"/>
              <w:bottom w:val="single" w:sz="4" w:space="0" w:color="auto"/>
              <w:right w:val="single" w:sz="4" w:space="0" w:color="auto"/>
            </w:tcBorders>
            <w:shd w:val="clear" w:color="auto" w:fill="auto"/>
            <w:vAlign w:val="bottom"/>
            <w:hideMark/>
          </w:tcPr>
          <w:p w:rsidR="009C1C1C" w:rsidRPr="00500EA4" w:rsidP="006B48CA" w14:paraId="2ABA62B5" w14:textId="77777777">
            <w:pPr>
              <w:jc w:val="center"/>
              <w:rPr>
                <w:color w:val="000000"/>
              </w:rPr>
            </w:pPr>
            <w:r>
              <w:rPr>
                <w:color w:val="000000"/>
              </w:rPr>
              <w:t>NGSO</w:t>
            </w:r>
          </w:p>
        </w:tc>
      </w:tr>
      <w:tr w14:paraId="5F9E853D"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808D12A" w14:textId="77777777">
            <w:pPr>
              <w:rPr>
                <w:color w:val="000000"/>
              </w:rPr>
            </w:pPr>
            <w:r>
              <w:rPr>
                <w:color w:val="000000"/>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9C1C1C" w:rsidRPr="00500EA4" w:rsidP="006B48CA" w14:paraId="754D0EDF" w14:textId="77777777">
            <w:pPr>
              <w:jc w:val="center"/>
              <w:rPr>
                <w:color w:val="000000"/>
              </w:rPr>
            </w:pPr>
            <w:r>
              <w:rPr>
                <w:color w:val="000000"/>
              </w:rPr>
              <w:t>S2922</w:t>
            </w:r>
          </w:p>
        </w:tc>
        <w:tc>
          <w:tcPr>
            <w:tcW w:w="2558" w:type="dxa"/>
            <w:tcBorders>
              <w:top w:val="nil"/>
              <w:left w:val="nil"/>
              <w:bottom w:val="single" w:sz="4" w:space="0" w:color="auto"/>
              <w:right w:val="single" w:sz="4" w:space="0" w:color="auto"/>
            </w:tcBorders>
            <w:shd w:val="clear" w:color="auto" w:fill="auto"/>
            <w:vAlign w:val="bottom"/>
            <w:hideMark/>
          </w:tcPr>
          <w:p w:rsidR="009C1C1C" w:rsidRPr="00500EA4" w:rsidP="006B48CA" w14:paraId="28408051" w14:textId="77777777">
            <w:pPr>
              <w:jc w:val="center"/>
              <w:rPr>
                <w:color w:val="000000"/>
              </w:rPr>
            </w:pPr>
            <w:r>
              <w:rPr>
                <w:color w:val="000000"/>
              </w:rPr>
              <w:t>SKY-B1</w:t>
            </w:r>
          </w:p>
        </w:tc>
        <w:tc>
          <w:tcPr>
            <w:tcW w:w="1260" w:type="dxa"/>
            <w:tcBorders>
              <w:top w:val="nil"/>
              <w:left w:val="nil"/>
              <w:bottom w:val="single" w:sz="4" w:space="0" w:color="auto"/>
              <w:right w:val="single" w:sz="4" w:space="0" w:color="auto"/>
            </w:tcBorders>
            <w:shd w:val="clear" w:color="auto" w:fill="auto"/>
            <w:vAlign w:val="bottom"/>
            <w:hideMark/>
          </w:tcPr>
          <w:p w:rsidR="009C1C1C" w:rsidRPr="00500EA4" w:rsidP="006B48CA" w14:paraId="4D876E47" w14:textId="77777777">
            <w:pPr>
              <w:jc w:val="center"/>
              <w:rPr>
                <w:color w:val="000000"/>
              </w:rPr>
            </w:pPr>
            <w:r>
              <w:rPr>
                <w:color w:val="000000"/>
              </w:rPr>
              <w:t>GSO</w:t>
            </w:r>
          </w:p>
        </w:tc>
      </w:tr>
      <w:tr w14:paraId="6FF36524"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5F6A6121" w14:textId="77777777">
            <w:pPr>
              <w:rPr>
                <w:color w:val="000000"/>
              </w:rPr>
            </w:pPr>
            <w:r>
              <w:rPr>
                <w:color w:val="000000"/>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9C1C1C" w:rsidRPr="00500EA4" w:rsidP="006B48CA" w14:paraId="0F1D2561" w14:textId="77777777">
            <w:pPr>
              <w:jc w:val="center"/>
              <w:rPr>
                <w:color w:val="000000"/>
              </w:rPr>
            </w:pPr>
            <w:r>
              <w:rPr>
                <w:color w:val="000000"/>
              </w:rPr>
              <w:t>S2640</w:t>
            </w:r>
          </w:p>
        </w:tc>
        <w:tc>
          <w:tcPr>
            <w:tcW w:w="2558" w:type="dxa"/>
            <w:tcBorders>
              <w:top w:val="nil"/>
              <w:left w:val="nil"/>
              <w:bottom w:val="single" w:sz="4" w:space="0" w:color="auto"/>
              <w:right w:val="single" w:sz="4" w:space="0" w:color="auto"/>
            </w:tcBorders>
            <w:shd w:val="clear" w:color="auto" w:fill="auto"/>
            <w:vAlign w:val="bottom"/>
            <w:hideMark/>
          </w:tcPr>
          <w:p w:rsidR="009C1C1C" w:rsidRPr="00500EA4" w:rsidP="006B48CA" w14:paraId="6C2FAD69" w14:textId="77777777">
            <w:pPr>
              <w:jc w:val="center"/>
              <w:rPr>
                <w:color w:val="000000"/>
              </w:rPr>
            </w:pPr>
            <w:r>
              <w:rPr>
                <w:color w:val="000000"/>
              </w:rPr>
              <w:t>DIRECTV T11</w:t>
            </w:r>
          </w:p>
        </w:tc>
        <w:tc>
          <w:tcPr>
            <w:tcW w:w="1260" w:type="dxa"/>
            <w:tcBorders>
              <w:top w:val="nil"/>
              <w:left w:val="nil"/>
              <w:bottom w:val="single" w:sz="4" w:space="0" w:color="auto"/>
              <w:right w:val="single" w:sz="4" w:space="0" w:color="auto"/>
            </w:tcBorders>
            <w:shd w:val="clear" w:color="auto" w:fill="auto"/>
            <w:vAlign w:val="bottom"/>
            <w:hideMark/>
          </w:tcPr>
          <w:p w:rsidR="009C1C1C" w:rsidRPr="00500EA4" w:rsidP="006B48CA" w14:paraId="7C1C97AB" w14:textId="77777777">
            <w:pPr>
              <w:jc w:val="center"/>
              <w:rPr>
                <w:color w:val="000000"/>
              </w:rPr>
            </w:pPr>
            <w:r w:rsidRPr="00500EA4">
              <w:rPr>
                <w:color w:val="000000"/>
              </w:rPr>
              <w:t>GSO</w:t>
            </w:r>
          </w:p>
        </w:tc>
      </w:tr>
      <w:tr w14:paraId="096FE01D"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677C172D" w14:textId="77777777">
            <w:pPr>
              <w:rPr>
                <w:color w:val="000000"/>
              </w:rPr>
            </w:pPr>
            <w:r>
              <w:rPr>
                <w:color w:val="000000"/>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9C1C1C" w:rsidRPr="00500EA4" w:rsidP="006B48CA" w14:paraId="1E92185A" w14:textId="77777777">
            <w:pPr>
              <w:jc w:val="center"/>
              <w:rPr>
                <w:color w:val="000000"/>
              </w:rPr>
            </w:pPr>
            <w:r>
              <w:rPr>
                <w:color w:val="000000"/>
              </w:rPr>
              <w:t>S2711</w:t>
            </w:r>
          </w:p>
        </w:tc>
        <w:tc>
          <w:tcPr>
            <w:tcW w:w="2558" w:type="dxa"/>
            <w:tcBorders>
              <w:top w:val="nil"/>
              <w:left w:val="nil"/>
              <w:bottom w:val="single" w:sz="4" w:space="0" w:color="auto"/>
              <w:right w:val="single" w:sz="4" w:space="0" w:color="auto"/>
            </w:tcBorders>
            <w:shd w:val="clear" w:color="auto" w:fill="auto"/>
            <w:vAlign w:val="bottom"/>
            <w:hideMark/>
          </w:tcPr>
          <w:p w:rsidR="009C1C1C" w:rsidRPr="00500EA4" w:rsidP="006B48CA" w14:paraId="65BD09F6" w14:textId="77777777">
            <w:pPr>
              <w:jc w:val="center"/>
              <w:rPr>
                <w:color w:val="000000"/>
              </w:rPr>
            </w:pPr>
            <w:r>
              <w:rPr>
                <w:color w:val="000000"/>
              </w:rPr>
              <w:t>DIRECTV RB-1</w:t>
            </w:r>
          </w:p>
        </w:tc>
        <w:tc>
          <w:tcPr>
            <w:tcW w:w="1260" w:type="dxa"/>
            <w:tcBorders>
              <w:top w:val="nil"/>
              <w:left w:val="nil"/>
              <w:bottom w:val="single" w:sz="4" w:space="0" w:color="auto"/>
              <w:right w:val="single" w:sz="4" w:space="0" w:color="auto"/>
            </w:tcBorders>
            <w:shd w:val="clear" w:color="auto" w:fill="auto"/>
            <w:vAlign w:val="bottom"/>
            <w:hideMark/>
          </w:tcPr>
          <w:p w:rsidR="009C1C1C" w:rsidRPr="00500EA4" w:rsidP="006B48CA" w14:paraId="20341755" w14:textId="77777777">
            <w:pPr>
              <w:jc w:val="center"/>
              <w:rPr>
                <w:color w:val="000000"/>
              </w:rPr>
            </w:pPr>
            <w:r w:rsidRPr="00500EA4">
              <w:rPr>
                <w:color w:val="000000"/>
              </w:rPr>
              <w:t>GSO</w:t>
            </w:r>
          </w:p>
        </w:tc>
      </w:tr>
      <w:tr w14:paraId="5CB27155"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23F56FE9" w14:textId="77777777">
            <w:pPr>
              <w:rPr>
                <w:color w:val="000000"/>
              </w:rPr>
            </w:pPr>
            <w:r>
              <w:rPr>
                <w:color w:val="000000"/>
              </w:rPr>
              <w:t>DIRECTV Enterprises, LLC</w:t>
            </w:r>
          </w:p>
        </w:tc>
        <w:tc>
          <w:tcPr>
            <w:tcW w:w="1402" w:type="dxa"/>
            <w:tcBorders>
              <w:top w:val="nil"/>
              <w:left w:val="nil"/>
              <w:bottom w:val="single" w:sz="4" w:space="0" w:color="auto"/>
              <w:right w:val="single" w:sz="4" w:space="0" w:color="auto"/>
            </w:tcBorders>
            <w:shd w:val="clear" w:color="auto" w:fill="auto"/>
            <w:vAlign w:val="bottom"/>
          </w:tcPr>
          <w:p w:rsidR="009C1C1C" w:rsidRPr="00500EA4" w:rsidP="006B48CA" w14:paraId="19D2FA0A" w14:textId="77777777">
            <w:pPr>
              <w:jc w:val="center"/>
              <w:rPr>
                <w:color w:val="000000"/>
              </w:rPr>
            </w:pPr>
            <w:r>
              <w:rPr>
                <w:color w:val="000000"/>
              </w:rPr>
              <w:t>S2869</w:t>
            </w:r>
          </w:p>
        </w:tc>
        <w:tc>
          <w:tcPr>
            <w:tcW w:w="2558" w:type="dxa"/>
            <w:tcBorders>
              <w:top w:val="nil"/>
              <w:left w:val="nil"/>
              <w:bottom w:val="single" w:sz="4" w:space="0" w:color="auto"/>
              <w:right w:val="single" w:sz="4" w:space="0" w:color="auto"/>
            </w:tcBorders>
            <w:shd w:val="clear" w:color="auto" w:fill="auto"/>
            <w:vAlign w:val="bottom"/>
          </w:tcPr>
          <w:p w:rsidR="009C1C1C" w:rsidRPr="00500EA4" w:rsidP="006B48CA" w14:paraId="4DCF148B" w14:textId="77777777">
            <w:pPr>
              <w:jc w:val="center"/>
              <w:rPr>
                <w:color w:val="000000"/>
              </w:rPr>
            </w:pPr>
            <w:r>
              <w:rPr>
                <w:color w:val="000000"/>
              </w:rPr>
              <w:t>DIRECTV T14</w:t>
            </w:r>
          </w:p>
        </w:tc>
        <w:tc>
          <w:tcPr>
            <w:tcW w:w="1260" w:type="dxa"/>
            <w:tcBorders>
              <w:top w:val="nil"/>
              <w:left w:val="nil"/>
              <w:bottom w:val="single" w:sz="4" w:space="0" w:color="auto"/>
              <w:right w:val="single" w:sz="4" w:space="0" w:color="auto"/>
            </w:tcBorders>
            <w:shd w:val="clear" w:color="auto" w:fill="auto"/>
            <w:vAlign w:val="bottom"/>
          </w:tcPr>
          <w:p w:rsidR="009C1C1C" w:rsidRPr="00500EA4" w:rsidP="006B48CA" w14:paraId="1C53FA35" w14:textId="77777777">
            <w:pPr>
              <w:jc w:val="center"/>
              <w:rPr>
                <w:color w:val="000000"/>
              </w:rPr>
            </w:pPr>
            <w:r>
              <w:rPr>
                <w:color w:val="000000"/>
              </w:rPr>
              <w:t>GSO</w:t>
            </w:r>
          </w:p>
        </w:tc>
      </w:tr>
      <w:tr w14:paraId="0F1C62D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RPr="00500EA4" w:rsidP="006B48CA" w14:paraId="44B2BEEB"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RPr="00500EA4" w:rsidP="006B48CA" w14:paraId="18530C93" w14:textId="77777777">
            <w:pPr>
              <w:jc w:val="center"/>
              <w:rPr>
                <w:color w:val="000000"/>
              </w:rPr>
            </w:pPr>
            <w:r>
              <w:rPr>
                <w:color w:val="000000"/>
              </w:rPr>
              <w:t>S2132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RPr="00500EA4" w:rsidP="006B48CA" w14:paraId="451616A7" w14:textId="77777777">
            <w:pPr>
              <w:jc w:val="center"/>
              <w:rPr>
                <w:color w:val="000000"/>
              </w:rPr>
            </w:pPr>
            <w:r>
              <w:rPr>
                <w:color w:val="000000"/>
              </w:rPr>
              <w:t>DIRECTV T8(K)</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RPr="00500EA4" w:rsidP="006B48CA" w14:paraId="7B6FE7CB" w14:textId="77777777">
            <w:pPr>
              <w:jc w:val="center"/>
              <w:rPr>
                <w:color w:val="000000"/>
              </w:rPr>
            </w:pPr>
            <w:r>
              <w:rPr>
                <w:color w:val="000000"/>
              </w:rPr>
              <w:t>GSO</w:t>
            </w:r>
          </w:p>
        </w:tc>
      </w:tr>
      <w:tr w14:paraId="7B6224D4"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F098589"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B54BD06" w14:textId="77777777">
            <w:pPr>
              <w:jc w:val="center"/>
              <w:rPr>
                <w:color w:val="000000"/>
              </w:rPr>
            </w:pPr>
            <w:r>
              <w:rPr>
                <w:color w:val="000000"/>
              </w:rPr>
              <w:t>S2632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CE46A5E" w14:textId="77777777">
            <w:pPr>
              <w:jc w:val="center"/>
              <w:rPr>
                <w:color w:val="000000"/>
              </w:rPr>
            </w:pPr>
            <w:r>
              <w:rPr>
                <w:color w:val="000000"/>
              </w:rPr>
              <w:t>DIRECTV T8(D)</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1D1742A" w14:textId="77777777">
            <w:pPr>
              <w:jc w:val="center"/>
              <w:rPr>
                <w:color w:val="000000"/>
              </w:rPr>
            </w:pPr>
            <w:r>
              <w:rPr>
                <w:color w:val="000000"/>
              </w:rPr>
              <w:t>GSO</w:t>
            </w:r>
          </w:p>
        </w:tc>
      </w:tr>
      <w:tr w14:paraId="608E88B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F2BD458"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F7E3392" w14:textId="77777777">
            <w:pPr>
              <w:jc w:val="center"/>
              <w:rPr>
                <w:color w:val="000000"/>
              </w:rPr>
            </w:pPr>
            <w:r>
              <w:rPr>
                <w:color w:val="000000"/>
              </w:rPr>
              <w:t>S2669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78D4EC4" w14:textId="77777777">
            <w:pPr>
              <w:jc w:val="center"/>
              <w:rPr>
                <w:color w:val="000000"/>
              </w:rPr>
            </w:pPr>
            <w:r>
              <w:rPr>
                <w:color w:val="000000"/>
              </w:rPr>
              <w:t>DIRECTV T9S</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313902B" w14:textId="77777777">
            <w:pPr>
              <w:jc w:val="center"/>
              <w:rPr>
                <w:color w:val="000000"/>
              </w:rPr>
            </w:pPr>
            <w:r>
              <w:rPr>
                <w:color w:val="000000"/>
              </w:rPr>
              <w:t>GSO</w:t>
            </w:r>
          </w:p>
        </w:tc>
      </w:tr>
      <w:tr w14:paraId="67E332A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7202FDF"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8D951DC" w14:textId="77777777">
            <w:pPr>
              <w:jc w:val="center"/>
              <w:rPr>
                <w:color w:val="000000"/>
              </w:rPr>
            </w:pPr>
            <w:r>
              <w:rPr>
                <w:color w:val="000000"/>
              </w:rPr>
              <w:t>S2641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4262237" w14:textId="77777777">
            <w:pPr>
              <w:jc w:val="center"/>
              <w:rPr>
                <w:color w:val="000000"/>
              </w:rPr>
            </w:pPr>
            <w:r>
              <w:rPr>
                <w:color w:val="000000"/>
              </w:rPr>
              <w:t>DIRECTV T10</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5FB61CA" w14:textId="77777777">
            <w:pPr>
              <w:jc w:val="center"/>
              <w:rPr>
                <w:color w:val="000000"/>
              </w:rPr>
            </w:pPr>
            <w:r>
              <w:rPr>
                <w:color w:val="000000"/>
              </w:rPr>
              <w:t>GSO</w:t>
            </w:r>
          </w:p>
        </w:tc>
      </w:tr>
      <w:tr w14:paraId="349D24B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21A7028"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B4D7950" w14:textId="77777777">
            <w:pPr>
              <w:jc w:val="center"/>
              <w:rPr>
                <w:color w:val="000000"/>
              </w:rPr>
            </w:pPr>
            <w:r>
              <w:rPr>
                <w:color w:val="000000"/>
              </w:rPr>
              <w:t>S2796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633B02F" w14:textId="77777777">
            <w:pPr>
              <w:jc w:val="center"/>
              <w:rPr>
                <w:color w:val="000000"/>
              </w:rPr>
            </w:pPr>
            <w:r>
              <w:rPr>
                <w:color w:val="000000"/>
              </w:rPr>
              <w:t>DIRECTV RB-2A</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7FA9E72" w14:textId="77777777">
            <w:pPr>
              <w:jc w:val="center"/>
              <w:rPr>
                <w:color w:val="000000"/>
              </w:rPr>
            </w:pPr>
            <w:r>
              <w:rPr>
                <w:color w:val="000000"/>
              </w:rPr>
              <w:t>GSO</w:t>
            </w:r>
          </w:p>
        </w:tc>
      </w:tr>
      <w:tr w14:paraId="4DF442C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B95C418"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B9070C3" w14:textId="77777777">
            <w:pPr>
              <w:jc w:val="center"/>
              <w:rPr>
                <w:color w:val="000000"/>
              </w:rPr>
            </w:pPr>
            <w:r>
              <w:rPr>
                <w:color w:val="000000"/>
              </w:rPr>
              <w:t>S2797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F42AA7A" w14:textId="77777777">
            <w:pPr>
              <w:jc w:val="center"/>
              <w:rPr>
                <w:color w:val="000000"/>
              </w:rPr>
            </w:pPr>
            <w:r>
              <w:rPr>
                <w:color w:val="000000"/>
              </w:rPr>
              <w:t>DIRECTV T12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B92E8A7" w14:textId="77777777">
            <w:pPr>
              <w:jc w:val="center"/>
              <w:rPr>
                <w:color w:val="000000"/>
              </w:rPr>
            </w:pPr>
            <w:r>
              <w:rPr>
                <w:color w:val="000000"/>
              </w:rPr>
              <w:t>GSO</w:t>
            </w:r>
          </w:p>
        </w:tc>
      </w:tr>
      <w:tr w14:paraId="31F8584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2EB3C7A8"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1FF444F" w14:textId="77777777">
            <w:pPr>
              <w:jc w:val="center"/>
              <w:rPr>
                <w:color w:val="000000"/>
              </w:rPr>
            </w:pPr>
            <w:r>
              <w:rPr>
                <w:color w:val="000000"/>
              </w:rPr>
              <w:t>S2930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8EC6117" w14:textId="77777777">
            <w:pPr>
              <w:jc w:val="center"/>
              <w:rPr>
                <w:color w:val="000000"/>
              </w:rPr>
            </w:pPr>
            <w:r>
              <w:rPr>
                <w:color w:val="000000"/>
              </w:rPr>
              <w:t>DIRECTV T15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F5599C2" w14:textId="77777777">
            <w:pPr>
              <w:jc w:val="center"/>
              <w:rPr>
                <w:color w:val="000000"/>
              </w:rPr>
            </w:pPr>
            <w:r>
              <w:rPr>
                <w:color w:val="000000"/>
              </w:rPr>
              <w:t>GSO</w:t>
            </w:r>
          </w:p>
        </w:tc>
      </w:tr>
      <w:tr w14:paraId="1A89F044"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F5E98F8"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B1F3664" w14:textId="77777777">
            <w:pPr>
              <w:jc w:val="center"/>
              <w:rPr>
                <w:color w:val="000000"/>
              </w:rPr>
            </w:pPr>
            <w:r>
              <w:rPr>
                <w:color w:val="000000"/>
              </w:rPr>
              <w:t>S2673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7765B11" w14:textId="77777777">
            <w:pPr>
              <w:jc w:val="center"/>
              <w:rPr>
                <w:color w:val="000000"/>
              </w:rPr>
            </w:pPr>
            <w:r>
              <w:rPr>
                <w:color w:val="000000"/>
              </w:rPr>
              <w:t>DIRECTV T5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290729F" w14:textId="77777777">
            <w:pPr>
              <w:jc w:val="center"/>
              <w:rPr>
                <w:color w:val="000000"/>
              </w:rPr>
            </w:pPr>
            <w:r>
              <w:rPr>
                <w:color w:val="000000"/>
              </w:rPr>
              <w:t>GSO</w:t>
            </w:r>
          </w:p>
        </w:tc>
      </w:tr>
      <w:tr w14:paraId="037DB0B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8D32484"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72C9E31" w14:textId="77777777">
            <w:pPr>
              <w:jc w:val="center"/>
              <w:rPr>
                <w:color w:val="000000"/>
              </w:rPr>
            </w:pPr>
            <w:r>
              <w:rPr>
                <w:color w:val="000000"/>
              </w:rPr>
              <w:t>S2455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5BD8728" w14:textId="77777777">
            <w:pPr>
              <w:jc w:val="center"/>
              <w:rPr>
                <w:color w:val="000000"/>
              </w:rPr>
            </w:pPr>
            <w:r>
              <w:rPr>
                <w:color w:val="000000"/>
              </w:rPr>
              <w:t>DIRECTV T7S</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2F6DCB3" w14:textId="77777777">
            <w:pPr>
              <w:jc w:val="center"/>
              <w:rPr>
                <w:color w:val="000000"/>
              </w:rPr>
            </w:pPr>
            <w:r>
              <w:rPr>
                <w:color w:val="000000"/>
              </w:rPr>
              <w:t>GSO</w:t>
            </w:r>
          </w:p>
        </w:tc>
      </w:tr>
      <w:tr w14:paraId="0F71764C"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7F06546"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C69E248" w14:textId="77777777">
            <w:pPr>
              <w:jc w:val="center"/>
              <w:rPr>
                <w:color w:val="000000"/>
              </w:rPr>
            </w:pPr>
            <w:r>
              <w:rPr>
                <w:color w:val="000000"/>
              </w:rPr>
              <w:t>S2133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51AB24E" w14:textId="77777777">
            <w:pPr>
              <w:jc w:val="center"/>
              <w:rPr>
                <w:color w:val="000000"/>
              </w:rPr>
            </w:pPr>
            <w:r>
              <w:rPr>
                <w:color w:val="000000"/>
              </w:rPr>
              <w:t>SPACEWAY 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C37457C" w14:textId="77777777">
            <w:pPr>
              <w:jc w:val="center"/>
              <w:rPr>
                <w:color w:val="000000"/>
              </w:rPr>
            </w:pPr>
            <w:r>
              <w:rPr>
                <w:color w:val="000000"/>
              </w:rPr>
              <w:t>GSO</w:t>
            </w:r>
          </w:p>
        </w:tc>
      </w:tr>
      <w:tr w14:paraId="5F829A2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ED409B2" w14:textId="77777777">
            <w:pPr>
              <w:rPr>
                <w:color w:val="000000"/>
              </w:rPr>
            </w:pPr>
            <w:r>
              <w:rPr>
                <w:color w:val="000000"/>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7849B19" w14:textId="77777777">
            <w:pPr>
              <w:jc w:val="center"/>
              <w:rPr>
                <w:color w:val="000000"/>
              </w:rPr>
            </w:pPr>
            <w:r>
              <w:rPr>
                <w:color w:val="000000"/>
              </w:rPr>
              <w:t>S3039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53EF915" w14:textId="77777777">
            <w:pPr>
              <w:jc w:val="center"/>
              <w:rPr>
                <w:color w:val="000000"/>
              </w:rPr>
            </w:pPr>
            <w:r>
              <w:rPr>
                <w:color w:val="000000"/>
              </w:rPr>
              <w:t>DIRECTV T16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BE65CCA" w14:textId="77777777">
            <w:pPr>
              <w:jc w:val="center"/>
              <w:rPr>
                <w:color w:val="000000"/>
              </w:rPr>
            </w:pPr>
            <w:r>
              <w:rPr>
                <w:color w:val="000000"/>
              </w:rPr>
              <w:t>GSO</w:t>
            </w:r>
          </w:p>
        </w:tc>
      </w:tr>
      <w:tr w14:paraId="08B0B729"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05FE1A5" w14:textId="77777777">
            <w:pPr>
              <w:rPr>
                <w:color w:val="000000"/>
              </w:rPr>
            </w:pPr>
            <w:r>
              <w:rPr>
                <w:color w:val="000000"/>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96041DE" w14:textId="77777777">
            <w:pPr>
              <w:jc w:val="center"/>
              <w:rPr>
                <w:color w:val="000000"/>
              </w:rPr>
            </w:pPr>
            <w:r>
              <w:rPr>
                <w:color w:val="000000"/>
              </w:rPr>
              <w:t>S2931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CCBD411" w14:textId="77777777">
            <w:pPr>
              <w:jc w:val="center"/>
              <w:rPr>
                <w:color w:val="000000"/>
              </w:rPr>
            </w:pPr>
            <w:r>
              <w:rPr>
                <w:color w:val="000000"/>
              </w:rPr>
              <w:t>ECHOSTAR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29351AA" w14:textId="77777777">
            <w:pPr>
              <w:jc w:val="center"/>
              <w:rPr>
                <w:color w:val="000000"/>
              </w:rPr>
            </w:pPr>
            <w:r>
              <w:rPr>
                <w:color w:val="000000"/>
              </w:rPr>
              <w:t>GSO</w:t>
            </w:r>
          </w:p>
        </w:tc>
      </w:tr>
      <w:tr w14:paraId="435E1A54"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E6F4F8C" w14:textId="77777777">
            <w:pPr>
              <w:rPr>
                <w:color w:val="000000"/>
              </w:rPr>
            </w:pPr>
            <w:r>
              <w:rPr>
                <w:color w:val="000000"/>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F4B9BC8" w14:textId="77777777">
            <w:pPr>
              <w:jc w:val="center"/>
              <w:rPr>
                <w:color w:val="000000"/>
              </w:rPr>
            </w:pPr>
            <w:r>
              <w:rPr>
                <w:color w:val="000000"/>
              </w:rPr>
              <w:t>S2738</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2A40D1D" w14:textId="77777777">
            <w:pPr>
              <w:jc w:val="center"/>
              <w:rPr>
                <w:color w:val="000000"/>
              </w:rPr>
            </w:pPr>
            <w:r>
              <w:rPr>
                <w:color w:val="000000"/>
              </w:rPr>
              <w:t>ECHOSTAR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A97F9FC" w14:textId="77777777">
            <w:pPr>
              <w:jc w:val="center"/>
              <w:rPr>
                <w:color w:val="000000"/>
              </w:rPr>
            </w:pPr>
            <w:r>
              <w:rPr>
                <w:color w:val="000000"/>
              </w:rPr>
              <w:t>GSO</w:t>
            </w:r>
          </w:p>
        </w:tc>
      </w:tr>
      <w:tr w14:paraId="6D9B227B"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C24E3EE" w14:textId="77777777">
            <w:pPr>
              <w:rPr>
                <w:color w:val="000000"/>
              </w:rPr>
            </w:pPr>
            <w:r>
              <w:rPr>
                <w:color w:val="000000"/>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E48EC03" w14:textId="77777777">
            <w:pPr>
              <w:jc w:val="center"/>
              <w:rPr>
                <w:color w:val="000000"/>
              </w:rPr>
            </w:pPr>
            <w:r>
              <w:rPr>
                <w:color w:val="000000"/>
              </w:rPr>
              <w:t>S2694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E932507" w14:textId="77777777">
            <w:pPr>
              <w:jc w:val="center"/>
              <w:rPr>
                <w:color w:val="000000"/>
              </w:rPr>
            </w:pPr>
            <w:r>
              <w:rPr>
                <w:color w:val="000000"/>
              </w:rPr>
              <w:t>ECHOSTAR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E0053C8" w14:textId="77777777">
            <w:pPr>
              <w:jc w:val="center"/>
              <w:rPr>
                <w:color w:val="000000"/>
              </w:rPr>
            </w:pPr>
            <w:r>
              <w:rPr>
                <w:color w:val="000000"/>
              </w:rPr>
              <w:t>GSO</w:t>
            </w:r>
          </w:p>
        </w:tc>
      </w:tr>
      <w:tr w14:paraId="29B5923C"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386A837" w14:textId="77777777">
            <w:pPr>
              <w:rPr>
                <w:color w:val="000000"/>
              </w:rPr>
            </w:pPr>
            <w:r>
              <w:rPr>
                <w:color w:val="000000"/>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FF0369A" w14:textId="77777777">
            <w:pPr>
              <w:jc w:val="center"/>
              <w:rPr>
                <w:color w:val="000000"/>
              </w:rPr>
            </w:pPr>
            <w:r>
              <w:rPr>
                <w:color w:val="000000"/>
              </w:rPr>
              <w:t>S2740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D6B65B9" w14:textId="77777777">
            <w:pPr>
              <w:jc w:val="center"/>
              <w:rPr>
                <w:color w:val="000000"/>
              </w:rPr>
            </w:pPr>
            <w:r>
              <w:rPr>
                <w:color w:val="000000"/>
              </w:rPr>
              <w:t>ECHOSTAR 7</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C2A3163" w14:textId="77777777">
            <w:pPr>
              <w:jc w:val="center"/>
              <w:rPr>
                <w:color w:val="000000"/>
              </w:rPr>
            </w:pPr>
            <w:r>
              <w:rPr>
                <w:color w:val="000000"/>
              </w:rPr>
              <w:t>GSO</w:t>
            </w:r>
          </w:p>
        </w:tc>
      </w:tr>
      <w:tr w14:paraId="4CEB5E5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5B7D799" w14:textId="77777777">
            <w:pPr>
              <w:rPr>
                <w:color w:val="000000"/>
              </w:rPr>
            </w:pPr>
            <w:r>
              <w:rPr>
                <w:color w:val="000000"/>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8D6CD37" w14:textId="77777777">
            <w:pPr>
              <w:jc w:val="center"/>
              <w:rPr>
                <w:color w:val="000000"/>
              </w:rPr>
            </w:pPr>
            <w:r>
              <w:rPr>
                <w:color w:val="000000"/>
              </w:rPr>
              <w:t>S2790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38B9F82" w14:textId="77777777">
            <w:pPr>
              <w:jc w:val="center"/>
              <w:rPr>
                <w:color w:val="000000"/>
              </w:rPr>
            </w:pPr>
            <w:r>
              <w:rPr>
                <w:color w:val="000000"/>
              </w:rPr>
              <w:t>ECHOSTAR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E73009C" w14:textId="77777777">
            <w:pPr>
              <w:jc w:val="center"/>
              <w:rPr>
                <w:color w:val="000000"/>
              </w:rPr>
            </w:pPr>
            <w:r>
              <w:rPr>
                <w:color w:val="000000"/>
              </w:rPr>
              <w:t>GSO</w:t>
            </w:r>
          </w:p>
        </w:tc>
      </w:tr>
      <w:tr w14:paraId="0FB52FF0"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C8E8784" w14:textId="77777777">
            <w:pPr>
              <w:rPr>
                <w:color w:val="000000"/>
              </w:rPr>
            </w:pPr>
            <w:r>
              <w:rPr>
                <w:color w:val="000000"/>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2F1CC57" w14:textId="77777777">
            <w:pPr>
              <w:jc w:val="center"/>
              <w:rPr>
                <w:color w:val="000000"/>
              </w:rPr>
            </w:pPr>
            <w:r>
              <w:rPr>
                <w:color w:val="000000"/>
              </w:rPr>
              <w:t>S2811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138E2FA" w14:textId="77777777">
            <w:pPr>
              <w:jc w:val="center"/>
              <w:rPr>
                <w:color w:val="000000"/>
              </w:rPr>
            </w:pPr>
            <w:r>
              <w:rPr>
                <w:color w:val="000000"/>
              </w:rPr>
              <w:t>ECHOSTAR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E683B3B" w14:textId="77777777">
            <w:pPr>
              <w:jc w:val="center"/>
              <w:rPr>
                <w:color w:val="000000"/>
              </w:rPr>
            </w:pPr>
            <w:r>
              <w:rPr>
                <w:color w:val="000000"/>
              </w:rPr>
              <w:t>GSO</w:t>
            </w:r>
          </w:p>
        </w:tc>
      </w:tr>
      <w:tr w14:paraId="3CCEDD4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4FCB413" w14:textId="77777777">
            <w:pPr>
              <w:rPr>
                <w:color w:val="000000"/>
              </w:rPr>
            </w:pPr>
            <w:r>
              <w:rPr>
                <w:color w:val="000000"/>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D9504FB" w14:textId="77777777">
            <w:pPr>
              <w:jc w:val="center"/>
              <w:rPr>
                <w:color w:val="000000"/>
              </w:rPr>
            </w:pPr>
            <w:r>
              <w:rPr>
                <w:color w:val="000000"/>
              </w:rPr>
              <w:t>S2844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8ED0759" w14:textId="77777777">
            <w:pPr>
              <w:jc w:val="center"/>
              <w:rPr>
                <w:color w:val="000000"/>
              </w:rPr>
            </w:pPr>
            <w:r>
              <w:rPr>
                <w:color w:val="000000"/>
              </w:rPr>
              <w:t>ECHOSTAR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83FA5F7" w14:textId="77777777">
            <w:pPr>
              <w:jc w:val="center"/>
              <w:rPr>
                <w:color w:val="000000"/>
              </w:rPr>
            </w:pPr>
            <w:r>
              <w:rPr>
                <w:color w:val="000000"/>
              </w:rPr>
              <w:t>GSO</w:t>
            </w:r>
          </w:p>
        </w:tc>
      </w:tr>
      <w:tr w14:paraId="76AC7B3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70AEF70" w14:textId="77777777">
            <w:pPr>
              <w:rPr>
                <w:color w:val="000000"/>
              </w:rPr>
            </w:pPr>
            <w:r>
              <w:rPr>
                <w:color w:val="000000"/>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99079F3" w14:textId="77777777">
            <w:pPr>
              <w:jc w:val="center"/>
              <w:rPr>
                <w:color w:val="000000"/>
              </w:rPr>
            </w:pPr>
            <w:r>
              <w:rPr>
                <w:color w:val="000000"/>
              </w:rPr>
              <w:t>S2653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6A32616" w14:textId="77777777">
            <w:pPr>
              <w:jc w:val="center"/>
              <w:rPr>
                <w:color w:val="000000"/>
              </w:rPr>
            </w:pPr>
            <w:r>
              <w:rPr>
                <w:color w:val="000000"/>
              </w:rPr>
              <w:t>ECHOSTAR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BF8E66B" w14:textId="77777777">
            <w:pPr>
              <w:jc w:val="center"/>
              <w:rPr>
                <w:color w:val="000000"/>
              </w:rPr>
            </w:pPr>
            <w:r>
              <w:rPr>
                <w:color w:val="000000"/>
              </w:rPr>
              <w:t>GSO</w:t>
            </w:r>
          </w:p>
        </w:tc>
      </w:tr>
      <w:tr w14:paraId="4DFF2CC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1FF35AF" w14:textId="77777777">
            <w:pPr>
              <w:rPr>
                <w:color w:val="000000"/>
              </w:rPr>
            </w:pPr>
            <w:r>
              <w:rPr>
                <w:color w:val="000000"/>
              </w:rPr>
              <w:t>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6BB529D" w14:textId="77777777">
            <w:pPr>
              <w:jc w:val="center"/>
              <w:rPr>
                <w:color w:val="000000"/>
              </w:rPr>
            </w:pPr>
            <w:r>
              <w:rPr>
                <w:color w:val="000000"/>
              </w:rPr>
              <w:t>S2179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B5D3B49" w14:textId="77777777">
            <w:pPr>
              <w:jc w:val="center"/>
              <w:rPr>
                <w:color w:val="000000"/>
              </w:rPr>
            </w:pPr>
            <w:r>
              <w:rPr>
                <w:color w:val="000000"/>
              </w:rPr>
              <w:t>ECHOSTAR 9</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2B828B9" w14:textId="77777777">
            <w:pPr>
              <w:jc w:val="center"/>
              <w:rPr>
                <w:color w:val="000000"/>
              </w:rPr>
            </w:pPr>
            <w:r>
              <w:rPr>
                <w:color w:val="000000"/>
              </w:rPr>
              <w:t>GSO</w:t>
            </w:r>
          </w:p>
        </w:tc>
      </w:tr>
      <w:tr w14:paraId="5F3B9FCF"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166AE61" w14:textId="77777777">
            <w:pPr>
              <w:rPr>
                <w:color w:val="000000"/>
              </w:rPr>
            </w:pPr>
            <w:r>
              <w:rPr>
                <w:color w:val="000000"/>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B3CAD61" w14:textId="77777777">
            <w:pPr>
              <w:jc w:val="center"/>
              <w:rPr>
                <w:color w:val="000000"/>
              </w:rPr>
            </w:pPr>
            <w:r>
              <w:rPr>
                <w:color w:val="000000"/>
              </w:rPr>
              <w:t>S2610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1D462E5" w14:textId="77777777">
            <w:pPr>
              <w:jc w:val="center"/>
              <w:rPr>
                <w:color w:val="000000"/>
              </w:rPr>
            </w:pPr>
            <w:r>
              <w:rPr>
                <w:color w:val="000000"/>
              </w:rPr>
              <w:t>EUTELSAT 174A</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BE29A06" w14:textId="77777777">
            <w:pPr>
              <w:jc w:val="center"/>
              <w:rPr>
                <w:color w:val="000000"/>
              </w:rPr>
            </w:pPr>
            <w:r>
              <w:rPr>
                <w:color w:val="000000"/>
              </w:rPr>
              <w:t>GSO</w:t>
            </w:r>
          </w:p>
        </w:tc>
      </w:tr>
      <w:tr w14:paraId="69B2CD3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D6EBAEB" w14:textId="77777777">
            <w:pPr>
              <w:rPr>
                <w:color w:val="000000"/>
              </w:rPr>
            </w:pPr>
            <w:r>
              <w:rPr>
                <w:color w:val="000000"/>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C05805E" w14:textId="77777777">
            <w:pPr>
              <w:jc w:val="center"/>
              <w:rPr>
                <w:color w:val="000000"/>
              </w:rPr>
            </w:pPr>
            <w:r>
              <w:rPr>
                <w:color w:val="000000"/>
              </w:rPr>
              <w:t>S3021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A1A7C6D" w14:textId="77777777">
            <w:pPr>
              <w:jc w:val="center"/>
              <w:rPr>
                <w:color w:val="000000"/>
              </w:rPr>
            </w:pPr>
            <w:r>
              <w:rPr>
                <w:color w:val="000000"/>
              </w:rPr>
              <w:t>EUTELSAT 172B</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5243930" w14:textId="77777777">
            <w:pPr>
              <w:jc w:val="center"/>
              <w:rPr>
                <w:color w:val="000000"/>
              </w:rPr>
            </w:pPr>
            <w:r>
              <w:rPr>
                <w:color w:val="000000"/>
              </w:rPr>
              <w:t>GSO</w:t>
            </w:r>
          </w:p>
        </w:tc>
      </w:tr>
      <w:tr w14:paraId="2169518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B787F18" w14:textId="77777777">
            <w:pPr>
              <w:rPr>
                <w:color w:val="000000"/>
              </w:rPr>
            </w:pPr>
            <w:r>
              <w:rPr>
                <w:color w:val="000000"/>
              </w:rPr>
              <w:t>Globalstar</w:t>
            </w:r>
            <w:r>
              <w:rPr>
                <w:color w:val="000000"/>
              </w:rPr>
              <w:t xml:space="preserve"> License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8B07EB5" w14:textId="77777777">
            <w:pPr>
              <w:jc w:val="center"/>
              <w:rPr>
                <w:color w:val="000000"/>
              </w:rPr>
            </w:pPr>
            <w:r>
              <w:rPr>
                <w:color w:val="000000"/>
              </w:rPr>
              <w:t>S2115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5F9A811" w14:textId="77777777">
            <w:pPr>
              <w:jc w:val="center"/>
              <w:rPr>
                <w:color w:val="000000"/>
              </w:rPr>
            </w:pPr>
            <w:r>
              <w:rPr>
                <w:color w:val="000000"/>
              </w:rPr>
              <w:t>GLOBALSTAR</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5B16480" w14:textId="77777777">
            <w:pPr>
              <w:jc w:val="center"/>
              <w:rPr>
                <w:color w:val="000000"/>
              </w:rPr>
            </w:pPr>
            <w:r>
              <w:rPr>
                <w:color w:val="000000"/>
              </w:rPr>
              <w:t>NGSO</w:t>
            </w:r>
          </w:p>
        </w:tc>
      </w:tr>
      <w:tr w14:paraId="4C52B305"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06A59E6" w14:textId="77777777">
            <w:pPr>
              <w:rPr>
                <w:color w:val="000000"/>
              </w:rPr>
            </w:pPr>
            <w:r>
              <w:rPr>
                <w:color w:val="000000"/>
              </w:rPr>
              <w:t>HawkEye</w:t>
            </w:r>
            <w:r>
              <w:rPr>
                <w:color w:val="000000"/>
              </w:rPr>
              <w:t xml:space="preserve"> 360,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B07B7ED" w14:textId="77777777">
            <w:pPr>
              <w:jc w:val="center"/>
              <w:rPr>
                <w:color w:val="000000"/>
              </w:rPr>
            </w:pPr>
            <w:r>
              <w:rPr>
                <w:color w:val="000000"/>
              </w:rPr>
              <w:t>S3042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227E41A" w14:textId="77777777">
            <w:pPr>
              <w:jc w:val="center"/>
              <w:rPr>
                <w:color w:val="000000"/>
              </w:rPr>
            </w:pPr>
            <w:r>
              <w:rPr>
                <w:color w:val="000000"/>
              </w:rPr>
              <w:t>HAWKEYE</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F668D96" w14:textId="77777777">
            <w:pPr>
              <w:jc w:val="center"/>
              <w:rPr>
                <w:color w:val="000000"/>
              </w:rPr>
            </w:pPr>
            <w:r>
              <w:rPr>
                <w:color w:val="000000"/>
              </w:rPr>
              <w:t>NGSO</w:t>
            </w:r>
          </w:p>
        </w:tc>
      </w:tr>
      <w:tr w14:paraId="188B3D3F"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BAAA6A7" w14:textId="77777777">
            <w:pPr>
              <w:rPr>
                <w:color w:val="000000"/>
              </w:rPr>
            </w:pPr>
            <w:r>
              <w:rPr>
                <w:color w:val="000000"/>
              </w:rPr>
              <w:t>Horizon-3 Satellite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CC8145B" w14:textId="77777777">
            <w:pPr>
              <w:jc w:val="center"/>
              <w:rPr>
                <w:color w:val="000000"/>
              </w:rPr>
            </w:pPr>
            <w:r>
              <w:rPr>
                <w:color w:val="000000"/>
              </w:rPr>
              <w:t>S2947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2C1D009" w14:textId="77777777">
            <w:pPr>
              <w:jc w:val="center"/>
              <w:rPr>
                <w:color w:val="000000"/>
              </w:rPr>
            </w:pPr>
            <w:r>
              <w:rPr>
                <w:color w:val="000000"/>
              </w:rPr>
              <w:t>HORIZONS-3e</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056AF2F" w14:textId="77777777">
            <w:pPr>
              <w:jc w:val="center"/>
              <w:rPr>
                <w:color w:val="000000"/>
              </w:rPr>
            </w:pPr>
            <w:r>
              <w:rPr>
                <w:color w:val="000000"/>
              </w:rPr>
              <w:t>GSO</w:t>
            </w:r>
          </w:p>
        </w:tc>
      </w:tr>
      <w:tr w14:paraId="70C9DA3F"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0B962F2" w14:textId="77777777">
            <w:pPr>
              <w:rPr>
                <w:color w:val="000000"/>
              </w:rPr>
            </w:pPr>
            <w:r>
              <w:rPr>
                <w:color w:val="000000"/>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315A394" w14:textId="77777777">
            <w:pPr>
              <w:jc w:val="center"/>
              <w:rPr>
                <w:color w:val="000000"/>
              </w:rPr>
            </w:pPr>
            <w:r>
              <w:rPr>
                <w:color w:val="000000"/>
              </w:rPr>
              <w:t>S2663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03143A1" w14:textId="77777777">
            <w:pPr>
              <w:jc w:val="center"/>
              <w:rPr>
                <w:color w:val="000000"/>
              </w:rPr>
            </w:pPr>
            <w:r>
              <w:rPr>
                <w:color w:val="000000"/>
              </w:rPr>
              <w:t>SPACEWAY 3</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CFC2950" w14:textId="77777777">
            <w:pPr>
              <w:jc w:val="center"/>
              <w:rPr>
                <w:color w:val="000000"/>
              </w:rPr>
            </w:pPr>
            <w:r>
              <w:rPr>
                <w:color w:val="000000"/>
              </w:rPr>
              <w:t>GSO</w:t>
            </w:r>
          </w:p>
        </w:tc>
      </w:tr>
      <w:tr w14:paraId="51D9FDC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AC6989A" w14:textId="77777777">
            <w:pPr>
              <w:rPr>
                <w:color w:val="000000"/>
              </w:rPr>
            </w:pPr>
            <w:r>
              <w:rPr>
                <w:color w:val="000000"/>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FD90D34" w14:textId="77777777">
            <w:pPr>
              <w:jc w:val="center"/>
              <w:rPr>
                <w:color w:val="000000"/>
              </w:rPr>
            </w:pPr>
            <w:r>
              <w:rPr>
                <w:color w:val="000000"/>
              </w:rPr>
              <w:t>S2834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4DC8C1C" w14:textId="77777777">
            <w:pPr>
              <w:jc w:val="center"/>
              <w:rPr>
                <w:color w:val="000000"/>
              </w:rPr>
            </w:pPr>
            <w:r>
              <w:rPr>
                <w:color w:val="000000"/>
              </w:rPr>
              <w:t>ECHOSTAR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BF7F0B4" w14:textId="77777777">
            <w:pPr>
              <w:jc w:val="center"/>
              <w:rPr>
                <w:color w:val="000000"/>
              </w:rPr>
            </w:pPr>
            <w:r>
              <w:rPr>
                <w:color w:val="000000"/>
              </w:rPr>
              <w:t>GSO</w:t>
            </w:r>
          </w:p>
        </w:tc>
      </w:tr>
      <w:tr w14:paraId="46813275"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2E8E98C" w14:textId="77777777">
            <w:pPr>
              <w:rPr>
                <w:color w:val="000000"/>
              </w:rPr>
            </w:pPr>
            <w:r>
              <w:rPr>
                <w:color w:val="000000"/>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C54732E" w14:textId="77777777">
            <w:pPr>
              <w:jc w:val="center"/>
              <w:rPr>
                <w:color w:val="000000"/>
              </w:rPr>
            </w:pPr>
            <w:r>
              <w:rPr>
                <w:color w:val="000000"/>
              </w:rPr>
              <w:t>S2753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ED384F3" w14:textId="77777777">
            <w:pPr>
              <w:jc w:val="center"/>
              <w:rPr>
                <w:color w:val="000000"/>
              </w:rPr>
            </w:pPr>
            <w:r>
              <w:rPr>
                <w:color w:val="000000"/>
              </w:rPr>
              <w:t>ECHOSTAR XVII</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3A044EE" w14:textId="77777777">
            <w:pPr>
              <w:jc w:val="center"/>
              <w:rPr>
                <w:color w:val="000000"/>
              </w:rPr>
            </w:pPr>
            <w:r>
              <w:rPr>
                <w:color w:val="000000"/>
              </w:rPr>
              <w:t>GSO</w:t>
            </w:r>
          </w:p>
        </w:tc>
      </w:tr>
      <w:tr w14:paraId="4A834917"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5797DBB" w14:textId="77777777">
            <w:pPr>
              <w:rPr>
                <w:color w:val="000000"/>
              </w:rPr>
            </w:pPr>
            <w:r>
              <w:rPr>
                <w:color w:val="000000"/>
              </w:rPr>
              <w:t>Intelsat License LLC/ViaSat,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0D956DD" w14:textId="77777777">
            <w:pPr>
              <w:jc w:val="center"/>
              <w:rPr>
                <w:color w:val="000000"/>
              </w:rPr>
            </w:pPr>
            <w:r>
              <w:rPr>
                <w:color w:val="000000"/>
              </w:rPr>
              <w:t>S2160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CE60D4A" w14:textId="77777777">
            <w:pPr>
              <w:jc w:val="center"/>
              <w:rPr>
                <w:color w:val="000000"/>
              </w:rPr>
            </w:pPr>
            <w:r>
              <w:rPr>
                <w:color w:val="000000"/>
              </w:rPr>
              <w:t>GALAXY 28</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098A1C9" w14:textId="77777777">
            <w:pPr>
              <w:jc w:val="center"/>
              <w:rPr>
                <w:color w:val="000000"/>
              </w:rPr>
            </w:pPr>
            <w:r>
              <w:rPr>
                <w:color w:val="000000"/>
              </w:rPr>
              <w:t>GSO</w:t>
            </w:r>
          </w:p>
        </w:tc>
      </w:tr>
      <w:tr w14:paraId="221EA12F"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2997C7DE"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EDB5CFA" w14:textId="77777777">
            <w:pPr>
              <w:jc w:val="center"/>
              <w:rPr>
                <w:color w:val="000000"/>
              </w:rPr>
            </w:pPr>
            <w:r>
              <w:rPr>
                <w:color w:val="000000"/>
              </w:rPr>
              <w:t>S2414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08AA7AF" w14:textId="77777777">
            <w:pPr>
              <w:jc w:val="center"/>
              <w:rPr>
                <w:color w:val="000000"/>
              </w:rPr>
            </w:pPr>
            <w:r>
              <w:rPr>
                <w:color w:val="000000"/>
              </w:rPr>
              <w:t>INTELSAT 10-02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24F9547" w14:textId="77777777">
            <w:pPr>
              <w:jc w:val="center"/>
              <w:rPr>
                <w:color w:val="000000"/>
              </w:rPr>
            </w:pPr>
            <w:r>
              <w:rPr>
                <w:color w:val="000000"/>
              </w:rPr>
              <w:t>GSO</w:t>
            </w:r>
          </w:p>
        </w:tc>
      </w:tr>
      <w:tr w14:paraId="78056341"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C1A4598"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6EC9090" w14:textId="77777777">
            <w:pPr>
              <w:jc w:val="center"/>
              <w:rPr>
                <w:color w:val="000000"/>
              </w:rPr>
            </w:pPr>
            <w:r>
              <w:rPr>
                <w:color w:val="000000"/>
              </w:rPr>
              <w:t>S2972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C72D4EF" w14:textId="77777777">
            <w:pPr>
              <w:jc w:val="center"/>
              <w:rPr>
                <w:color w:val="000000"/>
              </w:rPr>
            </w:pPr>
            <w:r>
              <w:rPr>
                <w:color w:val="000000"/>
              </w:rPr>
              <w:t>INTELSAT 37e</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C5F8885" w14:textId="77777777">
            <w:pPr>
              <w:jc w:val="center"/>
              <w:rPr>
                <w:color w:val="000000"/>
              </w:rPr>
            </w:pPr>
            <w:r>
              <w:rPr>
                <w:color w:val="000000"/>
              </w:rPr>
              <w:t>GSO</w:t>
            </w:r>
          </w:p>
        </w:tc>
      </w:tr>
      <w:tr w14:paraId="1A84C81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1BDA815"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3E5DDA8" w14:textId="77777777">
            <w:pPr>
              <w:jc w:val="center"/>
              <w:rPr>
                <w:color w:val="000000"/>
              </w:rPr>
            </w:pPr>
            <w:r>
              <w:rPr>
                <w:color w:val="000000"/>
              </w:rPr>
              <w:t>S2854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4756070" w14:textId="77777777">
            <w:pPr>
              <w:jc w:val="center"/>
              <w:rPr>
                <w:color w:val="000000"/>
              </w:rPr>
            </w:pPr>
            <w:r>
              <w:rPr>
                <w:color w:val="000000"/>
              </w:rPr>
              <w:t>NSS-7</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6014A1C" w14:textId="77777777">
            <w:pPr>
              <w:jc w:val="center"/>
              <w:rPr>
                <w:color w:val="000000"/>
              </w:rPr>
            </w:pPr>
            <w:r>
              <w:rPr>
                <w:color w:val="000000"/>
              </w:rPr>
              <w:t>GSO</w:t>
            </w:r>
          </w:p>
        </w:tc>
      </w:tr>
      <w:tr w14:paraId="66698CE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2FD3C33"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7FB578D" w14:textId="77777777">
            <w:pPr>
              <w:jc w:val="center"/>
              <w:rPr>
                <w:color w:val="000000"/>
              </w:rPr>
            </w:pPr>
            <w:r>
              <w:rPr>
                <w:color w:val="000000"/>
              </w:rPr>
              <w:t>S2409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05AB323" w14:textId="77777777">
            <w:pPr>
              <w:jc w:val="center"/>
              <w:rPr>
                <w:color w:val="000000"/>
              </w:rPr>
            </w:pPr>
            <w:r>
              <w:rPr>
                <w:color w:val="000000"/>
              </w:rPr>
              <w:t>INELSAT 905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2970362" w14:textId="77777777">
            <w:pPr>
              <w:jc w:val="center"/>
              <w:rPr>
                <w:color w:val="000000"/>
              </w:rPr>
            </w:pPr>
            <w:r>
              <w:rPr>
                <w:color w:val="000000"/>
              </w:rPr>
              <w:t>GSO</w:t>
            </w:r>
          </w:p>
        </w:tc>
      </w:tr>
      <w:tr w14:paraId="2525C9E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A4EB0DC"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7E3E44E" w14:textId="77777777">
            <w:pPr>
              <w:jc w:val="center"/>
              <w:rPr>
                <w:color w:val="000000"/>
              </w:rPr>
            </w:pPr>
            <w:r>
              <w:rPr>
                <w:color w:val="000000"/>
              </w:rPr>
              <w:t>S2411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CBA4BE5" w14:textId="77777777">
            <w:pPr>
              <w:jc w:val="center"/>
              <w:rPr>
                <w:color w:val="000000"/>
              </w:rPr>
            </w:pPr>
            <w:r>
              <w:rPr>
                <w:color w:val="000000"/>
              </w:rPr>
              <w:t>INTELSAT 907</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1FE5593" w14:textId="77777777">
            <w:pPr>
              <w:jc w:val="center"/>
              <w:rPr>
                <w:color w:val="000000"/>
              </w:rPr>
            </w:pPr>
            <w:r>
              <w:rPr>
                <w:color w:val="000000"/>
              </w:rPr>
              <w:t>GSO</w:t>
            </w:r>
          </w:p>
        </w:tc>
      </w:tr>
      <w:tr w14:paraId="18DEB89B"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5BEC901"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3320666" w14:textId="77777777">
            <w:pPr>
              <w:jc w:val="center"/>
              <w:rPr>
                <w:color w:val="000000"/>
              </w:rPr>
            </w:pPr>
            <w:r>
              <w:rPr>
                <w:color w:val="000000"/>
              </w:rPr>
              <w:t>S2405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12C6B7E" w14:textId="77777777">
            <w:pPr>
              <w:jc w:val="center"/>
              <w:rPr>
                <w:color w:val="000000"/>
              </w:rPr>
            </w:pPr>
            <w:r>
              <w:rPr>
                <w:color w:val="000000"/>
              </w:rPr>
              <w:t>INTELSAT 901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024A51B" w14:textId="77777777">
            <w:pPr>
              <w:jc w:val="center"/>
              <w:rPr>
                <w:color w:val="000000"/>
              </w:rPr>
            </w:pPr>
            <w:r>
              <w:rPr>
                <w:color w:val="000000"/>
              </w:rPr>
              <w:t>GSO</w:t>
            </w:r>
          </w:p>
        </w:tc>
      </w:tr>
      <w:tr w14:paraId="1FEA74A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35CC3D7"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8D1D36D" w14:textId="77777777">
            <w:pPr>
              <w:jc w:val="center"/>
              <w:rPr>
                <w:color w:val="000000"/>
              </w:rPr>
            </w:pPr>
            <w:r>
              <w:rPr>
                <w:color w:val="000000"/>
              </w:rPr>
              <w:t>S2408</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4A8AAC0" w14:textId="77777777">
            <w:pPr>
              <w:jc w:val="center"/>
              <w:rPr>
                <w:color w:val="000000"/>
              </w:rPr>
            </w:pPr>
            <w:r>
              <w:rPr>
                <w:color w:val="000000"/>
              </w:rPr>
              <w:t>INTELSAT 904</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5AB83C3" w14:textId="77777777">
            <w:pPr>
              <w:jc w:val="center"/>
              <w:rPr>
                <w:color w:val="000000"/>
              </w:rPr>
            </w:pPr>
            <w:r>
              <w:rPr>
                <w:color w:val="000000"/>
              </w:rPr>
              <w:t>GSO</w:t>
            </w:r>
          </w:p>
        </w:tc>
      </w:tr>
      <w:tr w14:paraId="0763057C"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0892573"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86E61E7" w14:textId="77777777">
            <w:pPr>
              <w:jc w:val="center"/>
              <w:rPr>
                <w:color w:val="000000"/>
              </w:rPr>
            </w:pPr>
            <w:r>
              <w:rPr>
                <w:color w:val="000000"/>
              </w:rPr>
              <w:t>S2804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DAEAC71" w14:textId="77777777">
            <w:pPr>
              <w:jc w:val="center"/>
              <w:rPr>
                <w:color w:val="000000"/>
              </w:rPr>
            </w:pPr>
            <w:r>
              <w:rPr>
                <w:color w:val="000000"/>
              </w:rPr>
              <w:t>INTELSAT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11A4202" w14:textId="77777777">
            <w:pPr>
              <w:jc w:val="center"/>
              <w:rPr>
                <w:color w:val="000000"/>
              </w:rPr>
            </w:pPr>
            <w:r>
              <w:rPr>
                <w:color w:val="000000"/>
              </w:rPr>
              <w:t>GSO</w:t>
            </w:r>
          </w:p>
        </w:tc>
      </w:tr>
      <w:tr w14:paraId="6E55518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CD60B18"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A74A43F" w14:textId="77777777">
            <w:pPr>
              <w:jc w:val="center"/>
              <w:rPr>
                <w:color w:val="000000"/>
              </w:rPr>
            </w:pPr>
            <w:r>
              <w:rPr>
                <w:color w:val="000000"/>
              </w:rPr>
              <w:t>S2407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7CDE52C" w14:textId="77777777">
            <w:pPr>
              <w:jc w:val="center"/>
              <w:rPr>
                <w:color w:val="000000"/>
              </w:rPr>
            </w:pPr>
            <w:r>
              <w:rPr>
                <w:color w:val="000000"/>
              </w:rPr>
              <w:t>INTELSAT 903</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0DD8C1F" w14:textId="77777777">
            <w:pPr>
              <w:jc w:val="center"/>
              <w:rPr>
                <w:color w:val="000000"/>
              </w:rPr>
            </w:pPr>
            <w:r>
              <w:rPr>
                <w:color w:val="000000"/>
              </w:rPr>
              <w:t>GSO</w:t>
            </w:r>
          </w:p>
        </w:tc>
      </w:tr>
      <w:tr w14:paraId="0A6B907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A24D6AB"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24C546F" w14:textId="77777777">
            <w:pPr>
              <w:jc w:val="center"/>
              <w:rPr>
                <w:color w:val="000000"/>
              </w:rPr>
            </w:pPr>
            <w:r>
              <w:rPr>
                <w:color w:val="000000"/>
              </w:rPr>
              <w:t>S2959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554FF8E5" w14:textId="77777777">
            <w:pPr>
              <w:jc w:val="center"/>
              <w:rPr>
                <w:color w:val="000000"/>
              </w:rPr>
            </w:pPr>
            <w:r>
              <w:rPr>
                <w:color w:val="000000"/>
              </w:rPr>
              <w:t>INTELSAT 35e</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80C4979" w14:textId="77777777">
            <w:pPr>
              <w:jc w:val="center"/>
              <w:rPr>
                <w:color w:val="000000"/>
              </w:rPr>
            </w:pPr>
            <w:r>
              <w:rPr>
                <w:color w:val="000000"/>
              </w:rPr>
              <w:t>GSO</w:t>
            </w:r>
          </w:p>
        </w:tc>
      </w:tr>
      <w:tr w14:paraId="679F8141"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B91A8C0"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E03BC31" w14:textId="77777777">
            <w:pPr>
              <w:jc w:val="center"/>
              <w:rPr>
                <w:color w:val="000000"/>
              </w:rPr>
            </w:pPr>
            <w:r>
              <w:rPr>
                <w:color w:val="000000"/>
              </w:rPr>
              <w:t>S2237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05799F6" w14:textId="77777777">
            <w:pPr>
              <w:jc w:val="center"/>
              <w:rPr>
                <w:color w:val="000000"/>
              </w:rPr>
            </w:pPr>
            <w:r>
              <w:rPr>
                <w:color w:val="000000"/>
              </w:rPr>
              <w:t>INTELSAT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BBA5D70" w14:textId="77777777">
            <w:pPr>
              <w:jc w:val="center"/>
              <w:rPr>
                <w:color w:val="000000"/>
              </w:rPr>
            </w:pPr>
            <w:r>
              <w:rPr>
                <w:color w:val="000000"/>
              </w:rPr>
              <w:t>GSO</w:t>
            </w:r>
          </w:p>
        </w:tc>
      </w:tr>
      <w:tr w14:paraId="46244739"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D2E8648"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CE27909" w14:textId="77777777">
            <w:pPr>
              <w:jc w:val="center"/>
              <w:rPr>
                <w:color w:val="000000"/>
              </w:rPr>
            </w:pPr>
            <w:r>
              <w:rPr>
                <w:color w:val="000000"/>
              </w:rPr>
              <w:t>S2785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74A11EF" w14:textId="77777777">
            <w:pPr>
              <w:jc w:val="center"/>
              <w:rPr>
                <w:color w:val="000000"/>
              </w:rPr>
            </w:pPr>
            <w:r>
              <w:rPr>
                <w:color w:val="000000"/>
              </w:rPr>
              <w:t>INTELSAT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F9EB220" w14:textId="77777777">
            <w:pPr>
              <w:jc w:val="center"/>
              <w:rPr>
                <w:color w:val="000000"/>
              </w:rPr>
            </w:pPr>
            <w:r>
              <w:rPr>
                <w:color w:val="000000"/>
              </w:rPr>
              <w:t>GSO</w:t>
            </w:r>
          </w:p>
        </w:tc>
      </w:tr>
      <w:tr w14:paraId="038F743B"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8CD2820"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1894C55" w14:textId="77777777">
            <w:pPr>
              <w:jc w:val="center"/>
              <w:rPr>
                <w:color w:val="000000"/>
              </w:rPr>
            </w:pPr>
            <w:r>
              <w:rPr>
                <w:color w:val="000000"/>
              </w:rPr>
              <w:t>S2913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B424AB2" w14:textId="77777777">
            <w:pPr>
              <w:jc w:val="center"/>
              <w:rPr>
                <w:color w:val="000000"/>
              </w:rPr>
            </w:pPr>
            <w:r>
              <w:rPr>
                <w:color w:val="000000"/>
              </w:rPr>
              <w:t>INTELSAT 29E</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9386534" w14:textId="77777777">
            <w:pPr>
              <w:jc w:val="center"/>
              <w:rPr>
                <w:color w:val="000000"/>
              </w:rPr>
            </w:pPr>
            <w:r>
              <w:rPr>
                <w:color w:val="000000"/>
              </w:rPr>
              <w:t>GSO</w:t>
            </w:r>
          </w:p>
        </w:tc>
      </w:tr>
      <w:tr w14:paraId="53F3B4C9"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16AA41F"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32704F0" w14:textId="77777777">
            <w:pPr>
              <w:jc w:val="center"/>
              <w:rPr>
                <w:color w:val="000000"/>
              </w:rPr>
            </w:pPr>
            <w:r>
              <w:rPr>
                <w:color w:val="000000"/>
              </w:rPr>
              <w:t>S2380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AF5568F" w14:textId="77777777">
            <w:pPr>
              <w:jc w:val="center"/>
              <w:rPr>
                <w:color w:val="000000"/>
              </w:rPr>
            </w:pPr>
            <w:r>
              <w:rPr>
                <w:color w:val="000000"/>
              </w:rPr>
              <w:t>INTELSAT 9</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10690F3" w14:textId="77777777">
            <w:pPr>
              <w:jc w:val="center"/>
              <w:rPr>
                <w:color w:val="000000"/>
              </w:rPr>
            </w:pPr>
            <w:r>
              <w:rPr>
                <w:color w:val="000000"/>
              </w:rPr>
              <w:t>GSO</w:t>
            </w:r>
          </w:p>
        </w:tc>
      </w:tr>
      <w:tr w14:paraId="0F300FF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76B5C2F"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CBC56C1" w14:textId="77777777">
            <w:pPr>
              <w:jc w:val="center"/>
              <w:rPr>
                <w:color w:val="000000"/>
              </w:rPr>
            </w:pPr>
            <w:r>
              <w:rPr>
                <w:color w:val="000000"/>
              </w:rPr>
              <w:t>S2831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0592897" w14:textId="77777777">
            <w:pPr>
              <w:jc w:val="center"/>
              <w:rPr>
                <w:color w:val="000000"/>
              </w:rPr>
            </w:pPr>
            <w:r>
              <w:rPr>
                <w:color w:val="000000"/>
              </w:rPr>
              <w:t>INTELSAT 23</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7771A12" w14:textId="77777777">
            <w:pPr>
              <w:jc w:val="center"/>
              <w:rPr>
                <w:color w:val="000000"/>
              </w:rPr>
            </w:pPr>
            <w:r>
              <w:rPr>
                <w:color w:val="000000"/>
              </w:rPr>
              <w:t>GSO</w:t>
            </w:r>
          </w:p>
        </w:tc>
      </w:tr>
      <w:tr w14:paraId="28671BD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1E22285"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B531858" w14:textId="77777777">
            <w:pPr>
              <w:jc w:val="center"/>
              <w:rPr>
                <w:color w:val="000000"/>
              </w:rPr>
            </w:pPr>
            <w:r>
              <w:rPr>
                <w:color w:val="000000"/>
              </w:rPr>
              <w:t>S2915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5DD99B25" w14:textId="77777777">
            <w:pPr>
              <w:jc w:val="center"/>
              <w:rPr>
                <w:color w:val="000000"/>
              </w:rPr>
            </w:pPr>
            <w:r>
              <w:rPr>
                <w:color w:val="000000"/>
              </w:rPr>
              <w:t>INTELSAT 34</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021B69C" w14:textId="77777777">
            <w:pPr>
              <w:jc w:val="center"/>
              <w:rPr>
                <w:color w:val="000000"/>
              </w:rPr>
            </w:pPr>
            <w:r>
              <w:rPr>
                <w:color w:val="000000"/>
              </w:rPr>
              <w:t>GSO</w:t>
            </w:r>
          </w:p>
        </w:tc>
      </w:tr>
      <w:tr w14:paraId="7BBF8EF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6A31405"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943C5AF" w14:textId="77777777">
            <w:pPr>
              <w:jc w:val="center"/>
              <w:rPr>
                <w:color w:val="000000"/>
              </w:rPr>
            </w:pPr>
            <w:r>
              <w:rPr>
                <w:color w:val="000000"/>
              </w:rPr>
              <w:t>S2863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8037117" w14:textId="77777777">
            <w:pPr>
              <w:jc w:val="center"/>
              <w:rPr>
                <w:color w:val="000000"/>
              </w:rPr>
            </w:pPr>
            <w:r>
              <w:rPr>
                <w:color w:val="000000"/>
              </w:rPr>
              <w:t>INTELSAT 21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71640C6" w14:textId="77777777">
            <w:pPr>
              <w:jc w:val="center"/>
              <w:rPr>
                <w:color w:val="000000"/>
              </w:rPr>
            </w:pPr>
            <w:r>
              <w:rPr>
                <w:color w:val="000000"/>
              </w:rPr>
              <w:t>GSO</w:t>
            </w:r>
          </w:p>
        </w:tc>
      </w:tr>
      <w:tr w14:paraId="699A65D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EDDA6C6"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853E78D" w14:textId="77777777">
            <w:pPr>
              <w:jc w:val="center"/>
              <w:rPr>
                <w:color w:val="000000"/>
              </w:rPr>
            </w:pPr>
            <w:r>
              <w:rPr>
                <w:color w:val="000000"/>
              </w:rPr>
              <w:t>S2750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5E6DC2B" w14:textId="77777777">
            <w:pPr>
              <w:jc w:val="center"/>
              <w:rPr>
                <w:color w:val="000000"/>
              </w:rPr>
            </w:pPr>
            <w:r>
              <w:rPr>
                <w:color w:val="000000"/>
              </w:rPr>
              <w:t>INTELSAT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499568E" w14:textId="77777777">
            <w:pPr>
              <w:jc w:val="center"/>
              <w:rPr>
                <w:color w:val="000000"/>
              </w:rPr>
            </w:pPr>
            <w:r>
              <w:rPr>
                <w:color w:val="000000"/>
              </w:rPr>
              <w:t>GSO</w:t>
            </w:r>
          </w:p>
        </w:tc>
      </w:tr>
      <w:tr w14:paraId="5ACAD2D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342DF25"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777850E" w14:textId="77777777">
            <w:pPr>
              <w:jc w:val="center"/>
              <w:rPr>
                <w:color w:val="000000"/>
              </w:rPr>
            </w:pPr>
            <w:r>
              <w:rPr>
                <w:color w:val="000000"/>
              </w:rPr>
              <w:t>S2715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5F38322A" w14:textId="77777777">
            <w:pPr>
              <w:jc w:val="center"/>
              <w:rPr>
                <w:color w:val="000000"/>
              </w:rPr>
            </w:pPr>
            <w:r>
              <w:rPr>
                <w:color w:val="000000"/>
              </w:rPr>
              <w:t>GALAXY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9E96B6C" w14:textId="77777777">
            <w:pPr>
              <w:jc w:val="center"/>
              <w:rPr>
                <w:color w:val="000000"/>
              </w:rPr>
            </w:pPr>
            <w:r>
              <w:rPr>
                <w:color w:val="000000"/>
              </w:rPr>
              <w:t>GSO</w:t>
            </w:r>
          </w:p>
        </w:tc>
      </w:tr>
      <w:tr w14:paraId="7480CC1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208772D"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9D0BBBD" w14:textId="77777777">
            <w:pPr>
              <w:jc w:val="center"/>
              <w:rPr>
                <w:color w:val="000000"/>
              </w:rPr>
            </w:pPr>
            <w:r>
              <w:rPr>
                <w:color w:val="000000"/>
              </w:rPr>
              <w:t>S2154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7BEF297" w14:textId="77777777">
            <w:pPr>
              <w:jc w:val="center"/>
              <w:rPr>
                <w:color w:val="000000"/>
              </w:rPr>
            </w:pPr>
            <w:r>
              <w:rPr>
                <w:color w:val="000000"/>
              </w:rPr>
              <w:t>GALAXY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36D55C8" w14:textId="77777777">
            <w:pPr>
              <w:jc w:val="center"/>
              <w:rPr>
                <w:color w:val="000000"/>
              </w:rPr>
            </w:pPr>
            <w:r>
              <w:rPr>
                <w:color w:val="000000"/>
              </w:rPr>
              <w:t>GSO</w:t>
            </w:r>
          </w:p>
        </w:tc>
      </w:tr>
      <w:tr w14:paraId="4543BF4C"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C21B665"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45EEAE1" w14:textId="77777777">
            <w:pPr>
              <w:jc w:val="center"/>
              <w:rPr>
                <w:color w:val="000000"/>
              </w:rPr>
            </w:pPr>
            <w:r>
              <w:rPr>
                <w:color w:val="000000"/>
              </w:rPr>
              <w:t>S2253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8657754" w14:textId="77777777">
            <w:pPr>
              <w:jc w:val="center"/>
              <w:rPr>
                <w:color w:val="000000"/>
              </w:rPr>
            </w:pPr>
            <w:r>
              <w:rPr>
                <w:color w:val="000000"/>
              </w:rPr>
              <w:t>GALAXY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79FB731" w14:textId="77777777">
            <w:pPr>
              <w:jc w:val="center"/>
              <w:rPr>
                <w:color w:val="000000"/>
              </w:rPr>
            </w:pPr>
            <w:r>
              <w:rPr>
                <w:color w:val="000000"/>
              </w:rPr>
              <w:t>GSO</w:t>
            </w:r>
          </w:p>
        </w:tc>
      </w:tr>
      <w:tr w14:paraId="16BD2C69"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30EA10C"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3452C69" w14:textId="77777777">
            <w:pPr>
              <w:jc w:val="center"/>
              <w:rPr>
                <w:color w:val="000000"/>
              </w:rPr>
            </w:pPr>
            <w:r>
              <w:rPr>
                <w:color w:val="000000"/>
              </w:rPr>
              <w:t>S2381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FC5BD4B" w14:textId="77777777">
            <w:pPr>
              <w:jc w:val="center"/>
              <w:rPr>
                <w:color w:val="000000"/>
              </w:rPr>
            </w:pPr>
            <w:r>
              <w:rPr>
                <w:color w:val="000000"/>
              </w:rPr>
              <w:t>GALAXY 3C</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FFBB78C" w14:textId="77777777">
            <w:pPr>
              <w:jc w:val="center"/>
              <w:rPr>
                <w:color w:val="000000"/>
              </w:rPr>
            </w:pPr>
            <w:r>
              <w:rPr>
                <w:color w:val="000000"/>
              </w:rPr>
              <w:t>GSO</w:t>
            </w:r>
          </w:p>
        </w:tc>
      </w:tr>
      <w:tr w14:paraId="3837EC91"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25D749C"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64F74EB" w14:textId="77777777">
            <w:pPr>
              <w:jc w:val="center"/>
              <w:rPr>
                <w:color w:val="000000"/>
              </w:rPr>
            </w:pPr>
            <w:r>
              <w:rPr>
                <w:color w:val="000000"/>
              </w:rPr>
              <w:t>S2887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14512BF" w14:textId="77777777">
            <w:pPr>
              <w:jc w:val="center"/>
              <w:rPr>
                <w:color w:val="000000"/>
              </w:rPr>
            </w:pPr>
            <w:r>
              <w:rPr>
                <w:color w:val="000000"/>
              </w:rPr>
              <w:t>INTELSAT 30</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1ECE5C7" w14:textId="77777777">
            <w:pPr>
              <w:jc w:val="center"/>
              <w:rPr>
                <w:color w:val="000000"/>
              </w:rPr>
            </w:pPr>
            <w:r>
              <w:rPr>
                <w:color w:val="000000"/>
              </w:rPr>
              <w:t>GSO</w:t>
            </w:r>
          </w:p>
        </w:tc>
      </w:tr>
      <w:tr w14:paraId="20DE7C3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47B5862"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AFA7C0C" w14:textId="77777777">
            <w:pPr>
              <w:jc w:val="center"/>
              <w:rPr>
                <w:color w:val="000000"/>
              </w:rPr>
            </w:pPr>
            <w:r>
              <w:rPr>
                <w:color w:val="000000"/>
              </w:rPr>
              <w:t>S2924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675A709" w14:textId="77777777">
            <w:pPr>
              <w:jc w:val="center"/>
              <w:rPr>
                <w:color w:val="000000"/>
              </w:rPr>
            </w:pPr>
            <w:r>
              <w:rPr>
                <w:color w:val="000000"/>
              </w:rPr>
              <w:t>INTELSAT 31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A95D378" w14:textId="77777777">
            <w:pPr>
              <w:jc w:val="center"/>
              <w:rPr>
                <w:color w:val="000000"/>
              </w:rPr>
            </w:pPr>
            <w:r>
              <w:rPr>
                <w:color w:val="000000"/>
              </w:rPr>
              <w:t>GSO</w:t>
            </w:r>
          </w:p>
        </w:tc>
      </w:tr>
      <w:tr w14:paraId="17F5E30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24FE063"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D5FF55B" w14:textId="77777777">
            <w:pPr>
              <w:jc w:val="center"/>
              <w:rPr>
                <w:color w:val="000000"/>
              </w:rPr>
            </w:pPr>
            <w:r>
              <w:rPr>
                <w:color w:val="000000"/>
              </w:rPr>
              <w:t>S2647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554712A" w14:textId="77777777">
            <w:pPr>
              <w:jc w:val="center"/>
              <w:rPr>
                <w:color w:val="000000"/>
              </w:rPr>
            </w:pPr>
            <w:r>
              <w:rPr>
                <w:color w:val="000000"/>
              </w:rPr>
              <w:t>GALAXY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3860837" w14:textId="77777777">
            <w:pPr>
              <w:jc w:val="center"/>
              <w:rPr>
                <w:color w:val="000000"/>
              </w:rPr>
            </w:pPr>
            <w:r>
              <w:rPr>
                <w:color w:val="000000"/>
              </w:rPr>
              <w:t>GSO</w:t>
            </w:r>
          </w:p>
        </w:tc>
      </w:tr>
      <w:tr w14:paraId="4D4FA658"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F141E9F"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1E79CBE" w14:textId="77777777">
            <w:pPr>
              <w:jc w:val="center"/>
              <w:rPr>
                <w:color w:val="000000"/>
              </w:rPr>
            </w:pPr>
            <w:r>
              <w:rPr>
                <w:color w:val="000000"/>
              </w:rPr>
              <w:t>S2687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D74FCD7" w14:textId="77777777">
            <w:pPr>
              <w:jc w:val="center"/>
              <w:rPr>
                <w:color w:val="000000"/>
              </w:rPr>
            </w:pPr>
            <w:r>
              <w:rPr>
                <w:color w:val="000000"/>
              </w:rPr>
              <w:t>GALAXY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C149973" w14:textId="77777777">
            <w:pPr>
              <w:jc w:val="center"/>
              <w:rPr>
                <w:color w:val="000000"/>
              </w:rPr>
            </w:pPr>
            <w:r>
              <w:rPr>
                <w:color w:val="000000"/>
              </w:rPr>
              <w:t>GSO</w:t>
            </w:r>
          </w:p>
        </w:tc>
      </w:tr>
      <w:tr w14:paraId="68080B9C"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3AD6872"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E8C9529" w14:textId="77777777">
            <w:pPr>
              <w:jc w:val="center"/>
              <w:rPr>
                <w:color w:val="000000"/>
              </w:rPr>
            </w:pPr>
            <w:r>
              <w:rPr>
                <w:color w:val="000000"/>
              </w:rPr>
              <w:t>S2733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2432520" w14:textId="77777777">
            <w:pPr>
              <w:jc w:val="center"/>
              <w:rPr>
                <w:color w:val="000000"/>
              </w:rPr>
            </w:pPr>
            <w:r>
              <w:rPr>
                <w:color w:val="000000"/>
              </w:rPr>
              <w:t>GALAXY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4F437A8" w14:textId="77777777">
            <w:pPr>
              <w:jc w:val="center"/>
              <w:rPr>
                <w:color w:val="000000"/>
              </w:rPr>
            </w:pPr>
            <w:r>
              <w:rPr>
                <w:color w:val="000000"/>
              </w:rPr>
              <w:t>GSO</w:t>
            </w:r>
          </w:p>
        </w:tc>
      </w:tr>
      <w:tr w14:paraId="36A56E4B"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7B248E0"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DA26DC0" w14:textId="77777777">
            <w:pPr>
              <w:jc w:val="center"/>
              <w:rPr>
                <w:color w:val="000000"/>
              </w:rPr>
            </w:pPr>
            <w:r>
              <w:rPr>
                <w:color w:val="000000"/>
              </w:rPr>
              <w:t>S2385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B593751" w14:textId="77777777">
            <w:pPr>
              <w:jc w:val="center"/>
              <w:rPr>
                <w:color w:val="000000"/>
              </w:rPr>
            </w:pPr>
            <w:r>
              <w:rPr>
                <w:color w:val="000000"/>
              </w:rPr>
              <w:t>GALAXY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8ABECBA" w14:textId="77777777">
            <w:pPr>
              <w:jc w:val="center"/>
              <w:rPr>
                <w:color w:val="000000"/>
              </w:rPr>
            </w:pPr>
            <w:r>
              <w:rPr>
                <w:color w:val="000000"/>
              </w:rPr>
              <w:t>GSO</w:t>
            </w:r>
          </w:p>
        </w:tc>
      </w:tr>
      <w:tr w14:paraId="0F2DEF1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384FB1B"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FA1F5B4" w14:textId="77777777">
            <w:pPr>
              <w:jc w:val="center"/>
              <w:rPr>
                <w:color w:val="000000"/>
              </w:rPr>
            </w:pPr>
            <w:r>
              <w:rPr>
                <w:color w:val="000000"/>
              </w:rPr>
              <w:t>S2386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35BCB64" w14:textId="77777777">
            <w:pPr>
              <w:jc w:val="center"/>
              <w:rPr>
                <w:color w:val="000000"/>
              </w:rPr>
            </w:pPr>
            <w:r>
              <w:rPr>
                <w:color w:val="000000"/>
              </w:rPr>
              <w:t>GALAXY 13</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3967C5E" w14:textId="77777777">
            <w:pPr>
              <w:jc w:val="center"/>
              <w:rPr>
                <w:color w:val="000000"/>
              </w:rPr>
            </w:pPr>
            <w:r>
              <w:rPr>
                <w:color w:val="000000"/>
              </w:rPr>
              <w:t>GSO</w:t>
            </w:r>
          </w:p>
        </w:tc>
      </w:tr>
      <w:tr w14:paraId="7C838035"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03A80D3"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F6D0A54" w14:textId="77777777">
            <w:pPr>
              <w:jc w:val="center"/>
              <w:rPr>
                <w:color w:val="000000"/>
              </w:rPr>
            </w:pPr>
            <w:r>
              <w:rPr>
                <w:color w:val="000000"/>
              </w:rPr>
              <w:t>S2422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531ECBD" w14:textId="77777777">
            <w:pPr>
              <w:jc w:val="center"/>
              <w:rPr>
                <w:color w:val="000000"/>
              </w:rPr>
            </w:pPr>
            <w:r>
              <w:rPr>
                <w:color w:val="000000"/>
              </w:rPr>
              <w:t>GALAXY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753FFA7" w14:textId="77777777">
            <w:pPr>
              <w:jc w:val="center"/>
              <w:rPr>
                <w:color w:val="000000"/>
              </w:rPr>
            </w:pPr>
            <w:r>
              <w:rPr>
                <w:color w:val="000000"/>
              </w:rPr>
              <w:t>GSO</w:t>
            </w:r>
          </w:p>
        </w:tc>
      </w:tr>
      <w:tr w14:paraId="31114CF4"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BDA6996"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51194E7" w14:textId="77777777">
            <w:pPr>
              <w:jc w:val="center"/>
              <w:rPr>
                <w:color w:val="000000"/>
              </w:rPr>
            </w:pPr>
            <w:r>
              <w:rPr>
                <w:color w:val="000000"/>
              </w:rPr>
              <w:t>S2387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E8A53F5" w14:textId="77777777">
            <w:pPr>
              <w:jc w:val="center"/>
              <w:rPr>
                <w:color w:val="000000"/>
              </w:rPr>
            </w:pPr>
            <w:r>
              <w:rPr>
                <w:color w:val="000000"/>
              </w:rPr>
              <w:t>GALAXY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BC3C960" w14:textId="77777777">
            <w:pPr>
              <w:jc w:val="center"/>
              <w:rPr>
                <w:color w:val="000000"/>
              </w:rPr>
            </w:pPr>
            <w:r>
              <w:rPr>
                <w:color w:val="000000"/>
              </w:rPr>
              <w:t>GSO</w:t>
            </w:r>
          </w:p>
        </w:tc>
      </w:tr>
      <w:tr w14:paraId="722BCD6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FC207C0"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1B04C28" w14:textId="77777777">
            <w:pPr>
              <w:jc w:val="center"/>
              <w:rPr>
                <w:color w:val="000000"/>
              </w:rPr>
            </w:pPr>
            <w:r>
              <w:rPr>
                <w:color w:val="000000"/>
              </w:rPr>
              <w:t>S2704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3667AA9" w14:textId="77777777">
            <w:pPr>
              <w:jc w:val="center"/>
              <w:rPr>
                <w:color w:val="000000"/>
              </w:rPr>
            </w:pPr>
            <w:r>
              <w:rPr>
                <w:color w:val="000000"/>
              </w:rPr>
              <w:t>INTELSAT 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D7CA752" w14:textId="77777777">
            <w:pPr>
              <w:jc w:val="center"/>
              <w:rPr>
                <w:color w:val="000000"/>
              </w:rPr>
            </w:pPr>
            <w:r>
              <w:rPr>
                <w:color w:val="000000"/>
              </w:rPr>
              <w:t>GSO</w:t>
            </w:r>
          </w:p>
        </w:tc>
      </w:tr>
      <w:tr w14:paraId="0E4AEE09"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574CA3B"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C7F082F" w14:textId="77777777">
            <w:pPr>
              <w:jc w:val="center"/>
              <w:rPr>
                <w:color w:val="000000"/>
              </w:rPr>
            </w:pPr>
            <w:r>
              <w:rPr>
                <w:color w:val="000000"/>
              </w:rPr>
              <w:t>S2817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069C93D" w14:textId="77777777">
            <w:pPr>
              <w:jc w:val="center"/>
              <w:rPr>
                <w:color w:val="000000"/>
              </w:rPr>
            </w:pPr>
            <w:r>
              <w:rPr>
                <w:color w:val="000000"/>
              </w:rPr>
              <w:t>INTELSAT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55A2505" w14:textId="77777777">
            <w:pPr>
              <w:jc w:val="center"/>
              <w:rPr>
                <w:color w:val="000000"/>
              </w:rPr>
            </w:pPr>
            <w:r>
              <w:rPr>
                <w:color w:val="000000"/>
              </w:rPr>
              <w:t>GSO</w:t>
            </w:r>
          </w:p>
        </w:tc>
      </w:tr>
      <w:tr w14:paraId="0086C65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B9A921A"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3E3F08C" w14:textId="77777777">
            <w:pPr>
              <w:jc w:val="center"/>
              <w:rPr>
                <w:color w:val="000000"/>
              </w:rPr>
            </w:pPr>
            <w:r>
              <w:rPr>
                <w:color w:val="000000"/>
              </w:rPr>
              <w:t>S2960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A90037F" w14:textId="77777777">
            <w:pPr>
              <w:jc w:val="center"/>
              <w:rPr>
                <w:color w:val="000000"/>
              </w:rPr>
            </w:pPr>
            <w:r>
              <w:rPr>
                <w:color w:val="000000"/>
              </w:rPr>
              <w:t>JCSAT-RA</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1E31AC6" w14:textId="77777777">
            <w:pPr>
              <w:jc w:val="center"/>
              <w:rPr>
                <w:color w:val="000000"/>
              </w:rPr>
            </w:pPr>
            <w:r>
              <w:rPr>
                <w:color w:val="000000"/>
              </w:rPr>
              <w:t>GSO</w:t>
            </w:r>
          </w:p>
        </w:tc>
      </w:tr>
      <w:tr w14:paraId="4D12703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D72E798"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C2B9EB5" w14:textId="77777777">
            <w:pPr>
              <w:jc w:val="center"/>
              <w:rPr>
                <w:color w:val="000000"/>
              </w:rPr>
            </w:pPr>
            <w:r>
              <w:rPr>
                <w:color w:val="000000"/>
              </w:rPr>
              <w:t>S2850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0747373" w14:textId="77777777">
            <w:pPr>
              <w:jc w:val="center"/>
              <w:rPr>
                <w:color w:val="000000"/>
              </w:rPr>
            </w:pPr>
            <w:r>
              <w:rPr>
                <w:color w:val="000000"/>
              </w:rPr>
              <w:t>INTELSAT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E7DD99E" w14:textId="77777777">
            <w:pPr>
              <w:jc w:val="center"/>
              <w:rPr>
                <w:color w:val="000000"/>
              </w:rPr>
            </w:pPr>
            <w:r>
              <w:rPr>
                <w:color w:val="000000"/>
              </w:rPr>
              <w:t>GSO</w:t>
            </w:r>
          </w:p>
        </w:tc>
      </w:tr>
      <w:tr w14:paraId="6438CD5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768DF4D"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D4B7293" w14:textId="77777777">
            <w:pPr>
              <w:jc w:val="center"/>
              <w:rPr>
                <w:color w:val="000000"/>
              </w:rPr>
            </w:pPr>
            <w:r>
              <w:rPr>
                <w:color w:val="000000"/>
              </w:rPr>
              <w:t>S2368</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27756EF" w14:textId="77777777">
            <w:pPr>
              <w:jc w:val="center"/>
              <w:rPr>
                <w:color w:val="000000"/>
              </w:rPr>
            </w:pPr>
            <w:r>
              <w:rPr>
                <w:color w:val="000000"/>
              </w:rPr>
              <w:t>INTELSAT 1R</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74EC719" w14:textId="77777777">
            <w:pPr>
              <w:jc w:val="center"/>
              <w:rPr>
                <w:color w:val="000000"/>
              </w:rPr>
            </w:pPr>
            <w:r>
              <w:rPr>
                <w:color w:val="000000"/>
              </w:rPr>
              <w:t>GSO</w:t>
            </w:r>
          </w:p>
        </w:tc>
      </w:tr>
      <w:tr w14:paraId="04BC4BD4"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22B8455"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A80B462" w14:textId="77777777">
            <w:pPr>
              <w:jc w:val="center"/>
              <w:rPr>
                <w:color w:val="000000"/>
              </w:rPr>
            </w:pPr>
            <w:r>
              <w:rPr>
                <w:color w:val="000000"/>
              </w:rPr>
              <w:t>S2988</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694BEB0" w14:textId="77777777">
            <w:pPr>
              <w:jc w:val="center"/>
              <w:rPr>
                <w:color w:val="000000"/>
              </w:rPr>
            </w:pPr>
            <w:r>
              <w:rPr>
                <w:color w:val="000000"/>
              </w:rPr>
              <w:t>TELKOM-2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3642A6D" w14:textId="77777777">
            <w:pPr>
              <w:jc w:val="center"/>
              <w:rPr>
                <w:color w:val="000000"/>
              </w:rPr>
            </w:pPr>
            <w:r>
              <w:rPr>
                <w:color w:val="000000"/>
              </w:rPr>
              <w:t>GSO</w:t>
            </w:r>
          </w:p>
        </w:tc>
      </w:tr>
      <w:tr w14:paraId="34B806BC"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6B5A848"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205A8B3" w14:textId="77777777">
            <w:pPr>
              <w:jc w:val="center"/>
              <w:rPr>
                <w:color w:val="000000"/>
              </w:rPr>
            </w:pPr>
            <w:r>
              <w:rPr>
                <w:color w:val="000000"/>
              </w:rPr>
              <w:t>S2789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E25ACFF" w14:textId="77777777">
            <w:pPr>
              <w:jc w:val="center"/>
              <w:rPr>
                <w:color w:val="000000"/>
              </w:rPr>
            </w:pPr>
            <w:r>
              <w:rPr>
                <w:color w:val="000000"/>
              </w:rPr>
              <w:t>INTELSAT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66AA7E7" w14:textId="77777777">
            <w:pPr>
              <w:jc w:val="center"/>
              <w:rPr>
                <w:color w:val="000000"/>
              </w:rPr>
            </w:pPr>
            <w:r>
              <w:rPr>
                <w:color w:val="000000"/>
              </w:rPr>
              <w:t>GSO</w:t>
            </w:r>
          </w:p>
        </w:tc>
      </w:tr>
      <w:tr w14:paraId="01D0DB9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2E72E85"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9F05E16" w14:textId="77777777">
            <w:pPr>
              <w:jc w:val="center"/>
              <w:rPr>
                <w:color w:val="000000"/>
              </w:rPr>
            </w:pPr>
            <w:r>
              <w:rPr>
                <w:color w:val="000000"/>
              </w:rPr>
              <w:t>S2423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5564D8E" w14:textId="77777777">
            <w:pPr>
              <w:jc w:val="center"/>
              <w:rPr>
                <w:color w:val="000000"/>
              </w:rPr>
            </w:pPr>
            <w:r>
              <w:rPr>
                <w:color w:val="000000"/>
              </w:rPr>
              <w:t>HORIZONS 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AEA1913" w14:textId="77777777">
            <w:pPr>
              <w:jc w:val="center"/>
              <w:rPr>
                <w:color w:val="000000"/>
              </w:rPr>
            </w:pPr>
            <w:r>
              <w:rPr>
                <w:color w:val="000000"/>
              </w:rPr>
              <w:t>GSO</w:t>
            </w:r>
          </w:p>
        </w:tc>
      </w:tr>
      <w:tr w14:paraId="0FC4A69F"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485536D"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9DE4415" w14:textId="77777777">
            <w:pPr>
              <w:jc w:val="center"/>
              <w:rPr>
                <w:color w:val="000000"/>
              </w:rPr>
            </w:pPr>
            <w:r>
              <w:rPr>
                <w:color w:val="000000"/>
              </w:rPr>
              <w:t>S2846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EE6AF0B" w14:textId="77777777">
            <w:pPr>
              <w:jc w:val="center"/>
              <w:rPr>
                <w:color w:val="000000"/>
              </w:rPr>
            </w:pPr>
            <w:r>
              <w:rPr>
                <w:color w:val="000000"/>
              </w:rPr>
              <w:t>INTELSAT 22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2D63BE6" w14:textId="77777777">
            <w:pPr>
              <w:jc w:val="center"/>
              <w:rPr>
                <w:color w:val="000000"/>
              </w:rPr>
            </w:pPr>
            <w:r>
              <w:rPr>
                <w:color w:val="000000"/>
              </w:rPr>
              <w:t>GSO</w:t>
            </w:r>
          </w:p>
        </w:tc>
      </w:tr>
      <w:tr w14:paraId="140856B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638E0DB"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F16E2C9" w14:textId="77777777">
            <w:pPr>
              <w:jc w:val="center"/>
              <w:rPr>
                <w:color w:val="000000"/>
              </w:rPr>
            </w:pPr>
            <w:r>
              <w:rPr>
                <w:color w:val="000000"/>
              </w:rPr>
              <w:t>S2847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C071FD2" w14:textId="77777777">
            <w:pPr>
              <w:jc w:val="center"/>
              <w:rPr>
                <w:color w:val="000000"/>
              </w:rPr>
            </w:pPr>
            <w:r>
              <w:rPr>
                <w:color w:val="000000"/>
              </w:rPr>
              <w:t>INTELSAT 20</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85C9D38" w14:textId="77777777">
            <w:pPr>
              <w:jc w:val="center"/>
              <w:rPr>
                <w:color w:val="000000"/>
              </w:rPr>
            </w:pPr>
            <w:r>
              <w:rPr>
                <w:color w:val="000000"/>
              </w:rPr>
              <w:t>GSO</w:t>
            </w:r>
          </w:p>
        </w:tc>
      </w:tr>
      <w:tr w14:paraId="663027E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EF2AD21"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EE882E2" w14:textId="77777777">
            <w:pPr>
              <w:jc w:val="center"/>
              <w:rPr>
                <w:color w:val="000000"/>
              </w:rPr>
            </w:pPr>
            <w:r>
              <w:rPr>
                <w:color w:val="000000"/>
              </w:rPr>
              <w:t>S2948</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8F20546" w14:textId="77777777">
            <w:pPr>
              <w:jc w:val="center"/>
              <w:rPr>
                <w:color w:val="000000"/>
              </w:rPr>
            </w:pPr>
            <w:r>
              <w:rPr>
                <w:color w:val="000000"/>
              </w:rPr>
              <w:t>INTELSAT 36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7C11ADC" w14:textId="77777777">
            <w:pPr>
              <w:jc w:val="center"/>
              <w:rPr>
                <w:color w:val="000000"/>
              </w:rPr>
            </w:pPr>
            <w:r>
              <w:rPr>
                <w:color w:val="000000"/>
              </w:rPr>
              <w:t>GSO</w:t>
            </w:r>
          </w:p>
        </w:tc>
      </w:tr>
      <w:tr w14:paraId="46BEAB5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077119F"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2EBD8A7" w14:textId="77777777">
            <w:pPr>
              <w:jc w:val="center"/>
              <w:rPr>
                <w:color w:val="000000"/>
              </w:rPr>
            </w:pPr>
            <w:r>
              <w:rPr>
                <w:color w:val="000000"/>
              </w:rPr>
              <w:t>S2814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CE35AFB" w14:textId="77777777">
            <w:pPr>
              <w:jc w:val="center"/>
              <w:rPr>
                <w:color w:val="000000"/>
              </w:rPr>
            </w:pPr>
            <w:r>
              <w:rPr>
                <w:color w:val="000000"/>
              </w:rPr>
              <w:t>INTELSAT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92620A1" w14:textId="77777777">
            <w:pPr>
              <w:jc w:val="center"/>
              <w:rPr>
                <w:color w:val="000000"/>
              </w:rPr>
            </w:pPr>
            <w:r>
              <w:rPr>
                <w:color w:val="000000"/>
              </w:rPr>
              <w:t>GSO</w:t>
            </w:r>
          </w:p>
        </w:tc>
      </w:tr>
      <w:tr w14:paraId="4E2D8745"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BBFDCFC"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A8D61C0" w14:textId="77777777">
            <w:pPr>
              <w:jc w:val="center"/>
              <w:rPr>
                <w:color w:val="000000"/>
              </w:rPr>
            </w:pPr>
            <w:r>
              <w:rPr>
                <w:color w:val="000000"/>
              </w:rPr>
              <w:t>S2410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CEBD10E" w14:textId="77777777">
            <w:pPr>
              <w:jc w:val="center"/>
              <w:rPr>
                <w:color w:val="000000"/>
              </w:rPr>
            </w:pPr>
            <w:r>
              <w:rPr>
                <w:color w:val="000000"/>
              </w:rPr>
              <w:t>INTELSAT 906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DBFB271" w14:textId="77777777">
            <w:pPr>
              <w:jc w:val="center"/>
              <w:rPr>
                <w:color w:val="000000"/>
              </w:rPr>
            </w:pPr>
            <w:r>
              <w:rPr>
                <w:color w:val="000000"/>
              </w:rPr>
              <w:t>GSO</w:t>
            </w:r>
          </w:p>
        </w:tc>
      </w:tr>
      <w:tr w14:paraId="056DD8A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3AB4353"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C429827" w14:textId="77777777">
            <w:pPr>
              <w:jc w:val="center"/>
              <w:rPr>
                <w:color w:val="000000"/>
              </w:rPr>
            </w:pPr>
            <w:r>
              <w:rPr>
                <w:color w:val="000000"/>
              </w:rPr>
              <w:t>S2406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1D3D135" w14:textId="77777777">
            <w:pPr>
              <w:jc w:val="center"/>
              <w:rPr>
                <w:color w:val="000000"/>
              </w:rPr>
            </w:pPr>
            <w:r>
              <w:rPr>
                <w:color w:val="000000"/>
              </w:rPr>
              <w:t>INTELSAT 902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60DAB34" w14:textId="77777777">
            <w:pPr>
              <w:jc w:val="center"/>
              <w:rPr>
                <w:color w:val="000000"/>
              </w:rPr>
            </w:pPr>
            <w:r>
              <w:rPr>
                <w:color w:val="000000"/>
              </w:rPr>
              <w:t>GSO</w:t>
            </w:r>
          </w:p>
        </w:tc>
      </w:tr>
      <w:tr w14:paraId="78862239"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21CAAAC"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0CC70F0" w14:textId="77777777">
            <w:pPr>
              <w:jc w:val="center"/>
              <w:rPr>
                <w:color w:val="000000"/>
              </w:rPr>
            </w:pPr>
            <w:r>
              <w:rPr>
                <w:color w:val="000000"/>
              </w:rPr>
              <w:t>S2939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E15629B" w14:textId="77777777">
            <w:pPr>
              <w:jc w:val="center"/>
              <w:rPr>
                <w:color w:val="000000"/>
              </w:rPr>
            </w:pPr>
            <w:r>
              <w:rPr>
                <w:color w:val="000000"/>
              </w:rPr>
              <w:t>INTELSAT 33e</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574AFB9" w14:textId="77777777">
            <w:pPr>
              <w:jc w:val="center"/>
              <w:rPr>
                <w:color w:val="000000"/>
              </w:rPr>
            </w:pPr>
            <w:r>
              <w:rPr>
                <w:color w:val="000000"/>
              </w:rPr>
              <w:t>GSO</w:t>
            </w:r>
          </w:p>
        </w:tc>
      </w:tr>
      <w:tr w14:paraId="7492FA1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CDBD2A0"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82C2FF3" w14:textId="77777777">
            <w:pPr>
              <w:jc w:val="center"/>
              <w:rPr>
                <w:color w:val="000000"/>
              </w:rPr>
            </w:pPr>
            <w:r>
              <w:rPr>
                <w:color w:val="000000"/>
              </w:rPr>
              <w:t>S2382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2383F5D" w14:textId="77777777">
            <w:pPr>
              <w:jc w:val="center"/>
              <w:rPr>
                <w:color w:val="000000"/>
              </w:rPr>
            </w:pPr>
            <w:r>
              <w:rPr>
                <w:color w:val="000000"/>
              </w:rPr>
              <w:t>INTELSAT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2E3B492" w14:textId="77777777">
            <w:pPr>
              <w:jc w:val="center"/>
              <w:rPr>
                <w:color w:val="000000"/>
              </w:rPr>
            </w:pPr>
            <w:r>
              <w:rPr>
                <w:color w:val="000000"/>
              </w:rPr>
              <w:t>GSO</w:t>
            </w:r>
          </w:p>
        </w:tc>
      </w:tr>
      <w:tr w14:paraId="0A8CA27F"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5910EE9" w14:textId="77777777">
            <w:pPr>
              <w:rPr>
                <w:color w:val="000000"/>
              </w:rPr>
            </w:pPr>
            <w:r>
              <w:rPr>
                <w:color w:val="000000"/>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8F5E738" w14:textId="77777777">
            <w:pPr>
              <w:jc w:val="center"/>
              <w:rPr>
                <w:color w:val="000000"/>
              </w:rPr>
            </w:pPr>
            <w:r>
              <w:rPr>
                <w:color w:val="000000"/>
              </w:rPr>
              <w:t>S2751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CB442BC" w14:textId="77777777">
            <w:pPr>
              <w:jc w:val="center"/>
              <w:rPr>
                <w:color w:val="000000"/>
              </w:rPr>
            </w:pPr>
            <w:r>
              <w:rPr>
                <w:color w:val="000000"/>
              </w:rPr>
              <w:t>NEW DAWN</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A70F5A5" w14:textId="77777777">
            <w:pPr>
              <w:jc w:val="center"/>
              <w:rPr>
                <w:color w:val="000000"/>
              </w:rPr>
            </w:pPr>
            <w:r>
              <w:rPr>
                <w:color w:val="000000"/>
              </w:rPr>
              <w:t>GSO</w:t>
            </w:r>
          </w:p>
        </w:tc>
      </w:tr>
      <w:tr w14:paraId="07CE660B"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04296A9" w14:textId="77777777">
            <w:pPr>
              <w:rPr>
                <w:color w:val="000000"/>
              </w:rPr>
            </w:pPr>
            <w:r>
              <w:rPr>
                <w:color w:val="000000"/>
              </w:rPr>
              <w:t>Iridium Constellation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59AB7E6" w14:textId="77777777">
            <w:pPr>
              <w:jc w:val="center"/>
              <w:rPr>
                <w:color w:val="000000"/>
              </w:rPr>
            </w:pPr>
            <w:r>
              <w:rPr>
                <w:color w:val="000000"/>
              </w:rPr>
              <w:t>S2110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B8DB89D" w14:textId="77777777">
            <w:pPr>
              <w:jc w:val="center"/>
              <w:rPr>
                <w:color w:val="000000"/>
              </w:rPr>
            </w:pPr>
            <w:r>
              <w:rPr>
                <w:color w:val="000000"/>
              </w:rPr>
              <w:t>IRIDIUM</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6F03281" w14:textId="77777777">
            <w:pPr>
              <w:jc w:val="center"/>
              <w:rPr>
                <w:color w:val="000000"/>
              </w:rPr>
            </w:pPr>
            <w:r>
              <w:rPr>
                <w:color w:val="000000"/>
              </w:rPr>
              <w:t>NGSO</w:t>
            </w:r>
          </w:p>
        </w:tc>
      </w:tr>
      <w:tr w14:paraId="75FAC8F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42D6C0C" w14:textId="77777777">
            <w:pPr>
              <w:rPr>
                <w:color w:val="000000"/>
              </w:rPr>
            </w:pPr>
            <w:r>
              <w:rPr>
                <w:color w:val="000000"/>
              </w:rPr>
              <w:t>Leidos,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D96B6BE" w14:textId="77777777">
            <w:pPr>
              <w:jc w:val="center"/>
              <w:rPr>
                <w:color w:val="000000"/>
              </w:rPr>
            </w:pPr>
            <w:r>
              <w:rPr>
                <w:color w:val="000000"/>
              </w:rPr>
              <w:t>S2371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9ED5B36" w14:textId="77777777">
            <w:pPr>
              <w:jc w:val="center"/>
              <w:rPr>
                <w:color w:val="000000"/>
              </w:rPr>
            </w:pPr>
            <w:r>
              <w:rPr>
                <w:color w:val="000000"/>
              </w:rPr>
              <w:t>LM-RPS2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1D0E554" w14:textId="77777777">
            <w:pPr>
              <w:jc w:val="center"/>
              <w:rPr>
                <w:color w:val="000000"/>
              </w:rPr>
            </w:pPr>
            <w:r>
              <w:rPr>
                <w:color w:val="000000"/>
              </w:rPr>
              <w:t>GSO</w:t>
            </w:r>
          </w:p>
        </w:tc>
      </w:tr>
      <w:tr w14:paraId="0A58BBF7"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0FD8D51" w14:textId="77777777">
            <w:pPr>
              <w:rPr>
                <w:color w:val="000000"/>
              </w:rPr>
            </w:pPr>
            <w:r>
              <w:rPr>
                <w:color w:val="000000"/>
              </w:rPr>
              <w:t>Ligado</w:t>
            </w:r>
            <w:r>
              <w:rPr>
                <w:color w:val="000000"/>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A233C90" w14:textId="77777777">
            <w:pPr>
              <w:jc w:val="center"/>
              <w:rPr>
                <w:color w:val="000000"/>
              </w:rPr>
            </w:pPr>
            <w:r>
              <w:rPr>
                <w:color w:val="000000"/>
              </w:rPr>
              <w:t>S2358</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4D71584" w14:textId="77777777">
            <w:pPr>
              <w:jc w:val="center"/>
              <w:rPr>
                <w:color w:val="000000"/>
              </w:rPr>
            </w:pPr>
            <w:r>
              <w:rPr>
                <w:color w:val="000000"/>
              </w:rPr>
              <w:t>SKYTERRA-1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A611B14" w14:textId="77777777">
            <w:pPr>
              <w:jc w:val="center"/>
              <w:rPr>
                <w:color w:val="000000"/>
              </w:rPr>
            </w:pPr>
            <w:r>
              <w:rPr>
                <w:color w:val="000000"/>
              </w:rPr>
              <w:t>GSO</w:t>
            </w:r>
          </w:p>
        </w:tc>
      </w:tr>
      <w:tr w14:paraId="1C18AC3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92FA336" w14:textId="77777777">
            <w:pPr>
              <w:rPr>
                <w:color w:val="000000"/>
              </w:rPr>
            </w:pPr>
            <w:r>
              <w:rPr>
                <w:color w:val="000000"/>
              </w:rPr>
              <w:t>Ligado</w:t>
            </w:r>
            <w:r>
              <w:rPr>
                <w:color w:val="000000"/>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395161A" w14:textId="77777777">
            <w:pPr>
              <w:jc w:val="center"/>
              <w:rPr>
                <w:color w:val="000000"/>
              </w:rPr>
            </w:pPr>
            <w:r>
              <w:rPr>
                <w:color w:val="000000"/>
              </w:rPr>
              <w:t>AMSC-1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97DA1DD" w14:textId="77777777">
            <w:pPr>
              <w:jc w:val="center"/>
              <w:rPr>
                <w:color w:val="000000"/>
              </w:rPr>
            </w:pPr>
            <w:r>
              <w:rPr>
                <w:color w:val="000000"/>
              </w:rPr>
              <w:t>MSAT-2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3B75A87" w14:textId="77777777">
            <w:pPr>
              <w:jc w:val="center"/>
              <w:rPr>
                <w:color w:val="000000"/>
              </w:rPr>
            </w:pPr>
            <w:r>
              <w:rPr>
                <w:color w:val="000000"/>
              </w:rPr>
              <w:t>GSO</w:t>
            </w:r>
          </w:p>
        </w:tc>
      </w:tr>
      <w:tr w14:paraId="62076B6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9934BCF" w14:textId="77777777">
            <w:pPr>
              <w:rPr>
                <w:color w:val="000000"/>
              </w:rPr>
            </w:pPr>
            <w:r>
              <w:rPr>
                <w:color w:val="000000"/>
              </w:rPr>
              <w:t>Novavision</w:t>
            </w:r>
            <w:r>
              <w:rPr>
                <w:color w:val="000000"/>
              </w:rPr>
              <w:t xml:space="preserve"> Group,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2D04D3F" w14:textId="77777777">
            <w:pPr>
              <w:jc w:val="center"/>
              <w:rPr>
                <w:color w:val="000000"/>
              </w:rPr>
            </w:pPr>
            <w:r>
              <w:rPr>
                <w:color w:val="000000"/>
              </w:rPr>
              <w:t>S2861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C3025E8" w14:textId="77777777">
            <w:pPr>
              <w:jc w:val="center"/>
              <w:rPr>
                <w:color w:val="000000"/>
              </w:rPr>
            </w:pPr>
            <w:r>
              <w:rPr>
                <w:color w:val="000000"/>
              </w:rPr>
              <w:t>DIRECTV KU-79W</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E2AFBB7" w14:textId="77777777">
            <w:pPr>
              <w:jc w:val="center"/>
              <w:rPr>
                <w:color w:val="000000"/>
              </w:rPr>
            </w:pPr>
            <w:r>
              <w:rPr>
                <w:color w:val="000000"/>
              </w:rPr>
              <w:t>GSO</w:t>
            </w:r>
          </w:p>
        </w:tc>
      </w:tr>
      <w:tr w14:paraId="536D4A58"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1B12D88" w14:textId="77777777">
            <w:pPr>
              <w:rPr>
                <w:color w:val="000000"/>
              </w:rPr>
            </w:pPr>
            <w:r>
              <w:rPr>
                <w:color w:val="000000"/>
              </w:rPr>
              <w:t>ORBCOMM License Corp.</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52C9AB1" w14:textId="77777777">
            <w:pPr>
              <w:jc w:val="center"/>
              <w:rPr>
                <w:color w:val="000000"/>
              </w:rPr>
            </w:pPr>
            <w:r>
              <w:rPr>
                <w:color w:val="000000"/>
              </w:rPr>
              <w:t>S2103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B373B6F" w14:textId="77777777">
            <w:pPr>
              <w:jc w:val="center"/>
              <w:rPr>
                <w:color w:val="000000"/>
              </w:rPr>
            </w:pPr>
            <w:r>
              <w:rPr>
                <w:color w:val="000000"/>
              </w:rPr>
              <w:t>ORBCOMM</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0F007F0" w14:textId="77777777">
            <w:pPr>
              <w:jc w:val="center"/>
              <w:rPr>
                <w:color w:val="000000"/>
              </w:rPr>
            </w:pPr>
            <w:r>
              <w:rPr>
                <w:color w:val="000000"/>
              </w:rPr>
              <w:t>NGSO</w:t>
            </w:r>
          </w:p>
        </w:tc>
      </w:tr>
      <w:tr w14:paraId="7EAB9D90"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22C9E8BD" w14:textId="77777777">
            <w:pPr>
              <w:rPr>
                <w:color w:val="000000"/>
              </w:rPr>
            </w:pPr>
            <w:r>
              <w:rPr>
                <w:color w:val="000000"/>
              </w:rPr>
              <w:t>Planet Labs,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6F25B2D" w14:textId="77777777">
            <w:pPr>
              <w:jc w:val="center"/>
              <w:rPr>
                <w:color w:val="000000"/>
              </w:rPr>
            </w:pPr>
            <w:r>
              <w:rPr>
                <w:color w:val="000000"/>
              </w:rPr>
              <w:t>S2862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AA08FE3" w14:textId="77777777">
            <w:pPr>
              <w:jc w:val="center"/>
              <w:rPr>
                <w:color w:val="000000"/>
              </w:rPr>
            </w:pPr>
            <w:r>
              <w:rPr>
                <w:color w:val="000000"/>
              </w:rPr>
              <w:t>SKYSAT</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CBCB654" w14:textId="77777777">
            <w:pPr>
              <w:jc w:val="center"/>
              <w:rPr>
                <w:color w:val="000000"/>
              </w:rPr>
            </w:pPr>
            <w:r>
              <w:rPr>
                <w:color w:val="000000"/>
              </w:rPr>
              <w:t>NGSO</w:t>
            </w:r>
          </w:p>
        </w:tc>
      </w:tr>
      <w:tr w14:paraId="67F6F175"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8C8907B" w14:textId="77777777">
            <w:pPr>
              <w:rPr>
                <w:color w:val="000000"/>
              </w:rPr>
            </w:pPr>
            <w:r>
              <w:rPr>
                <w:color w:val="000000"/>
              </w:rPr>
              <w:t>Planet Labs,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15B7933" w14:textId="77777777">
            <w:pPr>
              <w:jc w:val="center"/>
              <w:rPr>
                <w:color w:val="000000"/>
              </w:rPr>
            </w:pPr>
            <w:r>
              <w:rPr>
                <w:color w:val="000000"/>
              </w:rPr>
              <w:t>S2912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D45946A" w14:textId="77777777">
            <w:pPr>
              <w:jc w:val="center"/>
              <w:rPr>
                <w:color w:val="000000"/>
              </w:rPr>
            </w:pPr>
            <w:r>
              <w:rPr>
                <w:color w:val="000000"/>
              </w:rPr>
              <w:t>PLANET LABS FLOCK</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15B55CA" w14:textId="77777777">
            <w:pPr>
              <w:jc w:val="center"/>
              <w:rPr>
                <w:color w:val="000000"/>
              </w:rPr>
            </w:pPr>
            <w:r>
              <w:rPr>
                <w:color w:val="000000"/>
              </w:rPr>
              <w:t>NGSO</w:t>
            </w:r>
          </w:p>
        </w:tc>
      </w:tr>
      <w:tr w14:paraId="6A3D8934"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79A15DC" w14:textId="77777777">
            <w:pPr>
              <w:rPr>
                <w:color w:val="000000"/>
              </w:rPr>
            </w:pPr>
            <w:r>
              <w:rPr>
                <w:color w:val="000000"/>
              </w:rPr>
              <w:t>Satellite CD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D45522B" w14:textId="77777777">
            <w:pPr>
              <w:jc w:val="center"/>
              <w:rPr>
                <w:color w:val="000000"/>
              </w:rPr>
            </w:pPr>
            <w:r>
              <w:rPr>
                <w:color w:val="000000"/>
              </w:rPr>
              <w:t>S2812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76E0CC5" w14:textId="77777777">
            <w:pPr>
              <w:jc w:val="center"/>
              <w:rPr>
                <w:color w:val="000000"/>
              </w:rPr>
            </w:pPr>
            <w:r>
              <w:rPr>
                <w:color w:val="000000"/>
              </w:rPr>
              <w:t>FM-6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3ECB08A" w14:textId="77777777">
            <w:pPr>
              <w:jc w:val="center"/>
              <w:rPr>
                <w:color w:val="000000"/>
              </w:rPr>
            </w:pPr>
            <w:r>
              <w:rPr>
                <w:color w:val="000000"/>
              </w:rPr>
              <w:t>GSO</w:t>
            </w:r>
          </w:p>
        </w:tc>
      </w:tr>
      <w:tr w14:paraId="2C7CFF15"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5C57F62"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4B4B73C" w14:textId="77777777">
            <w:pPr>
              <w:jc w:val="center"/>
              <w:rPr>
                <w:color w:val="000000"/>
              </w:rPr>
            </w:pPr>
            <w:r>
              <w:rPr>
                <w:color w:val="000000"/>
              </w:rPr>
              <w:t>S2415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3E62A19" w14:textId="77777777">
            <w:pPr>
              <w:jc w:val="center"/>
              <w:rPr>
                <w:color w:val="000000"/>
              </w:rPr>
            </w:pPr>
            <w:r>
              <w:rPr>
                <w:color w:val="000000"/>
              </w:rPr>
              <w:t>NSS-10</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FE9EEDA" w14:textId="77777777">
            <w:pPr>
              <w:jc w:val="center"/>
              <w:rPr>
                <w:color w:val="000000"/>
              </w:rPr>
            </w:pPr>
            <w:r>
              <w:rPr>
                <w:color w:val="000000"/>
              </w:rPr>
              <w:t>GSO</w:t>
            </w:r>
          </w:p>
        </w:tc>
      </w:tr>
      <w:tr w14:paraId="041B154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25292F5"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4DCA209" w14:textId="77777777">
            <w:pPr>
              <w:jc w:val="center"/>
              <w:rPr>
                <w:color w:val="000000"/>
              </w:rPr>
            </w:pPr>
            <w:r>
              <w:rPr>
                <w:color w:val="000000"/>
              </w:rPr>
              <w:t>S2162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5F4115B9" w14:textId="77777777">
            <w:pPr>
              <w:jc w:val="center"/>
              <w:rPr>
                <w:color w:val="000000"/>
              </w:rPr>
            </w:pPr>
            <w:r>
              <w:rPr>
                <w:color w:val="000000"/>
              </w:rPr>
              <w:t>AMC-3</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EEB4DF8" w14:textId="77777777">
            <w:pPr>
              <w:jc w:val="center"/>
              <w:rPr>
                <w:color w:val="000000"/>
              </w:rPr>
            </w:pPr>
            <w:r>
              <w:rPr>
                <w:color w:val="000000"/>
              </w:rPr>
              <w:t>GSO</w:t>
            </w:r>
          </w:p>
        </w:tc>
      </w:tr>
      <w:tr w14:paraId="7F5C92DB"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E0C6478"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C7705FE" w14:textId="77777777">
            <w:pPr>
              <w:jc w:val="center"/>
              <w:rPr>
                <w:color w:val="000000"/>
              </w:rPr>
            </w:pPr>
            <w:r>
              <w:rPr>
                <w:color w:val="000000"/>
              </w:rPr>
              <w:t>S2347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5D2DB62A" w14:textId="77777777">
            <w:pPr>
              <w:jc w:val="center"/>
              <w:rPr>
                <w:color w:val="000000"/>
              </w:rPr>
            </w:pPr>
            <w:r>
              <w:rPr>
                <w:color w:val="000000"/>
              </w:rPr>
              <w:t>AMC-6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DB261BE" w14:textId="77777777">
            <w:pPr>
              <w:jc w:val="center"/>
              <w:rPr>
                <w:color w:val="000000"/>
              </w:rPr>
            </w:pPr>
            <w:r>
              <w:rPr>
                <w:color w:val="000000"/>
              </w:rPr>
              <w:t>GSO</w:t>
            </w:r>
          </w:p>
        </w:tc>
      </w:tr>
      <w:tr w14:paraId="7B7C854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D7ADDC9"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D9B362C" w14:textId="77777777">
            <w:pPr>
              <w:jc w:val="center"/>
              <w:rPr>
                <w:color w:val="000000"/>
              </w:rPr>
            </w:pPr>
            <w:r>
              <w:rPr>
                <w:color w:val="000000"/>
              </w:rPr>
              <w:t>S2134</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679FAC5" w14:textId="77777777">
            <w:pPr>
              <w:jc w:val="center"/>
              <w:rPr>
                <w:color w:val="000000"/>
              </w:rPr>
            </w:pPr>
            <w:r>
              <w:rPr>
                <w:color w:val="000000"/>
              </w:rPr>
              <w:t>AMC-2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09627AA" w14:textId="77777777">
            <w:pPr>
              <w:jc w:val="center"/>
              <w:rPr>
                <w:color w:val="000000"/>
              </w:rPr>
            </w:pPr>
            <w:r>
              <w:rPr>
                <w:color w:val="000000"/>
              </w:rPr>
              <w:t>GSO</w:t>
            </w:r>
          </w:p>
        </w:tc>
      </w:tr>
      <w:tr w14:paraId="1EB6614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31159BE"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BACB858" w14:textId="77777777">
            <w:pPr>
              <w:jc w:val="center"/>
              <w:rPr>
                <w:color w:val="000000"/>
              </w:rPr>
            </w:pPr>
            <w:r>
              <w:rPr>
                <w:color w:val="000000"/>
              </w:rPr>
              <w:t>S2826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2C28FE95" w14:textId="77777777">
            <w:pPr>
              <w:jc w:val="center"/>
              <w:rPr>
                <w:color w:val="000000"/>
              </w:rPr>
            </w:pPr>
            <w:r>
              <w:rPr>
                <w:color w:val="000000"/>
              </w:rPr>
              <w:t>SES-2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BBB6249" w14:textId="77777777">
            <w:pPr>
              <w:jc w:val="center"/>
              <w:rPr>
                <w:color w:val="000000"/>
              </w:rPr>
            </w:pPr>
            <w:r>
              <w:rPr>
                <w:color w:val="000000"/>
              </w:rPr>
              <w:t>GSO</w:t>
            </w:r>
          </w:p>
        </w:tc>
      </w:tr>
      <w:tr w14:paraId="3811B72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5BF1465"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E7E4F98" w14:textId="77777777">
            <w:pPr>
              <w:jc w:val="center"/>
              <w:rPr>
                <w:color w:val="000000"/>
              </w:rPr>
            </w:pPr>
            <w:r>
              <w:rPr>
                <w:color w:val="000000"/>
              </w:rPr>
              <w:t>S2807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EC03915" w14:textId="77777777">
            <w:pPr>
              <w:jc w:val="center"/>
              <w:rPr>
                <w:color w:val="000000"/>
              </w:rPr>
            </w:pPr>
            <w:r>
              <w:rPr>
                <w:color w:val="000000"/>
              </w:rPr>
              <w:t>SES-1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F5AC3AD" w14:textId="77777777">
            <w:pPr>
              <w:jc w:val="center"/>
              <w:rPr>
                <w:color w:val="000000"/>
              </w:rPr>
            </w:pPr>
            <w:r>
              <w:rPr>
                <w:color w:val="000000"/>
              </w:rPr>
              <w:t>GSO</w:t>
            </w:r>
          </w:p>
        </w:tc>
      </w:tr>
      <w:tr w14:paraId="3AE90D2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AAC8EA4"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8E8EEE2" w14:textId="77777777">
            <w:pPr>
              <w:jc w:val="center"/>
              <w:rPr>
                <w:color w:val="000000"/>
              </w:rPr>
            </w:pPr>
            <w:r>
              <w:rPr>
                <w:color w:val="000000"/>
              </w:rPr>
              <w:t>S2892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B2154FA" w14:textId="77777777">
            <w:pPr>
              <w:jc w:val="center"/>
              <w:rPr>
                <w:color w:val="000000"/>
              </w:rPr>
            </w:pPr>
            <w:r>
              <w:rPr>
                <w:color w:val="000000"/>
              </w:rPr>
              <w:t>SES-3</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8C5E4D8" w14:textId="77777777">
            <w:pPr>
              <w:jc w:val="center"/>
              <w:rPr>
                <w:color w:val="000000"/>
              </w:rPr>
            </w:pPr>
            <w:r>
              <w:rPr>
                <w:color w:val="000000"/>
              </w:rPr>
              <w:t>GSO</w:t>
            </w:r>
          </w:p>
        </w:tc>
      </w:tr>
      <w:tr w14:paraId="153D3E1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9A9A2F3"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1BDD16B3" w14:textId="77777777">
            <w:pPr>
              <w:jc w:val="center"/>
              <w:rPr>
                <w:color w:val="000000"/>
              </w:rPr>
            </w:pPr>
            <w:r>
              <w:rPr>
                <w:color w:val="000000"/>
              </w:rPr>
              <w:t>S2180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BBCA361" w14:textId="77777777">
            <w:pPr>
              <w:jc w:val="center"/>
              <w:rPr>
                <w:color w:val="000000"/>
              </w:rPr>
            </w:pPr>
            <w:r>
              <w:rPr>
                <w:color w:val="000000"/>
              </w:rPr>
              <w:t>AMC-15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5ED46540" w14:textId="77777777">
            <w:pPr>
              <w:jc w:val="center"/>
              <w:rPr>
                <w:color w:val="000000"/>
              </w:rPr>
            </w:pPr>
            <w:r>
              <w:rPr>
                <w:color w:val="000000"/>
              </w:rPr>
              <w:t>GSO</w:t>
            </w:r>
          </w:p>
        </w:tc>
      </w:tr>
      <w:tr w14:paraId="3405274F"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984ADA8"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206FF0B" w14:textId="77777777">
            <w:pPr>
              <w:jc w:val="center"/>
              <w:rPr>
                <w:color w:val="000000"/>
              </w:rPr>
            </w:pPr>
            <w:r>
              <w:rPr>
                <w:color w:val="000000"/>
              </w:rPr>
              <w:t>S2445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17309E3" w14:textId="77777777">
            <w:pPr>
              <w:jc w:val="center"/>
              <w:rPr>
                <w:color w:val="000000"/>
              </w:rPr>
            </w:pPr>
            <w:r>
              <w:rPr>
                <w:color w:val="000000"/>
              </w:rPr>
              <w:t>AMC-1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54F087B" w14:textId="77777777">
            <w:pPr>
              <w:jc w:val="center"/>
              <w:rPr>
                <w:color w:val="000000"/>
              </w:rPr>
            </w:pPr>
            <w:r>
              <w:rPr>
                <w:color w:val="000000"/>
              </w:rPr>
              <w:t>GSO</w:t>
            </w:r>
          </w:p>
        </w:tc>
      </w:tr>
      <w:tr w14:paraId="500C11C3"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4C1D1C3"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A98EFAE" w14:textId="77777777">
            <w:pPr>
              <w:jc w:val="center"/>
              <w:rPr>
                <w:color w:val="000000"/>
              </w:rPr>
            </w:pPr>
            <w:r>
              <w:rPr>
                <w:color w:val="000000"/>
              </w:rPr>
              <w:t>S2135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82FD375" w14:textId="77777777">
            <w:pPr>
              <w:jc w:val="center"/>
              <w:rPr>
                <w:color w:val="000000"/>
              </w:rPr>
            </w:pPr>
            <w:r>
              <w:rPr>
                <w:color w:val="000000"/>
              </w:rPr>
              <w:t>AMC-4</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DD002E7" w14:textId="77777777">
            <w:pPr>
              <w:jc w:val="center"/>
              <w:rPr>
                <w:color w:val="000000"/>
              </w:rPr>
            </w:pPr>
            <w:r>
              <w:rPr>
                <w:color w:val="000000"/>
              </w:rPr>
              <w:t>GSO</w:t>
            </w:r>
          </w:p>
        </w:tc>
      </w:tr>
      <w:tr w14:paraId="1B07B857"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7A12485E"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A6F38E2" w14:textId="77777777">
            <w:pPr>
              <w:jc w:val="center"/>
              <w:rPr>
                <w:color w:val="000000"/>
              </w:rPr>
            </w:pPr>
            <w:r>
              <w:rPr>
                <w:color w:val="000000"/>
              </w:rPr>
              <w:t>S2155</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7E5FDF6" w14:textId="77777777">
            <w:pPr>
              <w:jc w:val="center"/>
              <w:rPr>
                <w:color w:val="000000"/>
              </w:rPr>
            </w:pPr>
            <w:r>
              <w:rPr>
                <w:color w:val="000000"/>
              </w:rPr>
              <w:t>AMC-7</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D4C8143" w14:textId="77777777">
            <w:pPr>
              <w:jc w:val="center"/>
              <w:rPr>
                <w:color w:val="000000"/>
              </w:rPr>
            </w:pPr>
            <w:r>
              <w:rPr>
                <w:color w:val="000000"/>
              </w:rPr>
              <w:t>GSO</w:t>
            </w:r>
          </w:p>
        </w:tc>
      </w:tr>
      <w:tr w14:paraId="318E7D60"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237A2A5"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B6760E4" w14:textId="77777777">
            <w:pPr>
              <w:jc w:val="center"/>
              <w:rPr>
                <w:color w:val="000000"/>
              </w:rPr>
            </w:pPr>
            <w:r>
              <w:rPr>
                <w:color w:val="000000"/>
              </w:rPr>
              <w:t>S2713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7FCF992" w14:textId="77777777">
            <w:pPr>
              <w:jc w:val="center"/>
              <w:rPr>
                <w:color w:val="000000"/>
              </w:rPr>
            </w:pPr>
            <w:r>
              <w:rPr>
                <w:color w:val="000000"/>
              </w:rPr>
              <w:t>AMC-18</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4EFF41DC" w14:textId="77777777">
            <w:pPr>
              <w:jc w:val="center"/>
              <w:rPr>
                <w:color w:val="000000"/>
              </w:rPr>
            </w:pPr>
            <w:r>
              <w:rPr>
                <w:color w:val="000000"/>
              </w:rPr>
              <w:t>GSO</w:t>
            </w:r>
          </w:p>
        </w:tc>
      </w:tr>
      <w:tr w14:paraId="48FEAA4A"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26C874B" w14:textId="77777777">
            <w:pPr>
              <w:rPr>
                <w:color w:val="000000"/>
              </w:rPr>
            </w:pPr>
            <w:r>
              <w:rPr>
                <w:color w:val="000000"/>
              </w:rPr>
              <w:t xml:space="preserve">SES </w:t>
            </w:r>
            <w:r>
              <w:rPr>
                <w:color w:val="000000"/>
              </w:rPr>
              <w:t>Americom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88F23A8" w14:textId="77777777">
            <w:pPr>
              <w:jc w:val="center"/>
              <w:rPr>
                <w:color w:val="000000"/>
              </w:rPr>
            </w:pPr>
            <w:r>
              <w:rPr>
                <w:color w:val="000000"/>
              </w:rPr>
              <w:t>S2433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0657D4F4" w14:textId="77777777">
            <w:pPr>
              <w:jc w:val="center"/>
              <w:rPr>
                <w:color w:val="000000"/>
              </w:rPr>
            </w:pPr>
            <w:r>
              <w:rPr>
                <w:color w:val="000000"/>
              </w:rPr>
              <w:t>AMC-11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2913DD9" w14:textId="77777777">
            <w:pPr>
              <w:jc w:val="center"/>
              <w:rPr>
                <w:color w:val="000000"/>
              </w:rPr>
            </w:pPr>
            <w:r>
              <w:rPr>
                <w:color w:val="000000"/>
              </w:rPr>
              <w:t>GSO</w:t>
            </w:r>
          </w:p>
        </w:tc>
      </w:tr>
      <w:tr w14:paraId="6EB7756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6CD7A77B" w14:textId="77777777">
            <w:pPr>
              <w:rPr>
                <w:color w:val="000000"/>
              </w:rPr>
            </w:pPr>
            <w:r>
              <w:rPr>
                <w:color w:val="000000"/>
              </w:rPr>
              <w:t xml:space="preserve">SES </w:t>
            </w:r>
            <w:r>
              <w:rPr>
                <w:color w:val="000000"/>
              </w:rPr>
              <w:t>Americom</w:t>
            </w:r>
            <w:r>
              <w:rPr>
                <w:color w:val="000000"/>
              </w:rPr>
              <w:t>, Inc./</w:t>
            </w:r>
            <w:r>
              <w:rPr>
                <w:color w:val="000000"/>
              </w:rPr>
              <w:t>Alascom</w:t>
            </w:r>
            <w:r>
              <w:rPr>
                <w:color w:val="000000"/>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8410848" w14:textId="77777777">
            <w:pPr>
              <w:jc w:val="center"/>
              <w:rPr>
                <w:color w:val="000000"/>
              </w:rPr>
            </w:pPr>
            <w:r>
              <w:rPr>
                <w:color w:val="000000"/>
              </w:rPr>
              <w:t>S2379</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1E76987" w14:textId="77777777">
            <w:pPr>
              <w:jc w:val="center"/>
              <w:rPr>
                <w:color w:val="000000"/>
              </w:rPr>
            </w:pPr>
            <w:r>
              <w:rPr>
                <w:color w:val="000000"/>
              </w:rPr>
              <w:t>AMC-8</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5C842CD" w14:textId="77777777">
            <w:pPr>
              <w:jc w:val="center"/>
              <w:rPr>
                <w:color w:val="000000"/>
              </w:rPr>
            </w:pPr>
            <w:r>
              <w:rPr>
                <w:color w:val="000000"/>
              </w:rPr>
              <w:t>GSO</w:t>
            </w:r>
          </w:p>
        </w:tc>
      </w:tr>
      <w:tr w14:paraId="4C77A1B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F1F1250" w14:textId="77777777">
            <w:pPr>
              <w:rPr>
                <w:color w:val="000000"/>
              </w:rPr>
            </w:pPr>
            <w:r>
              <w:rPr>
                <w:color w:val="000000"/>
              </w:rPr>
              <w:t xml:space="preserve">SES </w:t>
            </w:r>
            <w:r>
              <w:rPr>
                <w:color w:val="000000"/>
              </w:rPr>
              <w:t>Americom</w:t>
            </w:r>
            <w:r>
              <w:rPr>
                <w:color w:val="000000"/>
              </w:rPr>
              <w:t>, Inc./EchoStar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360E3525" w14:textId="77777777">
            <w:pPr>
              <w:jc w:val="center"/>
              <w:rPr>
                <w:color w:val="000000"/>
              </w:rPr>
            </w:pPr>
            <w:r>
              <w:rPr>
                <w:color w:val="000000"/>
              </w:rPr>
              <w:t>S2181</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5A199B1D" w14:textId="77777777">
            <w:pPr>
              <w:jc w:val="center"/>
              <w:rPr>
                <w:color w:val="000000"/>
              </w:rPr>
            </w:pPr>
            <w:r>
              <w:rPr>
                <w:color w:val="000000"/>
              </w:rPr>
              <w:t>AMC-16</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23609D1A" w14:textId="77777777">
            <w:pPr>
              <w:jc w:val="center"/>
              <w:rPr>
                <w:color w:val="000000"/>
              </w:rPr>
            </w:pPr>
            <w:r>
              <w:rPr>
                <w:color w:val="000000"/>
              </w:rPr>
              <w:t>GSO</w:t>
            </w:r>
          </w:p>
        </w:tc>
      </w:tr>
      <w:tr w14:paraId="243B63C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24830CCC" w14:textId="77777777">
            <w:pPr>
              <w:rPr>
                <w:color w:val="000000"/>
              </w:rPr>
            </w:pPr>
            <w:r>
              <w:rPr>
                <w:color w:val="000000"/>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28EAD7F" w14:textId="77777777">
            <w:pPr>
              <w:jc w:val="center"/>
              <w:rPr>
                <w:color w:val="000000"/>
              </w:rPr>
            </w:pPr>
            <w:r>
              <w:rPr>
                <w:color w:val="000000"/>
              </w:rPr>
              <w:t>S2710</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6A2D49A" w14:textId="77777777">
            <w:pPr>
              <w:jc w:val="center"/>
              <w:rPr>
                <w:color w:val="000000"/>
              </w:rPr>
            </w:pPr>
            <w:r>
              <w:rPr>
                <w:color w:val="000000"/>
              </w:rPr>
              <w:t>FM-5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6FC2EE43" w14:textId="77777777">
            <w:pPr>
              <w:jc w:val="center"/>
              <w:rPr>
                <w:color w:val="000000"/>
              </w:rPr>
            </w:pPr>
            <w:r>
              <w:rPr>
                <w:color w:val="000000"/>
              </w:rPr>
              <w:t>GSO</w:t>
            </w:r>
          </w:p>
        </w:tc>
      </w:tr>
      <w:tr w14:paraId="319164EE"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56F57E8" w14:textId="77777777">
            <w:pPr>
              <w:rPr>
                <w:color w:val="000000"/>
              </w:rPr>
            </w:pPr>
            <w:r>
              <w:rPr>
                <w:color w:val="000000"/>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B8C22DD" w14:textId="77777777">
            <w:pPr>
              <w:jc w:val="center"/>
              <w:rPr>
                <w:color w:val="000000"/>
              </w:rPr>
            </w:pPr>
            <w:r>
              <w:rPr>
                <w:color w:val="000000"/>
              </w:rPr>
              <w:t>S2933</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7A227257" w14:textId="77777777">
            <w:pPr>
              <w:jc w:val="center"/>
              <w:rPr>
                <w:color w:val="000000"/>
              </w:rPr>
            </w:pPr>
            <w:r>
              <w:rPr>
                <w:color w:val="000000"/>
              </w:rPr>
              <w:t>TELSTAR 12V</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6896FC4" w14:textId="77777777">
            <w:pPr>
              <w:jc w:val="center"/>
              <w:rPr>
                <w:color w:val="000000"/>
              </w:rPr>
            </w:pPr>
            <w:r>
              <w:rPr>
                <w:color w:val="000000"/>
              </w:rPr>
              <w:t>GSO</w:t>
            </w:r>
          </w:p>
        </w:tc>
      </w:tr>
      <w:tr w14:paraId="7DE84206"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1D9D72D" w14:textId="77777777">
            <w:pPr>
              <w:rPr>
                <w:color w:val="000000"/>
              </w:rPr>
            </w:pPr>
            <w:r>
              <w:rPr>
                <w:color w:val="000000"/>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D20B596" w14:textId="77777777">
            <w:pPr>
              <w:jc w:val="center"/>
              <w:rPr>
                <w:color w:val="000000"/>
              </w:rPr>
            </w:pPr>
            <w:r>
              <w:rPr>
                <w:color w:val="000000"/>
              </w:rPr>
              <w:t>S2357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3AE305F9" w14:textId="77777777">
            <w:pPr>
              <w:jc w:val="center"/>
              <w:rPr>
                <w:color w:val="000000"/>
              </w:rPr>
            </w:pPr>
            <w:r>
              <w:rPr>
                <w:color w:val="000000"/>
              </w:rPr>
              <w:t>TELSTAR 11N</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268EA10" w14:textId="77777777">
            <w:pPr>
              <w:jc w:val="center"/>
              <w:rPr>
                <w:color w:val="000000"/>
              </w:rPr>
            </w:pPr>
            <w:r>
              <w:rPr>
                <w:color w:val="000000"/>
              </w:rPr>
              <w:t>GSO</w:t>
            </w:r>
          </w:p>
        </w:tc>
      </w:tr>
      <w:tr w14:paraId="7164FF58"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5239D4B1" w14:textId="77777777">
            <w:pPr>
              <w:rPr>
                <w:color w:val="000000"/>
              </w:rPr>
            </w:pPr>
            <w:r>
              <w:rPr>
                <w:color w:val="000000"/>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FA17587" w14:textId="77777777">
            <w:pPr>
              <w:jc w:val="center"/>
              <w:rPr>
                <w:color w:val="000000"/>
              </w:rPr>
            </w:pPr>
            <w:r>
              <w:rPr>
                <w:color w:val="000000"/>
              </w:rPr>
              <w:t>S2462</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0266CBF" w14:textId="77777777">
            <w:pPr>
              <w:jc w:val="center"/>
              <w:rPr>
                <w:color w:val="000000"/>
              </w:rPr>
            </w:pPr>
            <w:r>
              <w:rPr>
                <w:color w:val="000000"/>
              </w:rPr>
              <w:t>TELSTAR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D26B7C7" w14:textId="77777777">
            <w:pPr>
              <w:jc w:val="center"/>
              <w:rPr>
                <w:color w:val="000000"/>
              </w:rPr>
            </w:pPr>
            <w:r>
              <w:rPr>
                <w:color w:val="000000"/>
              </w:rPr>
              <w:t>GSO</w:t>
            </w:r>
          </w:p>
        </w:tc>
      </w:tr>
      <w:tr w14:paraId="3309B05D"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AA4B9B2" w14:textId="77777777">
            <w:pPr>
              <w:rPr>
                <w:color w:val="000000"/>
              </w:rPr>
            </w:pPr>
            <w:r>
              <w:rPr>
                <w:color w:val="000000"/>
              </w:rPr>
              <w:t>Space Exploration Holdings,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2C74BCB4" w14:textId="77777777">
            <w:pPr>
              <w:jc w:val="center"/>
              <w:rPr>
                <w:color w:val="000000"/>
              </w:rPr>
            </w:pPr>
            <w:r>
              <w:rPr>
                <w:color w:val="000000"/>
              </w:rPr>
              <w:t>S2983/S3018</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15781378" w14:textId="77777777">
            <w:pPr>
              <w:jc w:val="center"/>
              <w:rPr>
                <w:color w:val="000000"/>
              </w:rPr>
            </w:pPr>
            <w:r>
              <w:rPr>
                <w:color w:val="000000"/>
              </w:rPr>
              <w:t>SPACEX Ku/Ka-BAND</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3A8FA069" w14:textId="77777777">
            <w:pPr>
              <w:jc w:val="center"/>
              <w:rPr>
                <w:color w:val="000000"/>
              </w:rPr>
            </w:pPr>
            <w:r>
              <w:rPr>
                <w:color w:val="000000"/>
              </w:rPr>
              <w:t>NGSO</w:t>
            </w:r>
          </w:p>
        </w:tc>
      </w:tr>
      <w:tr w14:paraId="3653C531"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15BFBFEC" w14:textId="77777777">
            <w:pPr>
              <w:rPr>
                <w:color w:val="000000"/>
              </w:rPr>
            </w:pPr>
            <w:r>
              <w:rPr>
                <w:color w:val="000000"/>
              </w:rPr>
              <w:t>Spire Global,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783275EE" w14:textId="77777777">
            <w:pPr>
              <w:jc w:val="center"/>
              <w:rPr>
                <w:color w:val="000000"/>
              </w:rPr>
            </w:pPr>
            <w:r>
              <w:rPr>
                <w:color w:val="000000"/>
              </w:rPr>
              <w:t>S2946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2E32A51" w14:textId="77777777">
            <w:pPr>
              <w:jc w:val="center"/>
              <w:rPr>
                <w:color w:val="000000"/>
              </w:rPr>
            </w:pPr>
            <w:r>
              <w:rPr>
                <w:color w:val="000000"/>
              </w:rPr>
              <w:t>LEMUR</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FDB2CD6" w14:textId="77777777">
            <w:pPr>
              <w:jc w:val="center"/>
              <w:rPr>
                <w:color w:val="000000"/>
              </w:rPr>
            </w:pPr>
            <w:r>
              <w:rPr>
                <w:color w:val="000000"/>
              </w:rPr>
              <w:t>NGSO</w:t>
            </w:r>
          </w:p>
        </w:tc>
      </w:tr>
      <w:tr w14:paraId="3406CFE4"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6C0AC29" w14:textId="77777777">
            <w:pPr>
              <w:rPr>
                <w:color w:val="000000"/>
              </w:rPr>
            </w:pPr>
            <w:r>
              <w:rPr>
                <w:color w:val="000000"/>
              </w:rPr>
              <w:t>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6899860C" w14:textId="77777777">
            <w:pPr>
              <w:jc w:val="center"/>
              <w:rPr>
                <w:color w:val="000000"/>
              </w:rPr>
            </w:pPr>
            <w:r>
              <w:rPr>
                <w:color w:val="000000"/>
              </w:rPr>
              <w:t>S2747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4B85C70" w14:textId="77777777">
            <w:pPr>
              <w:jc w:val="center"/>
              <w:rPr>
                <w:color w:val="000000"/>
              </w:rPr>
            </w:pPr>
            <w:r>
              <w:rPr>
                <w:color w:val="000000"/>
              </w:rPr>
              <w:t>VIASAT-1</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FBF2BFA" w14:textId="77777777">
            <w:pPr>
              <w:jc w:val="center"/>
              <w:rPr>
                <w:color w:val="000000"/>
              </w:rPr>
            </w:pPr>
            <w:r>
              <w:rPr>
                <w:color w:val="000000"/>
              </w:rPr>
              <w:t>GSO</w:t>
            </w:r>
          </w:p>
        </w:tc>
      </w:tr>
      <w:tr w14:paraId="0447202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04622EE8" w14:textId="77777777">
            <w:pPr>
              <w:rPr>
                <w:color w:val="000000"/>
              </w:rPr>
            </w:pPr>
            <w:r>
              <w:rPr>
                <w:color w:val="000000"/>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45AE1BED" w14:textId="77777777">
            <w:pPr>
              <w:jc w:val="center"/>
              <w:rPr>
                <w:color w:val="000000"/>
              </w:rPr>
            </w:pPr>
            <w:r>
              <w:rPr>
                <w:color w:val="000000"/>
              </w:rPr>
              <w:t>S2617</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43721BEE" w14:textId="77777777">
            <w:pPr>
              <w:jc w:val="center"/>
              <w:rPr>
                <w:color w:val="000000"/>
              </w:rPr>
            </w:pPr>
            <w:r>
              <w:rPr>
                <w:color w:val="000000"/>
              </w:rPr>
              <w:t>XM-3</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0BA64238" w14:textId="77777777">
            <w:pPr>
              <w:jc w:val="center"/>
              <w:rPr>
                <w:color w:val="000000"/>
              </w:rPr>
            </w:pPr>
            <w:r>
              <w:rPr>
                <w:color w:val="000000"/>
              </w:rPr>
              <w:t>GSO</w:t>
            </w:r>
          </w:p>
        </w:tc>
      </w:tr>
      <w:tr w14:paraId="774597B2"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37A87E43" w14:textId="77777777">
            <w:pPr>
              <w:rPr>
                <w:color w:val="000000"/>
              </w:rPr>
            </w:pPr>
            <w:r>
              <w:rPr>
                <w:color w:val="000000"/>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560095DF" w14:textId="77777777">
            <w:pPr>
              <w:jc w:val="center"/>
              <w:rPr>
                <w:color w:val="000000"/>
              </w:rPr>
            </w:pPr>
            <w:r>
              <w:rPr>
                <w:color w:val="000000"/>
              </w:rPr>
              <w:t>S2786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6F827B6D" w14:textId="77777777">
            <w:pPr>
              <w:jc w:val="center"/>
              <w:rPr>
                <w:color w:val="000000"/>
              </w:rPr>
            </w:pPr>
            <w:r>
              <w:rPr>
                <w:color w:val="000000"/>
              </w:rPr>
              <w:t>XM-5</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7BC6089E" w14:textId="77777777">
            <w:pPr>
              <w:jc w:val="center"/>
              <w:rPr>
                <w:color w:val="000000"/>
              </w:rPr>
            </w:pPr>
            <w:r>
              <w:rPr>
                <w:color w:val="000000"/>
              </w:rPr>
              <w:t>GSO</w:t>
            </w:r>
          </w:p>
        </w:tc>
      </w:tr>
      <w:tr w14:paraId="206D0588"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P="006B48CA" w14:paraId="43D98312" w14:textId="77777777">
            <w:pPr>
              <w:rPr>
                <w:color w:val="000000"/>
              </w:rPr>
            </w:pPr>
            <w:r>
              <w:rPr>
                <w:color w:val="000000"/>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9C1C1C" w:rsidP="006B48CA" w14:paraId="0A8629AD" w14:textId="77777777">
            <w:pPr>
              <w:jc w:val="center"/>
              <w:rPr>
                <w:color w:val="000000"/>
              </w:rPr>
            </w:pPr>
            <w:r>
              <w:rPr>
                <w:color w:val="000000"/>
              </w:rPr>
              <w:t>S2616</w:t>
            </w:r>
          </w:p>
        </w:tc>
        <w:tc>
          <w:tcPr>
            <w:tcW w:w="2558" w:type="dxa"/>
            <w:tcBorders>
              <w:top w:val="single" w:sz="4" w:space="0" w:color="auto"/>
              <w:left w:val="nil"/>
              <w:bottom w:val="single" w:sz="4" w:space="0" w:color="auto"/>
              <w:right w:val="single" w:sz="4" w:space="0" w:color="auto"/>
            </w:tcBorders>
            <w:shd w:val="clear" w:color="auto" w:fill="auto"/>
            <w:vAlign w:val="bottom"/>
          </w:tcPr>
          <w:p w:rsidR="009C1C1C" w:rsidP="006B48CA" w14:paraId="57F9870C" w14:textId="77777777">
            <w:pPr>
              <w:jc w:val="center"/>
              <w:rPr>
                <w:color w:val="000000"/>
              </w:rPr>
            </w:pPr>
            <w:r>
              <w:rPr>
                <w:color w:val="000000"/>
              </w:rPr>
              <w:t>XM-4</w:t>
            </w:r>
          </w:p>
        </w:tc>
        <w:tc>
          <w:tcPr>
            <w:tcW w:w="1260" w:type="dxa"/>
            <w:tcBorders>
              <w:top w:val="single" w:sz="4" w:space="0" w:color="auto"/>
              <w:left w:val="nil"/>
              <w:bottom w:val="single" w:sz="4" w:space="0" w:color="auto"/>
              <w:right w:val="single" w:sz="4" w:space="0" w:color="auto"/>
            </w:tcBorders>
            <w:shd w:val="clear" w:color="auto" w:fill="auto"/>
            <w:vAlign w:val="bottom"/>
          </w:tcPr>
          <w:p w:rsidR="009C1C1C" w:rsidP="006B48CA" w14:paraId="1ABEAFDA" w14:textId="77777777">
            <w:pPr>
              <w:jc w:val="center"/>
              <w:rPr>
                <w:color w:val="000000"/>
              </w:rPr>
            </w:pPr>
            <w:r>
              <w:rPr>
                <w:color w:val="000000"/>
              </w:rPr>
              <w:t>GSO</w:t>
            </w:r>
          </w:p>
        </w:tc>
      </w:tr>
    </w:tbl>
    <w:p w:rsidR="009C1C1C" w:rsidP="009C1C1C" w14:paraId="1179E2E3" w14:textId="77777777"/>
    <w:p w:rsidR="009C1C1C" w:rsidP="009C1C1C" w14:paraId="0C01E5F3" w14:textId="29E491D3"/>
    <w:p w:rsidR="003D5095" w:rsidP="009C1C1C" w14:paraId="40BB1D40" w14:textId="77777777"/>
    <w:p w:rsidR="009C1C1C" w:rsidP="009C1C1C" w14:paraId="3FDF59B1" w14:textId="77777777"/>
    <w:p w:rsidR="009C1C1C" w:rsidRPr="00F4288E" w:rsidP="009C1C1C" w14:paraId="7680C0E7" w14:textId="77777777">
      <w:pPr>
        <w:rPr>
          <w:b/>
          <w:bCs/>
        </w:rPr>
      </w:pPr>
      <w:r w:rsidRPr="00F4288E">
        <w:rPr>
          <w:b/>
          <w:bCs/>
        </w:rPr>
        <w:t>Non-U.S.</w:t>
      </w:r>
      <w:r>
        <w:rPr>
          <w:b/>
          <w:bCs/>
        </w:rPr>
        <w:t>-</w:t>
      </w:r>
      <w:r w:rsidRPr="00F4288E">
        <w:rPr>
          <w:b/>
          <w:bCs/>
        </w:rPr>
        <w:t>Licensed Space Stations – Market Access Through Petition for Declaratory Ruling</w:t>
      </w:r>
    </w:p>
    <w:p w:rsidR="009C1C1C" w:rsidP="009C1C1C" w14:paraId="44754372" w14:textId="77777777"/>
    <w:tbl>
      <w:tblPr>
        <w:tblW w:w="9445" w:type="dxa"/>
        <w:tblLook w:val="04A0"/>
      </w:tblPr>
      <w:tblGrid>
        <w:gridCol w:w="4225"/>
        <w:gridCol w:w="1440"/>
        <w:gridCol w:w="2610"/>
        <w:gridCol w:w="1170"/>
      </w:tblGrid>
      <w:tr w14:paraId="1FA0A862" w14:textId="77777777" w:rsidTr="006B48CA">
        <w:tblPrEx>
          <w:tblW w:w="9445" w:type="dxa"/>
          <w:tblLook w:val="04A0"/>
        </w:tblPrEx>
        <w:trPr>
          <w:trHeight w:val="300"/>
        </w:trPr>
        <w:tc>
          <w:tcPr>
            <w:tcW w:w="4225" w:type="dxa"/>
            <w:tcBorders>
              <w:top w:val="single" w:sz="4" w:space="0" w:color="auto"/>
              <w:left w:val="single" w:sz="4" w:space="0" w:color="auto"/>
              <w:bottom w:val="nil"/>
              <w:right w:val="single" w:sz="4" w:space="0" w:color="auto"/>
            </w:tcBorders>
            <w:shd w:val="clear" w:color="auto" w:fill="auto"/>
            <w:noWrap/>
            <w:vAlign w:val="bottom"/>
            <w:hideMark/>
          </w:tcPr>
          <w:p w:rsidR="009C1C1C" w:rsidRPr="00500EA4" w:rsidP="006B48CA" w14:paraId="61A94B0C" w14:textId="77777777">
            <w:pPr>
              <w:rPr>
                <w:rFonts w:ascii="Calibri" w:hAnsi="Calibri"/>
                <w:color w:val="000000"/>
              </w:rPr>
            </w:pPr>
            <w:r w:rsidRPr="00500EA4">
              <w:rPr>
                <w:rFonts w:ascii="Calibri" w:hAnsi="Calibri"/>
                <w:color w:val="000000"/>
              </w:rPr>
              <w:t> </w:t>
            </w:r>
          </w:p>
        </w:tc>
        <w:tc>
          <w:tcPr>
            <w:tcW w:w="1440" w:type="dxa"/>
            <w:tcBorders>
              <w:top w:val="single" w:sz="4" w:space="0" w:color="auto"/>
              <w:left w:val="nil"/>
              <w:bottom w:val="nil"/>
              <w:right w:val="single" w:sz="4" w:space="0" w:color="auto"/>
            </w:tcBorders>
            <w:shd w:val="clear" w:color="auto" w:fill="auto"/>
            <w:noWrap/>
            <w:vAlign w:val="bottom"/>
            <w:hideMark/>
          </w:tcPr>
          <w:p w:rsidR="009C1C1C" w:rsidRPr="00500EA4" w:rsidP="006B48CA" w14:paraId="36B0F502" w14:textId="77777777">
            <w:pPr>
              <w:rPr>
                <w:rFonts w:ascii="Calibri" w:hAnsi="Calibri"/>
                <w:color w:val="000000"/>
              </w:rPr>
            </w:pPr>
            <w:r w:rsidRPr="00500EA4">
              <w:rPr>
                <w:rFonts w:ascii="Calibri" w:hAnsi="Calibri"/>
                <w:color w:val="000000"/>
              </w:rPr>
              <w:t> </w:t>
            </w:r>
          </w:p>
        </w:tc>
        <w:tc>
          <w:tcPr>
            <w:tcW w:w="2610" w:type="dxa"/>
            <w:tcBorders>
              <w:top w:val="single" w:sz="4" w:space="0" w:color="auto"/>
              <w:left w:val="nil"/>
              <w:bottom w:val="nil"/>
              <w:right w:val="single" w:sz="4" w:space="0" w:color="auto"/>
            </w:tcBorders>
            <w:shd w:val="clear" w:color="auto" w:fill="auto"/>
            <w:noWrap/>
            <w:vAlign w:val="bottom"/>
            <w:hideMark/>
          </w:tcPr>
          <w:p w:rsidR="009C1C1C" w:rsidRPr="00500EA4" w:rsidP="006B48CA" w14:paraId="3DB42BE9" w14:textId="77777777">
            <w:pPr>
              <w:jc w:val="center"/>
              <w:rPr>
                <w:rFonts w:ascii="Calibri" w:hAnsi="Calibri"/>
                <w:b/>
                <w:bCs/>
                <w:color w:val="000000"/>
              </w:rPr>
            </w:pPr>
            <w:r w:rsidRPr="00500EA4">
              <w:rPr>
                <w:rFonts w:ascii="Calibri" w:hAnsi="Calibri"/>
                <w:b/>
                <w:bCs/>
                <w:color w:val="000000"/>
              </w:rPr>
              <w:t>SATELLITE</w:t>
            </w:r>
          </w:p>
        </w:tc>
        <w:tc>
          <w:tcPr>
            <w:tcW w:w="1170" w:type="dxa"/>
            <w:tcBorders>
              <w:top w:val="single" w:sz="4" w:space="0" w:color="auto"/>
              <w:left w:val="nil"/>
              <w:bottom w:val="nil"/>
              <w:right w:val="single" w:sz="4" w:space="0" w:color="auto"/>
            </w:tcBorders>
            <w:shd w:val="clear" w:color="auto" w:fill="auto"/>
            <w:noWrap/>
            <w:vAlign w:val="bottom"/>
            <w:hideMark/>
          </w:tcPr>
          <w:p w:rsidR="009C1C1C" w:rsidRPr="00500EA4" w:rsidP="006B48CA" w14:paraId="44056FD9" w14:textId="77777777">
            <w:pPr>
              <w:jc w:val="center"/>
              <w:rPr>
                <w:rFonts w:ascii="Calibri" w:hAnsi="Calibri"/>
                <w:b/>
                <w:bCs/>
                <w:color w:val="000000"/>
              </w:rPr>
            </w:pPr>
            <w:r w:rsidRPr="00500EA4">
              <w:rPr>
                <w:rFonts w:ascii="Calibri" w:hAnsi="Calibri"/>
                <w:b/>
                <w:bCs/>
                <w:color w:val="000000"/>
              </w:rPr>
              <w:t>SATELLITE</w:t>
            </w:r>
          </w:p>
        </w:tc>
      </w:tr>
      <w:tr w14:paraId="7340C2BA"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9C1C1C" w:rsidRPr="00500EA4" w:rsidP="006B48CA" w14:paraId="71687531" w14:textId="77777777">
            <w:pPr>
              <w:jc w:val="center"/>
              <w:rPr>
                <w:rFonts w:ascii="Calibri" w:hAnsi="Calibri"/>
                <w:b/>
                <w:bCs/>
                <w:color w:val="000000"/>
                <w:u w:val="single"/>
              </w:rPr>
            </w:pPr>
            <w:r w:rsidRPr="00500EA4">
              <w:rPr>
                <w:rFonts w:ascii="Calibri" w:hAnsi="Calibri"/>
                <w:b/>
                <w:bCs/>
                <w:color w:val="000000"/>
                <w:u w:val="single"/>
              </w:rPr>
              <w:t>LICENSEE</w:t>
            </w:r>
          </w:p>
        </w:tc>
        <w:tc>
          <w:tcPr>
            <w:tcW w:w="1440" w:type="dxa"/>
            <w:tcBorders>
              <w:top w:val="nil"/>
              <w:left w:val="nil"/>
              <w:bottom w:val="single" w:sz="4" w:space="0" w:color="auto"/>
              <w:right w:val="single" w:sz="4" w:space="0" w:color="auto"/>
            </w:tcBorders>
            <w:shd w:val="clear" w:color="auto" w:fill="auto"/>
            <w:noWrap/>
            <w:vAlign w:val="bottom"/>
            <w:hideMark/>
          </w:tcPr>
          <w:p w:rsidR="009C1C1C" w:rsidRPr="00500EA4" w:rsidP="006B48CA" w14:paraId="4F64BE7A" w14:textId="77777777">
            <w:pPr>
              <w:jc w:val="center"/>
              <w:rPr>
                <w:rFonts w:ascii="Calibri" w:hAnsi="Calibri"/>
                <w:b/>
                <w:bCs/>
                <w:color w:val="000000"/>
                <w:u w:val="single"/>
              </w:rPr>
            </w:pPr>
            <w:r w:rsidRPr="00500EA4">
              <w:rPr>
                <w:rFonts w:ascii="Calibri" w:hAnsi="Calibri"/>
                <w:b/>
                <w:bCs/>
                <w:color w:val="000000"/>
                <w:u w:val="single"/>
              </w:rPr>
              <w:t>CALL SIGN</w:t>
            </w:r>
          </w:p>
        </w:tc>
        <w:tc>
          <w:tcPr>
            <w:tcW w:w="2610" w:type="dxa"/>
            <w:tcBorders>
              <w:top w:val="nil"/>
              <w:left w:val="nil"/>
              <w:bottom w:val="single" w:sz="4" w:space="0" w:color="auto"/>
              <w:right w:val="single" w:sz="4" w:space="0" w:color="auto"/>
            </w:tcBorders>
            <w:shd w:val="clear" w:color="auto" w:fill="auto"/>
            <w:noWrap/>
            <w:vAlign w:val="bottom"/>
            <w:hideMark/>
          </w:tcPr>
          <w:p w:rsidR="009C1C1C" w:rsidRPr="00500EA4" w:rsidP="006B48CA" w14:paraId="66EC3AE4" w14:textId="77777777">
            <w:pPr>
              <w:jc w:val="center"/>
              <w:rPr>
                <w:rFonts w:ascii="Calibri" w:hAnsi="Calibri"/>
                <w:b/>
                <w:bCs/>
                <w:color w:val="000000"/>
                <w:u w:val="single"/>
              </w:rPr>
            </w:pPr>
            <w:r w:rsidRPr="00500EA4">
              <w:rPr>
                <w:rFonts w:ascii="Calibri" w:hAnsi="Calibri"/>
                <w:b/>
                <w:bCs/>
                <w:color w:val="000000"/>
                <w:u w:val="single"/>
              </w:rPr>
              <w:t>COMMON NAME</w:t>
            </w:r>
          </w:p>
        </w:tc>
        <w:tc>
          <w:tcPr>
            <w:tcW w:w="1170" w:type="dxa"/>
            <w:tcBorders>
              <w:top w:val="nil"/>
              <w:left w:val="nil"/>
              <w:bottom w:val="single" w:sz="4" w:space="0" w:color="auto"/>
              <w:right w:val="single" w:sz="4" w:space="0" w:color="auto"/>
            </w:tcBorders>
            <w:shd w:val="clear" w:color="auto" w:fill="auto"/>
            <w:noWrap/>
            <w:vAlign w:val="bottom"/>
            <w:hideMark/>
          </w:tcPr>
          <w:p w:rsidR="009C1C1C" w:rsidRPr="00500EA4" w:rsidP="006B48CA" w14:paraId="0F9C1E3D" w14:textId="77777777">
            <w:pPr>
              <w:jc w:val="center"/>
              <w:rPr>
                <w:rFonts w:ascii="Calibri" w:hAnsi="Calibri"/>
                <w:b/>
                <w:bCs/>
                <w:color w:val="000000"/>
                <w:u w:val="single"/>
              </w:rPr>
            </w:pPr>
            <w:r w:rsidRPr="00500EA4">
              <w:rPr>
                <w:rFonts w:ascii="Calibri" w:hAnsi="Calibri"/>
                <w:b/>
                <w:bCs/>
                <w:color w:val="000000"/>
                <w:u w:val="single"/>
              </w:rPr>
              <w:t>TYPE</w:t>
            </w:r>
          </w:p>
        </w:tc>
      </w:tr>
      <w:tr w14:paraId="251B9F07"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167B5F18" w14:textId="77777777">
            <w:pPr>
              <w:rPr>
                <w:color w:val="000000"/>
              </w:rPr>
            </w:pPr>
            <w:r>
              <w:rPr>
                <w:color w:val="000000"/>
              </w:rPr>
              <w:t>ABS Global Ltd.</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15FBE992" w14:textId="77777777">
            <w:pPr>
              <w:jc w:val="center"/>
              <w:rPr>
                <w:color w:val="000000"/>
              </w:rPr>
            </w:pPr>
            <w:r>
              <w:rPr>
                <w:color w:val="000000"/>
              </w:rPr>
              <w:t>S2987</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7C3C554F" w14:textId="77777777">
            <w:pPr>
              <w:jc w:val="center"/>
              <w:rPr>
                <w:color w:val="000000"/>
              </w:rPr>
            </w:pPr>
            <w:r>
              <w:rPr>
                <w:color w:val="000000"/>
              </w:rPr>
              <w:t>ABS-3A</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31A1BEA5" w14:textId="77777777">
            <w:pPr>
              <w:jc w:val="center"/>
              <w:rPr>
                <w:color w:val="000000"/>
              </w:rPr>
            </w:pPr>
            <w:r>
              <w:rPr>
                <w:color w:val="000000"/>
              </w:rPr>
              <w:t>GSO</w:t>
            </w:r>
          </w:p>
        </w:tc>
      </w:tr>
      <w:tr w14:paraId="16BE7E9D"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FB09647" w14:textId="77777777">
            <w:pPr>
              <w:rPr>
                <w:color w:val="000000"/>
              </w:rPr>
            </w:pPr>
            <w:r w:rsidRPr="00500EA4">
              <w:rPr>
                <w:color w:val="000000"/>
              </w:rPr>
              <w:t>DBSD Services Ltd</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2481E741" w14:textId="77777777">
            <w:pPr>
              <w:jc w:val="center"/>
              <w:rPr>
                <w:color w:val="000000"/>
              </w:rPr>
            </w:pPr>
            <w:r w:rsidRPr="00500EA4">
              <w:rPr>
                <w:color w:val="000000"/>
              </w:rPr>
              <w:t>S2651</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26916AB4" w14:textId="77777777">
            <w:pPr>
              <w:jc w:val="center"/>
              <w:rPr>
                <w:color w:val="000000"/>
              </w:rPr>
            </w:pPr>
            <w:r>
              <w:rPr>
                <w:color w:val="000000"/>
              </w:rPr>
              <w:t>DBSD</w:t>
            </w:r>
            <w:r w:rsidRPr="00500EA4">
              <w:rPr>
                <w:color w:val="000000"/>
              </w:rPr>
              <w:t xml:space="preserve"> G1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33B736CF" w14:textId="77777777">
            <w:pPr>
              <w:jc w:val="center"/>
              <w:rPr>
                <w:color w:val="000000"/>
              </w:rPr>
            </w:pPr>
            <w:r w:rsidRPr="00500EA4">
              <w:rPr>
                <w:color w:val="000000"/>
              </w:rPr>
              <w:t>GSO</w:t>
            </w:r>
          </w:p>
        </w:tc>
      </w:tr>
      <w:tr w14:paraId="46B88C4C"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50C1797" w14:textId="77777777">
            <w:pPr>
              <w:rPr>
                <w:color w:val="000000"/>
              </w:rPr>
            </w:pPr>
            <w:r w:rsidRPr="00500EA4">
              <w:rPr>
                <w:color w:val="000000"/>
              </w:rPr>
              <w:t>Empresa</w:t>
            </w:r>
            <w:r w:rsidRPr="00500EA4">
              <w:rPr>
                <w:color w:val="000000"/>
              </w:rPr>
              <w:t xml:space="preserve"> Argentina </w:t>
            </w:r>
            <w:r>
              <w:rPr>
                <w:color w:val="000000"/>
              </w:rPr>
              <w:t>d</w:t>
            </w:r>
            <w:r w:rsidRPr="00500EA4">
              <w:rPr>
                <w:color w:val="000000"/>
              </w:rPr>
              <w:t xml:space="preserve">e </w:t>
            </w:r>
            <w:r w:rsidRPr="00500EA4">
              <w:rPr>
                <w:color w:val="000000"/>
              </w:rPr>
              <w:t>Soluciones</w:t>
            </w:r>
            <w:r w:rsidRPr="00500EA4">
              <w:rPr>
                <w:color w:val="000000"/>
              </w:rPr>
              <w:t xml:space="preserve"> </w:t>
            </w:r>
            <w:r w:rsidRPr="00500EA4">
              <w:rPr>
                <w:color w:val="000000"/>
              </w:rPr>
              <w:t>Satelitales</w:t>
            </w:r>
            <w:r w:rsidRPr="00500EA4">
              <w:rPr>
                <w:color w:val="000000"/>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5BF1CB6E" w14:textId="77777777">
            <w:pPr>
              <w:jc w:val="center"/>
              <w:rPr>
                <w:color w:val="000000"/>
              </w:rPr>
            </w:pPr>
            <w:r w:rsidRPr="00500EA4">
              <w:rPr>
                <w:color w:val="000000"/>
              </w:rPr>
              <w:t>S2956</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6616110D" w14:textId="77777777">
            <w:pPr>
              <w:jc w:val="center"/>
              <w:rPr>
                <w:color w:val="000000"/>
              </w:rPr>
            </w:pPr>
            <w:r w:rsidRPr="00500EA4">
              <w:rPr>
                <w:color w:val="000000"/>
              </w:rPr>
              <w:t>ARSAT-2</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7799149C" w14:textId="77777777">
            <w:pPr>
              <w:jc w:val="center"/>
              <w:rPr>
                <w:color w:val="000000"/>
              </w:rPr>
            </w:pPr>
            <w:r w:rsidRPr="00500EA4">
              <w:rPr>
                <w:color w:val="000000"/>
              </w:rPr>
              <w:t>GSO</w:t>
            </w:r>
          </w:p>
        </w:tc>
      </w:tr>
      <w:tr w14:paraId="233C3670"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30EB218B" w14:textId="77777777">
            <w:pPr>
              <w:rPr>
                <w:color w:val="000000"/>
              </w:rPr>
            </w:pPr>
            <w:r w:rsidRPr="00500EA4">
              <w:rPr>
                <w:color w:val="000000"/>
              </w:rPr>
              <w:t>European Telecommunications Satellite Organization</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4772947B" w14:textId="77777777">
            <w:pPr>
              <w:jc w:val="center"/>
              <w:rPr>
                <w:color w:val="000000"/>
              </w:rPr>
            </w:pPr>
            <w:r w:rsidRPr="00500EA4">
              <w:rPr>
                <w:color w:val="000000"/>
              </w:rPr>
              <w:t>S2596</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11B71B5D" w14:textId="77777777">
            <w:pPr>
              <w:jc w:val="center"/>
              <w:rPr>
                <w:color w:val="000000"/>
              </w:rPr>
            </w:pPr>
            <w:r w:rsidRPr="00500EA4">
              <w:rPr>
                <w:color w:val="000000"/>
              </w:rPr>
              <w:t>Atlantic Bird 2</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38A168BF" w14:textId="77777777">
            <w:pPr>
              <w:jc w:val="center"/>
              <w:rPr>
                <w:color w:val="000000"/>
              </w:rPr>
            </w:pPr>
            <w:r w:rsidRPr="00500EA4">
              <w:rPr>
                <w:color w:val="000000"/>
              </w:rPr>
              <w:t>GSO</w:t>
            </w:r>
          </w:p>
        </w:tc>
      </w:tr>
      <w:tr w14:paraId="11F14D2D"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5801325D" w14:textId="77777777">
            <w:pPr>
              <w:rPr>
                <w:color w:val="000000"/>
              </w:rPr>
            </w:pPr>
            <w:r>
              <w:rPr>
                <w:color w:val="000000"/>
              </w:rPr>
              <w:t>European Telecommunications Satellite Organization</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40F60528" w14:textId="77777777">
            <w:pPr>
              <w:jc w:val="center"/>
              <w:rPr>
                <w:color w:val="000000"/>
              </w:rPr>
            </w:pPr>
            <w:r>
              <w:rPr>
                <w:color w:val="000000"/>
              </w:rPr>
              <w:t>S3031</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3930B489" w14:textId="77777777">
            <w:pPr>
              <w:jc w:val="center"/>
              <w:rPr>
                <w:color w:val="000000"/>
              </w:rPr>
            </w:pPr>
            <w:r>
              <w:rPr>
                <w:color w:val="000000"/>
              </w:rPr>
              <w:t>EUTELSAT 133 WEST A</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1C8ABFEB" w14:textId="77777777">
            <w:pPr>
              <w:jc w:val="center"/>
              <w:rPr>
                <w:color w:val="000000"/>
              </w:rPr>
            </w:pPr>
            <w:r>
              <w:rPr>
                <w:color w:val="000000"/>
              </w:rPr>
              <w:t>GSO</w:t>
            </w:r>
          </w:p>
        </w:tc>
      </w:tr>
      <w:tr w14:paraId="25D208E5"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712A70AA" w14:textId="77777777">
            <w:pPr>
              <w:rPr>
                <w:color w:val="000000"/>
              </w:rPr>
            </w:pPr>
            <w:r w:rsidRPr="00500EA4">
              <w:rPr>
                <w:color w:val="000000"/>
              </w:rPr>
              <w:t>Gamma Acquisition L.L.C.</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0431283E" w14:textId="77777777">
            <w:pPr>
              <w:jc w:val="center"/>
              <w:rPr>
                <w:color w:val="000000"/>
              </w:rPr>
            </w:pPr>
            <w:r w:rsidRPr="00500EA4">
              <w:rPr>
                <w:color w:val="000000"/>
              </w:rPr>
              <w:t>S2633</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6CE17703" w14:textId="77777777">
            <w:pPr>
              <w:jc w:val="center"/>
              <w:rPr>
                <w:color w:val="000000"/>
              </w:rPr>
            </w:pPr>
            <w:r w:rsidRPr="00500EA4">
              <w:rPr>
                <w:color w:val="000000"/>
              </w:rPr>
              <w:t>TerreStar</w:t>
            </w:r>
            <w:r w:rsidRPr="00500EA4">
              <w:rPr>
                <w:color w:val="000000"/>
              </w:rPr>
              <w:t xml:space="preserve"> 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209F998A" w14:textId="77777777">
            <w:pPr>
              <w:jc w:val="center"/>
              <w:rPr>
                <w:color w:val="000000"/>
              </w:rPr>
            </w:pPr>
            <w:r w:rsidRPr="00500EA4">
              <w:rPr>
                <w:color w:val="000000"/>
              </w:rPr>
              <w:t>GSO</w:t>
            </w:r>
          </w:p>
        </w:tc>
      </w:tr>
      <w:tr w14:paraId="4D579899"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05ABF0CB" w14:textId="77777777">
            <w:pPr>
              <w:rPr>
                <w:color w:val="000000"/>
              </w:rPr>
            </w:pPr>
            <w:r w:rsidRPr="00CC1F19">
              <w:rPr>
                <w:color w:val="000000"/>
              </w:rPr>
              <w:t>Hispamar</w:t>
            </w:r>
            <w:r w:rsidRPr="00CC1F19">
              <w:rPr>
                <w:color w:val="000000"/>
              </w:rPr>
              <w:t xml:space="preserve"> </w:t>
            </w:r>
            <w:r w:rsidRPr="00CC1F19">
              <w:rPr>
                <w:color w:val="000000"/>
              </w:rPr>
              <w:t>Satélites</w:t>
            </w:r>
            <w:r w:rsidRPr="00CC1F19">
              <w:rPr>
                <w:color w:val="000000"/>
              </w:rPr>
              <w:t>, S.A.</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304146AE" w14:textId="77777777">
            <w:pPr>
              <w:jc w:val="center"/>
              <w:rPr>
                <w:color w:val="000000"/>
              </w:rPr>
            </w:pPr>
            <w:r w:rsidRPr="00500EA4">
              <w:rPr>
                <w:color w:val="000000"/>
              </w:rPr>
              <w:t>S2793</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53415E1F" w14:textId="77777777">
            <w:pPr>
              <w:jc w:val="center"/>
              <w:rPr>
                <w:color w:val="000000"/>
              </w:rPr>
            </w:pPr>
            <w:r w:rsidRPr="00500EA4">
              <w:rPr>
                <w:color w:val="000000"/>
              </w:rPr>
              <w:t>AMAZONAS-2</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0DC4AE18" w14:textId="77777777">
            <w:pPr>
              <w:jc w:val="center"/>
              <w:rPr>
                <w:color w:val="000000"/>
              </w:rPr>
            </w:pPr>
            <w:r w:rsidRPr="00500EA4">
              <w:rPr>
                <w:color w:val="000000"/>
              </w:rPr>
              <w:t>GSO</w:t>
            </w:r>
          </w:p>
        </w:tc>
      </w:tr>
      <w:tr w14:paraId="7A685A51"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3486032B" w14:textId="77777777">
            <w:pPr>
              <w:rPr>
                <w:color w:val="000000"/>
              </w:rPr>
            </w:pPr>
            <w:r w:rsidRPr="006E5954">
              <w:rPr>
                <w:color w:val="000000"/>
              </w:rPr>
              <w:t>Hispamar</w:t>
            </w:r>
            <w:r w:rsidRPr="006E5954">
              <w:rPr>
                <w:color w:val="000000"/>
              </w:rPr>
              <w:t xml:space="preserve"> </w:t>
            </w:r>
            <w:r w:rsidRPr="006E5954">
              <w:rPr>
                <w:color w:val="000000"/>
              </w:rPr>
              <w:t>Satélites</w:t>
            </w:r>
            <w:r w:rsidRPr="006E5954">
              <w:rPr>
                <w:color w:val="000000"/>
              </w:rPr>
              <w:t>, S.A.</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14345D71" w14:textId="77777777">
            <w:pPr>
              <w:jc w:val="center"/>
              <w:rPr>
                <w:color w:val="000000"/>
              </w:rPr>
            </w:pPr>
            <w:r w:rsidRPr="006E5954">
              <w:rPr>
                <w:color w:val="000000"/>
              </w:rPr>
              <w:t>S2886</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37F18334" w14:textId="77777777">
            <w:pPr>
              <w:jc w:val="center"/>
              <w:rPr>
                <w:color w:val="000000"/>
              </w:rPr>
            </w:pPr>
            <w:r>
              <w:rPr>
                <w:color w:val="000000"/>
              </w:rPr>
              <w:t>AMAZONAS-3</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474342D9" w14:textId="77777777">
            <w:pPr>
              <w:jc w:val="center"/>
              <w:rPr>
                <w:color w:val="000000"/>
              </w:rPr>
            </w:pPr>
            <w:r>
              <w:rPr>
                <w:color w:val="000000"/>
              </w:rPr>
              <w:t>GSO</w:t>
            </w:r>
          </w:p>
        </w:tc>
      </w:tr>
      <w:tr w14:paraId="7ACBDBEB"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105DCD50" w14:textId="77777777">
            <w:pPr>
              <w:rPr>
                <w:color w:val="000000"/>
              </w:rPr>
            </w:pPr>
            <w:r w:rsidRPr="00500EA4">
              <w:rPr>
                <w:color w:val="000000"/>
              </w:rPr>
              <w:t>Hispasat</w:t>
            </w:r>
            <w:r w:rsidRPr="00500EA4">
              <w:rPr>
                <w:color w:val="000000"/>
              </w:rPr>
              <w:t>, S.A.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799A4183" w14:textId="77777777">
            <w:pPr>
              <w:jc w:val="center"/>
              <w:rPr>
                <w:color w:val="000000"/>
              </w:rPr>
            </w:pPr>
            <w:r w:rsidRPr="00500EA4">
              <w:rPr>
                <w:color w:val="000000"/>
              </w:rPr>
              <w:t>S2969</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2DD03B6C" w14:textId="77777777">
            <w:pPr>
              <w:jc w:val="center"/>
              <w:rPr>
                <w:color w:val="000000"/>
              </w:rPr>
            </w:pPr>
            <w:r w:rsidRPr="00500EA4">
              <w:rPr>
                <w:color w:val="000000"/>
              </w:rPr>
              <w:t>HISPASAT 30W-6</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28846964" w14:textId="77777777">
            <w:pPr>
              <w:jc w:val="center"/>
              <w:rPr>
                <w:color w:val="000000"/>
              </w:rPr>
            </w:pPr>
            <w:r w:rsidRPr="00500EA4">
              <w:rPr>
                <w:color w:val="000000"/>
              </w:rPr>
              <w:t>GSO</w:t>
            </w:r>
          </w:p>
        </w:tc>
      </w:tr>
      <w:tr w14:paraId="7DE3ADCA"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79C0C838" w14:textId="77777777">
            <w:pPr>
              <w:rPr>
                <w:color w:val="000000"/>
              </w:rPr>
            </w:pPr>
            <w:r w:rsidRPr="00500EA4">
              <w:rPr>
                <w:color w:val="000000"/>
              </w:rPr>
              <w:t>Horizons-1 Satellite LLC</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73CE044D" w14:textId="77777777">
            <w:pPr>
              <w:jc w:val="center"/>
              <w:rPr>
                <w:color w:val="000000"/>
              </w:rPr>
            </w:pPr>
            <w:r w:rsidRPr="00500EA4">
              <w:rPr>
                <w:color w:val="000000"/>
              </w:rPr>
              <w:t>S2970/S3049</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187F6D5" w14:textId="77777777">
            <w:pPr>
              <w:jc w:val="center"/>
              <w:rPr>
                <w:color w:val="000000"/>
              </w:rPr>
            </w:pPr>
            <w:r w:rsidRPr="00500EA4">
              <w:rPr>
                <w:color w:val="000000"/>
              </w:rPr>
              <w:t xml:space="preserve">HORIZONS-1 </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181522C5" w14:textId="77777777">
            <w:pPr>
              <w:jc w:val="center"/>
              <w:rPr>
                <w:color w:val="000000"/>
              </w:rPr>
            </w:pPr>
            <w:r w:rsidRPr="00500EA4">
              <w:rPr>
                <w:color w:val="000000"/>
              </w:rPr>
              <w:t>GSO</w:t>
            </w:r>
          </w:p>
        </w:tc>
      </w:tr>
      <w:tr w14:paraId="3F68C7FE"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28F1080" w14:textId="77777777">
            <w:pPr>
              <w:rPr>
                <w:color w:val="000000"/>
              </w:rPr>
            </w:pPr>
            <w:r w:rsidRPr="00500EA4">
              <w:rPr>
                <w:color w:val="000000"/>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6578CA8D" w14:textId="77777777">
            <w:pPr>
              <w:jc w:val="center"/>
              <w:rPr>
                <w:color w:val="000000"/>
              </w:rPr>
            </w:pPr>
            <w:r w:rsidRPr="00500EA4">
              <w:rPr>
                <w:color w:val="000000"/>
              </w:rPr>
              <w:t>S2780</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65FF6B12" w14:textId="77777777">
            <w:pPr>
              <w:jc w:val="center"/>
              <w:rPr>
                <w:color w:val="000000"/>
              </w:rPr>
            </w:pPr>
            <w:r w:rsidRPr="00500EA4">
              <w:rPr>
                <w:color w:val="000000"/>
              </w:rPr>
              <w:t>I2F1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12BB884E" w14:textId="77777777">
            <w:pPr>
              <w:jc w:val="center"/>
              <w:rPr>
                <w:color w:val="000000"/>
              </w:rPr>
            </w:pPr>
            <w:r w:rsidRPr="00500EA4">
              <w:rPr>
                <w:color w:val="000000"/>
              </w:rPr>
              <w:t>GSO</w:t>
            </w:r>
          </w:p>
        </w:tc>
      </w:tr>
      <w:tr w14:paraId="720E1056"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31CD22D5" w14:textId="77777777">
            <w:pPr>
              <w:rPr>
                <w:color w:val="000000"/>
              </w:rPr>
            </w:pPr>
            <w:r w:rsidRPr="00500EA4">
              <w:rPr>
                <w:color w:val="000000"/>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25BE0AC4" w14:textId="77777777">
            <w:pPr>
              <w:jc w:val="center"/>
              <w:rPr>
                <w:color w:val="000000"/>
              </w:rPr>
            </w:pPr>
            <w:r w:rsidRPr="00500EA4">
              <w:rPr>
                <w:color w:val="000000"/>
              </w:rPr>
              <w:t>S2932</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06AFBC53" w14:textId="77777777">
            <w:pPr>
              <w:jc w:val="center"/>
              <w:rPr>
                <w:color w:val="000000"/>
              </w:rPr>
            </w:pPr>
            <w:r w:rsidRPr="00500EA4">
              <w:rPr>
                <w:color w:val="000000"/>
              </w:rPr>
              <w:t>Inmarsat-4 F3</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1ED87BB2" w14:textId="77777777">
            <w:pPr>
              <w:jc w:val="center"/>
              <w:rPr>
                <w:color w:val="000000"/>
              </w:rPr>
            </w:pPr>
            <w:r w:rsidRPr="00500EA4">
              <w:rPr>
                <w:color w:val="000000"/>
              </w:rPr>
              <w:t>GSO</w:t>
            </w:r>
          </w:p>
        </w:tc>
      </w:tr>
      <w:tr w14:paraId="42F33851"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095A7AF" w14:textId="77777777">
            <w:pPr>
              <w:rPr>
                <w:color w:val="000000"/>
              </w:rPr>
            </w:pPr>
            <w:r w:rsidRPr="00500EA4">
              <w:rPr>
                <w:color w:val="000000"/>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284EA28B" w14:textId="77777777">
            <w:pPr>
              <w:jc w:val="center"/>
              <w:rPr>
                <w:color w:val="000000"/>
              </w:rPr>
            </w:pPr>
            <w:r w:rsidRPr="00500EA4">
              <w:rPr>
                <w:color w:val="000000"/>
              </w:rPr>
              <w:t>S2949</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6BBE6A49" w14:textId="77777777">
            <w:pPr>
              <w:jc w:val="center"/>
              <w:rPr>
                <w:color w:val="000000"/>
              </w:rPr>
            </w:pPr>
            <w:r w:rsidRPr="00500EA4">
              <w:rPr>
                <w:color w:val="000000"/>
              </w:rPr>
              <w:t>Inmarsat-3 F5</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030070C7" w14:textId="77777777">
            <w:pPr>
              <w:jc w:val="center"/>
              <w:rPr>
                <w:color w:val="000000"/>
              </w:rPr>
            </w:pPr>
            <w:r w:rsidRPr="00500EA4">
              <w:rPr>
                <w:color w:val="000000"/>
              </w:rPr>
              <w:t>GSO</w:t>
            </w:r>
          </w:p>
        </w:tc>
      </w:tr>
      <w:tr w14:paraId="17007974"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07C453D9" w14:textId="77777777">
            <w:pPr>
              <w:rPr>
                <w:color w:val="000000"/>
              </w:rPr>
            </w:pPr>
            <w:r w:rsidRPr="00500EA4">
              <w:rPr>
                <w:color w:val="000000"/>
              </w:rPr>
              <w:t>Intelsat License LLC</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11D15CD7" w14:textId="77777777">
            <w:pPr>
              <w:jc w:val="center"/>
              <w:rPr>
                <w:color w:val="000000"/>
              </w:rPr>
            </w:pPr>
            <w:r w:rsidRPr="00500EA4">
              <w:rPr>
                <w:color w:val="000000"/>
              </w:rPr>
              <w:t>S2592/S2868</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27E34FA4" w14:textId="77777777">
            <w:pPr>
              <w:jc w:val="center"/>
              <w:rPr>
                <w:color w:val="000000"/>
              </w:rPr>
            </w:pPr>
            <w:r w:rsidRPr="00500EA4">
              <w:rPr>
                <w:color w:val="000000"/>
              </w:rPr>
              <w:t>Galaxy 23</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56730E82" w14:textId="77777777">
            <w:pPr>
              <w:jc w:val="center"/>
              <w:rPr>
                <w:color w:val="000000"/>
              </w:rPr>
            </w:pPr>
            <w:r w:rsidRPr="00500EA4">
              <w:rPr>
                <w:color w:val="000000"/>
              </w:rPr>
              <w:t>GSO</w:t>
            </w:r>
          </w:p>
        </w:tc>
      </w:tr>
      <w:tr w14:paraId="5A9FBDC7"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08402405" w14:textId="77777777">
            <w:pPr>
              <w:rPr>
                <w:color w:val="000000"/>
              </w:rPr>
            </w:pPr>
            <w:r>
              <w:rPr>
                <w:color w:val="000000"/>
              </w:rPr>
              <w:t>Intelsat License LLC</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1FB2953B" w14:textId="77777777">
            <w:pPr>
              <w:jc w:val="center"/>
              <w:rPr>
                <w:color w:val="000000"/>
              </w:rPr>
            </w:pPr>
            <w:r>
              <w:rPr>
                <w:color w:val="000000"/>
              </w:rPr>
              <w:t>S3058</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2113C1DE" w14:textId="77777777">
            <w:pPr>
              <w:jc w:val="center"/>
              <w:rPr>
                <w:color w:val="000000"/>
              </w:rPr>
            </w:pPr>
            <w:r>
              <w:rPr>
                <w:color w:val="000000"/>
              </w:rPr>
              <w:t>HISPASAT 143W-1</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0E01156D" w14:textId="77777777">
            <w:pPr>
              <w:jc w:val="center"/>
              <w:rPr>
                <w:color w:val="000000"/>
              </w:rPr>
            </w:pPr>
            <w:r>
              <w:rPr>
                <w:color w:val="000000"/>
              </w:rPr>
              <w:t>GSO</w:t>
            </w:r>
          </w:p>
        </w:tc>
      </w:tr>
      <w:tr w14:paraId="510DF8DC" w14:textId="77777777" w:rsidTr="006B48CA">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9C1C1C" w:rsidRPr="00500EA4" w:rsidP="006B48CA" w14:paraId="3D406A90" w14:textId="77777777">
            <w:pPr>
              <w:rPr>
                <w:color w:val="000000"/>
              </w:rPr>
            </w:pPr>
            <w:r>
              <w:rPr>
                <w:color w:val="000000"/>
              </w:rPr>
              <w:t>Kepler Communications Inc.</w:t>
            </w:r>
          </w:p>
        </w:tc>
        <w:tc>
          <w:tcPr>
            <w:tcW w:w="1440" w:type="dxa"/>
            <w:tcBorders>
              <w:top w:val="single" w:sz="4" w:space="0" w:color="auto"/>
              <w:left w:val="nil"/>
              <w:bottom w:val="single" w:sz="4" w:space="0" w:color="auto"/>
              <w:right w:val="single" w:sz="4" w:space="0" w:color="auto"/>
            </w:tcBorders>
            <w:shd w:val="clear" w:color="auto" w:fill="auto"/>
            <w:vAlign w:val="bottom"/>
          </w:tcPr>
          <w:p w:rsidR="009C1C1C" w:rsidRPr="00500EA4" w:rsidP="006B48CA" w14:paraId="6B44E609" w14:textId="77777777">
            <w:pPr>
              <w:jc w:val="center"/>
              <w:rPr>
                <w:color w:val="000000"/>
              </w:rPr>
            </w:pPr>
            <w:r>
              <w:rPr>
                <w:color w:val="000000"/>
              </w:rPr>
              <w:t>S2981</w:t>
            </w:r>
          </w:p>
        </w:tc>
        <w:tc>
          <w:tcPr>
            <w:tcW w:w="2610" w:type="dxa"/>
            <w:tcBorders>
              <w:top w:val="single" w:sz="4" w:space="0" w:color="auto"/>
              <w:left w:val="nil"/>
              <w:bottom w:val="single" w:sz="4" w:space="0" w:color="auto"/>
              <w:right w:val="single" w:sz="4" w:space="0" w:color="auto"/>
            </w:tcBorders>
            <w:shd w:val="clear" w:color="auto" w:fill="auto"/>
            <w:vAlign w:val="bottom"/>
          </w:tcPr>
          <w:p w:rsidR="009C1C1C" w:rsidRPr="00500EA4" w:rsidP="006B48CA" w14:paraId="4D39CB4C" w14:textId="77777777">
            <w:pPr>
              <w:jc w:val="center"/>
              <w:rPr>
                <w:color w:val="000000"/>
              </w:rPr>
            </w:pPr>
            <w:r>
              <w:rPr>
                <w:color w:val="000000"/>
              </w:rPr>
              <w:t>KEPLER</w:t>
            </w:r>
          </w:p>
        </w:tc>
        <w:tc>
          <w:tcPr>
            <w:tcW w:w="1170" w:type="dxa"/>
            <w:tcBorders>
              <w:top w:val="single" w:sz="4" w:space="0" w:color="auto"/>
              <w:left w:val="nil"/>
              <w:bottom w:val="single" w:sz="4" w:space="0" w:color="auto"/>
              <w:right w:val="single" w:sz="4" w:space="0" w:color="auto"/>
            </w:tcBorders>
            <w:shd w:val="clear" w:color="auto" w:fill="auto"/>
            <w:vAlign w:val="bottom"/>
          </w:tcPr>
          <w:p w:rsidR="009C1C1C" w:rsidRPr="00500EA4" w:rsidP="006B48CA" w14:paraId="3D390F55" w14:textId="77777777">
            <w:pPr>
              <w:jc w:val="center"/>
              <w:rPr>
                <w:color w:val="000000"/>
              </w:rPr>
            </w:pPr>
            <w:r>
              <w:rPr>
                <w:color w:val="000000"/>
              </w:rPr>
              <w:t>NGSO</w:t>
            </w:r>
          </w:p>
        </w:tc>
      </w:tr>
      <w:tr w14:paraId="67AD4666"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2010E69E" w14:textId="77777777">
            <w:pPr>
              <w:rPr>
                <w:color w:val="000000"/>
              </w:rPr>
            </w:pPr>
            <w:r w:rsidRPr="00500EA4">
              <w:rPr>
                <w:color w:val="000000"/>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436BF4F2" w14:textId="77777777">
            <w:pPr>
              <w:jc w:val="center"/>
              <w:rPr>
                <w:color w:val="000000"/>
              </w:rPr>
            </w:pPr>
            <w:r w:rsidRPr="00500EA4">
              <w:rPr>
                <w:color w:val="000000"/>
              </w:rPr>
              <w:t>S2756</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1FA0AE93" w14:textId="77777777">
            <w:pPr>
              <w:jc w:val="center"/>
              <w:rPr>
                <w:color w:val="000000"/>
              </w:rPr>
            </w:pPr>
            <w:r w:rsidRPr="00500EA4">
              <w:rPr>
                <w:color w:val="000000"/>
              </w:rPr>
              <w:t>NSS-9</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7255FBE4" w14:textId="77777777">
            <w:pPr>
              <w:jc w:val="center"/>
              <w:rPr>
                <w:color w:val="000000"/>
              </w:rPr>
            </w:pPr>
            <w:r w:rsidRPr="00500EA4">
              <w:rPr>
                <w:color w:val="000000"/>
              </w:rPr>
              <w:t>GSO</w:t>
            </w:r>
          </w:p>
        </w:tc>
      </w:tr>
      <w:tr w14:paraId="4E5E8C71"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7D729888" w14:textId="77777777">
            <w:pPr>
              <w:rPr>
                <w:color w:val="000000"/>
              </w:rPr>
            </w:pPr>
            <w:r w:rsidRPr="00500EA4">
              <w:rPr>
                <w:color w:val="000000"/>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3052A5AC" w14:textId="77777777">
            <w:pPr>
              <w:jc w:val="center"/>
              <w:rPr>
                <w:color w:val="000000"/>
              </w:rPr>
            </w:pPr>
            <w:r w:rsidRPr="00500EA4">
              <w:rPr>
                <w:color w:val="000000"/>
              </w:rPr>
              <w:t>S2870</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6DAA9285" w14:textId="77777777">
            <w:pPr>
              <w:jc w:val="center"/>
              <w:rPr>
                <w:color w:val="000000"/>
              </w:rPr>
            </w:pPr>
            <w:r w:rsidRPr="00500EA4">
              <w:rPr>
                <w:color w:val="000000"/>
              </w:rPr>
              <w:t>SES-6</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43C3ECC1" w14:textId="77777777">
            <w:pPr>
              <w:jc w:val="center"/>
              <w:rPr>
                <w:color w:val="000000"/>
              </w:rPr>
            </w:pPr>
            <w:r w:rsidRPr="00500EA4">
              <w:rPr>
                <w:color w:val="000000"/>
              </w:rPr>
              <w:t>GSO</w:t>
            </w:r>
          </w:p>
        </w:tc>
      </w:tr>
      <w:tr w14:paraId="320E0ACC"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1C3EAD36" w14:textId="77777777">
            <w:pPr>
              <w:rPr>
                <w:color w:val="000000"/>
              </w:rPr>
            </w:pPr>
            <w:r w:rsidRPr="00500EA4">
              <w:rPr>
                <w:color w:val="000000"/>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2B87A225" w14:textId="77777777">
            <w:pPr>
              <w:jc w:val="center"/>
              <w:rPr>
                <w:color w:val="000000"/>
              </w:rPr>
            </w:pPr>
            <w:r w:rsidRPr="00500EA4">
              <w:rPr>
                <w:color w:val="000000"/>
              </w:rPr>
              <w:t>S3048</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0D6441C2" w14:textId="77777777">
            <w:pPr>
              <w:jc w:val="center"/>
              <w:rPr>
                <w:color w:val="000000"/>
              </w:rPr>
            </w:pPr>
            <w:r w:rsidRPr="00500EA4">
              <w:rPr>
                <w:color w:val="000000"/>
              </w:rPr>
              <w:t>NSS-6</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5A3B5A8F" w14:textId="77777777">
            <w:pPr>
              <w:jc w:val="center"/>
              <w:rPr>
                <w:color w:val="000000"/>
              </w:rPr>
            </w:pPr>
            <w:r w:rsidRPr="00500EA4">
              <w:rPr>
                <w:color w:val="000000"/>
              </w:rPr>
              <w:t>GSO</w:t>
            </w:r>
          </w:p>
        </w:tc>
      </w:tr>
      <w:tr w14:paraId="3BB5E0C7"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5FC10EB2" w14:textId="77777777">
            <w:pPr>
              <w:rPr>
                <w:color w:val="000000"/>
              </w:rPr>
            </w:pPr>
            <w:r w:rsidRPr="00500EA4">
              <w:rPr>
                <w:color w:val="000000"/>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0C5DB3A9" w14:textId="77777777">
            <w:pPr>
              <w:jc w:val="center"/>
              <w:rPr>
                <w:color w:val="000000"/>
              </w:rPr>
            </w:pPr>
            <w:r w:rsidRPr="00500EA4">
              <w:rPr>
                <w:color w:val="000000"/>
              </w:rPr>
              <w:t>S2463</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01C20A94" w14:textId="77777777">
            <w:pPr>
              <w:jc w:val="center"/>
              <w:rPr>
                <w:color w:val="000000"/>
              </w:rPr>
            </w:pPr>
            <w:r w:rsidRPr="00500EA4">
              <w:rPr>
                <w:color w:val="000000"/>
              </w:rPr>
              <w:t>NSS-7</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0C1C7B61" w14:textId="77777777">
            <w:pPr>
              <w:jc w:val="center"/>
              <w:rPr>
                <w:color w:val="000000"/>
              </w:rPr>
            </w:pPr>
            <w:r w:rsidRPr="00500EA4">
              <w:rPr>
                <w:color w:val="000000"/>
              </w:rPr>
              <w:t>GSO</w:t>
            </w:r>
          </w:p>
        </w:tc>
      </w:tr>
      <w:tr w14:paraId="41C2F65E"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4B7D0707" w14:textId="77777777">
            <w:pPr>
              <w:rPr>
                <w:color w:val="000000"/>
              </w:rPr>
            </w:pPr>
            <w:r w:rsidRPr="00500EA4">
              <w:rPr>
                <w:color w:val="000000"/>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168372CF" w14:textId="77777777">
            <w:pPr>
              <w:jc w:val="center"/>
              <w:rPr>
                <w:color w:val="000000"/>
              </w:rPr>
            </w:pPr>
            <w:r>
              <w:rPr>
                <w:color w:val="000000"/>
              </w:rPr>
              <w:t>S2828</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BD82BD1" w14:textId="77777777">
            <w:pPr>
              <w:jc w:val="center"/>
              <w:rPr>
                <w:color w:val="000000"/>
              </w:rPr>
            </w:pPr>
            <w:r>
              <w:rPr>
                <w:color w:val="000000"/>
              </w:rPr>
              <w:t>SES-4</w:t>
            </w:r>
          </w:p>
        </w:tc>
        <w:tc>
          <w:tcPr>
            <w:tcW w:w="1170" w:type="dxa"/>
            <w:tcBorders>
              <w:top w:val="nil"/>
              <w:left w:val="nil"/>
              <w:bottom w:val="single" w:sz="4" w:space="0" w:color="auto"/>
              <w:right w:val="single" w:sz="4" w:space="0" w:color="auto"/>
            </w:tcBorders>
            <w:shd w:val="clear" w:color="auto" w:fill="auto"/>
            <w:hideMark/>
          </w:tcPr>
          <w:p w:rsidR="009C1C1C" w:rsidRPr="00500EA4" w:rsidP="006B48CA" w14:paraId="3F15C8BE" w14:textId="77777777">
            <w:pPr>
              <w:jc w:val="center"/>
              <w:rPr>
                <w:color w:val="000000"/>
              </w:rPr>
            </w:pPr>
            <w:r w:rsidRPr="00172614">
              <w:rPr>
                <w:color w:val="000000"/>
              </w:rPr>
              <w:t>GSO</w:t>
            </w:r>
          </w:p>
        </w:tc>
      </w:tr>
      <w:tr w14:paraId="049D3B1C"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6F7249B7" w14:textId="77777777">
            <w:pPr>
              <w:rPr>
                <w:color w:val="000000"/>
              </w:rPr>
            </w:pPr>
            <w:r w:rsidRPr="00500EA4">
              <w:rPr>
                <w:color w:val="000000"/>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0E82DBF5" w14:textId="77777777">
            <w:pPr>
              <w:jc w:val="center"/>
              <w:rPr>
                <w:color w:val="000000"/>
              </w:rPr>
            </w:pPr>
            <w:r>
              <w:rPr>
                <w:color w:val="000000"/>
              </w:rPr>
              <w:t>S2950</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D3CFDD3" w14:textId="77777777">
            <w:pPr>
              <w:jc w:val="center"/>
              <w:rPr>
                <w:color w:val="000000"/>
              </w:rPr>
            </w:pPr>
            <w:r>
              <w:rPr>
                <w:color w:val="000000"/>
              </w:rPr>
              <w:t>SES-10</w:t>
            </w:r>
          </w:p>
        </w:tc>
        <w:tc>
          <w:tcPr>
            <w:tcW w:w="1170" w:type="dxa"/>
            <w:tcBorders>
              <w:top w:val="nil"/>
              <w:left w:val="nil"/>
              <w:bottom w:val="single" w:sz="4" w:space="0" w:color="auto"/>
              <w:right w:val="single" w:sz="4" w:space="0" w:color="auto"/>
            </w:tcBorders>
            <w:shd w:val="clear" w:color="auto" w:fill="auto"/>
            <w:hideMark/>
          </w:tcPr>
          <w:p w:rsidR="009C1C1C" w:rsidRPr="00500EA4" w:rsidP="006B48CA" w14:paraId="37E26DDB" w14:textId="77777777">
            <w:pPr>
              <w:jc w:val="center"/>
              <w:rPr>
                <w:color w:val="000000"/>
              </w:rPr>
            </w:pPr>
            <w:r w:rsidRPr="00172614">
              <w:rPr>
                <w:color w:val="000000"/>
              </w:rPr>
              <w:t>GSO</w:t>
            </w:r>
          </w:p>
        </w:tc>
      </w:tr>
      <w:tr w14:paraId="72FAC708"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1EF15EC4" w14:textId="77777777">
            <w:pPr>
              <w:rPr>
                <w:color w:val="000000"/>
              </w:rPr>
            </w:pPr>
            <w:r w:rsidRPr="00500EA4">
              <w:rPr>
                <w:color w:val="000000"/>
              </w:rPr>
              <w:t>O3B Ltd.</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2CCD4485" w14:textId="77777777">
            <w:pPr>
              <w:jc w:val="center"/>
              <w:rPr>
                <w:color w:val="000000"/>
              </w:rPr>
            </w:pPr>
            <w:r w:rsidRPr="00500EA4">
              <w:rPr>
                <w:color w:val="000000"/>
              </w:rPr>
              <w:t>S2935</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59CA6873" w14:textId="77777777">
            <w:pPr>
              <w:jc w:val="center"/>
              <w:rPr>
                <w:color w:val="000000"/>
              </w:rPr>
            </w:pPr>
            <w:r w:rsidRPr="00500EA4">
              <w:rPr>
                <w:color w:val="000000"/>
              </w:rPr>
              <w:t>O3B</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4515DE37" w14:textId="77777777">
            <w:pPr>
              <w:jc w:val="center"/>
              <w:rPr>
                <w:color w:val="000000"/>
              </w:rPr>
            </w:pPr>
            <w:r w:rsidRPr="00500EA4">
              <w:rPr>
                <w:color w:val="000000"/>
              </w:rPr>
              <w:t>NGSO</w:t>
            </w:r>
          </w:p>
        </w:tc>
      </w:tr>
      <w:tr w14:paraId="160E5E1E"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19B2830E" w14:textId="77777777">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xml:space="preserve">, S.A. </w:t>
            </w:r>
            <w:r>
              <w:rPr>
                <w:color w:val="000000"/>
              </w:rPr>
              <w:t>de</w:t>
            </w:r>
            <w:r w:rsidRPr="00500EA4">
              <w:rPr>
                <w:color w:val="000000"/>
              </w:rPr>
              <w:t xml:space="preserve"> C.V.</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705A8161" w14:textId="77777777">
            <w:pPr>
              <w:jc w:val="center"/>
              <w:rPr>
                <w:color w:val="000000"/>
              </w:rPr>
            </w:pPr>
            <w:r w:rsidRPr="00500EA4">
              <w:rPr>
                <w:color w:val="000000"/>
              </w:rPr>
              <w:t>S2695</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5B226983" w14:textId="77777777">
            <w:pPr>
              <w:jc w:val="center"/>
              <w:rPr>
                <w:color w:val="000000"/>
              </w:rPr>
            </w:pPr>
            <w:r>
              <w:rPr>
                <w:color w:val="000000"/>
              </w:rPr>
              <w:t>EUTELSAT 113 WEST A</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5236A96B" w14:textId="77777777">
            <w:pPr>
              <w:jc w:val="center"/>
              <w:rPr>
                <w:color w:val="000000"/>
              </w:rPr>
            </w:pPr>
            <w:r w:rsidRPr="00500EA4">
              <w:rPr>
                <w:color w:val="000000"/>
              </w:rPr>
              <w:t>GSO</w:t>
            </w:r>
          </w:p>
        </w:tc>
      </w:tr>
      <w:tr w14:paraId="48622586"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403D5C1F" w14:textId="77777777">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xml:space="preserve">, S.A. </w:t>
            </w:r>
            <w:r>
              <w:rPr>
                <w:color w:val="000000"/>
              </w:rPr>
              <w:t>de</w:t>
            </w:r>
            <w:r w:rsidRPr="00500EA4">
              <w:rPr>
                <w:color w:val="000000"/>
              </w:rPr>
              <w:t xml:space="preserve"> C.V.</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0D03E615" w14:textId="77777777">
            <w:pPr>
              <w:jc w:val="center"/>
              <w:rPr>
                <w:color w:val="000000"/>
              </w:rPr>
            </w:pPr>
            <w:r w:rsidRPr="00500EA4">
              <w:rPr>
                <w:color w:val="000000"/>
              </w:rPr>
              <w:t>S2926</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699E7EC8" w14:textId="77777777">
            <w:pPr>
              <w:jc w:val="center"/>
              <w:rPr>
                <w:color w:val="000000"/>
              </w:rPr>
            </w:pPr>
            <w:r w:rsidRPr="00500EA4">
              <w:rPr>
                <w:color w:val="000000"/>
              </w:rPr>
              <w:t>E</w:t>
            </w:r>
            <w:r>
              <w:rPr>
                <w:color w:val="000000"/>
              </w:rPr>
              <w:t xml:space="preserve">UTELSAT </w:t>
            </w:r>
            <w:r w:rsidRPr="00500EA4">
              <w:rPr>
                <w:color w:val="000000"/>
              </w:rPr>
              <w:t>117</w:t>
            </w:r>
            <w:r>
              <w:rPr>
                <w:color w:val="000000"/>
              </w:rPr>
              <w:t xml:space="preserve"> </w:t>
            </w:r>
            <w:r w:rsidRPr="00500EA4">
              <w:rPr>
                <w:color w:val="000000"/>
              </w:rPr>
              <w:t>W</w:t>
            </w:r>
            <w:r>
              <w:rPr>
                <w:color w:val="000000"/>
              </w:rPr>
              <w:t xml:space="preserve">EST </w:t>
            </w:r>
            <w:r w:rsidRPr="00500EA4">
              <w:rPr>
                <w:color w:val="000000"/>
              </w:rPr>
              <w:t>B</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00729F9E" w14:textId="77777777">
            <w:pPr>
              <w:jc w:val="center"/>
              <w:rPr>
                <w:color w:val="000000"/>
              </w:rPr>
            </w:pPr>
            <w:r w:rsidRPr="00500EA4">
              <w:rPr>
                <w:color w:val="000000"/>
              </w:rPr>
              <w:t>GSO</w:t>
            </w:r>
          </w:p>
        </w:tc>
      </w:tr>
      <w:tr w14:paraId="66355A58"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78465733" w14:textId="77777777">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xml:space="preserve">, S.A. </w:t>
            </w:r>
            <w:r>
              <w:rPr>
                <w:color w:val="000000"/>
              </w:rPr>
              <w:t>de</w:t>
            </w:r>
            <w:r w:rsidRPr="00500EA4">
              <w:rPr>
                <w:color w:val="000000"/>
              </w:rPr>
              <w:t xml:space="preserve"> C.V.</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3D8C3CCF" w14:textId="77777777">
            <w:pPr>
              <w:jc w:val="center"/>
              <w:rPr>
                <w:color w:val="000000"/>
              </w:rPr>
            </w:pPr>
            <w:r w:rsidRPr="00500EA4">
              <w:rPr>
                <w:color w:val="000000"/>
              </w:rPr>
              <w:t>S2938</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8059FA6" w14:textId="77777777">
            <w:pPr>
              <w:jc w:val="center"/>
              <w:rPr>
                <w:color w:val="000000"/>
              </w:rPr>
            </w:pPr>
            <w:r w:rsidRPr="00500EA4">
              <w:rPr>
                <w:color w:val="000000"/>
              </w:rPr>
              <w:t>EUTELSAT</w:t>
            </w:r>
            <w:r>
              <w:rPr>
                <w:color w:val="000000"/>
              </w:rPr>
              <w:t xml:space="preserve"> 115</w:t>
            </w:r>
            <w:r w:rsidRPr="00500EA4">
              <w:rPr>
                <w:color w:val="000000"/>
              </w:rPr>
              <w:t xml:space="preserve"> WEST B</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1ACA83F7" w14:textId="77777777">
            <w:pPr>
              <w:jc w:val="center"/>
              <w:rPr>
                <w:color w:val="000000"/>
              </w:rPr>
            </w:pPr>
            <w:r w:rsidRPr="00500EA4">
              <w:rPr>
                <w:color w:val="000000"/>
              </w:rPr>
              <w:t>GSO</w:t>
            </w:r>
          </w:p>
        </w:tc>
      </w:tr>
      <w:tr w14:paraId="0FE09EEC"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7D7C3FA" w14:textId="77777777">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xml:space="preserve">, S.A. </w:t>
            </w:r>
            <w:r>
              <w:rPr>
                <w:color w:val="000000"/>
              </w:rPr>
              <w:t>de</w:t>
            </w:r>
            <w:r w:rsidRPr="00500EA4">
              <w:rPr>
                <w:color w:val="000000"/>
              </w:rPr>
              <w:t xml:space="preserve"> C.V.</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1B8617C7" w14:textId="77777777">
            <w:pPr>
              <w:jc w:val="center"/>
              <w:rPr>
                <w:color w:val="000000"/>
              </w:rPr>
            </w:pPr>
            <w:r w:rsidRPr="00500EA4">
              <w:rPr>
                <w:color w:val="000000"/>
              </w:rPr>
              <w:t>S2873</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024AEB7D" w14:textId="77777777">
            <w:pPr>
              <w:jc w:val="center"/>
              <w:rPr>
                <w:color w:val="000000"/>
              </w:rPr>
            </w:pPr>
            <w:r>
              <w:rPr>
                <w:color w:val="000000"/>
              </w:rPr>
              <w:t>EUTELSAT 117 WEST A</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0F38C4BF" w14:textId="77777777">
            <w:pPr>
              <w:jc w:val="center"/>
              <w:rPr>
                <w:color w:val="000000"/>
              </w:rPr>
            </w:pPr>
            <w:r w:rsidRPr="00500EA4">
              <w:rPr>
                <w:color w:val="000000"/>
              </w:rPr>
              <w:t>GSO</w:t>
            </w:r>
          </w:p>
        </w:tc>
      </w:tr>
      <w:tr w14:paraId="759546EC"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373D6B72" w14:textId="77777777">
            <w:pPr>
              <w:rPr>
                <w:color w:val="000000"/>
              </w:rPr>
            </w:pPr>
            <w:r w:rsidRPr="00500EA4">
              <w:rPr>
                <w:color w:val="000000"/>
              </w:rPr>
              <w:t xml:space="preserve">SES </w:t>
            </w:r>
            <w:r>
              <w:rPr>
                <w:color w:val="000000"/>
              </w:rPr>
              <w:t>Satellites (Gibraltar) Ltd.</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4A4FD898" w14:textId="77777777">
            <w:pPr>
              <w:jc w:val="center"/>
              <w:rPr>
                <w:color w:val="000000"/>
              </w:rPr>
            </w:pPr>
            <w:r w:rsidRPr="00500EA4">
              <w:rPr>
                <w:color w:val="000000"/>
              </w:rPr>
              <w:t>S2676</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7435136F" w14:textId="77777777">
            <w:pPr>
              <w:jc w:val="center"/>
              <w:rPr>
                <w:color w:val="000000"/>
              </w:rPr>
            </w:pPr>
            <w:r w:rsidRPr="00500EA4">
              <w:rPr>
                <w:color w:val="000000"/>
              </w:rPr>
              <w:t>AMC 21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33378FD2" w14:textId="77777777">
            <w:pPr>
              <w:jc w:val="center"/>
              <w:rPr>
                <w:color w:val="000000"/>
              </w:rPr>
            </w:pPr>
            <w:r w:rsidRPr="00500EA4">
              <w:rPr>
                <w:color w:val="000000"/>
              </w:rPr>
              <w:t>GSO</w:t>
            </w:r>
          </w:p>
        </w:tc>
      </w:tr>
      <w:tr w14:paraId="73376079"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7ACED18E" w14:textId="77777777">
            <w:pPr>
              <w:rPr>
                <w:color w:val="000000"/>
              </w:rPr>
            </w:pPr>
            <w:r w:rsidRPr="00500EA4">
              <w:rPr>
                <w:color w:val="000000"/>
              </w:rPr>
              <w:t xml:space="preserve">SES </w:t>
            </w:r>
            <w:r w:rsidRPr="00500EA4">
              <w:rPr>
                <w:color w:val="000000"/>
              </w:rPr>
              <w:t>Americom</w:t>
            </w:r>
            <w:r w:rsidRPr="00500EA4">
              <w:rPr>
                <w:color w:val="000000"/>
              </w:rPr>
              <w:t xml:space="preserve">, </w:t>
            </w:r>
            <w:r>
              <w:rPr>
                <w:color w:val="000000"/>
              </w:rPr>
              <w:t>Inc</w:t>
            </w:r>
            <w:r w:rsidRPr="00500EA4">
              <w:rPr>
                <w:color w:val="000000"/>
              </w:rPr>
              <w:t>.</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6B4A1E4F" w14:textId="77777777">
            <w:pPr>
              <w:jc w:val="center"/>
              <w:rPr>
                <w:color w:val="000000"/>
              </w:rPr>
            </w:pPr>
            <w:r w:rsidRPr="00500EA4">
              <w:rPr>
                <w:color w:val="000000"/>
              </w:rPr>
              <w:t>S3037</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1579A1EE" w14:textId="77777777">
            <w:pPr>
              <w:jc w:val="center"/>
              <w:rPr>
                <w:color w:val="000000"/>
              </w:rPr>
            </w:pPr>
            <w:r w:rsidRPr="00500EA4">
              <w:rPr>
                <w:color w:val="000000"/>
              </w:rPr>
              <w:t>NSS-11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7645EA38" w14:textId="77777777">
            <w:pPr>
              <w:jc w:val="center"/>
              <w:rPr>
                <w:color w:val="000000"/>
              </w:rPr>
            </w:pPr>
            <w:r w:rsidRPr="00500EA4">
              <w:rPr>
                <w:color w:val="000000"/>
              </w:rPr>
              <w:t>GSO</w:t>
            </w:r>
          </w:p>
        </w:tc>
      </w:tr>
      <w:tr w14:paraId="1E4F8823"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E7D0528" w14:textId="77777777">
            <w:pPr>
              <w:rPr>
                <w:color w:val="000000"/>
              </w:rPr>
            </w:pPr>
            <w:r w:rsidRPr="00500EA4">
              <w:rPr>
                <w:color w:val="000000"/>
              </w:rPr>
              <w:t xml:space="preserve">SES </w:t>
            </w:r>
            <w:r w:rsidRPr="00500EA4">
              <w:rPr>
                <w:color w:val="000000"/>
              </w:rPr>
              <w:t>Americom</w:t>
            </w:r>
            <w:r w:rsidRPr="00500EA4">
              <w:rPr>
                <w:color w:val="000000"/>
              </w:rPr>
              <w:t>, I</w:t>
            </w:r>
            <w:r>
              <w:rPr>
                <w:color w:val="000000"/>
              </w:rPr>
              <w:t>nc</w:t>
            </w:r>
            <w:r w:rsidRPr="00500EA4">
              <w:rPr>
                <w:color w:val="000000"/>
              </w:rPr>
              <w:t>.</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0D3BAB79" w14:textId="77777777">
            <w:pPr>
              <w:jc w:val="center"/>
              <w:rPr>
                <w:color w:val="000000"/>
              </w:rPr>
            </w:pPr>
            <w:r w:rsidRPr="00500EA4">
              <w:rPr>
                <w:color w:val="000000"/>
              </w:rPr>
              <w:t>S2964</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52DEF90" w14:textId="77777777">
            <w:pPr>
              <w:jc w:val="center"/>
              <w:rPr>
                <w:color w:val="000000"/>
              </w:rPr>
            </w:pPr>
            <w:r w:rsidRPr="00500EA4">
              <w:rPr>
                <w:color w:val="000000"/>
              </w:rPr>
              <w:t>SES-11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0E4C4068" w14:textId="77777777">
            <w:pPr>
              <w:jc w:val="center"/>
              <w:rPr>
                <w:color w:val="000000"/>
              </w:rPr>
            </w:pPr>
            <w:r w:rsidRPr="00500EA4">
              <w:rPr>
                <w:color w:val="000000"/>
              </w:rPr>
              <w:t>GSO</w:t>
            </w:r>
          </w:p>
        </w:tc>
      </w:tr>
      <w:tr w14:paraId="0135674C"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6C265C96" w14:textId="77777777">
            <w:pPr>
              <w:rPr>
                <w:color w:val="000000"/>
              </w:rPr>
            </w:pPr>
            <w:r>
              <w:rPr>
                <w:color w:val="000000"/>
              </w:rPr>
              <w:t xml:space="preserve">SES DTH do </w:t>
            </w:r>
            <w:r>
              <w:rPr>
                <w:color w:val="000000"/>
              </w:rPr>
              <w:t>Brasil</w:t>
            </w:r>
            <w:r>
              <w:rPr>
                <w:color w:val="000000"/>
              </w:rPr>
              <w:t xml:space="preserve"> </w:t>
            </w:r>
            <w:r>
              <w:rPr>
                <w:color w:val="000000"/>
              </w:rPr>
              <w:t>Ltda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16BAD756" w14:textId="77777777">
            <w:pPr>
              <w:jc w:val="center"/>
              <w:rPr>
                <w:color w:val="000000"/>
              </w:rPr>
            </w:pPr>
            <w:r>
              <w:rPr>
                <w:color w:val="000000"/>
              </w:rPr>
              <w:t>S2974</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18E3C700" w14:textId="77777777">
            <w:pPr>
              <w:jc w:val="center"/>
              <w:rPr>
                <w:color w:val="000000"/>
              </w:rPr>
            </w:pPr>
            <w:r>
              <w:rPr>
                <w:color w:val="000000"/>
              </w:rPr>
              <w:t>SES-14</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75560CC9" w14:textId="77777777">
            <w:pPr>
              <w:jc w:val="center"/>
              <w:rPr>
                <w:color w:val="000000"/>
              </w:rPr>
            </w:pPr>
            <w:r>
              <w:rPr>
                <w:color w:val="000000"/>
              </w:rPr>
              <w:t>GSO</w:t>
            </w:r>
          </w:p>
        </w:tc>
      </w:tr>
      <w:tr w14:paraId="1ED5EA32"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78C86DDA" w14:textId="77777777">
            <w:pPr>
              <w:rPr>
                <w:color w:val="000000"/>
              </w:rPr>
            </w:pPr>
            <w:r w:rsidRPr="00500EA4">
              <w:rPr>
                <w:color w:val="000000"/>
              </w:rPr>
              <w:t xml:space="preserve">SES Satellites </w:t>
            </w:r>
            <w:r>
              <w:rPr>
                <w:color w:val="000000"/>
              </w:rPr>
              <w:t>(Gibraltar</w:t>
            </w:r>
            <w:r w:rsidRPr="00500EA4">
              <w:rPr>
                <w:color w:val="000000"/>
              </w:rPr>
              <w:t>) Ltd.</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3C2B3A95" w14:textId="77777777">
            <w:pPr>
              <w:jc w:val="center"/>
              <w:rPr>
                <w:color w:val="000000"/>
              </w:rPr>
            </w:pPr>
            <w:r w:rsidRPr="00A77182">
              <w:rPr>
                <w:color w:val="000000"/>
              </w:rPr>
              <w:t>S2951</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61734B35" w14:textId="77777777">
            <w:pPr>
              <w:jc w:val="center"/>
              <w:rPr>
                <w:color w:val="000000"/>
              </w:rPr>
            </w:pPr>
            <w:r>
              <w:rPr>
                <w:color w:val="000000"/>
              </w:rPr>
              <w:t>SES-15</w:t>
            </w:r>
          </w:p>
        </w:tc>
        <w:tc>
          <w:tcPr>
            <w:tcW w:w="1170" w:type="dxa"/>
            <w:tcBorders>
              <w:top w:val="nil"/>
              <w:left w:val="nil"/>
              <w:bottom w:val="single" w:sz="4" w:space="0" w:color="auto"/>
              <w:right w:val="single" w:sz="4" w:space="0" w:color="auto"/>
            </w:tcBorders>
            <w:shd w:val="clear" w:color="auto" w:fill="auto"/>
            <w:hideMark/>
          </w:tcPr>
          <w:p w:rsidR="009C1C1C" w:rsidRPr="00500EA4" w:rsidP="006B48CA" w14:paraId="1F190B5E" w14:textId="77777777">
            <w:pPr>
              <w:jc w:val="center"/>
              <w:rPr>
                <w:color w:val="000000"/>
              </w:rPr>
            </w:pPr>
            <w:r w:rsidRPr="00172614">
              <w:rPr>
                <w:color w:val="000000"/>
              </w:rPr>
              <w:t>GSO</w:t>
            </w:r>
          </w:p>
        </w:tc>
      </w:tr>
      <w:tr w14:paraId="18514738"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0F8639DD" w14:textId="77777777">
            <w:pPr>
              <w:rPr>
                <w:color w:val="000000"/>
              </w:rPr>
            </w:pPr>
            <w:r>
              <w:rPr>
                <w:color w:val="000000"/>
              </w:rPr>
              <w:t>Spire Global, Inc.</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2B668184" w14:textId="77777777">
            <w:pPr>
              <w:jc w:val="center"/>
              <w:rPr>
                <w:color w:val="000000"/>
              </w:rPr>
            </w:pPr>
            <w:r>
              <w:rPr>
                <w:color w:val="000000"/>
              </w:rPr>
              <w:t>S3045</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16838191" w14:textId="77777777">
            <w:pPr>
              <w:jc w:val="center"/>
              <w:rPr>
                <w:color w:val="000000"/>
              </w:rPr>
            </w:pPr>
            <w:r>
              <w:rPr>
                <w:color w:val="000000"/>
              </w:rPr>
              <w:t>MINAS</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4E0E5EA2" w14:textId="77777777">
            <w:pPr>
              <w:jc w:val="center"/>
              <w:rPr>
                <w:color w:val="000000"/>
              </w:rPr>
            </w:pPr>
            <w:r>
              <w:rPr>
                <w:color w:val="000000"/>
              </w:rPr>
              <w:t>NGSO</w:t>
            </w:r>
          </w:p>
        </w:tc>
      </w:tr>
      <w:tr w14:paraId="0A577367"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0125E512" w14:textId="77777777">
            <w:pPr>
              <w:rPr>
                <w:color w:val="000000"/>
              </w:rPr>
            </w:pPr>
            <w:r w:rsidRPr="00500EA4">
              <w:rPr>
                <w:color w:val="000000"/>
              </w:rPr>
              <w:t>Star One S.A.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25D1A015" w14:textId="77777777">
            <w:pPr>
              <w:jc w:val="center"/>
              <w:rPr>
                <w:color w:val="000000"/>
              </w:rPr>
            </w:pPr>
            <w:r w:rsidRPr="00500EA4">
              <w:rPr>
                <w:color w:val="000000"/>
              </w:rPr>
              <w:t>S2677</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75F7167A" w14:textId="77777777">
            <w:pPr>
              <w:jc w:val="center"/>
              <w:rPr>
                <w:color w:val="000000"/>
              </w:rPr>
            </w:pPr>
            <w:r w:rsidRPr="00500EA4">
              <w:rPr>
                <w:color w:val="000000"/>
              </w:rPr>
              <w:t>STAR ONE C1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23262B4A" w14:textId="77777777">
            <w:pPr>
              <w:jc w:val="center"/>
              <w:rPr>
                <w:color w:val="000000"/>
              </w:rPr>
            </w:pPr>
            <w:r w:rsidRPr="00500EA4">
              <w:rPr>
                <w:color w:val="000000"/>
              </w:rPr>
              <w:t>GSO</w:t>
            </w:r>
          </w:p>
        </w:tc>
      </w:tr>
      <w:tr w14:paraId="7FB714A3"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57F2EEC3" w14:textId="77777777">
            <w:pPr>
              <w:rPr>
                <w:color w:val="000000"/>
              </w:rPr>
            </w:pPr>
            <w:r w:rsidRPr="00500EA4">
              <w:rPr>
                <w:color w:val="000000"/>
              </w:rPr>
              <w:t>Star One S.A.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1DBE9F76" w14:textId="77777777">
            <w:pPr>
              <w:jc w:val="center"/>
              <w:rPr>
                <w:color w:val="000000"/>
              </w:rPr>
            </w:pPr>
            <w:r w:rsidRPr="00500EA4">
              <w:rPr>
                <w:color w:val="000000"/>
              </w:rPr>
              <w:t>S2678</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34F82592" w14:textId="77777777">
            <w:pPr>
              <w:jc w:val="center"/>
              <w:rPr>
                <w:color w:val="000000"/>
              </w:rPr>
            </w:pPr>
            <w:r w:rsidRPr="00500EA4">
              <w:rPr>
                <w:color w:val="000000"/>
              </w:rPr>
              <w:t>STAR ONE C2</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2EC61241" w14:textId="77777777">
            <w:pPr>
              <w:jc w:val="center"/>
              <w:rPr>
                <w:color w:val="000000"/>
              </w:rPr>
            </w:pPr>
            <w:r w:rsidRPr="00500EA4">
              <w:rPr>
                <w:color w:val="000000"/>
              </w:rPr>
              <w:t>GSO</w:t>
            </w:r>
          </w:p>
        </w:tc>
      </w:tr>
      <w:tr w14:paraId="6E4CBC98"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D9FA6EE" w14:textId="77777777">
            <w:pPr>
              <w:rPr>
                <w:color w:val="000000"/>
              </w:rPr>
            </w:pPr>
            <w:r w:rsidRPr="00500EA4">
              <w:rPr>
                <w:color w:val="000000"/>
              </w:rPr>
              <w:t>Star One S.A.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60D3B9B9" w14:textId="77777777">
            <w:pPr>
              <w:jc w:val="center"/>
              <w:rPr>
                <w:color w:val="000000"/>
              </w:rPr>
            </w:pPr>
            <w:r w:rsidRPr="00500EA4">
              <w:rPr>
                <w:color w:val="000000"/>
              </w:rPr>
              <w:t>S2845</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3588D010" w14:textId="77777777">
            <w:pPr>
              <w:jc w:val="center"/>
              <w:rPr>
                <w:color w:val="000000"/>
              </w:rPr>
            </w:pPr>
            <w:r w:rsidRPr="00500EA4">
              <w:rPr>
                <w:color w:val="000000"/>
              </w:rPr>
              <w:t>STAR ONE C3</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5CA2D831" w14:textId="77777777">
            <w:pPr>
              <w:jc w:val="center"/>
              <w:rPr>
                <w:color w:val="000000"/>
              </w:rPr>
            </w:pPr>
            <w:r w:rsidRPr="00500EA4">
              <w:rPr>
                <w:color w:val="000000"/>
              </w:rPr>
              <w:t>GSO</w:t>
            </w:r>
          </w:p>
        </w:tc>
      </w:tr>
      <w:tr w14:paraId="48BDE15D"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10EC0989" w14:textId="77777777">
            <w:pPr>
              <w:rPr>
                <w:color w:val="000000"/>
              </w:rPr>
            </w:pPr>
            <w:r w:rsidRPr="00500EA4">
              <w:rPr>
                <w:color w:val="000000"/>
              </w:rPr>
              <w:t>Telesat</w:t>
            </w:r>
            <w:r w:rsidRPr="00500EA4">
              <w:rPr>
                <w:color w:val="000000"/>
              </w:rPr>
              <w:t xml:space="preserve"> </w:t>
            </w:r>
            <w:r w:rsidRPr="00500EA4">
              <w:rPr>
                <w:color w:val="000000"/>
              </w:rPr>
              <w:t>Brasil</w:t>
            </w:r>
            <w:r w:rsidRPr="00500EA4">
              <w:rPr>
                <w:color w:val="000000"/>
              </w:rPr>
              <w:t xml:space="preserve"> </w:t>
            </w:r>
            <w:r w:rsidRPr="00500EA4">
              <w:rPr>
                <w:color w:val="000000"/>
              </w:rPr>
              <w:t>Capacidade</w:t>
            </w:r>
            <w:r w:rsidRPr="00500EA4">
              <w:rPr>
                <w:color w:val="000000"/>
              </w:rPr>
              <w:t xml:space="preserve"> </w:t>
            </w:r>
            <w:r>
              <w:rPr>
                <w:color w:val="000000"/>
              </w:rPr>
              <w:t>d</w:t>
            </w:r>
            <w:r w:rsidRPr="00500EA4">
              <w:rPr>
                <w:color w:val="000000"/>
              </w:rPr>
              <w:t xml:space="preserve">e </w:t>
            </w:r>
            <w:r w:rsidRPr="00500EA4">
              <w:rPr>
                <w:color w:val="000000"/>
              </w:rPr>
              <w:t>Satelites</w:t>
            </w:r>
            <w:r w:rsidRPr="00500EA4">
              <w:rPr>
                <w:color w:val="000000"/>
              </w:rPr>
              <w:t xml:space="preserve"> Ltda.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4A36790D" w14:textId="77777777">
            <w:pPr>
              <w:jc w:val="center"/>
              <w:rPr>
                <w:color w:val="000000"/>
              </w:rPr>
            </w:pPr>
            <w:r w:rsidRPr="00500EA4">
              <w:rPr>
                <w:color w:val="000000"/>
              </w:rPr>
              <w:t>S2821</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26CECEFA" w14:textId="77777777">
            <w:pPr>
              <w:jc w:val="center"/>
              <w:rPr>
                <w:color w:val="000000"/>
              </w:rPr>
            </w:pPr>
            <w:r w:rsidRPr="00500EA4">
              <w:rPr>
                <w:color w:val="000000"/>
              </w:rPr>
              <w:t>ESTRELA DO SUL 2</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66E70BD5" w14:textId="77777777">
            <w:pPr>
              <w:jc w:val="center"/>
              <w:rPr>
                <w:color w:val="000000"/>
              </w:rPr>
            </w:pPr>
            <w:r w:rsidRPr="00500EA4">
              <w:rPr>
                <w:color w:val="000000"/>
              </w:rPr>
              <w:t>GSO</w:t>
            </w:r>
          </w:p>
        </w:tc>
      </w:tr>
      <w:tr w14:paraId="2A976775"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377B97B5" w14:textId="77777777">
            <w:pPr>
              <w:rPr>
                <w:color w:val="000000"/>
              </w:rPr>
            </w:pPr>
            <w:r w:rsidRPr="00500EA4">
              <w:rPr>
                <w:color w:val="000000"/>
              </w:rPr>
              <w:t>Telesat</w:t>
            </w:r>
            <w:r w:rsidRPr="00500EA4">
              <w:rPr>
                <w:color w:val="000000"/>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1B77DC50" w14:textId="77777777">
            <w:pPr>
              <w:jc w:val="center"/>
              <w:rPr>
                <w:color w:val="000000"/>
              </w:rPr>
            </w:pPr>
            <w:r w:rsidRPr="00500EA4">
              <w:rPr>
                <w:color w:val="000000"/>
              </w:rPr>
              <w:t>S2674</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604BAF92" w14:textId="77777777">
            <w:pPr>
              <w:jc w:val="center"/>
              <w:rPr>
                <w:color w:val="000000"/>
              </w:rPr>
            </w:pPr>
            <w:r w:rsidRPr="00500EA4">
              <w:rPr>
                <w:color w:val="000000"/>
              </w:rPr>
              <w:t>ANIK F1R</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529B4AF4" w14:textId="77777777">
            <w:pPr>
              <w:jc w:val="center"/>
              <w:rPr>
                <w:color w:val="000000"/>
              </w:rPr>
            </w:pPr>
            <w:r w:rsidRPr="00500EA4">
              <w:rPr>
                <w:color w:val="000000"/>
              </w:rPr>
              <w:t>GSO</w:t>
            </w:r>
          </w:p>
        </w:tc>
      </w:tr>
      <w:tr w14:paraId="6E002D31"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0D68ADCD" w14:textId="77777777">
            <w:pPr>
              <w:rPr>
                <w:color w:val="000000"/>
              </w:rPr>
            </w:pPr>
            <w:r w:rsidRPr="00500EA4">
              <w:rPr>
                <w:color w:val="000000"/>
              </w:rPr>
              <w:t>Telesat</w:t>
            </w:r>
            <w:r w:rsidRPr="00500EA4">
              <w:rPr>
                <w:color w:val="000000"/>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03E05117" w14:textId="77777777">
            <w:pPr>
              <w:jc w:val="center"/>
              <w:rPr>
                <w:color w:val="000000"/>
              </w:rPr>
            </w:pPr>
            <w:r w:rsidRPr="00500EA4">
              <w:rPr>
                <w:color w:val="000000"/>
              </w:rPr>
              <w:t>S2745</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F939AFF" w14:textId="77777777">
            <w:pPr>
              <w:jc w:val="center"/>
              <w:rPr>
                <w:color w:val="000000"/>
              </w:rPr>
            </w:pPr>
            <w:r w:rsidRPr="00500EA4">
              <w:rPr>
                <w:color w:val="000000"/>
              </w:rPr>
              <w:t>ANIK F1</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6CAE18F4" w14:textId="77777777">
            <w:pPr>
              <w:jc w:val="center"/>
              <w:rPr>
                <w:color w:val="000000"/>
              </w:rPr>
            </w:pPr>
            <w:r w:rsidRPr="00500EA4">
              <w:rPr>
                <w:color w:val="000000"/>
              </w:rPr>
              <w:t>GSO</w:t>
            </w:r>
          </w:p>
        </w:tc>
      </w:tr>
      <w:tr w14:paraId="79159382"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17D2A804" w14:textId="77777777">
            <w:pPr>
              <w:rPr>
                <w:color w:val="000000"/>
              </w:rPr>
            </w:pPr>
            <w:r w:rsidRPr="00500EA4">
              <w:rPr>
                <w:color w:val="000000"/>
              </w:rPr>
              <w:t>Telesat</w:t>
            </w:r>
            <w:r w:rsidRPr="00500EA4">
              <w:rPr>
                <w:color w:val="000000"/>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078454A2" w14:textId="77777777">
            <w:pPr>
              <w:jc w:val="center"/>
              <w:rPr>
                <w:color w:val="000000"/>
              </w:rPr>
            </w:pPr>
            <w:r w:rsidRPr="00500EA4">
              <w:rPr>
                <w:color w:val="000000"/>
              </w:rPr>
              <w:t>S2703</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7AAF80A6" w14:textId="77777777">
            <w:pPr>
              <w:jc w:val="center"/>
              <w:rPr>
                <w:color w:val="000000"/>
              </w:rPr>
            </w:pPr>
            <w:r w:rsidRPr="00500EA4">
              <w:rPr>
                <w:color w:val="000000"/>
              </w:rPr>
              <w:t>ANIK F3</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39E74A2E" w14:textId="77777777">
            <w:pPr>
              <w:jc w:val="center"/>
              <w:rPr>
                <w:color w:val="000000"/>
              </w:rPr>
            </w:pPr>
            <w:r w:rsidRPr="00500EA4">
              <w:rPr>
                <w:color w:val="000000"/>
              </w:rPr>
              <w:t>GSO</w:t>
            </w:r>
          </w:p>
        </w:tc>
      </w:tr>
      <w:tr w14:paraId="0FA36990"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4BC8E966" w14:textId="77777777">
            <w:pPr>
              <w:rPr>
                <w:color w:val="000000"/>
              </w:rPr>
            </w:pPr>
            <w:r w:rsidRPr="00500EA4">
              <w:rPr>
                <w:color w:val="000000"/>
              </w:rPr>
              <w:t>Telesat</w:t>
            </w:r>
            <w:r w:rsidRPr="00500EA4">
              <w:rPr>
                <w:color w:val="000000"/>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75AEBB9A" w14:textId="77777777">
            <w:pPr>
              <w:jc w:val="center"/>
              <w:rPr>
                <w:color w:val="000000"/>
              </w:rPr>
            </w:pPr>
            <w:r w:rsidRPr="00500EA4">
              <w:rPr>
                <w:color w:val="000000"/>
              </w:rPr>
              <w:t>S2646</w:t>
            </w:r>
            <w:r>
              <w:rPr>
                <w:color w:val="000000"/>
              </w:rPr>
              <w:t>/S2472</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B600313" w14:textId="77777777">
            <w:pPr>
              <w:jc w:val="center"/>
              <w:rPr>
                <w:color w:val="000000"/>
              </w:rPr>
            </w:pPr>
            <w:r w:rsidRPr="00500EA4">
              <w:rPr>
                <w:color w:val="000000"/>
              </w:rPr>
              <w:t>ANIK F2</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3D62BAC2" w14:textId="77777777">
            <w:pPr>
              <w:jc w:val="center"/>
              <w:rPr>
                <w:color w:val="000000"/>
              </w:rPr>
            </w:pPr>
            <w:r w:rsidRPr="00500EA4">
              <w:rPr>
                <w:color w:val="000000"/>
              </w:rPr>
              <w:t>GSO</w:t>
            </w:r>
          </w:p>
        </w:tc>
      </w:tr>
      <w:tr w14:paraId="7DE2FCE8"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9C1C1C" w:rsidRPr="00500EA4" w:rsidP="006B48CA" w14:paraId="0B157EED" w14:textId="77777777">
            <w:pPr>
              <w:rPr>
                <w:color w:val="000000"/>
              </w:rPr>
            </w:pPr>
            <w:r>
              <w:rPr>
                <w:color w:val="000000"/>
              </w:rPr>
              <w:t>Telesat</w:t>
            </w:r>
            <w:r>
              <w:rPr>
                <w:color w:val="000000"/>
              </w:rPr>
              <w:t xml:space="preserve"> Canada</w:t>
            </w:r>
          </w:p>
        </w:tc>
        <w:tc>
          <w:tcPr>
            <w:tcW w:w="1440" w:type="dxa"/>
            <w:tcBorders>
              <w:top w:val="nil"/>
              <w:left w:val="nil"/>
              <w:bottom w:val="single" w:sz="4" w:space="0" w:color="auto"/>
              <w:right w:val="single" w:sz="4" w:space="0" w:color="auto"/>
            </w:tcBorders>
            <w:shd w:val="clear" w:color="auto" w:fill="auto"/>
            <w:vAlign w:val="bottom"/>
          </w:tcPr>
          <w:p w:rsidR="009C1C1C" w:rsidRPr="00500EA4" w:rsidP="006B48CA" w14:paraId="52B2F3C2" w14:textId="77777777">
            <w:pPr>
              <w:jc w:val="center"/>
              <w:rPr>
                <w:color w:val="000000"/>
              </w:rPr>
            </w:pPr>
            <w:r>
              <w:rPr>
                <w:color w:val="000000"/>
              </w:rPr>
              <w:t>S2976</w:t>
            </w:r>
          </w:p>
        </w:tc>
        <w:tc>
          <w:tcPr>
            <w:tcW w:w="2610" w:type="dxa"/>
            <w:tcBorders>
              <w:top w:val="nil"/>
              <w:left w:val="nil"/>
              <w:bottom w:val="single" w:sz="4" w:space="0" w:color="auto"/>
              <w:right w:val="single" w:sz="4" w:space="0" w:color="auto"/>
            </w:tcBorders>
            <w:shd w:val="clear" w:color="auto" w:fill="auto"/>
            <w:vAlign w:val="bottom"/>
          </w:tcPr>
          <w:p w:rsidR="009C1C1C" w:rsidRPr="00500EA4" w:rsidP="006B48CA" w14:paraId="363E3304" w14:textId="77777777">
            <w:pPr>
              <w:jc w:val="center"/>
              <w:rPr>
                <w:color w:val="000000"/>
              </w:rPr>
            </w:pPr>
            <w:r>
              <w:rPr>
                <w:color w:val="000000"/>
              </w:rPr>
              <w:t>TELESAT Ku/Ka-BAND</w:t>
            </w:r>
          </w:p>
        </w:tc>
        <w:tc>
          <w:tcPr>
            <w:tcW w:w="1170" w:type="dxa"/>
            <w:tcBorders>
              <w:top w:val="nil"/>
              <w:left w:val="nil"/>
              <w:bottom w:val="single" w:sz="4" w:space="0" w:color="auto"/>
              <w:right w:val="single" w:sz="4" w:space="0" w:color="auto"/>
            </w:tcBorders>
            <w:shd w:val="clear" w:color="auto" w:fill="auto"/>
            <w:vAlign w:val="bottom"/>
          </w:tcPr>
          <w:p w:rsidR="009C1C1C" w:rsidRPr="00500EA4" w:rsidP="006B48CA" w14:paraId="0B37FC9E" w14:textId="77777777">
            <w:pPr>
              <w:jc w:val="center"/>
              <w:rPr>
                <w:color w:val="000000"/>
              </w:rPr>
            </w:pPr>
            <w:r>
              <w:rPr>
                <w:color w:val="000000"/>
              </w:rPr>
              <w:t>NGSO</w:t>
            </w:r>
          </w:p>
        </w:tc>
      </w:tr>
      <w:tr w14:paraId="74276E19"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080D4360" w14:textId="77777777">
            <w:pPr>
              <w:rPr>
                <w:color w:val="000000"/>
              </w:rPr>
            </w:pPr>
            <w:r w:rsidRPr="00500EA4">
              <w:rPr>
                <w:color w:val="000000"/>
              </w:rPr>
              <w:t>Telesat</w:t>
            </w:r>
            <w:r w:rsidRPr="00500EA4">
              <w:rPr>
                <w:color w:val="000000"/>
              </w:rPr>
              <w:t xml:space="preserve"> International Ltd.</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7FDE6D59" w14:textId="77777777">
            <w:pPr>
              <w:jc w:val="center"/>
              <w:rPr>
                <w:color w:val="000000"/>
              </w:rPr>
            </w:pPr>
            <w:r w:rsidRPr="00500EA4">
              <w:rPr>
                <w:color w:val="000000"/>
              </w:rPr>
              <w:t>S2955</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1315E75F" w14:textId="77777777">
            <w:pPr>
              <w:jc w:val="center"/>
              <w:rPr>
                <w:color w:val="000000"/>
              </w:rPr>
            </w:pPr>
            <w:r w:rsidRPr="00500EA4">
              <w:rPr>
                <w:color w:val="000000"/>
              </w:rPr>
              <w:t>TELSTAR 19 VANTAGE</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4A59DAB0" w14:textId="77777777">
            <w:pPr>
              <w:jc w:val="center"/>
              <w:rPr>
                <w:color w:val="000000"/>
              </w:rPr>
            </w:pPr>
            <w:r w:rsidRPr="00500EA4">
              <w:rPr>
                <w:color w:val="000000"/>
              </w:rPr>
              <w:t>GSO</w:t>
            </w:r>
          </w:p>
        </w:tc>
      </w:tr>
      <w:tr w14:paraId="68F14A9C"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27B79EF5" w14:textId="77777777">
            <w:pPr>
              <w:rPr>
                <w:color w:val="000000"/>
              </w:rPr>
            </w:pPr>
            <w:r w:rsidRPr="00500EA4">
              <w:rPr>
                <w:color w:val="000000"/>
              </w:rPr>
              <w:t>Viasat, I</w:t>
            </w:r>
            <w:r>
              <w:rPr>
                <w:color w:val="000000"/>
              </w:rPr>
              <w:t>nc</w:t>
            </w:r>
            <w:r w:rsidRPr="00500EA4">
              <w:rPr>
                <w:color w:val="000000"/>
              </w:rPr>
              <w:t>.</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4A59E9CE" w14:textId="77777777">
            <w:pPr>
              <w:jc w:val="center"/>
              <w:rPr>
                <w:color w:val="000000"/>
              </w:rPr>
            </w:pPr>
            <w:r w:rsidRPr="00500EA4">
              <w:rPr>
                <w:color w:val="000000"/>
              </w:rPr>
              <w:t>S2902</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766B64A4" w14:textId="77777777">
            <w:pPr>
              <w:jc w:val="center"/>
              <w:rPr>
                <w:color w:val="000000"/>
              </w:rPr>
            </w:pPr>
            <w:r w:rsidRPr="00500EA4">
              <w:rPr>
                <w:color w:val="000000"/>
              </w:rPr>
              <w:t>VIASAT-2</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1100DB7F" w14:textId="77777777">
            <w:pPr>
              <w:jc w:val="center"/>
              <w:rPr>
                <w:color w:val="000000"/>
              </w:rPr>
            </w:pPr>
            <w:r w:rsidRPr="00500EA4">
              <w:rPr>
                <w:color w:val="000000"/>
              </w:rPr>
              <w:t>GSO</w:t>
            </w:r>
          </w:p>
        </w:tc>
      </w:tr>
      <w:tr w14:paraId="4B3F545A" w14:textId="77777777" w:rsidTr="006B48CA">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9C1C1C" w:rsidRPr="00500EA4" w:rsidP="006B48CA" w14:paraId="0BC83AB6" w14:textId="77777777">
            <w:pPr>
              <w:rPr>
                <w:color w:val="000000"/>
              </w:rPr>
            </w:pPr>
            <w:r w:rsidRPr="00500EA4">
              <w:rPr>
                <w:color w:val="000000"/>
              </w:rPr>
              <w:t>WorldVu</w:t>
            </w:r>
            <w:r w:rsidRPr="00500EA4">
              <w:rPr>
                <w:color w:val="000000"/>
              </w:rPr>
              <w:t xml:space="preserve"> Satellites Ltd.</w:t>
            </w:r>
          </w:p>
        </w:tc>
        <w:tc>
          <w:tcPr>
            <w:tcW w:w="1440" w:type="dxa"/>
            <w:tcBorders>
              <w:top w:val="nil"/>
              <w:left w:val="nil"/>
              <w:bottom w:val="single" w:sz="4" w:space="0" w:color="auto"/>
              <w:right w:val="single" w:sz="4" w:space="0" w:color="auto"/>
            </w:tcBorders>
            <w:shd w:val="clear" w:color="auto" w:fill="auto"/>
            <w:vAlign w:val="bottom"/>
            <w:hideMark/>
          </w:tcPr>
          <w:p w:rsidR="009C1C1C" w:rsidRPr="00500EA4" w:rsidP="006B48CA" w14:paraId="1B810B25" w14:textId="77777777">
            <w:pPr>
              <w:jc w:val="center"/>
              <w:rPr>
                <w:color w:val="000000"/>
              </w:rPr>
            </w:pPr>
            <w:r w:rsidRPr="00500EA4">
              <w:rPr>
                <w:color w:val="000000"/>
              </w:rPr>
              <w:t>S2963</w:t>
            </w:r>
          </w:p>
        </w:tc>
        <w:tc>
          <w:tcPr>
            <w:tcW w:w="2610" w:type="dxa"/>
            <w:tcBorders>
              <w:top w:val="nil"/>
              <w:left w:val="nil"/>
              <w:bottom w:val="single" w:sz="4" w:space="0" w:color="auto"/>
              <w:right w:val="single" w:sz="4" w:space="0" w:color="auto"/>
            </w:tcBorders>
            <w:shd w:val="clear" w:color="auto" w:fill="auto"/>
            <w:vAlign w:val="bottom"/>
            <w:hideMark/>
          </w:tcPr>
          <w:p w:rsidR="009C1C1C" w:rsidRPr="00500EA4" w:rsidP="006B48CA" w14:paraId="409558AB" w14:textId="77777777">
            <w:pPr>
              <w:jc w:val="center"/>
              <w:rPr>
                <w:color w:val="000000"/>
              </w:rPr>
            </w:pPr>
            <w:r w:rsidRPr="00500EA4">
              <w:rPr>
                <w:color w:val="000000"/>
              </w:rPr>
              <w:t>ONEWEB</w:t>
            </w:r>
          </w:p>
        </w:tc>
        <w:tc>
          <w:tcPr>
            <w:tcW w:w="1170" w:type="dxa"/>
            <w:tcBorders>
              <w:top w:val="nil"/>
              <w:left w:val="nil"/>
              <w:bottom w:val="single" w:sz="4" w:space="0" w:color="auto"/>
              <w:right w:val="single" w:sz="4" w:space="0" w:color="auto"/>
            </w:tcBorders>
            <w:shd w:val="clear" w:color="auto" w:fill="auto"/>
            <w:vAlign w:val="bottom"/>
            <w:hideMark/>
          </w:tcPr>
          <w:p w:rsidR="009C1C1C" w:rsidRPr="00500EA4" w:rsidP="006B48CA" w14:paraId="3C7763E0" w14:textId="77777777">
            <w:pPr>
              <w:jc w:val="center"/>
              <w:rPr>
                <w:color w:val="000000"/>
              </w:rPr>
            </w:pPr>
            <w:r w:rsidRPr="00500EA4">
              <w:rPr>
                <w:color w:val="000000"/>
              </w:rPr>
              <w:t>NGSO</w:t>
            </w:r>
          </w:p>
        </w:tc>
      </w:tr>
    </w:tbl>
    <w:p w:rsidR="009C1C1C" w:rsidP="009C1C1C" w14:paraId="5793E194" w14:textId="77777777"/>
    <w:p w:rsidR="009C1C1C" w:rsidP="009C1C1C" w14:paraId="5F41BF48" w14:textId="77777777"/>
    <w:p w:rsidR="009C1C1C" w:rsidP="009C1C1C" w14:paraId="78542929" w14:textId="77777777">
      <w:pPr>
        <w:rPr>
          <w:b/>
          <w:bCs/>
        </w:rPr>
      </w:pPr>
      <w:r>
        <w:rPr>
          <w:b/>
          <w:bCs/>
        </w:rPr>
        <w:t>Non-U.S.-Licensed Space Stations - Market Access Through Earth Station Licenses</w:t>
      </w:r>
    </w:p>
    <w:p w:rsidR="009C1C1C" w:rsidP="009C1C1C" w14:paraId="4FBBFB56" w14:textId="77777777"/>
    <w:tbl>
      <w:tblPr>
        <w:tblW w:w="8736" w:type="dxa"/>
        <w:tblLook w:val="04A0"/>
      </w:tblPr>
      <w:tblGrid>
        <w:gridCol w:w="2800"/>
        <w:gridCol w:w="2500"/>
        <w:gridCol w:w="1716"/>
        <w:gridCol w:w="1720"/>
      </w:tblGrid>
      <w:tr w14:paraId="2EF98FF9" w14:textId="77777777" w:rsidTr="006B48CA">
        <w:tblPrEx>
          <w:tblW w:w="8736" w:type="dxa"/>
          <w:tblLook w:val="04A0"/>
        </w:tblPrEx>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9C1C1C" w:rsidRPr="002509CE" w:rsidP="006B48CA" w14:paraId="79A5EC61" w14:textId="77777777">
            <w:pPr>
              <w:jc w:val="center"/>
              <w:rPr>
                <w:b/>
                <w:bCs/>
                <w:color w:val="000000"/>
                <w:u w:val="single"/>
              </w:rPr>
            </w:pPr>
            <w:r w:rsidRPr="00796527">
              <w:rPr>
                <w:b/>
                <w:bCs/>
                <w:color w:val="000000"/>
                <w:u w:val="single"/>
              </w:rPr>
              <w:t>ITU Name</w:t>
            </w:r>
            <w:r>
              <w:rPr>
                <w:b/>
                <w:bCs/>
                <w:color w:val="000000"/>
                <w:u w:val="single"/>
              </w:rPr>
              <w:t xml:space="preserve"> (if available)</w:t>
            </w:r>
          </w:p>
        </w:tc>
        <w:tc>
          <w:tcPr>
            <w:tcW w:w="2500" w:type="dxa"/>
            <w:tcBorders>
              <w:top w:val="single" w:sz="4" w:space="0" w:color="auto"/>
              <w:left w:val="nil"/>
              <w:bottom w:val="nil"/>
              <w:right w:val="nil"/>
            </w:tcBorders>
            <w:shd w:val="clear" w:color="auto" w:fill="auto"/>
            <w:noWrap/>
            <w:vAlign w:val="bottom"/>
            <w:hideMark/>
          </w:tcPr>
          <w:p w:rsidR="009C1C1C" w:rsidRPr="002509CE" w:rsidP="006B48CA" w14:paraId="6D6A32C8" w14:textId="77777777">
            <w:pPr>
              <w:jc w:val="center"/>
              <w:rPr>
                <w:b/>
                <w:bCs/>
                <w:color w:val="000000"/>
                <w:u w:val="single"/>
              </w:rPr>
            </w:pPr>
            <w:r w:rsidRPr="002509CE">
              <w:rPr>
                <w:b/>
                <w:bCs/>
                <w:color w:val="000000"/>
                <w:u w:val="single"/>
              </w:rPr>
              <w:t>Common Name</w:t>
            </w:r>
          </w:p>
        </w:tc>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9C1C1C" w:rsidRPr="002509CE" w:rsidP="006B48CA" w14:paraId="1E2B1214" w14:textId="77777777">
            <w:pPr>
              <w:jc w:val="center"/>
              <w:rPr>
                <w:b/>
                <w:bCs/>
                <w:color w:val="000000"/>
                <w:u w:val="single"/>
              </w:rPr>
            </w:pPr>
            <w:r w:rsidRPr="002509CE">
              <w:rPr>
                <w:b/>
                <w:bCs/>
                <w:color w:val="000000"/>
                <w:u w:val="single"/>
              </w:rPr>
              <w:t>Call Sign</w:t>
            </w:r>
          </w:p>
        </w:tc>
        <w:tc>
          <w:tcPr>
            <w:tcW w:w="1720" w:type="dxa"/>
            <w:tcBorders>
              <w:top w:val="single" w:sz="4" w:space="0" w:color="auto"/>
              <w:left w:val="nil"/>
              <w:bottom w:val="nil"/>
              <w:right w:val="single" w:sz="4" w:space="0" w:color="auto"/>
            </w:tcBorders>
            <w:shd w:val="clear" w:color="auto" w:fill="auto"/>
            <w:noWrap/>
            <w:vAlign w:val="bottom"/>
            <w:hideMark/>
          </w:tcPr>
          <w:p w:rsidR="009C1C1C" w:rsidRPr="002509CE" w:rsidP="006B48CA" w14:paraId="756140A2" w14:textId="77777777">
            <w:pPr>
              <w:jc w:val="center"/>
              <w:rPr>
                <w:b/>
                <w:bCs/>
                <w:color w:val="000000"/>
                <w:u w:val="single"/>
              </w:rPr>
            </w:pPr>
            <w:r w:rsidRPr="002509CE">
              <w:rPr>
                <w:b/>
                <w:bCs/>
                <w:color w:val="000000"/>
                <w:u w:val="single"/>
              </w:rPr>
              <w:t>GSO/NGSO</w:t>
            </w:r>
          </w:p>
        </w:tc>
      </w:tr>
      <w:tr w14:paraId="27DB0D92"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37150685" w14:textId="77777777">
            <w:pPr>
              <w:rPr>
                <w:color w:val="000000"/>
                <w:szCs w:val="22"/>
              </w:rPr>
            </w:pPr>
            <w:r w:rsidRPr="00B4251C">
              <w:rPr>
                <w:color w:val="000000"/>
                <w:szCs w:val="22"/>
              </w:rPr>
              <w:t>APSTAR VI</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3CA7E599" w14:textId="77777777">
            <w:pPr>
              <w:jc w:val="center"/>
              <w:rPr>
                <w:color w:val="000000"/>
                <w:szCs w:val="22"/>
              </w:rPr>
            </w:pPr>
            <w:r w:rsidRPr="00B4251C">
              <w:rPr>
                <w:color w:val="000000"/>
                <w:szCs w:val="22"/>
              </w:rPr>
              <w:t>APSTAR 6</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101FEACA" w14:textId="77777777">
            <w:pPr>
              <w:jc w:val="center"/>
              <w:rPr>
                <w:color w:val="000000"/>
                <w:szCs w:val="22"/>
              </w:rPr>
            </w:pPr>
            <w:r w:rsidRPr="00B4251C">
              <w:rPr>
                <w:color w:val="000000"/>
                <w:szCs w:val="22"/>
              </w:rPr>
              <w:t>M292090</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337EF072" w14:textId="77777777">
            <w:pPr>
              <w:jc w:val="center"/>
              <w:rPr>
                <w:color w:val="000000"/>
                <w:szCs w:val="22"/>
              </w:rPr>
            </w:pPr>
            <w:r w:rsidRPr="00B4251C">
              <w:rPr>
                <w:color w:val="000000"/>
                <w:szCs w:val="22"/>
              </w:rPr>
              <w:t>GSO</w:t>
            </w:r>
          </w:p>
        </w:tc>
      </w:tr>
      <w:tr w14:paraId="2F13F243"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19A470CF" w14:textId="77777777">
            <w:pPr>
              <w:rPr>
                <w:color w:val="000000"/>
                <w:szCs w:val="22"/>
              </w:rPr>
            </w:pPr>
            <w:r w:rsidRPr="00B4251C">
              <w:rPr>
                <w:color w:val="000000"/>
                <w:szCs w:val="22"/>
              </w:rPr>
              <w:t>AUSSAT B 152E</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548875B6" w14:textId="77777777">
            <w:pPr>
              <w:jc w:val="center"/>
              <w:rPr>
                <w:color w:val="000000"/>
                <w:szCs w:val="22"/>
              </w:rPr>
            </w:pPr>
            <w:r w:rsidRPr="00B4251C">
              <w:rPr>
                <w:color w:val="000000"/>
                <w:szCs w:val="22"/>
              </w:rPr>
              <w:t>OPTUS D2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1218B005" w14:textId="77777777">
            <w:pPr>
              <w:jc w:val="center"/>
              <w:rPr>
                <w:color w:val="000000"/>
                <w:szCs w:val="22"/>
              </w:rPr>
            </w:pPr>
            <w:r w:rsidRPr="00B4251C">
              <w:rPr>
                <w:color w:val="000000"/>
                <w:szCs w:val="22"/>
              </w:rPr>
              <w:t>M221170</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58256EAE" w14:textId="77777777">
            <w:pPr>
              <w:jc w:val="center"/>
              <w:rPr>
                <w:color w:val="000000"/>
                <w:szCs w:val="22"/>
              </w:rPr>
            </w:pPr>
            <w:r w:rsidRPr="00B4251C">
              <w:rPr>
                <w:color w:val="000000"/>
                <w:szCs w:val="22"/>
              </w:rPr>
              <w:t>GSO</w:t>
            </w:r>
          </w:p>
        </w:tc>
      </w:tr>
      <w:tr w14:paraId="166FC20D"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2B41C125" w14:textId="77777777">
            <w:pPr>
              <w:rPr>
                <w:color w:val="000000"/>
                <w:szCs w:val="22"/>
              </w:rPr>
            </w:pPr>
            <w:r w:rsidRPr="00B4251C">
              <w:rPr>
                <w:color w:val="000000"/>
                <w:szCs w:val="22"/>
              </w:rPr>
              <w:t>CAN-BSS3 and CAN-BSS</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149B62E3" w14:textId="77777777">
            <w:pPr>
              <w:jc w:val="center"/>
              <w:rPr>
                <w:color w:val="000000"/>
                <w:szCs w:val="22"/>
              </w:rPr>
            </w:pPr>
            <w:r w:rsidRPr="00B4251C">
              <w:rPr>
                <w:color w:val="000000"/>
                <w:szCs w:val="22"/>
              </w:rPr>
              <w:t>ECHOSTAR 23</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282D6C04" w14:textId="77777777">
            <w:pPr>
              <w:jc w:val="center"/>
              <w:rPr>
                <w:color w:val="000000"/>
                <w:szCs w:val="22"/>
              </w:rPr>
            </w:pPr>
            <w:r w:rsidRPr="00B4251C">
              <w:rPr>
                <w:color w:val="000000"/>
                <w:szCs w:val="22"/>
              </w:rPr>
              <w:t>SM1987</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7195AF37" w14:textId="77777777">
            <w:pPr>
              <w:jc w:val="center"/>
              <w:rPr>
                <w:color w:val="000000"/>
                <w:szCs w:val="22"/>
              </w:rPr>
            </w:pPr>
            <w:r w:rsidRPr="00B4251C">
              <w:rPr>
                <w:color w:val="000000"/>
                <w:szCs w:val="22"/>
              </w:rPr>
              <w:t>GSO</w:t>
            </w:r>
          </w:p>
        </w:tc>
      </w:tr>
      <w:tr w14:paraId="43640DA8"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587423F2" w14:textId="77777777">
            <w:pPr>
              <w:rPr>
                <w:color w:val="000000"/>
                <w:szCs w:val="22"/>
              </w:rPr>
            </w:pPr>
            <w:r w:rsidRPr="00B4251C">
              <w:rPr>
                <w:color w:val="000000"/>
                <w:szCs w:val="22"/>
              </w:rPr>
              <w:t>Ciel Satellite Group</w:t>
            </w:r>
          </w:p>
        </w:tc>
        <w:tc>
          <w:tcPr>
            <w:tcW w:w="2500" w:type="dxa"/>
            <w:tcBorders>
              <w:top w:val="nil"/>
              <w:left w:val="nil"/>
              <w:bottom w:val="single" w:sz="4" w:space="0" w:color="auto"/>
              <w:right w:val="nil"/>
            </w:tcBorders>
            <w:shd w:val="clear" w:color="auto" w:fill="auto"/>
            <w:vAlign w:val="bottom"/>
          </w:tcPr>
          <w:p w:rsidR="009C1C1C" w:rsidRPr="00B4251C" w:rsidP="006B48CA" w14:paraId="7A93CFBB" w14:textId="77777777">
            <w:pPr>
              <w:jc w:val="center"/>
              <w:rPr>
                <w:color w:val="000000"/>
                <w:szCs w:val="22"/>
              </w:rPr>
            </w:pPr>
            <w:r w:rsidRPr="00B4251C">
              <w:rPr>
                <w:color w:val="000000"/>
                <w:szCs w:val="22"/>
              </w:rPr>
              <w:t>Ciel-2</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13952A74" w14:textId="77777777">
            <w:pPr>
              <w:jc w:val="center"/>
              <w:rPr>
                <w:color w:val="000000"/>
                <w:szCs w:val="22"/>
              </w:rPr>
            </w:pPr>
            <w:r w:rsidRPr="00B4251C">
              <w:rPr>
                <w:color w:val="000000"/>
                <w:szCs w:val="22"/>
              </w:rPr>
              <w:t>E050029</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5C8A5ECF" w14:textId="77777777">
            <w:pPr>
              <w:jc w:val="center"/>
              <w:rPr>
                <w:color w:val="000000"/>
                <w:szCs w:val="22"/>
              </w:rPr>
            </w:pPr>
            <w:r w:rsidRPr="00B4251C">
              <w:rPr>
                <w:color w:val="000000"/>
                <w:szCs w:val="22"/>
              </w:rPr>
              <w:t>GSO</w:t>
            </w:r>
          </w:p>
        </w:tc>
      </w:tr>
      <w:tr w14:paraId="31640581"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706CB36E" w14:textId="77777777">
            <w:pPr>
              <w:rPr>
                <w:color w:val="000000"/>
                <w:szCs w:val="22"/>
              </w:rPr>
            </w:pPr>
            <w:r w:rsidRPr="00B4251C">
              <w:rPr>
                <w:color w:val="000000"/>
                <w:szCs w:val="22"/>
              </w:rPr>
              <w:t>CIEL-6i</w:t>
            </w:r>
          </w:p>
        </w:tc>
        <w:tc>
          <w:tcPr>
            <w:tcW w:w="2500" w:type="dxa"/>
            <w:tcBorders>
              <w:top w:val="nil"/>
              <w:left w:val="nil"/>
              <w:bottom w:val="single" w:sz="4" w:space="0" w:color="auto"/>
              <w:right w:val="nil"/>
            </w:tcBorders>
            <w:shd w:val="clear" w:color="auto" w:fill="auto"/>
            <w:vAlign w:val="bottom"/>
          </w:tcPr>
          <w:p w:rsidR="009C1C1C" w:rsidRPr="00B4251C" w:rsidP="006B48CA" w14:paraId="152C7528" w14:textId="77777777">
            <w:pPr>
              <w:jc w:val="center"/>
              <w:rPr>
                <w:color w:val="000000"/>
                <w:szCs w:val="22"/>
              </w:rPr>
            </w:pPr>
            <w:r w:rsidRPr="00B4251C">
              <w:rPr>
                <w:color w:val="000000"/>
                <w:szCs w:val="22"/>
              </w:rPr>
              <w:t>CIEL-6i</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65972C1D" w14:textId="77777777">
            <w:pPr>
              <w:jc w:val="center"/>
              <w:rPr>
                <w:color w:val="000000"/>
                <w:szCs w:val="22"/>
              </w:rPr>
            </w:pPr>
            <w:r w:rsidRPr="00B4251C">
              <w:rPr>
                <w:color w:val="000000"/>
                <w:szCs w:val="22"/>
              </w:rPr>
              <w:t>E140100</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7384314B" w14:textId="77777777">
            <w:pPr>
              <w:jc w:val="center"/>
              <w:rPr>
                <w:color w:val="000000"/>
                <w:szCs w:val="22"/>
              </w:rPr>
            </w:pPr>
            <w:r w:rsidRPr="00B4251C">
              <w:rPr>
                <w:color w:val="000000"/>
                <w:szCs w:val="22"/>
              </w:rPr>
              <w:t>GSO</w:t>
            </w:r>
          </w:p>
        </w:tc>
      </w:tr>
      <w:tr w14:paraId="3813AD04"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6533F80F" w14:textId="77777777">
            <w:pPr>
              <w:rPr>
                <w:color w:val="000000"/>
                <w:szCs w:val="22"/>
              </w:rPr>
            </w:pPr>
            <w:r w:rsidRPr="00B4251C">
              <w:rPr>
                <w:color w:val="000000"/>
                <w:szCs w:val="22"/>
              </w:rPr>
              <w:t>ECHOSTAR 23</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15C03B42" w14:textId="77777777">
            <w:pPr>
              <w:jc w:val="center"/>
              <w:rPr>
                <w:color w:val="000000"/>
                <w:szCs w:val="22"/>
              </w:rPr>
            </w:pPr>
            <w:r w:rsidRPr="00B4251C">
              <w:rPr>
                <w:color w:val="000000"/>
                <w:szCs w:val="22"/>
              </w:rPr>
              <w:t>ECHOSTAR 23</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0AAE045C" w14:textId="77777777">
            <w:pPr>
              <w:jc w:val="center"/>
              <w:rPr>
                <w:color w:val="000000"/>
                <w:szCs w:val="22"/>
              </w:rPr>
            </w:pPr>
            <w:r w:rsidRPr="00B4251C">
              <w:rPr>
                <w:color w:val="000000"/>
                <w:szCs w:val="22"/>
              </w:rPr>
              <w:t>SM2975</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50E9E56F" w14:textId="77777777">
            <w:pPr>
              <w:jc w:val="center"/>
              <w:rPr>
                <w:color w:val="000000"/>
                <w:szCs w:val="22"/>
              </w:rPr>
            </w:pPr>
            <w:r w:rsidRPr="00B4251C">
              <w:rPr>
                <w:color w:val="000000"/>
                <w:szCs w:val="22"/>
              </w:rPr>
              <w:t>GSO</w:t>
            </w:r>
          </w:p>
        </w:tc>
      </w:tr>
      <w:tr w14:paraId="067D9727"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65E13630" w14:textId="77777777">
            <w:pPr>
              <w:rPr>
                <w:color w:val="000000"/>
                <w:szCs w:val="22"/>
              </w:rPr>
            </w:pPr>
            <w:r w:rsidRPr="00B4251C">
              <w:rPr>
                <w:color w:val="000000"/>
                <w:szCs w:val="22"/>
              </w:rPr>
              <w:t>ECHOSTAR 8 (MEX)</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0BE8B113" w14:textId="77777777">
            <w:pPr>
              <w:jc w:val="center"/>
              <w:rPr>
                <w:color w:val="000000"/>
                <w:szCs w:val="22"/>
              </w:rPr>
            </w:pPr>
            <w:r w:rsidRPr="00B4251C">
              <w:rPr>
                <w:color w:val="000000"/>
                <w:szCs w:val="22"/>
              </w:rPr>
              <w:t>ECHOSTAR 8</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78DDCD03" w14:textId="77777777">
            <w:pPr>
              <w:jc w:val="center"/>
              <w:rPr>
                <w:color w:val="000000"/>
                <w:szCs w:val="22"/>
              </w:rPr>
            </w:pPr>
            <w:r w:rsidRPr="00B4251C">
              <w:rPr>
                <w:color w:val="000000"/>
                <w:szCs w:val="22"/>
              </w:rPr>
              <w:t>NUS1108</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700EE53F" w14:textId="77777777">
            <w:pPr>
              <w:jc w:val="center"/>
              <w:rPr>
                <w:color w:val="000000"/>
                <w:szCs w:val="22"/>
              </w:rPr>
            </w:pPr>
            <w:r w:rsidRPr="00B4251C">
              <w:rPr>
                <w:color w:val="000000"/>
                <w:szCs w:val="22"/>
              </w:rPr>
              <w:t>GSO</w:t>
            </w:r>
          </w:p>
        </w:tc>
      </w:tr>
      <w:tr w14:paraId="61A49753"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1B1C70FD" w14:textId="77777777">
            <w:pPr>
              <w:rPr>
                <w:color w:val="000000"/>
                <w:szCs w:val="22"/>
              </w:rPr>
            </w:pPr>
            <w:r w:rsidRPr="00B4251C">
              <w:rPr>
                <w:color w:val="000000"/>
                <w:szCs w:val="22"/>
              </w:rPr>
              <w:t>Eutelsat 65 West A</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2D2747C5" w14:textId="77777777">
            <w:pPr>
              <w:jc w:val="center"/>
              <w:rPr>
                <w:color w:val="000000"/>
                <w:szCs w:val="22"/>
              </w:rPr>
            </w:pPr>
            <w:r w:rsidRPr="00B4251C">
              <w:rPr>
                <w:color w:val="000000"/>
                <w:szCs w:val="22"/>
              </w:rPr>
              <w:t>Eutelsat 65 West A</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56F90A56" w14:textId="77777777">
            <w:pPr>
              <w:jc w:val="center"/>
              <w:rPr>
                <w:color w:val="000000"/>
                <w:szCs w:val="22"/>
              </w:rPr>
            </w:pPr>
            <w:r w:rsidRPr="00B4251C">
              <w:rPr>
                <w:color w:val="000000"/>
                <w:szCs w:val="22"/>
              </w:rPr>
              <w:t>E160081</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2B0E60CE" w14:textId="77777777">
            <w:pPr>
              <w:jc w:val="center"/>
              <w:rPr>
                <w:color w:val="000000"/>
                <w:szCs w:val="22"/>
              </w:rPr>
            </w:pPr>
            <w:r w:rsidRPr="00B4251C">
              <w:rPr>
                <w:color w:val="000000"/>
                <w:szCs w:val="22"/>
              </w:rPr>
              <w:t>GSO</w:t>
            </w:r>
          </w:p>
        </w:tc>
      </w:tr>
      <w:tr w14:paraId="41B41D25"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024E38DA" w14:textId="77777777">
            <w:pPr>
              <w:rPr>
                <w:color w:val="000000"/>
                <w:szCs w:val="22"/>
              </w:rPr>
            </w:pPr>
            <w:r w:rsidRPr="00B4251C">
              <w:rPr>
                <w:color w:val="000000"/>
                <w:szCs w:val="22"/>
              </w:rPr>
              <w:t>EXACTVIEW-1</w:t>
            </w:r>
          </w:p>
        </w:tc>
        <w:tc>
          <w:tcPr>
            <w:tcW w:w="2500" w:type="dxa"/>
            <w:tcBorders>
              <w:top w:val="nil"/>
              <w:left w:val="nil"/>
              <w:bottom w:val="single" w:sz="4" w:space="0" w:color="auto"/>
              <w:right w:val="nil"/>
            </w:tcBorders>
            <w:shd w:val="clear" w:color="auto" w:fill="auto"/>
            <w:vAlign w:val="bottom"/>
          </w:tcPr>
          <w:p w:rsidR="009C1C1C" w:rsidRPr="00B4251C" w:rsidP="006B48CA" w14:paraId="0DE7B3AD" w14:textId="77777777">
            <w:pPr>
              <w:jc w:val="center"/>
              <w:rPr>
                <w:color w:val="000000"/>
                <w:szCs w:val="22"/>
              </w:rPr>
            </w:pPr>
            <w:r w:rsidRPr="00B4251C">
              <w:rPr>
                <w:color w:val="000000"/>
                <w:szCs w:val="22"/>
              </w:rPr>
              <w:t>EXACTVIEW-1</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0CE4BB56" w14:textId="77777777">
            <w:pPr>
              <w:jc w:val="center"/>
              <w:rPr>
                <w:color w:val="000000"/>
                <w:szCs w:val="22"/>
              </w:rPr>
            </w:pPr>
            <w:r w:rsidRPr="00B4251C">
              <w:rPr>
                <w:color w:val="000000"/>
                <w:szCs w:val="22"/>
              </w:rPr>
              <w:t>SM2989</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3DF3814C" w14:textId="77777777">
            <w:pPr>
              <w:jc w:val="center"/>
              <w:rPr>
                <w:color w:val="000000"/>
                <w:szCs w:val="22"/>
              </w:rPr>
            </w:pPr>
            <w:r w:rsidRPr="00B4251C">
              <w:rPr>
                <w:color w:val="000000"/>
                <w:szCs w:val="22"/>
              </w:rPr>
              <w:t>NGSO</w:t>
            </w:r>
          </w:p>
        </w:tc>
      </w:tr>
      <w:tr w14:paraId="50104E2D"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35CEFACB" w14:textId="77777777">
            <w:pPr>
              <w:rPr>
                <w:color w:val="000000"/>
                <w:szCs w:val="22"/>
              </w:rPr>
            </w:pPr>
            <w:r w:rsidRPr="00B4251C">
              <w:rPr>
                <w:color w:val="000000"/>
                <w:szCs w:val="22"/>
              </w:rPr>
              <w:t>INMARSAT 3F3</w:t>
            </w:r>
          </w:p>
        </w:tc>
        <w:tc>
          <w:tcPr>
            <w:tcW w:w="2500" w:type="dxa"/>
            <w:tcBorders>
              <w:top w:val="nil"/>
              <w:left w:val="nil"/>
              <w:bottom w:val="single" w:sz="4" w:space="0" w:color="auto"/>
              <w:right w:val="nil"/>
            </w:tcBorders>
            <w:shd w:val="clear" w:color="auto" w:fill="auto"/>
            <w:vAlign w:val="bottom"/>
          </w:tcPr>
          <w:p w:rsidR="009C1C1C" w:rsidRPr="00B4251C" w:rsidP="006B48CA" w14:paraId="60781C3B" w14:textId="77777777">
            <w:pPr>
              <w:jc w:val="center"/>
              <w:rPr>
                <w:color w:val="000000"/>
                <w:szCs w:val="22"/>
              </w:rPr>
            </w:pPr>
            <w:r w:rsidRPr="00B4251C">
              <w:rPr>
                <w:color w:val="000000"/>
                <w:szCs w:val="22"/>
              </w:rPr>
              <w:t>INMARSAT 3F3</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7ADFDF24" w14:textId="77777777">
            <w:pPr>
              <w:jc w:val="center"/>
              <w:rPr>
                <w:color w:val="000000"/>
                <w:szCs w:val="22"/>
              </w:rPr>
            </w:pPr>
            <w:r w:rsidRPr="00B4251C">
              <w:rPr>
                <w:color w:val="000000"/>
                <w:szCs w:val="22"/>
              </w:rPr>
              <w:t>E000284</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798074DD" w14:textId="77777777">
            <w:pPr>
              <w:jc w:val="center"/>
              <w:rPr>
                <w:color w:val="000000"/>
                <w:szCs w:val="22"/>
              </w:rPr>
            </w:pPr>
            <w:r w:rsidRPr="00B4251C">
              <w:rPr>
                <w:color w:val="000000"/>
                <w:szCs w:val="22"/>
              </w:rPr>
              <w:t>GSO</w:t>
            </w:r>
          </w:p>
        </w:tc>
      </w:tr>
      <w:tr w14:paraId="0027CB60"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1C93F2FC" w14:textId="77777777">
            <w:pPr>
              <w:rPr>
                <w:color w:val="000000"/>
                <w:szCs w:val="22"/>
              </w:rPr>
            </w:pPr>
            <w:r w:rsidRPr="00B4251C">
              <w:rPr>
                <w:color w:val="000000"/>
                <w:szCs w:val="22"/>
              </w:rPr>
              <w:t>INMARSAT 4F1</w:t>
            </w:r>
          </w:p>
        </w:tc>
        <w:tc>
          <w:tcPr>
            <w:tcW w:w="2500" w:type="dxa"/>
            <w:tcBorders>
              <w:top w:val="nil"/>
              <w:left w:val="nil"/>
              <w:bottom w:val="single" w:sz="4" w:space="0" w:color="auto"/>
              <w:right w:val="nil"/>
            </w:tcBorders>
            <w:shd w:val="clear" w:color="auto" w:fill="auto"/>
            <w:vAlign w:val="bottom"/>
          </w:tcPr>
          <w:p w:rsidR="009C1C1C" w:rsidRPr="00B4251C" w:rsidP="006B48CA" w14:paraId="72DD70D4" w14:textId="77777777">
            <w:pPr>
              <w:jc w:val="center"/>
              <w:rPr>
                <w:color w:val="000000"/>
                <w:szCs w:val="22"/>
              </w:rPr>
            </w:pPr>
            <w:r w:rsidRPr="00B4251C">
              <w:rPr>
                <w:color w:val="000000"/>
                <w:szCs w:val="22"/>
              </w:rPr>
              <w:t>INMARSAT 4F1</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343E7991" w14:textId="77777777">
            <w:pPr>
              <w:jc w:val="center"/>
              <w:rPr>
                <w:color w:val="000000"/>
                <w:szCs w:val="22"/>
              </w:rPr>
            </w:pPr>
            <w:r w:rsidRPr="00B4251C">
              <w:rPr>
                <w:color w:val="000000"/>
                <w:szCs w:val="22"/>
              </w:rPr>
              <w:t>KA25</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5BCA6F97" w14:textId="77777777">
            <w:pPr>
              <w:jc w:val="center"/>
              <w:rPr>
                <w:color w:val="000000"/>
                <w:szCs w:val="22"/>
              </w:rPr>
            </w:pPr>
            <w:r w:rsidRPr="00B4251C">
              <w:rPr>
                <w:color w:val="000000"/>
                <w:szCs w:val="22"/>
              </w:rPr>
              <w:t>GSO</w:t>
            </w:r>
          </w:p>
        </w:tc>
      </w:tr>
      <w:tr w14:paraId="131C8946"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11B1DB59" w14:textId="77777777">
            <w:pPr>
              <w:rPr>
                <w:color w:val="000000"/>
                <w:szCs w:val="22"/>
              </w:rPr>
            </w:pPr>
            <w:r w:rsidRPr="00B4251C">
              <w:rPr>
                <w:color w:val="000000"/>
                <w:szCs w:val="22"/>
              </w:rPr>
              <w:t>JCSAT-2B</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6F38A505" w14:textId="77777777">
            <w:pPr>
              <w:jc w:val="center"/>
              <w:rPr>
                <w:color w:val="000000"/>
                <w:szCs w:val="22"/>
              </w:rPr>
            </w:pPr>
            <w:r w:rsidRPr="00B4251C">
              <w:rPr>
                <w:color w:val="000000"/>
                <w:szCs w:val="22"/>
              </w:rPr>
              <w:t>JCSAT-2B</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6B1FA828" w14:textId="77777777">
            <w:pPr>
              <w:jc w:val="center"/>
              <w:rPr>
                <w:color w:val="000000"/>
                <w:szCs w:val="22"/>
              </w:rPr>
            </w:pPr>
            <w:r w:rsidRPr="00B4251C">
              <w:rPr>
                <w:color w:val="000000"/>
                <w:szCs w:val="22"/>
              </w:rPr>
              <w:t>M174163</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3882F5CD" w14:textId="77777777">
            <w:pPr>
              <w:jc w:val="center"/>
              <w:rPr>
                <w:color w:val="000000"/>
                <w:szCs w:val="22"/>
              </w:rPr>
            </w:pPr>
            <w:r w:rsidRPr="00B4251C">
              <w:rPr>
                <w:color w:val="000000"/>
                <w:szCs w:val="22"/>
              </w:rPr>
              <w:t>GSO</w:t>
            </w:r>
          </w:p>
        </w:tc>
      </w:tr>
      <w:tr w14:paraId="15D810AF"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48CB0710" w14:textId="77777777">
            <w:pPr>
              <w:rPr>
                <w:color w:val="000000"/>
                <w:szCs w:val="22"/>
              </w:rPr>
            </w:pPr>
            <w:r w:rsidRPr="00B4251C">
              <w:rPr>
                <w:color w:val="000000"/>
                <w:szCs w:val="22"/>
              </w:rPr>
              <w:t>NIMIQ 5</w:t>
            </w:r>
          </w:p>
        </w:tc>
        <w:tc>
          <w:tcPr>
            <w:tcW w:w="2500" w:type="dxa"/>
            <w:tcBorders>
              <w:top w:val="nil"/>
              <w:left w:val="nil"/>
              <w:bottom w:val="single" w:sz="4" w:space="0" w:color="auto"/>
              <w:right w:val="nil"/>
            </w:tcBorders>
            <w:shd w:val="clear" w:color="auto" w:fill="auto"/>
            <w:vAlign w:val="bottom"/>
          </w:tcPr>
          <w:p w:rsidR="009C1C1C" w:rsidRPr="00B4251C" w:rsidP="006B48CA" w14:paraId="2FDAD957" w14:textId="77777777">
            <w:pPr>
              <w:jc w:val="center"/>
              <w:rPr>
                <w:color w:val="000000"/>
                <w:szCs w:val="22"/>
              </w:rPr>
            </w:pPr>
            <w:r w:rsidRPr="00B4251C">
              <w:rPr>
                <w:color w:val="000000"/>
                <w:szCs w:val="22"/>
              </w:rPr>
              <w:t>NIMIQ 5</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79D0A0FD" w14:textId="77777777">
            <w:pPr>
              <w:jc w:val="center"/>
              <w:rPr>
                <w:color w:val="000000"/>
                <w:szCs w:val="22"/>
              </w:rPr>
            </w:pPr>
            <w:r w:rsidRPr="00B4251C">
              <w:rPr>
                <w:color w:val="000000"/>
                <w:szCs w:val="22"/>
              </w:rPr>
              <w:t>E080107</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53BD0790" w14:textId="77777777">
            <w:pPr>
              <w:jc w:val="center"/>
              <w:rPr>
                <w:color w:val="000000"/>
                <w:szCs w:val="22"/>
              </w:rPr>
            </w:pPr>
            <w:r w:rsidRPr="00B4251C">
              <w:rPr>
                <w:color w:val="000000"/>
                <w:szCs w:val="22"/>
              </w:rPr>
              <w:t>GSO</w:t>
            </w:r>
          </w:p>
        </w:tc>
      </w:tr>
      <w:tr w14:paraId="3E3652BC"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1D04B63C" w14:textId="77777777">
            <w:pPr>
              <w:rPr>
                <w:color w:val="000000"/>
                <w:szCs w:val="22"/>
              </w:rPr>
            </w:pPr>
            <w:r w:rsidRPr="00B4251C">
              <w:rPr>
                <w:color w:val="000000"/>
                <w:szCs w:val="22"/>
              </w:rPr>
              <w:t>MSAT-1</w:t>
            </w:r>
          </w:p>
        </w:tc>
        <w:tc>
          <w:tcPr>
            <w:tcW w:w="2500" w:type="dxa"/>
            <w:tcBorders>
              <w:top w:val="nil"/>
              <w:left w:val="nil"/>
              <w:bottom w:val="single" w:sz="4" w:space="0" w:color="auto"/>
              <w:right w:val="nil"/>
            </w:tcBorders>
            <w:shd w:val="clear" w:color="auto" w:fill="auto"/>
            <w:vAlign w:val="bottom"/>
          </w:tcPr>
          <w:p w:rsidR="009C1C1C" w:rsidRPr="00B4251C" w:rsidP="006B48CA" w14:paraId="58CFD929" w14:textId="77777777">
            <w:pPr>
              <w:jc w:val="center"/>
              <w:rPr>
                <w:color w:val="000000"/>
                <w:szCs w:val="22"/>
              </w:rPr>
            </w:pPr>
            <w:r w:rsidRPr="00B4251C">
              <w:rPr>
                <w:color w:val="000000"/>
                <w:szCs w:val="22"/>
              </w:rPr>
              <w:t>MSAT-1</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38CAF108" w14:textId="77777777">
            <w:pPr>
              <w:jc w:val="center"/>
              <w:rPr>
                <w:color w:val="000000"/>
                <w:szCs w:val="22"/>
              </w:rPr>
            </w:pPr>
            <w:r w:rsidRPr="00B4251C">
              <w:rPr>
                <w:color w:val="000000"/>
                <w:szCs w:val="22"/>
              </w:rPr>
              <w:t>E980179</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5C8D9267" w14:textId="77777777">
            <w:pPr>
              <w:jc w:val="center"/>
              <w:rPr>
                <w:color w:val="000000"/>
                <w:szCs w:val="22"/>
              </w:rPr>
            </w:pPr>
            <w:r w:rsidRPr="00B4251C">
              <w:rPr>
                <w:color w:val="000000"/>
                <w:szCs w:val="22"/>
              </w:rPr>
              <w:t>GSO</w:t>
            </w:r>
          </w:p>
        </w:tc>
      </w:tr>
      <w:tr w14:paraId="38DBACC3"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4510BD8E" w14:textId="77777777">
            <w:pPr>
              <w:rPr>
                <w:color w:val="000000"/>
                <w:szCs w:val="22"/>
              </w:rPr>
            </w:pPr>
            <w:r w:rsidRPr="00B4251C">
              <w:rPr>
                <w:color w:val="000000"/>
                <w:szCs w:val="22"/>
              </w:rPr>
              <w:t>QUETZSAT-1(MEX)</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2E44C076" w14:textId="77777777">
            <w:pPr>
              <w:jc w:val="center"/>
              <w:rPr>
                <w:color w:val="000000"/>
                <w:szCs w:val="22"/>
              </w:rPr>
            </w:pPr>
            <w:r w:rsidRPr="00B4251C">
              <w:rPr>
                <w:color w:val="000000"/>
                <w:szCs w:val="22"/>
              </w:rPr>
              <w:t>QUETZSAT-1</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1E983A79" w14:textId="77777777">
            <w:pPr>
              <w:jc w:val="center"/>
              <w:rPr>
                <w:color w:val="000000"/>
                <w:szCs w:val="22"/>
              </w:rPr>
            </w:pPr>
            <w:r w:rsidRPr="00B4251C">
              <w:rPr>
                <w:color w:val="000000"/>
                <w:szCs w:val="22"/>
              </w:rPr>
              <w:t>NUS1101</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5107F1FF" w14:textId="77777777">
            <w:pPr>
              <w:jc w:val="center"/>
              <w:rPr>
                <w:color w:val="000000"/>
                <w:szCs w:val="22"/>
              </w:rPr>
            </w:pPr>
            <w:r w:rsidRPr="00B4251C">
              <w:rPr>
                <w:color w:val="000000"/>
                <w:szCs w:val="22"/>
              </w:rPr>
              <w:t>GSO</w:t>
            </w:r>
          </w:p>
        </w:tc>
      </w:tr>
      <w:tr w14:paraId="7CBBA7DC"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5E7F889C" w14:textId="77777777">
            <w:pPr>
              <w:rPr>
                <w:color w:val="000000"/>
                <w:szCs w:val="22"/>
              </w:rPr>
            </w:pPr>
            <w:r w:rsidRPr="00B4251C">
              <w:rPr>
                <w:color w:val="000000"/>
                <w:szCs w:val="22"/>
              </w:rPr>
              <w:t>Superbird</w:t>
            </w:r>
            <w:r w:rsidRPr="00B4251C">
              <w:rPr>
                <w:color w:val="000000"/>
                <w:szCs w:val="22"/>
              </w:rPr>
              <w:t xml:space="preserve"> C2</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5DA8A55B" w14:textId="77777777">
            <w:pPr>
              <w:jc w:val="center"/>
              <w:rPr>
                <w:color w:val="000000"/>
                <w:szCs w:val="22"/>
              </w:rPr>
            </w:pPr>
            <w:r w:rsidRPr="00B4251C">
              <w:rPr>
                <w:color w:val="000000"/>
                <w:szCs w:val="22"/>
              </w:rPr>
              <w:t>Superbird</w:t>
            </w:r>
            <w:r w:rsidRPr="00B4251C">
              <w:rPr>
                <w:color w:val="000000"/>
                <w:szCs w:val="22"/>
              </w:rPr>
              <w:t xml:space="preserve"> C2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29DC8859" w14:textId="77777777">
            <w:pPr>
              <w:jc w:val="center"/>
              <w:rPr>
                <w:color w:val="000000"/>
                <w:szCs w:val="22"/>
              </w:rPr>
            </w:pPr>
            <w:r w:rsidRPr="00B4251C">
              <w:rPr>
                <w:color w:val="000000"/>
                <w:szCs w:val="22"/>
              </w:rPr>
              <w:t>M334100</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0C679494" w14:textId="77777777">
            <w:pPr>
              <w:jc w:val="center"/>
              <w:rPr>
                <w:color w:val="000000"/>
                <w:szCs w:val="22"/>
              </w:rPr>
            </w:pPr>
            <w:r w:rsidRPr="00B4251C">
              <w:rPr>
                <w:color w:val="000000"/>
                <w:szCs w:val="22"/>
              </w:rPr>
              <w:t>GSO</w:t>
            </w:r>
          </w:p>
        </w:tc>
      </w:tr>
      <w:tr w14:paraId="1BD8ED69"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4623A8AB" w14:textId="77777777">
            <w:pPr>
              <w:rPr>
                <w:color w:val="000000"/>
                <w:szCs w:val="22"/>
              </w:rPr>
            </w:pPr>
            <w:r w:rsidRPr="00B4251C">
              <w:rPr>
                <w:color w:val="000000"/>
                <w:szCs w:val="22"/>
              </w:rPr>
              <w:t>WILDBLUE-1</w:t>
            </w:r>
          </w:p>
        </w:tc>
        <w:tc>
          <w:tcPr>
            <w:tcW w:w="2500" w:type="dxa"/>
            <w:tcBorders>
              <w:top w:val="nil"/>
              <w:left w:val="nil"/>
              <w:bottom w:val="single" w:sz="4" w:space="0" w:color="auto"/>
              <w:right w:val="nil"/>
            </w:tcBorders>
            <w:shd w:val="clear" w:color="auto" w:fill="auto"/>
            <w:vAlign w:val="bottom"/>
          </w:tcPr>
          <w:p w:rsidR="009C1C1C" w:rsidRPr="00B4251C" w:rsidP="006B48CA" w14:paraId="610A8ACD" w14:textId="77777777">
            <w:pPr>
              <w:jc w:val="center"/>
              <w:rPr>
                <w:color w:val="000000"/>
                <w:szCs w:val="22"/>
              </w:rPr>
            </w:pPr>
            <w:r w:rsidRPr="00B4251C">
              <w:rPr>
                <w:color w:val="000000"/>
                <w:szCs w:val="22"/>
              </w:rPr>
              <w:t>WILDBLUE-1</w:t>
            </w:r>
          </w:p>
        </w:tc>
        <w:tc>
          <w:tcPr>
            <w:tcW w:w="1716" w:type="dxa"/>
            <w:tcBorders>
              <w:top w:val="nil"/>
              <w:left w:val="single" w:sz="4" w:space="0" w:color="auto"/>
              <w:bottom w:val="single" w:sz="4" w:space="0" w:color="auto"/>
              <w:right w:val="single" w:sz="4" w:space="0" w:color="auto"/>
            </w:tcBorders>
            <w:shd w:val="clear" w:color="auto" w:fill="auto"/>
            <w:vAlign w:val="bottom"/>
          </w:tcPr>
          <w:p w:rsidR="009C1C1C" w:rsidRPr="00B4251C" w:rsidP="006B48CA" w14:paraId="6C7BBCC7" w14:textId="77777777">
            <w:pPr>
              <w:jc w:val="center"/>
              <w:rPr>
                <w:color w:val="000000"/>
                <w:szCs w:val="22"/>
              </w:rPr>
            </w:pPr>
            <w:r w:rsidRPr="00B4251C">
              <w:rPr>
                <w:color w:val="000000"/>
                <w:szCs w:val="22"/>
              </w:rPr>
              <w:t>E040213</w:t>
            </w:r>
          </w:p>
        </w:tc>
        <w:tc>
          <w:tcPr>
            <w:tcW w:w="1720" w:type="dxa"/>
            <w:tcBorders>
              <w:top w:val="nil"/>
              <w:left w:val="nil"/>
              <w:bottom w:val="single" w:sz="4" w:space="0" w:color="auto"/>
              <w:right w:val="single" w:sz="4" w:space="0" w:color="auto"/>
            </w:tcBorders>
            <w:shd w:val="clear" w:color="auto" w:fill="auto"/>
            <w:vAlign w:val="bottom"/>
          </w:tcPr>
          <w:p w:rsidR="009C1C1C" w:rsidRPr="00B4251C" w:rsidP="006B48CA" w14:paraId="6206041E" w14:textId="77777777">
            <w:pPr>
              <w:jc w:val="center"/>
              <w:rPr>
                <w:color w:val="000000"/>
                <w:szCs w:val="22"/>
              </w:rPr>
            </w:pPr>
            <w:r w:rsidRPr="00B4251C">
              <w:rPr>
                <w:color w:val="000000"/>
                <w:szCs w:val="22"/>
              </w:rPr>
              <w:t>GSO</w:t>
            </w:r>
          </w:p>
        </w:tc>
      </w:tr>
      <w:tr w14:paraId="3D52A914" w14:textId="77777777" w:rsidTr="006B48CA">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6C1887F2" w14:textId="77777777">
            <w:pPr>
              <w:rPr>
                <w:color w:val="000000"/>
                <w:szCs w:val="22"/>
              </w:rPr>
            </w:pPr>
            <w:r w:rsidRPr="00B4251C">
              <w:rPr>
                <w:color w:val="000000"/>
                <w:szCs w:val="22"/>
              </w:rPr>
              <w:t>Yamal 300K</w:t>
            </w:r>
          </w:p>
        </w:tc>
        <w:tc>
          <w:tcPr>
            <w:tcW w:w="2500" w:type="dxa"/>
            <w:tcBorders>
              <w:top w:val="nil"/>
              <w:left w:val="nil"/>
              <w:bottom w:val="single" w:sz="4" w:space="0" w:color="auto"/>
              <w:right w:val="nil"/>
            </w:tcBorders>
            <w:shd w:val="clear" w:color="auto" w:fill="auto"/>
            <w:vAlign w:val="bottom"/>
            <w:hideMark/>
          </w:tcPr>
          <w:p w:rsidR="009C1C1C" w:rsidRPr="00B4251C" w:rsidP="006B48CA" w14:paraId="04242E9A" w14:textId="77777777">
            <w:pPr>
              <w:jc w:val="center"/>
              <w:rPr>
                <w:color w:val="000000"/>
                <w:szCs w:val="22"/>
              </w:rPr>
            </w:pPr>
            <w:r w:rsidRPr="00B4251C">
              <w:rPr>
                <w:color w:val="000000"/>
                <w:szCs w:val="22"/>
              </w:rPr>
              <w:t>Yamal 300K</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9C1C1C" w:rsidRPr="00B4251C" w:rsidP="006B48CA" w14:paraId="7B1C7BC5" w14:textId="77777777">
            <w:pPr>
              <w:jc w:val="center"/>
              <w:rPr>
                <w:color w:val="000000"/>
                <w:szCs w:val="22"/>
              </w:rPr>
            </w:pPr>
            <w:r w:rsidRPr="00B4251C">
              <w:rPr>
                <w:color w:val="000000"/>
                <w:szCs w:val="22"/>
              </w:rPr>
              <w:t>M174162</w:t>
            </w:r>
          </w:p>
        </w:tc>
        <w:tc>
          <w:tcPr>
            <w:tcW w:w="1720" w:type="dxa"/>
            <w:tcBorders>
              <w:top w:val="nil"/>
              <w:left w:val="nil"/>
              <w:bottom w:val="single" w:sz="4" w:space="0" w:color="auto"/>
              <w:right w:val="single" w:sz="4" w:space="0" w:color="auto"/>
            </w:tcBorders>
            <w:shd w:val="clear" w:color="auto" w:fill="auto"/>
            <w:vAlign w:val="bottom"/>
            <w:hideMark/>
          </w:tcPr>
          <w:p w:rsidR="009C1C1C" w:rsidRPr="00B4251C" w:rsidP="006B48CA" w14:paraId="0EC52CC1" w14:textId="77777777">
            <w:pPr>
              <w:jc w:val="center"/>
              <w:rPr>
                <w:color w:val="000000"/>
                <w:szCs w:val="22"/>
              </w:rPr>
            </w:pPr>
            <w:r w:rsidRPr="00B4251C">
              <w:rPr>
                <w:color w:val="000000"/>
                <w:szCs w:val="22"/>
              </w:rPr>
              <w:t>GSO</w:t>
            </w:r>
          </w:p>
        </w:tc>
      </w:tr>
    </w:tbl>
    <w:p w:rsidR="009C1C1C" w:rsidP="009C1C1C" w14:paraId="272D2A40" w14:textId="77777777">
      <w:pPr>
        <w:tabs>
          <w:tab w:val="left" w:pos="3629"/>
        </w:tabs>
        <w:jc w:val="center"/>
        <w:sectPr w:rsidSect="007E0AA3">
          <w:headerReference w:type="default" r:id="rId21"/>
          <w:footerReference w:type="even"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docGrid w:linePitch="299"/>
        </w:sectPr>
      </w:pPr>
    </w:p>
    <w:p w:rsidR="009C1C1C" w:rsidP="009C1C1C" w14:paraId="0ABAA5C1" w14:textId="77777777">
      <w:pPr>
        <w:tabs>
          <w:tab w:val="left" w:pos="3629"/>
        </w:tabs>
        <w:jc w:val="center"/>
        <w:rPr>
          <w:b/>
          <w:szCs w:val="22"/>
        </w:rPr>
      </w:pPr>
      <w:r>
        <w:rPr>
          <w:b/>
          <w:szCs w:val="22"/>
        </w:rPr>
        <w:t>APPENDIX G</w:t>
      </w:r>
    </w:p>
    <w:p w:rsidR="009C1C1C" w:rsidP="009C1C1C" w14:paraId="3575A20C" w14:textId="77777777">
      <w:pPr>
        <w:tabs>
          <w:tab w:val="left" w:pos="3629"/>
        </w:tabs>
        <w:jc w:val="center"/>
        <w:rPr>
          <w:b/>
          <w:szCs w:val="22"/>
        </w:rPr>
      </w:pPr>
    </w:p>
    <w:p w:rsidR="009C1C1C" w:rsidP="009C1C1C" w14:paraId="7CD68464" w14:textId="77777777">
      <w:pPr>
        <w:tabs>
          <w:tab w:val="left" w:pos="3629"/>
        </w:tabs>
        <w:jc w:val="center"/>
        <w:rPr>
          <w:b/>
          <w:szCs w:val="22"/>
        </w:rPr>
      </w:pPr>
      <w:r>
        <w:rPr>
          <w:b/>
          <w:szCs w:val="22"/>
        </w:rPr>
        <w:t>FY 2020 Full-Service Broadcast Television Stations by Call Sign</w:t>
      </w:r>
    </w:p>
    <w:p w:rsidR="009C1C1C" w:rsidP="009C1C1C" w14:paraId="4CA1EEF5" w14:textId="77777777">
      <w:pPr>
        <w:tabs>
          <w:tab w:val="left" w:pos="3629"/>
        </w:tabs>
        <w:rPr>
          <w:bCs/>
          <w:szCs w:val="22"/>
        </w:rPr>
      </w:pPr>
    </w:p>
    <w:p w:rsidR="009C1C1C" w:rsidRPr="003F6DAA" w:rsidP="009C1C1C" w14:paraId="7B5905F1" w14:textId="77777777">
      <w:pPr>
        <w:rPr>
          <w:b/>
          <w:bCs/>
        </w:rPr>
      </w:pPr>
    </w:p>
    <w:tbl>
      <w:tblPr>
        <w:tblW w:w="8820" w:type="dxa"/>
        <w:tblInd w:w="-5" w:type="dxa"/>
        <w:tblLook w:val="04A0"/>
      </w:tblPr>
      <w:tblGrid>
        <w:gridCol w:w="1350"/>
        <w:gridCol w:w="1800"/>
        <w:gridCol w:w="1980"/>
        <w:gridCol w:w="1800"/>
        <w:gridCol w:w="1890"/>
      </w:tblGrid>
      <w:tr w14:paraId="0394E03A" w14:textId="77777777" w:rsidTr="006B48CA">
        <w:tblPrEx>
          <w:tblW w:w="8820" w:type="dxa"/>
          <w:tblInd w:w="-5" w:type="dxa"/>
          <w:tblLook w:val="04A0"/>
        </w:tblPrEx>
        <w:trPr>
          <w:trHeight w:val="315"/>
          <w:tblHeader/>
        </w:trPr>
        <w:tc>
          <w:tcPr>
            <w:tcW w:w="1350" w:type="dxa"/>
            <w:tcBorders>
              <w:top w:val="single" w:sz="4" w:space="0" w:color="auto"/>
              <w:left w:val="single" w:sz="4" w:space="0" w:color="auto"/>
              <w:bottom w:val="single" w:sz="4" w:space="0" w:color="auto"/>
              <w:right w:val="single" w:sz="4" w:space="0" w:color="auto"/>
            </w:tcBorders>
            <w:shd w:val="clear" w:color="FFFFFF" w:fill="FFFFFF"/>
            <w:noWrap/>
          </w:tcPr>
          <w:p w:rsidR="009C1C1C" w:rsidRPr="007D15C3" w:rsidP="006B48CA" w14:paraId="2145DFB2" w14:textId="77777777">
            <w:pPr>
              <w:jc w:val="center"/>
              <w:rPr>
                <w:rFonts w:cs="Calibri"/>
                <w:b/>
                <w:bCs/>
              </w:rPr>
            </w:pPr>
            <w:r w:rsidRPr="00F71063">
              <w:rPr>
                <w:b/>
                <w:bCs/>
              </w:rPr>
              <w:t>Facility Id. #</w:t>
            </w:r>
          </w:p>
        </w:tc>
        <w:tc>
          <w:tcPr>
            <w:tcW w:w="1800" w:type="dxa"/>
            <w:tcBorders>
              <w:top w:val="single" w:sz="4" w:space="0" w:color="auto"/>
              <w:left w:val="nil"/>
              <w:bottom w:val="single" w:sz="4" w:space="0" w:color="auto"/>
              <w:right w:val="single" w:sz="4" w:space="0" w:color="auto"/>
            </w:tcBorders>
            <w:shd w:val="clear" w:color="FFFFFF" w:fill="FFFFFF"/>
            <w:noWrap/>
          </w:tcPr>
          <w:p w:rsidR="009C1C1C" w:rsidRPr="007D15C3" w:rsidP="006B48CA" w14:paraId="10A36DEF" w14:textId="77777777">
            <w:pPr>
              <w:jc w:val="center"/>
              <w:rPr>
                <w:rFonts w:cs="Calibri"/>
                <w:b/>
                <w:bCs/>
              </w:rPr>
            </w:pPr>
            <w:r w:rsidRPr="00F71063">
              <w:rPr>
                <w:b/>
                <w:bCs/>
              </w:rPr>
              <w:t>Call Sign</w:t>
            </w:r>
          </w:p>
        </w:tc>
        <w:tc>
          <w:tcPr>
            <w:tcW w:w="1980" w:type="dxa"/>
            <w:tcBorders>
              <w:top w:val="single" w:sz="4" w:space="0" w:color="auto"/>
              <w:left w:val="nil"/>
              <w:bottom w:val="single" w:sz="4" w:space="0" w:color="auto"/>
              <w:right w:val="single" w:sz="4" w:space="0" w:color="auto"/>
            </w:tcBorders>
            <w:shd w:val="clear" w:color="auto" w:fill="auto"/>
            <w:noWrap/>
          </w:tcPr>
          <w:p w:rsidR="009C1C1C" w:rsidRPr="007D15C3" w:rsidP="006B48CA" w14:paraId="68BD1B20" w14:textId="77777777">
            <w:pPr>
              <w:rPr>
                <w:rFonts w:cs="Calibri"/>
                <w:b/>
                <w:bCs/>
              </w:rPr>
            </w:pPr>
            <w:r w:rsidRPr="00F71063">
              <w:rPr>
                <w:b/>
                <w:bCs/>
              </w:rPr>
              <w:t>Service Area Population</w:t>
            </w:r>
          </w:p>
        </w:tc>
        <w:tc>
          <w:tcPr>
            <w:tcW w:w="1800" w:type="dxa"/>
            <w:tcBorders>
              <w:top w:val="single" w:sz="4" w:space="0" w:color="auto"/>
              <w:left w:val="nil"/>
              <w:bottom w:val="single" w:sz="4" w:space="0" w:color="auto"/>
              <w:right w:val="single" w:sz="4" w:space="0" w:color="auto"/>
            </w:tcBorders>
            <w:shd w:val="clear" w:color="auto" w:fill="auto"/>
            <w:noWrap/>
          </w:tcPr>
          <w:p w:rsidR="009C1C1C" w:rsidRPr="007D15C3" w:rsidP="006B48CA" w14:paraId="39C68865" w14:textId="77777777">
            <w:pPr>
              <w:rPr>
                <w:rFonts w:cs="Calibri"/>
                <w:b/>
                <w:bCs/>
              </w:rPr>
            </w:pPr>
            <w:r w:rsidRPr="00F71063">
              <w:rPr>
                <w:b/>
                <w:bCs/>
              </w:rPr>
              <w:t>Terrain-Ltd Population</w:t>
            </w:r>
          </w:p>
        </w:tc>
        <w:tc>
          <w:tcPr>
            <w:tcW w:w="1890" w:type="dxa"/>
            <w:tcBorders>
              <w:top w:val="single" w:sz="4" w:space="0" w:color="auto"/>
              <w:left w:val="nil"/>
              <w:bottom w:val="single" w:sz="4" w:space="0" w:color="auto"/>
              <w:right w:val="single" w:sz="4" w:space="0" w:color="auto"/>
            </w:tcBorders>
            <w:shd w:val="clear" w:color="auto" w:fill="auto"/>
            <w:noWrap/>
          </w:tcPr>
          <w:p w:rsidR="009C1C1C" w:rsidRPr="007D15C3" w:rsidP="006B48CA" w14:paraId="106B6881" w14:textId="77777777">
            <w:pPr>
              <w:jc w:val="right"/>
              <w:rPr>
                <w:rFonts w:cs="Calibri"/>
                <w:b/>
                <w:bCs/>
              </w:rPr>
            </w:pPr>
            <w:r w:rsidRPr="00F71063">
              <w:rPr>
                <w:b/>
                <w:bCs/>
              </w:rPr>
              <w:t>FY 2020 Terrain-Ltd. Fee Amount</w:t>
            </w:r>
          </w:p>
        </w:tc>
      </w:tr>
      <w:tr w14:paraId="435FE4A6"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6ACFDD" w14:textId="77777777">
            <w:pPr>
              <w:jc w:val="center"/>
              <w:rPr>
                <w:rFonts w:cs="Calibri"/>
              </w:rPr>
            </w:pPr>
            <w:r w:rsidRPr="007D15C3">
              <w:rPr>
                <w:rFonts w:cs="Calibri"/>
              </w:rPr>
              <w:t>3246</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9B50D00" w14:textId="77777777">
            <w:pPr>
              <w:jc w:val="center"/>
              <w:rPr>
                <w:rFonts w:cs="Calibri"/>
              </w:rPr>
            </w:pPr>
            <w:r w:rsidRPr="007D15C3">
              <w:rPr>
                <w:rFonts w:cs="Calibri"/>
              </w:rPr>
              <w:t>KAAH-TV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1C0B04A" w14:textId="77777777">
            <w:pPr>
              <w:rPr>
                <w:rFonts w:cs="Calibri"/>
              </w:rPr>
            </w:pPr>
            <w:r w:rsidRPr="007D15C3">
              <w:rPr>
                <w:rFonts w:cs="Calibri"/>
              </w:rPr>
              <w:t xml:space="preserve">             955,391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837CC7E" w14:textId="77777777">
            <w:pPr>
              <w:rPr>
                <w:rFonts w:cs="Calibri"/>
              </w:rPr>
            </w:pPr>
            <w:r w:rsidRPr="007D15C3">
              <w:rPr>
                <w:rFonts w:cs="Calibri"/>
              </w:rPr>
              <w:t xml:space="preserve">               879,906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FACCDCD" w14:textId="77777777">
            <w:pPr>
              <w:jc w:val="right"/>
              <w:rPr>
                <w:rFonts w:cs="Calibri"/>
              </w:rPr>
            </w:pPr>
            <w:r w:rsidRPr="007D15C3">
              <w:rPr>
                <w:rFonts w:cs="Calibri"/>
              </w:rPr>
              <w:t>$6,896</w:t>
            </w:r>
          </w:p>
        </w:tc>
      </w:tr>
      <w:tr w14:paraId="5421D38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D39077" w14:textId="77777777">
            <w:pPr>
              <w:jc w:val="center"/>
              <w:rPr>
                <w:rFonts w:cs="Calibri"/>
              </w:rPr>
            </w:pPr>
            <w:r w:rsidRPr="007D15C3">
              <w:rPr>
                <w:rFonts w:cs="Calibri"/>
              </w:rPr>
              <w:t>18285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5A0F1A" w14:textId="77777777">
            <w:pPr>
              <w:jc w:val="center"/>
              <w:rPr>
                <w:rFonts w:cs="Calibri"/>
              </w:rPr>
            </w:pPr>
            <w:r w:rsidRPr="007D15C3">
              <w:rPr>
                <w:rFonts w:cs="Calibri"/>
              </w:rPr>
              <w:t>KAAL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024B8A" w14:textId="77777777">
            <w:pPr>
              <w:rPr>
                <w:rFonts w:cs="Calibri"/>
              </w:rPr>
            </w:pPr>
            <w:r w:rsidRPr="007D15C3">
              <w:rPr>
                <w:rFonts w:cs="Calibri"/>
              </w:rPr>
              <w:t xml:space="preserve">             589,502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18A09B" w14:textId="77777777">
            <w:pPr>
              <w:rPr>
                <w:rFonts w:cs="Calibri"/>
              </w:rPr>
            </w:pPr>
            <w:r w:rsidRPr="007D15C3">
              <w:rPr>
                <w:rFonts w:cs="Calibri"/>
              </w:rPr>
              <w:t xml:space="preserve">               568,169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D65258" w14:textId="77777777">
            <w:pPr>
              <w:jc w:val="right"/>
              <w:rPr>
                <w:rFonts w:cs="Calibri"/>
              </w:rPr>
            </w:pPr>
            <w:r w:rsidRPr="007D15C3">
              <w:rPr>
                <w:rFonts w:cs="Calibri"/>
              </w:rPr>
              <w:t>$4,453</w:t>
            </w:r>
          </w:p>
        </w:tc>
      </w:tr>
      <w:tr w14:paraId="7170E6D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BBFE64" w14:textId="77777777">
            <w:pPr>
              <w:jc w:val="center"/>
              <w:rPr>
                <w:rFonts w:cs="Calibri"/>
              </w:rPr>
            </w:pPr>
            <w:r w:rsidRPr="007D15C3">
              <w:rPr>
                <w:rFonts w:cs="Calibri"/>
              </w:rPr>
              <w:t>11912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1B05D7" w14:textId="77777777">
            <w:pPr>
              <w:jc w:val="center"/>
              <w:rPr>
                <w:rFonts w:cs="Calibri"/>
              </w:rPr>
            </w:pPr>
            <w:r w:rsidRPr="007D15C3">
              <w:rPr>
                <w:rFonts w:cs="Calibri"/>
              </w:rPr>
              <w:t>KAAS-TV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BBD5D6" w14:textId="77777777">
            <w:pPr>
              <w:rPr>
                <w:rFonts w:cs="Calibri"/>
              </w:rPr>
            </w:pPr>
            <w:r w:rsidRPr="007D15C3">
              <w:rPr>
                <w:rFonts w:cs="Calibri"/>
              </w:rPr>
              <w:t xml:space="preserve">             220,262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072638" w14:textId="77777777">
            <w:pPr>
              <w:rPr>
                <w:rFonts w:cs="Calibri"/>
              </w:rPr>
            </w:pPr>
            <w:r w:rsidRPr="007D15C3">
              <w:rPr>
                <w:rFonts w:cs="Calibri"/>
              </w:rPr>
              <w:t xml:space="preserve">               219,922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520403" w14:textId="77777777">
            <w:pPr>
              <w:jc w:val="right"/>
              <w:rPr>
                <w:rFonts w:cs="Calibri"/>
              </w:rPr>
            </w:pPr>
            <w:r w:rsidRPr="007D15C3">
              <w:rPr>
                <w:rFonts w:cs="Calibri"/>
              </w:rPr>
              <w:t>$1,724</w:t>
            </w:r>
          </w:p>
        </w:tc>
      </w:tr>
      <w:tr w14:paraId="564827E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54BAC6" w14:textId="77777777">
            <w:pPr>
              <w:jc w:val="center"/>
              <w:rPr>
                <w:rFonts w:cs="Calibri"/>
              </w:rPr>
            </w:pPr>
            <w:r w:rsidRPr="007D15C3">
              <w:rPr>
                <w:rFonts w:cs="Calibri"/>
              </w:rPr>
              <w:t>56528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8DEA5D" w14:textId="77777777">
            <w:pPr>
              <w:jc w:val="center"/>
              <w:rPr>
                <w:rFonts w:cs="Calibri"/>
              </w:rPr>
            </w:pPr>
            <w:r w:rsidRPr="007D15C3">
              <w:rPr>
                <w:rFonts w:cs="Calibri"/>
              </w:rPr>
              <w:t>KABB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4C09C" w14:textId="77777777">
            <w:pPr>
              <w:rPr>
                <w:rFonts w:cs="Calibri"/>
              </w:rPr>
            </w:pPr>
            <w:r w:rsidRPr="007D15C3">
              <w:rPr>
                <w:rFonts w:cs="Calibri"/>
              </w:rPr>
              <w:t xml:space="preserve">          2,474,296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3DFDD0" w14:textId="77777777">
            <w:pPr>
              <w:rPr>
                <w:rFonts w:cs="Calibri"/>
              </w:rPr>
            </w:pPr>
            <w:r w:rsidRPr="007D15C3">
              <w:rPr>
                <w:rFonts w:cs="Calibri"/>
              </w:rPr>
              <w:t xml:space="preserve">            2,456,689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3EBF92" w14:textId="77777777">
            <w:pPr>
              <w:jc w:val="right"/>
              <w:rPr>
                <w:rFonts w:cs="Calibri"/>
              </w:rPr>
            </w:pPr>
            <w:r w:rsidRPr="007D15C3">
              <w:rPr>
                <w:rFonts w:cs="Calibri"/>
              </w:rPr>
              <w:t>$19,253</w:t>
            </w:r>
          </w:p>
        </w:tc>
      </w:tr>
      <w:tr w14:paraId="6FE657E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304115" w14:textId="77777777">
            <w:pPr>
              <w:jc w:val="center"/>
              <w:rPr>
                <w:rFonts w:cs="Calibri"/>
              </w:rPr>
            </w:pPr>
            <w:r w:rsidRPr="007D15C3">
              <w:rPr>
                <w:rFonts w:cs="Calibri"/>
              </w:rPr>
              <w:t>282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3D8CE2" w14:textId="77777777">
            <w:pPr>
              <w:jc w:val="center"/>
              <w:rPr>
                <w:rFonts w:cs="Calibri"/>
              </w:rPr>
            </w:pPr>
            <w:r w:rsidRPr="007D15C3">
              <w:rPr>
                <w:rFonts w:cs="Calibri"/>
              </w:rPr>
              <w:t>KABC-TV*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52942A" w14:textId="77777777">
            <w:pPr>
              <w:rPr>
                <w:rFonts w:cs="Calibri"/>
              </w:rPr>
            </w:pPr>
            <w:r w:rsidRPr="007D15C3">
              <w:rPr>
                <w:rFonts w:cs="Calibri"/>
              </w:rPr>
              <w:t xml:space="preserve">        17,540,791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0AF5D5" w14:textId="77777777">
            <w:pPr>
              <w:rPr>
                <w:rFonts w:cs="Calibri"/>
              </w:rPr>
            </w:pPr>
            <w:r w:rsidRPr="007D15C3">
              <w:rPr>
                <w:rFonts w:cs="Calibri"/>
              </w:rPr>
              <w:t xml:space="preserve">          16,957,292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85DFC6" w14:textId="77777777">
            <w:pPr>
              <w:jc w:val="right"/>
              <w:rPr>
                <w:rFonts w:cs="Calibri"/>
              </w:rPr>
            </w:pPr>
            <w:r w:rsidRPr="007D15C3">
              <w:rPr>
                <w:rFonts w:cs="Calibri"/>
              </w:rPr>
              <w:t>$132,894</w:t>
            </w:r>
          </w:p>
        </w:tc>
      </w:tr>
      <w:tr w14:paraId="78CA779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C7938E" w14:textId="77777777">
            <w:pPr>
              <w:jc w:val="center"/>
              <w:rPr>
                <w:rFonts w:cs="Calibri"/>
              </w:rPr>
            </w:pPr>
            <w:r w:rsidRPr="007D15C3">
              <w:rPr>
                <w:rFonts w:cs="Calibri"/>
              </w:rPr>
              <w:t>1236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74AFFC" w14:textId="77777777">
            <w:pPr>
              <w:jc w:val="center"/>
              <w:rPr>
                <w:rFonts w:cs="Calibri"/>
              </w:rPr>
            </w:pPr>
            <w:r w:rsidRPr="007D15C3">
              <w:rPr>
                <w:rFonts w:cs="Calibri"/>
              </w:rPr>
              <w:t>KACV-TV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904B10" w14:textId="77777777">
            <w:pPr>
              <w:rPr>
                <w:rFonts w:cs="Calibri"/>
              </w:rPr>
            </w:pPr>
            <w:r w:rsidRPr="007D15C3">
              <w:rPr>
                <w:rFonts w:cs="Calibri"/>
              </w:rPr>
              <w:t xml:space="preserve">             372,627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9C69AC" w14:textId="77777777">
            <w:pPr>
              <w:rPr>
                <w:rFonts w:cs="Calibri"/>
              </w:rPr>
            </w:pPr>
            <w:r w:rsidRPr="007D15C3">
              <w:rPr>
                <w:rFonts w:cs="Calibri"/>
              </w:rPr>
              <w:t xml:space="preserve">               372,330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8EC28D" w14:textId="77777777">
            <w:pPr>
              <w:jc w:val="right"/>
              <w:rPr>
                <w:rFonts w:cs="Calibri"/>
              </w:rPr>
            </w:pPr>
            <w:r w:rsidRPr="007D15C3">
              <w:rPr>
                <w:rFonts w:cs="Calibri"/>
              </w:rPr>
              <w:t>$2,918</w:t>
            </w:r>
          </w:p>
        </w:tc>
      </w:tr>
      <w:tr w14:paraId="3D53CFD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5B7417" w14:textId="77777777">
            <w:pPr>
              <w:jc w:val="center"/>
              <w:rPr>
                <w:rFonts w:cs="Calibri"/>
              </w:rPr>
            </w:pPr>
            <w:r w:rsidRPr="007D15C3">
              <w:rPr>
                <w:rFonts w:cs="Calibri"/>
              </w:rPr>
              <w:t>33261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8156B7" w14:textId="77777777">
            <w:pPr>
              <w:jc w:val="center"/>
              <w:rPr>
                <w:rFonts w:cs="Calibri"/>
              </w:rPr>
            </w:pPr>
            <w:r w:rsidRPr="007D15C3">
              <w:rPr>
                <w:rFonts w:cs="Calibri"/>
              </w:rPr>
              <w:t>KADN-TV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E8ABCF" w14:textId="77777777">
            <w:pPr>
              <w:rPr>
                <w:rFonts w:cs="Calibri"/>
              </w:rPr>
            </w:pPr>
            <w:r w:rsidRPr="007D15C3">
              <w:rPr>
                <w:rFonts w:cs="Calibri"/>
              </w:rPr>
              <w:t xml:space="preserve">             877,965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13EB75" w14:textId="77777777">
            <w:pPr>
              <w:rPr>
                <w:rFonts w:cs="Calibri"/>
              </w:rPr>
            </w:pPr>
            <w:r w:rsidRPr="007D15C3">
              <w:rPr>
                <w:rFonts w:cs="Calibri"/>
              </w:rPr>
              <w:t xml:space="preserve">               877,965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3CB761" w14:textId="77777777">
            <w:pPr>
              <w:jc w:val="right"/>
              <w:rPr>
                <w:rFonts w:cs="Calibri"/>
              </w:rPr>
            </w:pPr>
            <w:r w:rsidRPr="007D15C3">
              <w:rPr>
                <w:rFonts w:cs="Calibri"/>
              </w:rPr>
              <w:t>$6,881</w:t>
            </w:r>
          </w:p>
        </w:tc>
      </w:tr>
      <w:tr w14:paraId="44715A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594F82" w14:textId="77777777">
            <w:pPr>
              <w:jc w:val="center"/>
              <w:rPr>
                <w:rFonts w:cs="Calibri"/>
              </w:rPr>
            </w:pPr>
            <w:r w:rsidRPr="007D15C3">
              <w:rPr>
                <w:rFonts w:cs="Calibri"/>
              </w:rPr>
              <w:t>8263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4C175A" w14:textId="77777777">
            <w:pPr>
              <w:jc w:val="center"/>
              <w:rPr>
                <w:rFonts w:cs="Calibri"/>
              </w:rPr>
            </w:pPr>
            <w:r w:rsidRPr="007D15C3">
              <w:rPr>
                <w:rFonts w:cs="Calibri"/>
              </w:rPr>
              <w:t>KAEF-TV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28AB78" w14:textId="77777777">
            <w:pPr>
              <w:rPr>
                <w:rFonts w:cs="Calibri"/>
              </w:rPr>
            </w:pPr>
            <w:r w:rsidRPr="007D15C3">
              <w:rPr>
                <w:rFonts w:cs="Calibri"/>
              </w:rPr>
              <w:t xml:space="preserve">             138,085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46D0EB" w14:textId="77777777">
            <w:pPr>
              <w:rPr>
                <w:rFonts w:cs="Calibri"/>
              </w:rPr>
            </w:pPr>
            <w:r w:rsidRPr="007D15C3">
              <w:rPr>
                <w:rFonts w:cs="Calibri"/>
              </w:rPr>
              <w:t xml:space="preserve">               122,808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C9954D" w14:textId="77777777">
            <w:pPr>
              <w:jc w:val="right"/>
              <w:rPr>
                <w:rFonts w:cs="Calibri"/>
              </w:rPr>
            </w:pPr>
            <w:r w:rsidRPr="007D15C3">
              <w:rPr>
                <w:rFonts w:cs="Calibri"/>
              </w:rPr>
              <w:t>$962</w:t>
            </w:r>
          </w:p>
        </w:tc>
      </w:tr>
      <w:tr w14:paraId="197DAA1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B739A8" w14:textId="77777777">
            <w:pPr>
              <w:jc w:val="center"/>
              <w:rPr>
                <w:rFonts w:cs="Calibri"/>
              </w:rPr>
            </w:pPr>
            <w:r w:rsidRPr="007D15C3">
              <w:rPr>
                <w:rFonts w:cs="Calibri"/>
              </w:rPr>
              <w:t>2728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2BC16A" w14:textId="77777777">
            <w:pPr>
              <w:jc w:val="center"/>
              <w:rPr>
                <w:rFonts w:cs="Calibri"/>
              </w:rPr>
            </w:pPr>
            <w:r w:rsidRPr="007D15C3">
              <w:rPr>
                <w:rFonts w:cs="Calibri"/>
              </w:rPr>
              <w:t>KAET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A7E21D" w14:textId="77777777">
            <w:pPr>
              <w:rPr>
                <w:rFonts w:cs="Calibri"/>
              </w:rPr>
            </w:pPr>
            <w:r w:rsidRPr="007D15C3">
              <w:rPr>
                <w:rFonts w:cs="Calibri"/>
              </w:rPr>
              <w:t xml:space="preserve">          4,217,217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9A4DE0" w14:textId="77777777">
            <w:pPr>
              <w:rPr>
                <w:rFonts w:cs="Calibri"/>
              </w:rPr>
            </w:pPr>
            <w:r w:rsidRPr="007D15C3">
              <w:rPr>
                <w:rFonts w:cs="Calibri"/>
              </w:rPr>
              <w:t xml:space="preserve">            4,184,386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AA4DF6" w14:textId="77777777">
            <w:pPr>
              <w:jc w:val="right"/>
              <w:rPr>
                <w:rFonts w:cs="Calibri"/>
              </w:rPr>
            </w:pPr>
            <w:r w:rsidRPr="007D15C3">
              <w:rPr>
                <w:rFonts w:cs="Calibri"/>
              </w:rPr>
              <w:t>$32,793</w:t>
            </w:r>
          </w:p>
        </w:tc>
      </w:tr>
      <w:tr w14:paraId="2327C0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F1FD89" w14:textId="77777777">
            <w:pPr>
              <w:jc w:val="center"/>
              <w:rPr>
                <w:rFonts w:cs="Calibri"/>
              </w:rPr>
            </w:pPr>
            <w:r w:rsidRPr="007D15C3">
              <w:rPr>
                <w:rFonts w:cs="Calibri"/>
              </w:rPr>
              <w:t>2767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981C74" w14:textId="77777777">
            <w:pPr>
              <w:jc w:val="center"/>
              <w:rPr>
                <w:rFonts w:cs="Calibri"/>
              </w:rPr>
            </w:pPr>
            <w:r w:rsidRPr="007D15C3">
              <w:rPr>
                <w:rFonts w:cs="Calibri"/>
              </w:rPr>
              <w:t>KAFT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886402" w14:textId="77777777">
            <w:pPr>
              <w:rPr>
                <w:rFonts w:cs="Calibri"/>
              </w:rPr>
            </w:pPr>
            <w:r w:rsidRPr="007D15C3">
              <w:rPr>
                <w:rFonts w:cs="Calibri"/>
              </w:rPr>
              <w:t xml:space="preserve">          1,204,376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7180B5" w14:textId="77777777">
            <w:pPr>
              <w:rPr>
                <w:rFonts w:cs="Calibri"/>
              </w:rPr>
            </w:pPr>
            <w:r w:rsidRPr="007D15C3">
              <w:rPr>
                <w:rFonts w:cs="Calibri"/>
              </w:rPr>
              <w:t xml:space="preserve">            1,122,928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6393BE" w14:textId="77777777">
            <w:pPr>
              <w:jc w:val="right"/>
              <w:rPr>
                <w:rFonts w:cs="Calibri"/>
              </w:rPr>
            </w:pPr>
            <w:r w:rsidRPr="007D15C3">
              <w:rPr>
                <w:rFonts w:cs="Calibri"/>
              </w:rPr>
              <w:t>$8,800</w:t>
            </w:r>
          </w:p>
        </w:tc>
      </w:tr>
      <w:tr w14:paraId="48FDCD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1A990F" w14:textId="77777777">
            <w:pPr>
              <w:jc w:val="center"/>
              <w:rPr>
                <w:rFonts w:cs="Calibri"/>
              </w:rPr>
            </w:pPr>
            <w:r w:rsidRPr="007D15C3">
              <w:rPr>
                <w:rFonts w:cs="Calibri"/>
              </w:rPr>
              <w:t>62442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6EB255" w14:textId="77777777">
            <w:pPr>
              <w:jc w:val="center"/>
              <w:rPr>
                <w:rFonts w:cs="Calibri"/>
              </w:rPr>
            </w:pPr>
            <w:r w:rsidRPr="007D15C3">
              <w:rPr>
                <w:rFonts w:cs="Calibri"/>
              </w:rPr>
              <w:t>KAID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BC5792" w14:textId="77777777">
            <w:pPr>
              <w:rPr>
                <w:rFonts w:cs="Calibri"/>
              </w:rPr>
            </w:pPr>
            <w:r w:rsidRPr="007D15C3">
              <w:rPr>
                <w:rFonts w:cs="Calibri"/>
              </w:rPr>
              <w:t xml:space="preserve">             711,035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785D13" w14:textId="77777777">
            <w:pPr>
              <w:rPr>
                <w:rFonts w:cs="Calibri"/>
              </w:rPr>
            </w:pPr>
            <w:r w:rsidRPr="007D15C3">
              <w:rPr>
                <w:rFonts w:cs="Calibri"/>
              </w:rPr>
              <w:t xml:space="preserve">               702,721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975E00" w14:textId="77777777">
            <w:pPr>
              <w:jc w:val="right"/>
              <w:rPr>
                <w:rFonts w:cs="Calibri"/>
              </w:rPr>
            </w:pPr>
            <w:r w:rsidRPr="007D15C3">
              <w:rPr>
                <w:rFonts w:cs="Calibri"/>
              </w:rPr>
              <w:t>$5,507</w:t>
            </w:r>
          </w:p>
        </w:tc>
      </w:tr>
      <w:tr w14:paraId="723DCB8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AFC476" w14:textId="77777777">
            <w:pPr>
              <w:jc w:val="center"/>
              <w:rPr>
                <w:rFonts w:cs="Calibri"/>
              </w:rPr>
            </w:pPr>
            <w:r w:rsidRPr="007D15C3">
              <w:rPr>
                <w:rFonts w:cs="Calibri"/>
              </w:rPr>
              <w:t>4145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10B5D0" w14:textId="77777777">
            <w:pPr>
              <w:jc w:val="center"/>
              <w:rPr>
                <w:rFonts w:cs="Calibri"/>
              </w:rPr>
            </w:pPr>
            <w:r w:rsidRPr="007D15C3">
              <w:rPr>
                <w:rFonts w:cs="Calibri"/>
              </w:rPr>
              <w:t>KAII-TV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1BC952" w14:textId="77777777">
            <w:pPr>
              <w:rPr>
                <w:rFonts w:cs="Calibri"/>
              </w:rPr>
            </w:pPr>
            <w:r w:rsidRPr="007D15C3">
              <w:rPr>
                <w:rFonts w:cs="Calibri"/>
              </w:rPr>
              <w:t xml:space="preserve">             188,810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074A0B" w14:textId="77777777">
            <w:pPr>
              <w:rPr>
                <w:rFonts w:cs="Calibri"/>
              </w:rPr>
            </w:pPr>
            <w:r w:rsidRPr="007D15C3">
              <w:rPr>
                <w:rFonts w:cs="Calibri"/>
              </w:rPr>
              <w:t xml:space="preserve">               165,396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B0807B" w14:textId="77777777">
            <w:pPr>
              <w:jc w:val="right"/>
              <w:rPr>
                <w:rFonts w:cs="Calibri"/>
              </w:rPr>
            </w:pPr>
            <w:r w:rsidRPr="007D15C3">
              <w:rPr>
                <w:rFonts w:cs="Calibri"/>
              </w:rPr>
              <w:t>$1,296</w:t>
            </w:r>
          </w:p>
        </w:tc>
      </w:tr>
      <w:tr w14:paraId="44E632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B5892E" w14:textId="77777777">
            <w:pPr>
              <w:jc w:val="center"/>
              <w:rPr>
                <w:rFonts w:cs="Calibri"/>
              </w:rPr>
            </w:pPr>
            <w:r w:rsidRPr="007D15C3">
              <w:rPr>
                <w:rFonts w:cs="Calibri"/>
              </w:rPr>
              <w:t>67494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5C77DD" w14:textId="77777777">
            <w:pPr>
              <w:jc w:val="center"/>
              <w:rPr>
                <w:rFonts w:cs="Calibri"/>
              </w:rPr>
            </w:pPr>
            <w:r w:rsidRPr="007D15C3">
              <w:rPr>
                <w:rFonts w:cs="Calibri"/>
              </w:rPr>
              <w:t>KAIL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6F1E11" w14:textId="77777777">
            <w:pPr>
              <w:rPr>
                <w:rFonts w:cs="Calibri"/>
              </w:rPr>
            </w:pPr>
            <w:r w:rsidRPr="007D15C3">
              <w:rPr>
                <w:rFonts w:cs="Calibri"/>
              </w:rPr>
              <w:t xml:space="preserve">          1,967,744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E168A4" w14:textId="77777777">
            <w:pPr>
              <w:rPr>
                <w:rFonts w:cs="Calibri"/>
              </w:rPr>
            </w:pPr>
            <w:r w:rsidRPr="007D15C3">
              <w:rPr>
                <w:rFonts w:cs="Calibri"/>
              </w:rPr>
              <w:t xml:space="preserve">            1,948,341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7815B9" w14:textId="77777777">
            <w:pPr>
              <w:jc w:val="right"/>
              <w:rPr>
                <w:rFonts w:cs="Calibri"/>
              </w:rPr>
            </w:pPr>
            <w:r w:rsidRPr="007D15C3">
              <w:rPr>
                <w:rFonts w:cs="Calibri"/>
              </w:rPr>
              <w:t>$15,269</w:t>
            </w:r>
          </w:p>
        </w:tc>
      </w:tr>
      <w:tr w14:paraId="00E1D9B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228522" w14:textId="77777777">
            <w:pPr>
              <w:jc w:val="center"/>
              <w:rPr>
                <w:rFonts w:cs="Calibri"/>
              </w:rPr>
            </w:pPr>
            <w:r w:rsidRPr="007D15C3">
              <w:rPr>
                <w:rFonts w:cs="Calibri"/>
              </w:rPr>
              <w:t>13988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5A58EC" w14:textId="77777777">
            <w:pPr>
              <w:jc w:val="center"/>
              <w:rPr>
                <w:rFonts w:cs="Calibri"/>
              </w:rPr>
            </w:pPr>
            <w:r w:rsidRPr="007D15C3">
              <w:rPr>
                <w:rFonts w:cs="Calibri"/>
              </w:rPr>
              <w:t>KAIT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121AF8" w14:textId="77777777">
            <w:pPr>
              <w:rPr>
                <w:rFonts w:cs="Calibri"/>
              </w:rPr>
            </w:pPr>
            <w:r w:rsidRPr="007D15C3">
              <w:rPr>
                <w:rFonts w:cs="Calibri"/>
              </w:rPr>
              <w:t xml:space="preserve">             861,149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A16FA4" w14:textId="77777777">
            <w:pPr>
              <w:rPr>
                <w:rFonts w:cs="Calibri"/>
              </w:rPr>
            </w:pPr>
            <w:r w:rsidRPr="007D15C3">
              <w:rPr>
                <w:rFonts w:cs="Calibri"/>
              </w:rPr>
              <w:t xml:space="preserve">               845,812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44AE5C" w14:textId="77777777">
            <w:pPr>
              <w:jc w:val="right"/>
              <w:rPr>
                <w:rFonts w:cs="Calibri"/>
              </w:rPr>
            </w:pPr>
            <w:r w:rsidRPr="007D15C3">
              <w:rPr>
                <w:rFonts w:cs="Calibri"/>
              </w:rPr>
              <w:t>$6,629</w:t>
            </w:r>
          </w:p>
        </w:tc>
      </w:tr>
      <w:tr w14:paraId="67E7C0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69F03C" w14:textId="77777777">
            <w:pPr>
              <w:jc w:val="center"/>
              <w:rPr>
                <w:rFonts w:cs="Calibri"/>
              </w:rPr>
            </w:pPr>
            <w:r w:rsidRPr="007D15C3">
              <w:rPr>
                <w:rFonts w:cs="Calibri"/>
              </w:rPr>
              <w:t>40517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3214D3" w14:textId="77777777">
            <w:pPr>
              <w:jc w:val="center"/>
              <w:rPr>
                <w:rFonts w:cs="Calibri"/>
              </w:rPr>
            </w:pPr>
            <w:r w:rsidRPr="007D15C3">
              <w:rPr>
                <w:rFonts w:cs="Calibri"/>
              </w:rPr>
              <w:t>KAJB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55BEBE" w14:textId="77777777">
            <w:pPr>
              <w:rPr>
                <w:rFonts w:cs="Calibri"/>
              </w:rPr>
            </w:pPr>
            <w:r w:rsidRPr="007D15C3">
              <w:rPr>
                <w:rFonts w:cs="Calibri"/>
              </w:rPr>
              <w:t xml:space="preserve">             383,886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833B90" w14:textId="77777777">
            <w:pPr>
              <w:rPr>
                <w:rFonts w:cs="Calibri"/>
              </w:rPr>
            </w:pPr>
            <w:r w:rsidRPr="007D15C3">
              <w:rPr>
                <w:rFonts w:cs="Calibri"/>
              </w:rPr>
              <w:t xml:space="preserve">               383,195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90FA86" w14:textId="77777777">
            <w:pPr>
              <w:jc w:val="right"/>
              <w:rPr>
                <w:rFonts w:cs="Calibri"/>
              </w:rPr>
            </w:pPr>
            <w:r w:rsidRPr="007D15C3">
              <w:rPr>
                <w:rFonts w:cs="Calibri"/>
              </w:rPr>
              <w:t>$3,003</w:t>
            </w:r>
          </w:p>
        </w:tc>
      </w:tr>
      <w:tr w14:paraId="32A6E49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C60081" w14:textId="77777777">
            <w:pPr>
              <w:jc w:val="center"/>
              <w:rPr>
                <w:rFonts w:cs="Calibri"/>
              </w:rPr>
            </w:pPr>
            <w:r w:rsidRPr="007D15C3">
              <w:rPr>
                <w:rFonts w:cs="Calibri"/>
              </w:rPr>
              <w:t>65522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0E3EBE" w14:textId="77777777">
            <w:pPr>
              <w:jc w:val="center"/>
              <w:rPr>
                <w:rFonts w:cs="Calibri"/>
              </w:rPr>
            </w:pPr>
            <w:r w:rsidRPr="007D15C3">
              <w:rPr>
                <w:rFonts w:cs="Calibri"/>
              </w:rPr>
              <w:t>KAKE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89A563" w14:textId="77777777">
            <w:pPr>
              <w:rPr>
                <w:rFonts w:cs="Calibri"/>
              </w:rPr>
            </w:pPr>
            <w:r w:rsidRPr="007D15C3">
              <w:rPr>
                <w:rFonts w:cs="Calibri"/>
              </w:rPr>
              <w:t xml:space="preserve">             803,937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9AA0CD" w14:textId="77777777">
            <w:pPr>
              <w:rPr>
                <w:rFonts w:cs="Calibri"/>
              </w:rPr>
            </w:pPr>
            <w:r w:rsidRPr="007D15C3">
              <w:rPr>
                <w:rFonts w:cs="Calibri"/>
              </w:rPr>
              <w:t xml:space="preserve">               799,254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17D082" w14:textId="77777777">
            <w:pPr>
              <w:jc w:val="right"/>
              <w:rPr>
                <w:rFonts w:cs="Calibri"/>
              </w:rPr>
            </w:pPr>
            <w:r w:rsidRPr="007D15C3">
              <w:rPr>
                <w:rFonts w:cs="Calibri"/>
              </w:rPr>
              <w:t>$6,264</w:t>
            </w:r>
          </w:p>
        </w:tc>
      </w:tr>
      <w:tr w14:paraId="402289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9D4FA0" w14:textId="77777777">
            <w:pPr>
              <w:jc w:val="center"/>
              <w:rPr>
                <w:rFonts w:cs="Calibri"/>
              </w:rPr>
            </w:pPr>
            <w:r w:rsidRPr="007D15C3">
              <w:rPr>
                <w:rFonts w:cs="Calibri"/>
              </w:rPr>
              <w:t>804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0478E0" w14:textId="77777777">
            <w:pPr>
              <w:jc w:val="center"/>
              <w:rPr>
                <w:rFonts w:cs="Calibri"/>
              </w:rPr>
            </w:pPr>
            <w:r w:rsidRPr="007D15C3">
              <w:rPr>
                <w:rFonts w:cs="Calibri"/>
              </w:rPr>
              <w:t>KAKM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9E1BB7" w14:textId="77777777">
            <w:pPr>
              <w:rPr>
                <w:rFonts w:cs="Calibri"/>
              </w:rPr>
            </w:pPr>
            <w:r w:rsidRPr="007D15C3">
              <w:rPr>
                <w:rFonts w:cs="Calibri"/>
              </w:rPr>
              <w:t xml:space="preserve">             380,240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9A1C83" w14:textId="77777777">
            <w:pPr>
              <w:rPr>
                <w:rFonts w:cs="Calibri"/>
              </w:rPr>
            </w:pPr>
            <w:r w:rsidRPr="007D15C3">
              <w:rPr>
                <w:rFonts w:cs="Calibri"/>
              </w:rPr>
              <w:t xml:space="preserve">               379,105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44B00C" w14:textId="77777777">
            <w:pPr>
              <w:jc w:val="right"/>
              <w:rPr>
                <w:rFonts w:cs="Calibri"/>
              </w:rPr>
            </w:pPr>
            <w:r w:rsidRPr="007D15C3">
              <w:rPr>
                <w:rFonts w:cs="Calibri"/>
              </w:rPr>
              <w:t>$2,971</w:t>
            </w:r>
          </w:p>
        </w:tc>
      </w:tr>
      <w:tr w14:paraId="664789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0BC9AC" w14:textId="77777777">
            <w:pPr>
              <w:jc w:val="center"/>
              <w:rPr>
                <w:rFonts w:cs="Calibri"/>
              </w:rPr>
            </w:pPr>
            <w:r w:rsidRPr="007D15C3">
              <w:rPr>
                <w:rFonts w:cs="Calibri"/>
              </w:rPr>
              <w:t>148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447811" w14:textId="77777777">
            <w:pPr>
              <w:jc w:val="center"/>
              <w:rPr>
                <w:rFonts w:cs="Calibri"/>
              </w:rPr>
            </w:pPr>
            <w:r w:rsidRPr="007D15C3">
              <w:rPr>
                <w:rFonts w:cs="Calibri"/>
              </w:rPr>
              <w:t>KAKW-DT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BF00F0" w14:textId="77777777">
            <w:pPr>
              <w:rPr>
                <w:rFonts w:cs="Calibri"/>
              </w:rPr>
            </w:pPr>
            <w:r w:rsidRPr="007D15C3">
              <w:rPr>
                <w:rFonts w:cs="Calibri"/>
              </w:rPr>
              <w:t xml:space="preserve">          2,615,956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93CC15" w14:textId="77777777">
            <w:pPr>
              <w:rPr>
                <w:rFonts w:cs="Calibri"/>
              </w:rPr>
            </w:pPr>
            <w:r w:rsidRPr="007D15C3">
              <w:rPr>
                <w:rFonts w:cs="Calibri"/>
              </w:rPr>
              <w:t xml:space="preserve">            2,531,813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0913C0" w14:textId="77777777">
            <w:pPr>
              <w:jc w:val="right"/>
              <w:rPr>
                <w:rFonts w:cs="Calibri"/>
              </w:rPr>
            </w:pPr>
            <w:r w:rsidRPr="007D15C3">
              <w:rPr>
                <w:rFonts w:cs="Calibri"/>
              </w:rPr>
              <w:t>$19,842</w:t>
            </w:r>
          </w:p>
        </w:tc>
      </w:tr>
      <w:tr w14:paraId="41DAE32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761B5A" w14:textId="77777777">
            <w:pPr>
              <w:jc w:val="center"/>
              <w:rPr>
                <w:rFonts w:cs="Calibri"/>
              </w:rPr>
            </w:pPr>
            <w:r w:rsidRPr="007D15C3">
              <w:rPr>
                <w:rFonts w:cs="Calibri"/>
              </w:rPr>
              <w:t>51598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044010" w14:textId="77777777">
            <w:pPr>
              <w:jc w:val="center"/>
              <w:rPr>
                <w:rFonts w:cs="Calibri"/>
              </w:rPr>
            </w:pPr>
            <w:r w:rsidRPr="007D15C3">
              <w:rPr>
                <w:rFonts w:cs="Calibri"/>
              </w:rPr>
              <w:t>KALB-TV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1A5CA9" w14:textId="77777777">
            <w:pPr>
              <w:rPr>
                <w:rFonts w:cs="Calibri"/>
              </w:rPr>
            </w:pPr>
            <w:r w:rsidRPr="007D15C3">
              <w:rPr>
                <w:rFonts w:cs="Calibri"/>
              </w:rPr>
              <w:t xml:space="preserve">             943,307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6197BC" w14:textId="77777777">
            <w:pPr>
              <w:rPr>
                <w:rFonts w:cs="Calibri"/>
              </w:rPr>
            </w:pPr>
            <w:r w:rsidRPr="007D15C3">
              <w:rPr>
                <w:rFonts w:cs="Calibri"/>
              </w:rPr>
              <w:t xml:space="preserve">               942,043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06E70E" w14:textId="77777777">
            <w:pPr>
              <w:jc w:val="right"/>
              <w:rPr>
                <w:rFonts w:cs="Calibri"/>
              </w:rPr>
            </w:pPr>
            <w:r w:rsidRPr="007D15C3">
              <w:rPr>
                <w:rFonts w:cs="Calibri"/>
              </w:rPr>
              <w:t>$7,383</w:t>
            </w:r>
          </w:p>
        </w:tc>
      </w:tr>
      <w:tr w14:paraId="1ADDA2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49D5B8" w14:textId="77777777">
            <w:pPr>
              <w:jc w:val="center"/>
              <w:rPr>
                <w:rFonts w:cs="Calibri"/>
              </w:rPr>
            </w:pPr>
            <w:r w:rsidRPr="007D15C3">
              <w:rPr>
                <w:rFonts w:cs="Calibri"/>
              </w:rPr>
              <w:t>51241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98B94D" w14:textId="77777777">
            <w:pPr>
              <w:jc w:val="center"/>
              <w:rPr>
                <w:rFonts w:cs="Calibri"/>
              </w:rPr>
            </w:pPr>
            <w:r w:rsidRPr="007D15C3">
              <w:rPr>
                <w:rFonts w:cs="Calibri"/>
              </w:rPr>
              <w:t>KALO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9A76D" w14:textId="77777777">
            <w:pPr>
              <w:rPr>
                <w:rFonts w:cs="Calibri"/>
              </w:rPr>
            </w:pPr>
            <w:r w:rsidRPr="007D15C3">
              <w:rPr>
                <w:rFonts w:cs="Calibri"/>
              </w:rPr>
              <w:t xml:space="preserve">             948,683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68BC2B" w14:textId="77777777">
            <w:pPr>
              <w:rPr>
                <w:rFonts w:cs="Calibri"/>
              </w:rPr>
            </w:pPr>
            <w:r w:rsidRPr="007D15C3">
              <w:rPr>
                <w:rFonts w:cs="Calibri"/>
              </w:rPr>
              <w:t xml:space="preserve">               844,503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07809B" w14:textId="77777777">
            <w:pPr>
              <w:jc w:val="right"/>
              <w:rPr>
                <w:rFonts w:cs="Calibri"/>
              </w:rPr>
            </w:pPr>
            <w:r w:rsidRPr="007D15C3">
              <w:rPr>
                <w:rFonts w:cs="Calibri"/>
              </w:rPr>
              <w:t>$6,618</w:t>
            </w:r>
          </w:p>
        </w:tc>
      </w:tr>
      <w:tr w14:paraId="459FFE8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C26DDF" w14:textId="77777777">
            <w:pPr>
              <w:jc w:val="center"/>
              <w:rPr>
                <w:rFonts w:cs="Calibri"/>
              </w:rPr>
            </w:pPr>
            <w:r w:rsidRPr="007D15C3">
              <w:rPr>
                <w:rFonts w:cs="Calibri"/>
              </w:rPr>
              <w:t>40820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FDD310" w14:textId="77777777">
            <w:pPr>
              <w:jc w:val="center"/>
              <w:rPr>
                <w:rFonts w:cs="Calibri"/>
              </w:rPr>
            </w:pPr>
            <w:r w:rsidRPr="007D15C3">
              <w:rPr>
                <w:rFonts w:cs="Calibri"/>
              </w:rPr>
              <w:t>KAMC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96D87D" w14:textId="77777777">
            <w:pPr>
              <w:rPr>
                <w:rFonts w:cs="Calibri"/>
              </w:rPr>
            </w:pPr>
            <w:r w:rsidRPr="007D15C3">
              <w:rPr>
                <w:rFonts w:cs="Calibri"/>
              </w:rPr>
              <w:t xml:space="preserve">             391,526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FC1EC7" w14:textId="77777777">
            <w:pPr>
              <w:rPr>
                <w:rFonts w:cs="Calibri"/>
              </w:rPr>
            </w:pPr>
            <w:r w:rsidRPr="007D15C3">
              <w:rPr>
                <w:rFonts w:cs="Calibri"/>
              </w:rPr>
              <w:t xml:space="preserve">               391,502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35C3A9" w14:textId="77777777">
            <w:pPr>
              <w:jc w:val="right"/>
              <w:rPr>
                <w:rFonts w:cs="Calibri"/>
              </w:rPr>
            </w:pPr>
            <w:r w:rsidRPr="007D15C3">
              <w:rPr>
                <w:rFonts w:cs="Calibri"/>
              </w:rPr>
              <w:t>$3,068</w:t>
            </w:r>
          </w:p>
        </w:tc>
      </w:tr>
      <w:tr w14:paraId="74E7265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F4CD4D" w14:textId="77777777">
            <w:pPr>
              <w:jc w:val="center"/>
              <w:rPr>
                <w:rFonts w:cs="Calibri"/>
              </w:rPr>
            </w:pPr>
            <w:r w:rsidRPr="007D15C3">
              <w:rPr>
                <w:rFonts w:cs="Calibri"/>
              </w:rPr>
              <w:t>8523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74BC4B" w14:textId="77777777">
            <w:pPr>
              <w:jc w:val="center"/>
              <w:rPr>
                <w:rFonts w:cs="Calibri"/>
              </w:rPr>
            </w:pPr>
            <w:r w:rsidRPr="007D15C3">
              <w:rPr>
                <w:rFonts w:cs="Calibri"/>
              </w:rPr>
              <w:t>KAMR-TV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68615E" w14:textId="77777777">
            <w:pPr>
              <w:rPr>
                <w:rFonts w:cs="Calibri"/>
              </w:rPr>
            </w:pPr>
            <w:r w:rsidRPr="007D15C3">
              <w:rPr>
                <w:rFonts w:cs="Calibri"/>
              </w:rPr>
              <w:t xml:space="preserve">             366,476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6BF7A4" w14:textId="77777777">
            <w:pPr>
              <w:rPr>
                <w:rFonts w:cs="Calibri"/>
              </w:rPr>
            </w:pPr>
            <w:r w:rsidRPr="007D15C3">
              <w:rPr>
                <w:rFonts w:cs="Calibri"/>
              </w:rPr>
              <w:t xml:space="preserve">               366,335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0813A9" w14:textId="77777777">
            <w:pPr>
              <w:jc w:val="right"/>
              <w:rPr>
                <w:rFonts w:cs="Calibri"/>
              </w:rPr>
            </w:pPr>
            <w:r w:rsidRPr="007D15C3">
              <w:rPr>
                <w:rFonts w:cs="Calibri"/>
              </w:rPr>
              <w:t>$2,871</w:t>
            </w:r>
          </w:p>
        </w:tc>
      </w:tr>
      <w:tr w14:paraId="52A581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B7B43F" w14:textId="77777777">
            <w:pPr>
              <w:jc w:val="center"/>
              <w:rPr>
                <w:rFonts w:cs="Calibri"/>
              </w:rPr>
            </w:pPr>
            <w:r w:rsidRPr="007D15C3">
              <w:rPr>
                <w:rFonts w:cs="Calibri"/>
              </w:rPr>
              <w:t>65301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8AB578" w14:textId="77777777">
            <w:pPr>
              <w:jc w:val="center"/>
              <w:rPr>
                <w:rFonts w:cs="Calibri"/>
              </w:rPr>
            </w:pPr>
            <w:r w:rsidRPr="007D15C3">
              <w:rPr>
                <w:rFonts w:cs="Calibri"/>
              </w:rPr>
              <w:t>KAMU-TV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609B9B" w14:textId="77777777">
            <w:pPr>
              <w:rPr>
                <w:rFonts w:cs="Calibri"/>
              </w:rPr>
            </w:pPr>
            <w:r w:rsidRPr="007D15C3">
              <w:rPr>
                <w:rFonts w:cs="Calibri"/>
              </w:rPr>
              <w:t xml:space="preserve">             346,892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3E4914" w14:textId="77777777">
            <w:pPr>
              <w:rPr>
                <w:rFonts w:cs="Calibri"/>
              </w:rPr>
            </w:pPr>
            <w:r w:rsidRPr="007D15C3">
              <w:rPr>
                <w:rFonts w:cs="Calibri"/>
              </w:rPr>
              <w:t xml:space="preserve">               342,455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86277B" w14:textId="77777777">
            <w:pPr>
              <w:jc w:val="right"/>
              <w:rPr>
                <w:rFonts w:cs="Calibri"/>
              </w:rPr>
            </w:pPr>
            <w:r w:rsidRPr="007D15C3">
              <w:rPr>
                <w:rFonts w:cs="Calibri"/>
              </w:rPr>
              <w:t>$2,684</w:t>
            </w:r>
          </w:p>
        </w:tc>
      </w:tr>
      <w:tr w14:paraId="51DCCDA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6FD4C8" w14:textId="77777777">
            <w:pPr>
              <w:jc w:val="center"/>
              <w:rPr>
                <w:rFonts w:cs="Calibri"/>
              </w:rPr>
            </w:pPr>
            <w:r w:rsidRPr="007D15C3">
              <w:rPr>
                <w:rFonts w:cs="Calibri"/>
              </w:rPr>
              <w:t>2506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42C651" w14:textId="77777777">
            <w:pPr>
              <w:jc w:val="center"/>
              <w:rPr>
                <w:rFonts w:cs="Calibri"/>
              </w:rPr>
            </w:pPr>
            <w:r w:rsidRPr="007D15C3">
              <w:rPr>
                <w:rFonts w:cs="Calibri"/>
              </w:rPr>
              <w:t>KAPP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BEB3BF" w14:textId="77777777">
            <w:pPr>
              <w:rPr>
                <w:rFonts w:cs="Calibri"/>
              </w:rPr>
            </w:pPr>
            <w:r w:rsidRPr="007D15C3">
              <w:rPr>
                <w:rFonts w:cs="Calibri"/>
              </w:rPr>
              <w:t xml:space="preserve">             319,797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026134" w14:textId="77777777">
            <w:pPr>
              <w:rPr>
                <w:rFonts w:cs="Calibri"/>
              </w:rPr>
            </w:pPr>
            <w:r w:rsidRPr="007D15C3">
              <w:rPr>
                <w:rFonts w:cs="Calibri"/>
              </w:rPr>
              <w:t xml:space="preserve">               283,944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57F849" w14:textId="77777777">
            <w:pPr>
              <w:jc w:val="right"/>
              <w:rPr>
                <w:rFonts w:cs="Calibri"/>
              </w:rPr>
            </w:pPr>
            <w:r w:rsidRPr="007D15C3">
              <w:rPr>
                <w:rFonts w:cs="Calibri"/>
              </w:rPr>
              <w:t>$2,225</w:t>
            </w:r>
          </w:p>
        </w:tc>
      </w:tr>
      <w:tr w14:paraId="59BCB8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CB58CA" w14:textId="77777777">
            <w:pPr>
              <w:jc w:val="center"/>
              <w:rPr>
                <w:rFonts w:cs="Calibri"/>
              </w:rPr>
            </w:pPr>
            <w:r w:rsidRPr="007D15C3">
              <w:rPr>
                <w:rFonts w:cs="Calibri"/>
              </w:rPr>
              <w:t>3658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A1A0948" w14:textId="77777777">
            <w:pPr>
              <w:jc w:val="center"/>
              <w:rPr>
                <w:rFonts w:cs="Calibri"/>
              </w:rPr>
            </w:pPr>
            <w:r w:rsidRPr="007D15C3">
              <w:rPr>
                <w:rFonts w:cs="Calibri"/>
              </w:rPr>
              <w:t>KARD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E30F6F" w14:textId="77777777">
            <w:pPr>
              <w:rPr>
                <w:rFonts w:cs="Calibri"/>
              </w:rPr>
            </w:pPr>
            <w:r w:rsidRPr="007D15C3">
              <w:rPr>
                <w:rFonts w:cs="Calibri"/>
              </w:rPr>
              <w:t xml:space="preserve">             703,234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D3EDF7" w14:textId="77777777">
            <w:pPr>
              <w:rPr>
                <w:rFonts w:cs="Calibri"/>
              </w:rPr>
            </w:pPr>
            <w:r w:rsidRPr="007D15C3">
              <w:rPr>
                <w:rFonts w:cs="Calibri"/>
              </w:rPr>
              <w:t xml:space="preserve">               700,887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5CF201" w14:textId="77777777">
            <w:pPr>
              <w:jc w:val="right"/>
              <w:rPr>
                <w:rFonts w:cs="Calibri"/>
              </w:rPr>
            </w:pPr>
            <w:r w:rsidRPr="007D15C3">
              <w:rPr>
                <w:rFonts w:cs="Calibri"/>
              </w:rPr>
              <w:t>$5,493</w:t>
            </w:r>
          </w:p>
        </w:tc>
      </w:tr>
      <w:tr w14:paraId="42EB411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02B42D" w14:textId="77777777">
            <w:pPr>
              <w:jc w:val="center"/>
              <w:rPr>
                <w:rFonts w:cs="Calibri"/>
              </w:rPr>
            </w:pPr>
            <w:r w:rsidRPr="007D15C3">
              <w:rPr>
                <w:rFonts w:cs="Calibri"/>
              </w:rPr>
              <w:t>23079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AC70015" w14:textId="77777777">
            <w:pPr>
              <w:jc w:val="center"/>
              <w:rPr>
                <w:rFonts w:cs="Calibri"/>
              </w:rPr>
            </w:pPr>
            <w:r w:rsidRPr="007D15C3">
              <w:rPr>
                <w:rFonts w:cs="Calibri"/>
              </w:rPr>
              <w:t>KARE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5B0863" w14:textId="77777777">
            <w:pPr>
              <w:rPr>
                <w:rFonts w:cs="Calibri"/>
              </w:rPr>
            </w:pPr>
            <w:r w:rsidRPr="007D15C3">
              <w:rPr>
                <w:rFonts w:cs="Calibri"/>
              </w:rPr>
              <w:t xml:space="preserve">          3,924,944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5D80E1" w14:textId="77777777">
            <w:pPr>
              <w:rPr>
                <w:rFonts w:cs="Calibri"/>
              </w:rPr>
            </w:pPr>
            <w:r w:rsidRPr="007D15C3">
              <w:rPr>
                <w:rFonts w:cs="Calibri"/>
              </w:rPr>
              <w:t xml:space="preserve">            3,907,483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25F315" w14:textId="77777777">
            <w:pPr>
              <w:jc w:val="right"/>
              <w:rPr>
                <w:rFonts w:cs="Calibri"/>
              </w:rPr>
            </w:pPr>
            <w:r w:rsidRPr="007D15C3">
              <w:rPr>
                <w:rFonts w:cs="Calibri"/>
              </w:rPr>
              <w:t>$30,623</w:t>
            </w:r>
          </w:p>
        </w:tc>
      </w:tr>
      <w:tr w14:paraId="3D7BE4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2C5B94" w14:textId="77777777">
            <w:pPr>
              <w:jc w:val="center"/>
              <w:rPr>
                <w:rFonts w:cs="Calibri"/>
              </w:rPr>
            </w:pPr>
            <w:r w:rsidRPr="007D15C3">
              <w:rPr>
                <w:rFonts w:cs="Calibri"/>
              </w:rPr>
              <w:t>33440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C22942" w14:textId="77777777">
            <w:pPr>
              <w:jc w:val="center"/>
              <w:rPr>
                <w:rFonts w:cs="Calibri"/>
              </w:rPr>
            </w:pPr>
            <w:r w:rsidRPr="007D15C3">
              <w:rPr>
                <w:rFonts w:cs="Calibri"/>
              </w:rPr>
              <w:t>KARK-TV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B5C9C6" w14:textId="77777777">
            <w:pPr>
              <w:rPr>
                <w:rFonts w:cs="Calibri"/>
              </w:rPr>
            </w:pPr>
            <w:r w:rsidRPr="007D15C3">
              <w:rPr>
                <w:rFonts w:cs="Calibri"/>
              </w:rPr>
              <w:t xml:space="preserve">          1,212,038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0ABA6C" w14:textId="77777777">
            <w:pPr>
              <w:rPr>
                <w:rFonts w:cs="Calibri"/>
              </w:rPr>
            </w:pPr>
            <w:r w:rsidRPr="007D15C3">
              <w:rPr>
                <w:rFonts w:cs="Calibri"/>
              </w:rPr>
              <w:t xml:space="preserve">            1,196,196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9EA711" w14:textId="77777777">
            <w:pPr>
              <w:jc w:val="right"/>
              <w:rPr>
                <w:rFonts w:cs="Calibri"/>
              </w:rPr>
            </w:pPr>
            <w:r w:rsidRPr="007D15C3">
              <w:rPr>
                <w:rFonts w:cs="Calibri"/>
              </w:rPr>
              <w:t>$9,375</w:t>
            </w:r>
          </w:p>
        </w:tc>
      </w:tr>
      <w:tr w14:paraId="5319D6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08844C" w14:textId="77777777">
            <w:pPr>
              <w:jc w:val="center"/>
              <w:rPr>
                <w:rFonts w:cs="Calibri"/>
              </w:rPr>
            </w:pPr>
            <w:r w:rsidRPr="007D15C3">
              <w:rPr>
                <w:rFonts w:cs="Calibri"/>
              </w:rPr>
              <w:t>37005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C83B6A" w14:textId="77777777">
            <w:pPr>
              <w:jc w:val="center"/>
              <w:rPr>
                <w:rFonts w:cs="Calibri"/>
              </w:rPr>
            </w:pPr>
            <w:r w:rsidRPr="007D15C3">
              <w:rPr>
                <w:rFonts w:cs="Calibri"/>
              </w:rPr>
              <w:t>KARZ-TV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9C2940" w14:textId="77777777">
            <w:pPr>
              <w:rPr>
                <w:rFonts w:cs="Calibri"/>
              </w:rPr>
            </w:pPr>
            <w:r w:rsidRPr="007D15C3">
              <w:rPr>
                <w:rFonts w:cs="Calibri"/>
              </w:rPr>
              <w:t xml:space="preserve">          1,066,386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E74A9F" w14:textId="77777777">
            <w:pPr>
              <w:rPr>
                <w:rFonts w:cs="Calibri"/>
              </w:rPr>
            </w:pPr>
            <w:r w:rsidRPr="007D15C3">
              <w:rPr>
                <w:rFonts w:cs="Calibri"/>
              </w:rPr>
              <w:t xml:space="preserve">            1,050,270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26B5D0" w14:textId="77777777">
            <w:pPr>
              <w:jc w:val="right"/>
              <w:rPr>
                <w:rFonts w:cs="Calibri"/>
              </w:rPr>
            </w:pPr>
            <w:r w:rsidRPr="007D15C3">
              <w:rPr>
                <w:rFonts w:cs="Calibri"/>
              </w:rPr>
              <w:t>$8,231</w:t>
            </w:r>
          </w:p>
        </w:tc>
      </w:tr>
      <w:tr w14:paraId="31B9B9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4FD2E6" w14:textId="77777777">
            <w:pPr>
              <w:jc w:val="center"/>
              <w:rPr>
                <w:rFonts w:cs="Calibri"/>
              </w:rPr>
            </w:pPr>
            <w:r w:rsidRPr="007D15C3">
              <w:rPr>
                <w:rFonts w:cs="Calibri"/>
              </w:rPr>
              <w:t>32311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5A8AEA" w14:textId="77777777">
            <w:pPr>
              <w:jc w:val="center"/>
              <w:rPr>
                <w:rFonts w:cs="Calibri"/>
              </w:rPr>
            </w:pPr>
            <w:r w:rsidRPr="007D15C3">
              <w:rPr>
                <w:rFonts w:cs="Calibri"/>
              </w:rPr>
              <w:t>KASA-TV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8FDFD1" w14:textId="77777777">
            <w:pPr>
              <w:rPr>
                <w:rFonts w:cs="Calibri"/>
              </w:rPr>
            </w:pPr>
            <w:r w:rsidRPr="007D15C3">
              <w:rPr>
                <w:rFonts w:cs="Calibri"/>
              </w:rPr>
              <w:t xml:space="preserve">          1,161,789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8A203B" w14:textId="77777777">
            <w:pPr>
              <w:rPr>
                <w:rFonts w:cs="Calibri"/>
              </w:rPr>
            </w:pPr>
            <w:r w:rsidRPr="007D15C3">
              <w:rPr>
                <w:rFonts w:cs="Calibri"/>
              </w:rPr>
              <w:t xml:space="preserve">            1,119,108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033FF6" w14:textId="77777777">
            <w:pPr>
              <w:jc w:val="right"/>
              <w:rPr>
                <w:rFonts w:cs="Calibri"/>
              </w:rPr>
            </w:pPr>
            <w:r w:rsidRPr="007D15C3">
              <w:rPr>
                <w:rFonts w:cs="Calibri"/>
              </w:rPr>
              <w:t>$8,770</w:t>
            </w:r>
          </w:p>
        </w:tc>
      </w:tr>
      <w:tr w14:paraId="082568E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207E18" w14:textId="77777777">
            <w:pPr>
              <w:jc w:val="center"/>
              <w:rPr>
                <w:rFonts w:cs="Calibri"/>
              </w:rPr>
            </w:pPr>
            <w:r w:rsidRPr="007D15C3">
              <w:rPr>
                <w:rFonts w:cs="Calibri"/>
              </w:rPr>
              <w:t>41212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922321" w14:textId="77777777">
            <w:pPr>
              <w:jc w:val="center"/>
              <w:rPr>
                <w:rFonts w:cs="Calibri"/>
              </w:rPr>
            </w:pPr>
            <w:r w:rsidRPr="007D15C3">
              <w:rPr>
                <w:rFonts w:cs="Calibri"/>
              </w:rPr>
              <w:t>KASN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5A7C9B" w14:textId="77777777">
            <w:pPr>
              <w:rPr>
                <w:rFonts w:cs="Calibri"/>
              </w:rPr>
            </w:pPr>
            <w:r w:rsidRPr="007D15C3">
              <w:rPr>
                <w:rFonts w:cs="Calibri"/>
              </w:rPr>
              <w:t xml:space="preserve">          1,175,627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6B3B6C" w14:textId="77777777">
            <w:pPr>
              <w:rPr>
                <w:rFonts w:cs="Calibri"/>
              </w:rPr>
            </w:pPr>
            <w:r w:rsidRPr="007D15C3">
              <w:rPr>
                <w:rFonts w:cs="Calibri"/>
              </w:rPr>
              <w:t xml:space="preserve">            1,159,721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D37466" w14:textId="77777777">
            <w:pPr>
              <w:jc w:val="right"/>
              <w:rPr>
                <w:rFonts w:cs="Calibri"/>
              </w:rPr>
            </w:pPr>
            <w:r w:rsidRPr="007D15C3">
              <w:rPr>
                <w:rFonts w:cs="Calibri"/>
              </w:rPr>
              <w:t>$9,089</w:t>
            </w:r>
          </w:p>
        </w:tc>
      </w:tr>
      <w:tr w14:paraId="58D6CAB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369627" w14:textId="77777777">
            <w:pPr>
              <w:jc w:val="center"/>
              <w:rPr>
                <w:rFonts w:cs="Calibri"/>
              </w:rPr>
            </w:pPr>
            <w:r w:rsidRPr="007D15C3">
              <w:rPr>
                <w:rFonts w:cs="Calibri"/>
              </w:rPr>
              <w:t>7143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2B1209" w14:textId="77777777">
            <w:pPr>
              <w:jc w:val="center"/>
              <w:rPr>
                <w:rFonts w:cs="Calibri"/>
              </w:rPr>
            </w:pPr>
            <w:r w:rsidRPr="007D15C3">
              <w:rPr>
                <w:rFonts w:cs="Calibri"/>
              </w:rPr>
              <w:t>KASW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5FC222" w14:textId="77777777">
            <w:pPr>
              <w:rPr>
                <w:rFonts w:cs="Calibri"/>
              </w:rPr>
            </w:pPr>
            <w:r w:rsidRPr="007D15C3">
              <w:rPr>
                <w:rFonts w:cs="Calibri"/>
              </w:rPr>
              <w:t xml:space="preserve">          4,174,437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A7442E" w14:textId="77777777">
            <w:pPr>
              <w:rPr>
                <w:rFonts w:cs="Calibri"/>
              </w:rPr>
            </w:pPr>
            <w:r w:rsidRPr="007D15C3">
              <w:rPr>
                <w:rFonts w:cs="Calibri"/>
              </w:rPr>
              <w:t xml:space="preserve">            4,160,497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EF6A89" w14:textId="77777777">
            <w:pPr>
              <w:jc w:val="right"/>
              <w:rPr>
                <w:rFonts w:cs="Calibri"/>
              </w:rPr>
            </w:pPr>
            <w:r w:rsidRPr="007D15C3">
              <w:rPr>
                <w:rFonts w:cs="Calibri"/>
              </w:rPr>
              <w:t>$32,606</w:t>
            </w:r>
          </w:p>
        </w:tc>
      </w:tr>
      <w:tr w14:paraId="55C315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2C5448" w14:textId="77777777">
            <w:pPr>
              <w:jc w:val="center"/>
              <w:rPr>
                <w:rFonts w:cs="Calibri"/>
              </w:rPr>
            </w:pPr>
            <w:r w:rsidRPr="007D15C3">
              <w:rPr>
                <w:rFonts w:cs="Calibri"/>
              </w:rPr>
              <w:t>55049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AA31AA" w14:textId="77777777">
            <w:pPr>
              <w:jc w:val="center"/>
              <w:rPr>
                <w:rFonts w:cs="Calibri"/>
              </w:rPr>
            </w:pPr>
            <w:r w:rsidRPr="007D15C3">
              <w:rPr>
                <w:rFonts w:cs="Calibri"/>
              </w:rPr>
              <w:t>KASY-TV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4002A1" w14:textId="77777777">
            <w:pPr>
              <w:rPr>
                <w:rFonts w:cs="Calibri"/>
              </w:rPr>
            </w:pPr>
            <w:r w:rsidRPr="007D15C3">
              <w:rPr>
                <w:rFonts w:cs="Calibri"/>
              </w:rPr>
              <w:t xml:space="preserve">          1,144,839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B192FC" w14:textId="77777777">
            <w:pPr>
              <w:rPr>
                <w:rFonts w:cs="Calibri"/>
              </w:rPr>
            </w:pPr>
            <w:r w:rsidRPr="007D15C3">
              <w:rPr>
                <w:rFonts w:cs="Calibri"/>
              </w:rPr>
              <w:t xml:space="preserve">            1,099,825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60A5BD" w14:textId="77777777">
            <w:pPr>
              <w:jc w:val="right"/>
              <w:rPr>
                <w:rFonts w:cs="Calibri"/>
              </w:rPr>
            </w:pPr>
            <w:r w:rsidRPr="007D15C3">
              <w:rPr>
                <w:rFonts w:cs="Calibri"/>
              </w:rPr>
              <w:t>$8,619</w:t>
            </w:r>
          </w:p>
        </w:tc>
      </w:tr>
      <w:tr w14:paraId="75AC99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1BF703" w14:textId="77777777">
            <w:pPr>
              <w:jc w:val="center"/>
              <w:rPr>
                <w:rFonts w:cs="Calibri"/>
              </w:rPr>
            </w:pPr>
            <w:r w:rsidRPr="007D15C3">
              <w:rPr>
                <w:rFonts w:cs="Calibri"/>
              </w:rPr>
              <w:t>33471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DFF413" w14:textId="77777777">
            <w:pPr>
              <w:jc w:val="center"/>
              <w:rPr>
                <w:rFonts w:cs="Calibri"/>
              </w:rPr>
            </w:pPr>
            <w:r w:rsidRPr="007D15C3">
              <w:rPr>
                <w:rFonts w:cs="Calibri"/>
              </w:rPr>
              <w:t>KATC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A34967" w14:textId="77777777">
            <w:pPr>
              <w:rPr>
                <w:rFonts w:cs="Calibri"/>
              </w:rPr>
            </w:pPr>
            <w:r w:rsidRPr="007D15C3">
              <w:rPr>
                <w:rFonts w:cs="Calibri"/>
              </w:rPr>
              <w:t xml:space="preserve">          1,348,897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43DFB7" w14:textId="77777777">
            <w:pPr>
              <w:rPr>
                <w:rFonts w:cs="Calibri"/>
              </w:rPr>
            </w:pPr>
            <w:r w:rsidRPr="007D15C3">
              <w:rPr>
                <w:rFonts w:cs="Calibri"/>
              </w:rPr>
              <w:t xml:space="preserve">            1,348,897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EA4D84" w14:textId="77777777">
            <w:pPr>
              <w:jc w:val="right"/>
              <w:rPr>
                <w:rFonts w:cs="Calibri"/>
              </w:rPr>
            </w:pPr>
            <w:r w:rsidRPr="007D15C3">
              <w:rPr>
                <w:rFonts w:cs="Calibri"/>
              </w:rPr>
              <w:t>$10,571</w:t>
            </w:r>
          </w:p>
        </w:tc>
      </w:tr>
      <w:tr w14:paraId="08237A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7ED221" w14:textId="77777777">
            <w:pPr>
              <w:jc w:val="center"/>
              <w:rPr>
                <w:rFonts w:cs="Calibri"/>
              </w:rPr>
            </w:pPr>
            <w:r w:rsidRPr="007D15C3">
              <w:rPr>
                <w:rFonts w:cs="Calibri"/>
              </w:rPr>
              <w:t>13813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5045A2" w14:textId="77777777">
            <w:pPr>
              <w:jc w:val="center"/>
              <w:rPr>
                <w:rFonts w:cs="Calibri"/>
              </w:rPr>
            </w:pPr>
            <w:r w:rsidRPr="007D15C3">
              <w:rPr>
                <w:rFonts w:cs="Calibri"/>
              </w:rPr>
              <w:t>KATN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8C2540" w14:textId="77777777">
            <w:pPr>
              <w:rPr>
                <w:rFonts w:cs="Calibri"/>
              </w:rPr>
            </w:pPr>
            <w:r w:rsidRPr="007D15C3">
              <w:rPr>
                <w:rFonts w:cs="Calibri"/>
              </w:rPr>
              <w:t xml:space="preserve">               97,466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7DFA71" w14:textId="77777777">
            <w:pPr>
              <w:rPr>
                <w:rFonts w:cs="Calibri"/>
              </w:rPr>
            </w:pPr>
            <w:r w:rsidRPr="007D15C3">
              <w:rPr>
                <w:rFonts w:cs="Calibri"/>
              </w:rPr>
              <w:t xml:space="preserve">                 97,128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FD93FF" w14:textId="77777777">
            <w:pPr>
              <w:jc w:val="right"/>
              <w:rPr>
                <w:rFonts w:cs="Calibri"/>
              </w:rPr>
            </w:pPr>
            <w:r w:rsidRPr="007D15C3">
              <w:rPr>
                <w:rFonts w:cs="Calibri"/>
              </w:rPr>
              <w:t>$761</w:t>
            </w:r>
          </w:p>
        </w:tc>
      </w:tr>
      <w:tr w14:paraId="52E819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1B6FF3" w14:textId="77777777">
            <w:pPr>
              <w:jc w:val="center"/>
              <w:rPr>
                <w:rFonts w:cs="Calibri"/>
              </w:rPr>
            </w:pPr>
            <w:r w:rsidRPr="007D15C3">
              <w:rPr>
                <w:rFonts w:cs="Calibri"/>
              </w:rPr>
              <w:t>21649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A28F66" w14:textId="77777777">
            <w:pPr>
              <w:jc w:val="center"/>
              <w:rPr>
                <w:rFonts w:cs="Calibri"/>
              </w:rPr>
            </w:pPr>
            <w:r w:rsidRPr="007D15C3">
              <w:rPr>
                <w:rFonts w:cs="Calibri"/>
              </w:rPr>
              <w:t>KATU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6418E4" w14:textId="77777777">
            <w:pPr>
              <w:rPr>
                <w:rFonts w:cs="Calibri"/>
              </w:rPr>
            </w:pPr>
            <w:r w:rsidRPr="007D15C3">
              <w:rPr>
                <w:rFonts w:cs="Calibri"/>
              </w:rPr>
              <w:t xml:space="preserve">          2,978,043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1BBEB1" w14:textId="77777777">
            <w:pPr>
              <w:rPr>
                <w:rFonts w:cs="Calibri"/>
              </w:rPr>
            </w:pPr>
            <w:r w:rsidRPr="007D15C3">
              <w:rPr>
                <w:rFonts w:cs="Calibri"/>
              </w:rPr>
              <w:t xml:space="preserve">            2,845,632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6F5A4E" w14:textId="77777777">
            <w:pPr>
              <w:jc w:val="right"/>
              <w:rPr>
                <w:rFonts w:cs="Calibri"/>
              </w:rPr>
            </w:pPr>
            <w:r w:rsidRPr="007D15C3">
              <w:rPr>
                <w:rFonts w:cs="Calibri"/>
              </w:rPr>
              <w:t>$22,301</w:t>
            </w:r>
          </w:p>
        </w:tc>
      </w:tr>
      <w:tr w14:paraId="7C325A6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1AF86B" w14:textId="77777777">
            <w:pPr>
              <w:jc w:val="center"/>
              <w:rPr>
                <w:rFonts w:cs="Calibri"/>
              </w:rPr>
            </w:pPr>
            <w:r w:rsidRPr="007D15C3">
              <w:rPr>
                <w:rFonts w:cs="Calibri"/>
              </w:rPr>
              <w:t>33543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B8DA43" w14:textId="77777777">
            <w:pPr>
              <w:jc w:val="center"/>
              <w:rPr>
                <w:rFonts w:cs="Calibri"/>
              </w:rPr>
            </w:pPr>
            <w:r w:rsidRPr="007D15C3">
              <w:rPr>
                <w:rFonts w:cs="Calibri"/>
              </w:rPr>
              <w:t>KATV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9A41CA" w14:textId="77777777">
            <w:pPr>
              <w:rPr>
                <w:rFonts w:cs="Calibri"/>
              </w:rPr>
            </w:pPr>
            <w:r w:rsidRPr="007D15C3">
              <w:rPr>
                <w:rFonts w:cs="Calibri"/>
              </w:rPr>
              <w:t xml:space="preserve">          1,257,777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DAA930" w14:textId="77777777">
            <w:pPr>
              <w:rPr>
                <w:rFonts w:cs="Calibri"/>
              </w:rPr>
            </w:pPr>
            <w:r w:rsidRPr="007D15C3">
              <w:rPr>
                <w:rFonts w:cs="Calibri"/>
              </w:rPr>
              <w:t xml:space="preserve">            1,234,933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99893A" w14:textId="77777777">
            <w:pPr>
              <w:jc w:val="right"/>
              <w:rPr>
                <w:rFonts w:cs="Calibri"/>
              </w:rPr>
            </w:pPr>
            <w:r w:rsidRPr="007D15C3">
              <w:rPr>
                <w:rFonts w:cs="Calibri"/>
              </w:rPr>
              <w:t>$9,678</w:t>
            </w:r>
          </w:p>
        </w:tc>
      </w:tr>
      <w:tr w14:paraId="58A429AE"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C2DD49" w14:textId="77777777">
            <w:pPr>
              <w:jc w:val="center"/>
              <w:rPr>
                <w:rFonts w:cs="Calibri"/>
              </w:rPr>
            </w:pPr>
            <w:r w:rsidRPr="007D15C3">
              <w:rPr>
                <w:rFonts w:cs="Calibri"/>
              </w:rPr>
              <w:t>50182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8B01873" w14:textId="77777777">
            <w:pPr>
              <w:jc w:val="center"/>
              <w:rPr>
                <w:rFonts w:cs="Calibri"/>
              </w:rPr>
            </w:pPr>
            <w:r w:rsidRPr="007D15C3">
              <w:rPr>
                <w:rFonts w:cs="Calibri"/>
              </w:rPr>
              <w:t>KAUT-TV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6A6F94D" w14:textId="77777777">
            <w:pPr>
              <w:rPr>
                <w:rFonts w:cs="Calibri"/>
              </w:rPr>
            </w:pPr>
            <w:r w:rsidRPr="007D15C3">
              <w:rPr>
                <w:rFonts w:cs="Calibri"/>
              </w:rPr>
              <w:t xml:space="preserve">          1,637,333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EB6CCD3" w14:textId="77777777">
            <w:pPr>
              <w:rPr>
                <w:rFonts w:cs="Calibri"/>
              </w:rPr>
            </w:pPr>
            <w:r w:rsidRPr="007D15C3">
              <w:rPr>
                <w:rFonts w:cs="Calibri"/>
              </w:rPr>
              <w:t xml:space="preserve">            1,636,330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5DC89ED" w14:textId="77777777">
            <w:pPr>
              <w:jc w:val="right"/>
              <w:rPr>
                <w:rFonts w:cs="Calibri"/>
              </w:rPr>
            </w:pPr>
            <w:r w:rsidRPr="007D15C3">
              <w:rPr>
                <w:rFonts w:cs="Calibri"/>
              </w:rPr>
              <w:t>$12,824</w:t>
            </w:r>
          </w:p>
        </w:tc>
      </w:tr>
      <w:tr w14:paraId="5C390B1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DFD739" w14:textId="77777777">
            <w:pPr>
              <w:jc w:val="center"/>
              <w:rPr>
                <w:rFonts w:cs="Calibri"/>
              </w:rPr>
            </w:pPr>
            <w:r w:rsidRPr="007D15C3">
              <w:rPr>
                <w:rFonts w:cs="Calibri"/>
              </w:rPr>
              <w:t>6864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506579" w14:textId="77777777">
            <w:pPr>
              <w:jc w:val="center"/>
              <w:rPr>
                <w:rFonts w:cs="Calibri"/>
              </w:rPr>
            </w:pPr>
            <w:r w:rsidRPr="007D15C3">
              <w:rPr>
                <w:rFonts w:cs="Calibri"/>
              </w:rPr>
              <w:t>KAUZ-TV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519C8A" w14:textId="77777777">
            <w:pPr>
              <w:rPr>
                <w:rFonts w:cs="Calibri"/>
              </w:rPr>
            </w:pPr>
            <w:r w:rsidRPr="007D15C3">
              <w:rPr>
                <w:rFonts w:cs="Calibri"/>
              </w:rPr>
              <w:t xml:space="preserve">             381,671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EF1BD9" w14:textId="77777777">
            <w:pPr>
              <w:rPr>
                <w:rFonts w:cs="Calibri"/>
              </w:rPr>
            </w:pPr>
            <w:r w:rsidRPr="007D15C3">
              <w:rPr>
                <w:rFonts w:cs="Calibri"/>
              </w:rPr>
              <w:t xml:space="preserve">               379,435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0C12C7" w14:textId="77777777">
            <w:pPr>
              <w:jc w:val="right"/>
              <w:rPr>
                <w:rFonts w:cs="Calibri"/>
              </w:rPr>
            </w:pPr>
            <w:r w:rsidRPr="007D15C3">
              <w:rPr>
                <w:rFonts w:cs="Calibri"/>
              </w:rPr>
              <w:t>$2,974</w:t>
            </w:r>
          </w:p>
        </w:tc>
      </w:tr>
      <w:tr w14:paraId="27AD4D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6B2253" w14:textId="77777777">
            <w:pPr>
              <w:jc w:val="center"/>
              <w:rPr>
                <w:rFonts w:cs="Calibri"/>
              </w:rPr>
            </w:pPr>
            <w:r w:rsidRPr="007D15C3">
              <w:rPr>
                <w:rFonts w:cs="Calibri"/>
              </w:rPr>
              <w:t>73101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108559" w14:textId="77777777">
            <w:pPr>
              <w:jc w:val="center"/>
              <w:rPr>
                <w:rFonts w:cs="Calibri"/>
              </w:rPr>
            </w:pPr>
            <w:r w:rsidRPr="007D15C3">
              <w:rPr>
                <w:rFonts w:cs="Calibri"/>
              </w:rPr>
              <w:t>KAVU-TV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D86DD6" w14:textId="77777777">
            <w:pPr>
              <w:rPr>
                <w:rFonts w:cs="Calibri"/>
              </w:rPr>
            </w:pPr>
            <w:r w:rsidRPr="007D15C3">
              <w:rPr>
                <w:rFonts w:cs="Calibri"/>
              </w:rPr>
              <w:t xml:space="preserve">             320,484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FAA805" w14:textId="77777777">
            <w:pPr>
              <w:rPr>
                <w:rFonts w:cs="Calibri"/>
              </w:rPr>
            </w:pPr>
            <w:r w:rsidRPr="007D15C3">
              <w:rPr>
                <w:rFonts w:cs="Calibri"/>
              </w:rPr>
              <w:t xml:space="preserve">               320,363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0CBCA0" w14:textId="77777777">
            <w:pPr>
              <w:jc w:val="right"/>
              <w:rPr>
                <w:rFonts w:cs="Calibri"/>
              </w:rPr>
            </w:pPr>
            <w:r w:rsidRPr="007D15C3">
              <w:rPr>
                <w:rFonts w:cs="Calibri"/>
              </w:rPr>
              <w:t>$2,511</w:t>
            </w:r>
          </w:p>
        </w:tc>
      </w:tr>
      <w:tr w14:paraId="1FB3FA6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756A92" w14:textId="77777777">
            <w:pPr>
              <w:jc w:val="center"/>
              <w:rPr>
                <w:rFonts w:cs="Calibri"/>
              </w:rPr>
            </w:pPr>
            <w:r w:rsidRPr="007D15C3">
              <w:rPr>
                <w:rFonts w:cs="Calibri"/>
              </w:rPr>
              <w:t>49579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862C9F" w14:textId="77777777">
            <w:pPr>
              <w:jc w:val="center"/>
              <w:rPr>
                <w:rFonts w:cs="Calibri"/>
              </w:rPr>
            </w:pPr>
            <w:r w:rsidRPr="007D15C3">
              <w:rPr>
                <w:rFonts w:cs="Calibri"/>
              </w:rPr>
              <w:t>KAWB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6A9179" w14:textId="77777777">
            <w:pPr>
              <w:rPr>
                <w:rFonts w:cs="Calibri"/>
              </w:rPr>
            </w:pPr>
            <w:r w:rsidRPr="007D15C3">
              <w:rPr>
                <w:rFonts w:cs="Calibri"/>
              </w:rPr>
              <w:t xml:space="preserve">             186,919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5BB442" w14:textId="77777777">
            <w:pPr>
              <w:rPr>
                <w:rFonts w:cs="Calibri"/>
              </w:rPr>
            </w:pPr>
            <w:r w:rsidRPr="007D15C3">
              <w:rPr>
                <w:rFonts w:cs="Calibri"/>
              </w:rPr>
              <w:t xml:space="preserve">               186,845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1F37FF" w14:textId="77777777">
            <w:pPr>
              <w:jc w:val="right"/>
              <w:rPr>
                <w:rFonts w:cs="Calibri"/>
              </w:rPr>
            </w:pPr>
            <w:r w:rsidRPr="007D15C3">
              <w:rPr>
                <w:rFonts w:cs="Calibri"/>
              </w:rPr>
              <w:t>$1,464</w:t>
            </w:r>
          </w:p>
        </w:tc>
      </w:tr>
      <w:tr w14:paraId="1DA223F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99B67A" w14:textId="77777777">
            <w:pPr>
              <w:jc w:val="center"/>
              <w:rPr>
                <w:rFonts w:cs="Calibri"/>
              </w:rPr>
            </w:pPr>
            <w:r w:rsidRPr="007D15C3">
              <w:rPr>
                <w:rFonts w:cs="Calibri"/>
              </w:rPr>
              <w:t>49578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FA5297" w14:textId="77777777">
            <w:pPr>
              <w:jc w:val="center"/>
              <w:rPr>
                <w:rFonts w:cs="Calibri"/>
              </w:rPr>
            </w:pPr>
            <w:r w:rsidRPr="007D15C3">
              <w:rPr>
                <w:rFonts w:cs="Calibri"/>
              </w:rPr>
              <w:t>KAWE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3F56C0" w14:textId="77777777">
            <w:pPr>
              <w:rPr>
                <w:rFonts w:cs="Calibri"/>
              </w:rPr>
            </w:pPr>
            <w:r w:rsidRPr="007D15C3">
              <w:rPr>
                <w:rFonts w:cs="Calibri"/>
              </w:rPr>
              <w:t xml:space="preserve">             136,033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EFF32C" w14:textId="77777777">
            <w:pPr>
              <w:rPr>
                <w:rFonts w:cs="Calibri"/>
              </w:rPr>
            </w:pPr>
            <w:r w:rsidRPr="007D15C3">
              <w:rPr>
                <w:rFonts w:cs="Calibri"/>
              </w:rPr>
              <w:t xml:space="preserve">               133,937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509648" w14:textId="77777777">
            <w:pPr>
              <w:jc w:val="right"/>
              <w:rPr>
                <w:rFonts w:cs="Calibri"/>
              </w:rPr>
            </w:pPr>
            <w:r w:rsidRPr="007D15C3">
              <w:rPr>
                <w:rFonts w:cs="Calibri"/>
              </w:rPr>
              <w:t>$1,050</w:t>
            </w:r>
          </w:p>
        </w:tc>
      </w:tr>
      <w:tr w14:paraId="2D2A5E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49C1F2" w14:textId="77777777">
            <w:pPr>
              <w:jc w:val="center"/>
              <w:rPr>
                <w:rFonts w:cs="Calibri"/>
              </w:rPr>
            </w:pPr>
            <w:r w:rsidRPr="007D15C3">
              <w:rPr>
                <w:rFonts w:cs="Calibri"/>
              </w:rPr>
              <w:t>58684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A2423F" w14:textId="77777777">
            <w:pPr>
              <w:jc w:val="center"/>
              <w:rPr>
                <w:rFonts w:cs="Calibri"/>
              </w:rPr>
            </w:pPr>
            <w:r w:rsidRPr="007D15C3">
              <w:rPr>
                <w:rFonts w:cs="Calibri"/>
              </w:rPr>
              <w:t>KAYU-TV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D442ED" w14:textId="77777777">
            <w:pPr>
              <w:rPr>
                <w:rFonts w:cs="Calibri"/>
              </w:rPr>
            </w:pPr>
            <w:r w:rsidRPr="007D15C3">
              <w:rPr>
                <w:rFonts w:cs="Calibri"/>
              </w:rPr>
              <w:t xml:space="preserve">             809,464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186858" w14:textId="77777777">
            <w:pPr>
              <w:rPr>
                <w:rFonts w:cs="Calibri"/>
              </w:rPr>
            </w:pPr>
            <w:r w:rsidRPr="007D15C3">
              <w:rPr>
                <w:rFonts w:cs="Calibri"/>
              </w:rPr>
              <w:t xml:space="preserve">               750,766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67E78B" w14:textId="77777777">
            <w:pPr>
              <w:jc w:val="right"/>
              <w:rPr>
                <w:rFonts w:cs="Calibri"/>
              </w:rPr>
            </w:pPr>
            <w:r w:rsidRPr="007D15C3">
              <w:rPr>
                <w:rFonts w:cs="Calibri"/>
              </w:rPr>
              <w:t>$5,884</w:t>
            </w:r>
          </w:p>
        </w:tc>
      </w:tr>
      <w:tr w14:paraId="7B16AE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730FB2" w14:textId="77777777">
            <w:pPr>
              <w:jc w:val="center"/>
              <w:rPr>
                <w:rFonts w:cs="Calibri"/>
              </w:rPr>
            </w:pPr>
            <w:r w:rsidRPr="007D15C3">
              <w:rPr>
                <w:rFonts w:cs="Calibri"/>
              </w:rPr>
              <w:t>29234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2DF5D5" w14:textId="77777777">
            <w:pPr>
              <w:jc w:val="center"/>
              <w:rPr>
                <w:rFonts w:cs="Calibri"/>
              </w:rPr>
            </w:pPr>
            <w:r w:rsidRPr="007D15C3">
              <w:rPr>
                <w:rFonts w:cs="Calibri"/>
              </w:rPr>
              <w:t>KAZA-TV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3CC1DF" w14:textId="77777777">
            <w:pPr>
              <w:rPr>
                <w:rFonts w:cs="Calibri"/>
              </w:rPr>
            </w:pPr>
            <w:r w:rsidRPr="007D15C3">
              <w:rPr>
                <w:rFonts w:cs="Calibri"/>
              </w:rPr>
              <w:t xml:space="preserve">        14,973,535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E66B84" w14:textId="77777777">
            <w:pPr>
              <w:rPr>
                <w:rFonts w:cs="Calibri"/>
              </w:rPr>
            </w:pPr>
            <w:r w:rsidRPr="007D15C3">
              <w:rPr>
                <w:rFonts w:cs="Calibri"/>
              </w:rPr>
              <w:t xml:space="preserve">          13,810,130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B7892F" w14:textId="77777777">
            <w:pPr>
              <w:jc w:val="right"/>
              <w:rPr>
                <w:rFonts w:cs="Calibri"/>
              </w:rPr>
            </w:pPr>
            <w:r w:rsidRPr="007D15C3">
              <w:rPr>
                <w:rFonts w:cs="Calibri"/>
              </w:rPr>
              <w:t>$108,230</w:t>
            </w:r>
          </w:p>
        </w:tc>
      </w:tr>
      <w:tr w14:paraId="278567A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41DF2A" w14:textId="77777777">
            <w:pPr>
              <w:jc w:val="center"/>
              <w:rPr>
                <w:rFonts w:cs="Calibri"/>
              </w:rPr>
            </w:pPr>
            <w:r w:rsidRPr="007D15C3">
              <w:rPr>
                <w:rFonts w:cs="Calibri"/>
              </w:rPr>
              <w:t>17433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1B2E17" w14:textId="77777777">
            <w:pPr>
              <w:jc w:val="center"/>
              <w:rPr>
                <w:rFonts w:cs="Calibri"/>
              </w:rPr>
            </w:pPr>
            <w:r w:rsidRPr="007D15C3">
              <w:rPr>
                <w:rFonts w:cs="Calibri"/>
              </w:rPr>
              <w:t>KAZD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C40E69" w14:textId="77777777">
            <w:pPr>
              <w:rPr>
                <w:rFonts w:cs="Calibri"/>
              </w:rPr>
            </w:pPr>
            <w:r w:rsidRPr="007D15C3">
              <w:rPr>
                <w:rFonts w:cs="Calibri"/>
              </w:rPr>
              <w:t xml:space="preserve">          6,747,915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6994C2" w14:textId="77777777">
            <w:pPr>
              <w:rPr>
                <w:rFonts w:cs="Calibri"/>
              </w:rPr>
            </w:pPr>
            <w:r w:rsidRPr="007D15C3">
              <w:rPr>
                <w:rFonts w:cs="Calibri"/>
              </w:rPr>
              <w:t xml:space="preserve">            6,744,517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7C9C4F" w14:textId="77777777">
            <w:pPr>
              <w:jc w:val="right"/>
              <w:rPr>
                <w:rFonts w:cs="Calibri"/>
              </w:rPr>
            </w:pPr>
            <w:r w:rsidRPr="007D15C3">
              <w:rPr>
                <w:rFonts w:cs="Calibri"/>
              </w:rPr>
              <w:t>$52,857</w:t>
            </w:r>
          </w:p>
        </w:tc>
      </w:tr>
      <w:tr w14:paraId="16BD287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E558AA" w14:textId="77777777">
            <w:pPr>
              <w:jc w:val="center"/>
              <w:rPr>
                <w:rFonts w:cs="Calibri"/>
              </w:rPr>
            </w:pPr>
            <w:r w:rsidRPr="007D15C3">
              <w:rPr>
                <w:rFonts w:cs="Calibri"/>
              </w:rPr>
              <w:t>1151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874F0B" w14:textId="77777777">
            <w:pPr>
              <w:jc w:val="center"/>
              <w:rPr>
                <w:rFonts w:cs="Calibri"/>
              </w:rPr>
            </w:pPr>
            <w:r w:rsidRPr="007D15C3">
              <w:rPr>
                <w:rFonts w:cs="Calibri"/>
              </w:rPr>
              <w:t>KAZQ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F0384D" w14:textId="77777777">
            <w:pPr>
              <w:rPr>
                <w:rFonts w:cs="Calibri"/>
              </w:rPr>
            </w:pPr>
            <w:r w:rsidRPr="007D15C3">
              <w:rPr>
                <w:rFonts w:cs="Calibri"/>
              </w:rPr>
              <w:t xml:space="preserve">          1,097,010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ACE3FA" w14:textId="77777777">
            <w:pPr>
              <w:rPr>
                <w:rFonts w:cs="Calibri"/>
              </w:rPr>
            </w:pPr>
            <w:r w:rsidRPr="007D15C3">
              <w:rPr>
                <w:rFonts w:cs="Calibri"/>
              </w:rPr>
              <w:t xml:space="preserve">            1,084,327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B2A6FE" w14:textId="77777777">
            <w:pPr>
              <w:jc w:val="right"/>
              <w:rPr>
                <w:rFonts w:cs="Calibri"/>
              </w:rPr>
            </w:pPr>
            <w:r w:rsidRPr="007D15C3">
              <w:rPr>
                <w:rFonts w:cs="Calibri"/>
              </w:rPr>
              <w:t>$8,498</w:t>
            </w:r>
          </w:p>
        </w:tc>
      </w:tr>
      <w:tr w14:paraId="690532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C5BD3C" w14:textId="77777777">
            <w:pPr>
              <w:jc w:val="center"/>
              <w:rPr>
                <w:rFonts w:cs="Calibri"/>
              </w:rPr>
            </w:pPr>
            <w:r w:rsidRPr="007D15C3">
              <w:rPr>
                <w:rFonts w:cs="Calibri"/>
              </w:rPr>
              <w:t>35811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F9917F" w14:textId="77777777">
            <w:pPr>
              <w:jc w:val="center"/>
              <w:rPr>
                <w:rFonts w:cs="Calibri"/>
              </w:rPr>
            </w:pPr>
            <w:r w:rsidRPr="007D15C3">
              <w:rPr>
                <w:rFonts w:cs="Calibri"/>
              </w:rPr>
              <w:t>KAZT-TV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4F81CB" w14:textId="77777777">
            <w:pPr>
              <w:rPr>
                <w:rFonts w:cs="Calibri"/>
              </w:rPr>
            </w:pPr>
            <w:r w:rsidRPr="007D15C3">
              <w:rPr>
                <w:rFonts w:cs="Calibri"/>
              </w:rPr>
              <w:t xml:space="preserve">             436,925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32F541" w14:textId="77777777">
            <w:pPr>
              <w:rPr>
                <w:rFonts w:cs="Calibri"/>
              </w:rPr>
            </w:pPr>
            <w:r w:rsidRPr="007D15C3">
              <w:rPr>
                <w:rFonts w:cs="Calibri"/>
              </w:rPr>
              <w:t xml:space="preserve">               359,273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F79468" w14:textId="77777777">
            <w:pPr>
              <w:jc w:val="right"/>
              <w:rPr>
                <w:rFonts w:cs="Calibri"/>
              </w:rPr>
            </w:pPr>
            <w:r w:rsidRPr="007D15C3">
              <w:rPr>
                <w:rFonts w:cs="Calibri"/>
              </w:rPr>
              <w:t>$2,816</w:t>
            </w:r>
          </w:p>
        </w:tc>
      </w:tr>
      <w:tr w14:paraId="62FD01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7A8DDC" w14:textId="77777777">
            <w:pPr>
              <w:jc w:val="center"/>
              <w:rPr>
                <w:rFonts w:cs="Calibri"/>
              </w:rPr>
            </w:pPr>
            <w:r w:rsidRPr="007D15C3">
              <w:rPr>
                <w:rFonts w:cs="Calibri"/>
              </w:rPr>
              <w:t>4148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3A0EAEC" w14:textId="77777777">
            <w:pPr>
              <w:jc w:val="center"/>
              <w:rPr>
                <w:rFonts w:cs="Calibri"/>
              </w:rPr>
            </w:pPr>
            <w:r w:rsidRPr="007D15C3">
              <w:rPr>
                <w:rFonts w:cs="Calibri"/>
              </w:rPr>
              <w:t>KBAK-TV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610379" w14:textId="77777777">
            <w:pPr>
              <w:rPr>
                <w:rFonts w:cs="Calibri"/>
              </w:rPr>
            </w:pPr>
            <w:r w:rsidRPr="007D15C3">
              <w:rPr>
                <w:rFonts w:cs="Calibri"/>
              </w:rPr>
              <w:t xml:space="preserve">          1,510,400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CF2B72" w14:textId="77777777">
            <w:pPr>
              <w:rPr>
                <w:rFonts w:cs="Calibri"/>
              </w:rPr>
            </w:pPr>
            <w:r w:rsidRPr="007D15C3">
              <w:rPr>
                <w:rFonts w:cs="Calibri"/>
              </w:rPr>
              <w:t xml:space="preserve">            1,263,910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C2A33C" w14:textId="77777777">
            <w:pPr>
              <w:jc w:val="right"/>
              <w:rPr>
                <w:rFonts w:cs="Calibri"/>
              </w:rPr>
            </w:pPr>
            <w:r w:rsidRPr="007D15C3">
              <w:rPr>
                <w:rFonts w:cs="Calibri"/>
              </w:rPr>
              <w:t>$9,905</w:t>
            </w:r>
          </w:p>
        </w:tc>
      </w:tr>
      <w:tr w14:paraId="6B710A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1F0C4C" w14:textId="77777777">
            <w:pPr>
              <w:jc w:val="center"/>
              <w:rPr>
                <w:rFonts w:cs="Calibri"/>
              </w:rPr>
            </w:pPr>
            <w:r w:rsidRPr="007D15C3">
              <w:rPr>
                <w:rFonts w:cs="Calibri"/>
              </w:rPr>
              <w:t>16940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2783A6" w14:textId="77777777">
            <w:pPr>
              <w:jc w:val="center"/>
              <w:rPr>
                <w:rFonts w:cs="Calibri"/>
              </w:rPr>
            </w:pPr>
            <w:r w:rsidRPr="007D15C3">
              <w:rPr>
                <w:rFonts w:cs="Calibri"/>
              </w:rPr>
              <w:t>KBCA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F22815" w14:textId="77777777">
            <w:pPr>
              <w:rPr>
                <w:rFonts w:cs="Calibri"/>
              </w:rPr>
            </w:pPr>
            <w:r w:rsidRPr="007D15C3">
              <w:rPr>
                <w:rFonts w:cs="Calibri"/>
              </w:rPr>
              <w:t xml:space="preserve">             479,260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F890FB" w14:textId="77777777">
            <w:pPr>
              <w:rPr>
                <w:rFonts w:cs="Calibri"/>
              </w:rPr>
            </w:pPr>
            <w:r w:rsidRPr="007D15C3">
              <w:rPr>
                <w:rFonts w:cs="Calibri"/>
              </w:rPr>
              <w:t xml:space="preserve">               479,219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DEE7D6" w14:textId="77777777">
            <w:pPr>
              <w:jc w:val="right"/>
              <w:rPr>
                <w:rFonts w:cs="Calibri"/>
              </w:rPr>
            </w:pPr>
            <w:r w:rsidRPr="007D15C3">
              <w:rPr>
                <w:rFonts w:cs="Calibri"/>
              </w:rPr>
              <w:t>$3,756</w:t>
            </w:r>
          </w:p>
        </w:tc>
      </w:tr>
      <w:tr w14:paraId="1C8F11A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A44AA3" w14:textId="77777777">
            <w:pPr>
              <w:jc w:val="center"/>
              <w:rPr>
                <w:rFonts w:cs="Calibri"/>
              </w:rPr>
            </w:pPr>
            <w:r w:rsidRPr="007D15C3">
              <w:rPr>
                <w:rFonts w:cs="Calibri"/>
              </w:rPr>
              <w:t>53586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D0515E" w14:textId="77777777">
            <w:pPr>
              <w:jc w:val="center"/>
              <w:rPr>
                <w:rFonts w:cs="Calibri"/>
              </w:rPr>
            </w:pPr>
            <w:r w:rsidRPr="007D15C3">
              <w:rPr>
                <w:rFonts w:cs="Calibri"/>
              </w:rPr>
              <w:t>KBCB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CE4A2E" w14:textId="77777777">
            <w:pPr>
              <w:rPr>
                <w:rFonts w:cs="Calibri"/>
              </w:rPr>
            </w:pPr>
            <w:r w:rsidRPr="007D15C3">
              <w:rPr>
                <w:rFonts w:cs="Calibri"/>
              </w:rPr>
              <w:t xml:space="preserve">          1,256,193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00A80C" w14:textId="77777777">
            <w:pPr>
              <w:rPr>
                <w:rFonts w:cs="Calibri"/>
              </w:rPr>
            </w:pPr>
            <w:r w:rsidRPr="007D15C3">
              <w:rPr>
                <w:rFonts w:cs="Calibri"/>
              </w:rPr>
              <w:t xml:space="preserve">            1,223,883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3B85F7" w14:textId="77777777">
            <w:pPr>
              <w:jc w:val="right"/>
              <w:rPr>
                <w:rFonts w:cs="Calibri"/>
              </w:rPr>
            </w:pPr>
            <w:r w:rsidRPr="007D15C3">
              <w:rPr>
                <w:rFonts w:cs="Calibri"/>
              </w:rPr>
              <w:t>$9,592</w:t>
            </w:r>
          </w:p>
        </w:tc>
      </w:tr>
      <w:tr w14:paraId="40358F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A4DAA2" w14:textId="77777777">
            <w:pPr>
              <w:jc w:val="center"/>
              <w:rPr>
                <w:rFonts w:cs="Calibri"/>
              </w:rPr>
            </w:pPr>
            <w:r w:rsidRPr="007D15C3">
              <w:rPr>
                <w:rFonts w:cs="Calibri"/>
              </w:rPr>
              <w:t>69619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643DB6" w14:textId="77777777">
            <w:pPr>
              <w:jc w:val="center"/>
              <w:rPr>
                <w:rFonts w:cs="Calibri"/>
              </w:rPr>
            </w:pPr>
            <w:r w:rsidRPr="007D15C3">
              <w:rPr>
                <w:rFonts w:cs="Calibri"/>
              </w:rPr>
              <w:t>KBCW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A04630" w14:textId="77777777">
            <w:pPr>
              <w:rPr>
                <w:rFonts w:cs="Calibri"/>
              </w:rPr>
            </w:pPr>
            <w:r w:rsidRPr="007D15C3">
              <w:rPr>
                <w:rFonts w:cs="Calibri"/>
              </w:rPr>
              <w:t xml:space="preserve">          8,020,424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B15576" w14:textId="77777777">
            <w:pPr>
              <w:rPr>
                <w:rFonts w:cs="Calibri"/>
              </w:rPr>
            </w:pPr>
            <w:r w:rsidRPr="007D15C3">
              <w:rPr>
                <w:rFonts w:cs="Calibri"/>
              </w:rPr>
              <w:t xml:space="preserve">            6,962,363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28684A" w14:textId="77777777">
            <w:pPr>
              <w:jc w:val="right"/>
              <w:rPr>
                <w:rFonts w:cs="Calibri"/>
              </w:rPr>
            </w:pPr>
            <w:r w:rsidRPr="007D15C3">
              <w:rPr>
                <w:rFonts w:cs="Calibri"/>
              </w:rPr>
              <w:t>$54,564</w:t>
            </w:r>
          </w:p>
        </w:tc>
      </w:tr>
      <w:tr w14:paraId="66FD74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DDC95D" w14:textId="77777777">
            <w:pPr>
              <w:jc w:val="center"/>
              <w:rPr>
                <w:rFonts w:cs="Calibri"/>
              </w:rPr>
            </w:pPr>
            <w:r w:rsidRPr="007D15C3">
              <w:rPr>
                <w:rFonts w:cs="Calibri"/>
              </w:rPr>
              <w:t>22685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82D3B9" w14:textId="77777777">
            <w:pPr>
              <w:jc w:val="center"/>
              <w:rPr>
                <w:rFonts w:cs="Calibri"/>
              </w:rPr>
            </w:pPr>
            <w:r w:rsidRPr="007D15C3">
              <w:rPr>
                <w:rFonts w:cs="Calibri"/>
              </w:rPr>
              <w:t>KBDI-TV*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011900" w14:textId="77777777">
            <w:pPr>
              <w:rPr>
                <w:rFonts w:cs="Calibri"/>
              </w:rPr>
            </w:pPr>
            <w:r w:rsidRPr="007D15C3">
              <w:rPr>
                <w:rFonts w:cs="Calibri"/>
              </w:rPr>
              <w:t xml:space="preserve">          4,042,177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290911" w14:textId="77777777">
            <w:pPr>
              <w:rPr>
                <w:rFonts w:cs="Calibri"/>
              </w:rPr>
            </w:pPr>
            <w:r w:rsidRPr="007D15C3">
              <w:rPr>
                <w:rFonts w:cs="Calibri"/>
              </w:rPr>
              <w:t xml:space="preserve">            3,683,394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4D9297" w14:textId="77777777">
            <w:pPr>
              <w:jc w:val="right"/>
              <w:rPr>
                <w:rFonts w:cs="Calibri"/>
              </w:rPr>
            </w:pPr>
            <w:r w:rsidRPr="007D15C3">
              <w:rPr>
                <w:rFonts w:cs="Calibri"/>
              </w:rPr>
              <w:t>$28,867</w:t>
            </w:r>
          </w:p>
        </w:tc>
      </w:tr>
      <w:tr w14:paraId="3791B4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62EEA9" w14:textId="77777777">
            <w:pPr>
              <w:jc w:val="center"/>
              <w:rPr>
                <w:rFonts w:cs="Calibri"/>
              </w:rPr>
            </w:pPr>
            <w:r w:rsidRPr="007D15C3">
              <w:rPr>
                <w:rFonts w:cs="Calibri"/>
              </w:rPr>
              <w:t>56384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6A9095" w14:textId="77777777">
            <w:pPr>
              <w:jc w:val="center"/>
              <w:rPr>
                <w:rFonts w:cs="Calibri"/>
              </w:rPr>
            </w:pPr>
            <w:r w:rsidRPr="007D15C3">
              <w:rPr>
                <w:rFonts w:cs="Calibri"/>
              </w:rPr>
              <w:t>KBEH*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3946AC" w14:textId="77777777">
            <w:pPr>
              <w:rPr>
                <w:rFonts w:cs="Calibri"/>
              </w:rPr>
            </w:pPr>
            <w:r w:rsidRPr="007D15C3">
              <w:rPr>
                <w:rFonts w:cs="Calibri"/>
              </w:rPr>
              <w:t xml:space="preserve">        17,736,497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590436" w14:textId="77777777">
            <w:pPr>
              <w:rPr>
                <w:rFonts w:cs="Calibri"/>
              </w:rPr>
            </w:pPr>
            <w:r w:rsidRPr="007D15C3">
              <w:rPr>
                <w:rFonts w:cs="Calibri"/>
              </w:rPr>
              <w:t xml:space="preserve">          17,695,306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036049" w14:textId="77777777">
            <w:pPr>
              <w:jc w:val="right"/>
              <w:rPr>
                <w:rFonts w:cs="Calibri"/>
              </w:rPr>
            </w:pPr>
            <w:r w:rsidRPr="007D15C3">
              <w:rPr>
                <w:rFonts w:cs="Calibri"/>
              </w:rPr>
              <w:t>$138,678</w:t>
            </w:r>
          </w:p>
        </w:tc>
      </w:tr>
      <w:tr w14:paraId="49194F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B70C47" w14:textId="77777777">
            <w:pPr>
              <w:jc w:val="center"/>
              <w:rPr>
                <w:rFonts w:cs="Calibri"/>
              </w:rPr>
            </w:pPr>
            <w:r w:rsidRPr="007D15C3">
              <w:rPr>
                <w:rFonts w:cs="Calibri"/>
              </w:rPr>
              <w:t>65395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5F00E4" w14:textId="77777777">
            <w:pPr>
              <w:jc w:val="center"/>
              <w:rPr>
                <w:rFonts w:cs="Calibri"/>
              </w:rPr>
            </w:pPr>
            <w:r w:rsidRPr="007D15C3">
              <w:rPr>
                <w:rFonts w:cs="Calibri"/>
              </w:rPr>
              <w:t>KBFD-DT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B229D5" w14:textId="77777777">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FBA5A7" w14:textId="77777777">
            <w:pPr>
              <w:rPr>
                <w:rFonts w:cs="Calibri"/>
              </w:rPr>
            </w:pPr>
            <w:r w:rsidRPr="007D15C3">
              <w:rPr>
                <w:rFonts w:cs="Calibri"/>
              </w:rPr>
              <w:t xml:space="preserve">               834,341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0E9FE8" w14:textId="77777777">
            <w:pPr>
              <w:jc w:val="right"/>
              <w:rPr>
                <w:rFonts w:cs="Calibri"/>
              </w:rPr>
            </w:pPr>
            <w:r w:rsidRPr="007D15C3">
              <w:rPr>
                <w:rFonts w:cs="Calibri"/>
              </w:rPr>
              <w:t>$6,539</w:t>
            </w:r>
          </w:p>
        </w:tc>
      </w:tr>
      <w:tr w14:paraId="21DDF0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0C3253" w14:textId="77777777">
            <w:pPr>
              <w:jc w:val="center"/>
              <w:rPr>
                <w:rFonts w:cs="Calibri"/>
              </w:rPr>
            </w:pPr>
            <w:r w:rsidRPr="007D15C3">
              <w:rPr>
                <w:rFonts w:cs="Calibri"/>
              </w:rPr>
              <w:t>169030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F37CE8" w14:textId="77777777">
            <w:pPr>
              <w:jc w:val="center"/>
              <w:rPr>
                <w:rFonts w:cs="Calibri"/>
              </w:rPr>
            </w:pPr>
            <w:r w:rsidRPr="007D15C3">
              <w:rPr>
                <w:rFonts w:cs="Calibri"/>
              </w:rPr>
              <w:t>KBGS-TV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0BB9B5" w14:textId="77777777">
            <w:pPr>
              <w:rPr>
                <w:rFonts w:cs="Calibri"/>
              </w:rPr>
            </w:pPr>
            <w:r w:rsidRPr="007D15C3">
              <w:rPr>
                <w:rFonts w:cs="Calibri"/>
              </w:rPr>
              <w:t xml:space="preserve">             159,269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E01E0A" w14:textId="77777777">
            <w:pPr>
              <w:rPr>
                <w:rFonts w:cs="Calibri"/>
              </w:rPr>
            </w:pPr>
            <w:r w:rsidRPr="007D15C3">
              <w:rPr>
                <w:rFonts w:cs="Calibri"/>
              </w:rPr>
              <w:t xml:space="preserve">               156,802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ED0B78" w14:textId="77777777">
            <w:pPr>
              <w:jc w:val="right"/>
              <w:rPr>
                <w:rFonts w:cs="Calibri"/>
              </w:rPr>
            </w:pPr>
            <w:r w:rsidRPr="007D15C3">
              <w:rPr>
                <w:rFonts w:cs="Calibri"/>
              </w:rPr>
              <w:t>$1,229</w:t>
            </w:r>
          </w:p>
        </w:tc>
      </w:tr>
      <w:tr w14:paraId="5DFDF0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5BA7C2" w14:textId="77777777">
            <w:pPr>
              <w:jc w:val="center"/>
              <w:rPr>
                <w:rFonts w:cs="Calibri"/>
              </w:rPr>
            </w:pPr>
            <w:r w:rsidRPr="007D15C3">
              <w:rPr>
                <w:rFonts w:cs="Calibri"/>
              </w:rPr>
              <w:t>61068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3F943F" w14:textId="77777777">
            <w:pPr>
              <w:jc w:val="center"/>
              <w:rPr>
                <w:rFonts w:cs="Calibri"/>
              </w:rPr>
            </w:pPr>
            <w:r w:rsidRPr="007D15C3">
              <w:rPr>
                <w:rFonts w:cs="Calibri"/>
              </w:rPr>
              <w:t>KBHE-TV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26F566" w14:textId="77777777">
            <w:pPr>
              <w:rPr>
                <w:rFonts w:cs="Calibri"/>
              </w:rPr>
            </w:pPr>
            <w:r w:rsidRPr="007D15C3">
              <w:rPr>
                <w:rFonts w:cs="Calibri"/>
              </w:rPr>
              <w:t xml:space="preserve">             140,860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A132F4" w14:textId="77777777">
            <w:pPr>
              <w:rPr>
                <w:rFonts w:cs="Calibri"/>
              </w:rPr>
            </w:pPr>
            <w:r w:rsidRPr="007D15C3">
              <w:rPr>
                <w:rFonts w:cs="Calibri"/>
              </w:rPr>
              <w:t xml:space="preserve">               133,082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2C9FDF" w14:textId="77777777">
            <w:pPr>
              <w:jc w:val="right"/>
              <w:rPr>
                <w:rFonts w:cs="Calibri"/>
              </w:rPr>
            </w:pPr>
            <w:r w:rsidRPr="007D15C3">
              <w:rPr>
                <w:rFonts w:cs="Calibri"/>
              </w:rPr>
              <w:t>$1,043</w:t>
            </w:r>
          </w:p>
        </w:tc>
      </w:tr>
      <w:tr w14:paraId="7C38FCC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07CFD3" w14:textId="77777777">
            <w:pPr>
              <w:jc w:val="center"/>
              <w:rPr>
                <w:rFonts w:cs="Calibri"/>
              </w:rPr>
            </w:pPr>
            <w:r w:rsidRPr="007D15C3">
              <w:rPr>
                <w:rFonts w:cs="Calibri"/>
              </w:rPr>
              <w:t>48556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BCD8D3" w14:textId="77777777">
            <w:pPr>
              <w:jc w:val="center"/>
              <w:rPr>
                <w:rFonts w:cs="Calibri"/>
              </w:rPr>
            </w:pPr>
            <w:r w:rsidRPr="007D15C3">
              <w:rPr>
                <w:rFonts w:cs="Calibri"/>
              </w:rPr>
              <w:t>KBIM-TV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D6E434" w14:textId="77777777">
            <w:pPr>
              <w:rPr>
                <w:rFonts w:cs="Calibri"/>
              </w:rPr>
            </w:pPr>
            <w:r w:rsidRPr="007D15C3">
              <w:rPr>
                <w:rFonts w:cs="Calibri"/>
              </w:rPr>
              <w:t xml:space="preserve">             205,701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FD78A7" w14:textId="77777777">
            <w:pPr>
              <w:rPr>
                <w:rFonts w:cs="Calibri"/>
              </w:rPr>
            </w:pPr>
            <w:r w:rsidRPr="007D15C3">
              <w:rPr>
                <w:rFonts w:cs="Calibri"/>
              </w:rPr>
              <w:t xml:space="preserve">               205,647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0A8FBC" w14:textId="77777777">
            <w:pPr>
              <w:jc w:val="right"/>
              <w:rPr>
                <w:rFonts w:cs="Calibri"/>
              </w:rPr>
            </w:pPr>
            <w:r w:rsidRPr="007D15C3">
              <w:rPr>
                <w:rFonts w:cs="Calibri"/>
              </w:rPr>
              <w:t>$1,612</w:t>
            </w:r>
          </w:p>
        </w:tc>
      </w:tr>
      <w:tr w14:paraId="00986B9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475F0D" w14:textId="77777777">
            <w:pPr>
              <w:jc w:val="center"/>
              <w:rPr>
                <w:rFonts w:cs="Calibri"/>
              </w:rPr>
            </w:pPr>
            <w:r w:rsidRPr="007D15C3">
              <w:rPr>
                <w:rFonts w:cs="Calibri"/>
              </w:rPr>
              <w:t>29108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164513" w14:textId="77777777">
            <w:pPr>
              <w:jc w:val="center"/>
              <w:rPr>
                <w:rFonts w:cs="Calibri"/>
              </w:rPr>
            </w:pPr>
            <w:r w:rsidRPr="007D15C3">
              <w:rPr>
                <w:rFonts w:cs="Calibri"/>
              </w:rPr>
              <w:t>KBIN-TV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64AB17" w14:textId="77777777">
            <w:pPr>
              <w:rPr>
                <w:rFonts w:cs="Calibri"/>
              </w:rPr>
            </w:pPr>
            <w:r w:rsidRPr="007D15C3">
              <w:rPr>
                <w:rFonts w:cs="Calibri"/>
              </w:rPr>
              <w:t xml:space="preserve">             912,921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046C3F" w14:textId="77777777">
            <w:pPr>
              <w:rPr>
                <w:rFonts w:cs="Calibri"/>
              </w:rPr>
            </w:pPr>
            <w:r w:rsidRPr="007D15C3">
              <w:rPr>
                <w:rFonts w:cs="Calibri"/>
              </w:rPr>
              <w:t xml:space="preserve">               911,725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B96D06" w14:textId="77777777">
            <w:pPr>
              <w:jc w:val="right"/>
              <w:rPr>
                <w:rFonts w:cs="Calibri"/>
              </w:rPr>
            </w:pPr>
            <w:r w:rsidRPr="007D15C3">
              <w:rPr>
                <w:rFonts w:cs="Calibri"/>
              </w:rPr>
              <w:t>$7,145</w:t>
            </w:r>
          </w:p>
        </w:tc>
      </w:tr>
      <w:tr w14:paraId="79EF7F8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64C66A" w14:textId="77777777">
            <w:pPr>
              <w:jc w:val="center"/>
              <w:rPr>
                <w:rFonts w:cs="Calibri"/>
              </w:rPr>
            </w:pPr>
            <w:r w:rsidRPr="007D15C3">
              <w:rPr>
                <w:rFonts w:cs="Calibri"/>
              </w:rPr>
              <w:t>33658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1CB7B0" w14:textId="77777777">
            <w:pPr>
              <w:jc w:val="center"/>
              <w:rPr>
                <w:rFonts w:cs="Calibri"/>
              </w:rPr>
            </w:pPr>
            <w:r w:rsidRPr="007D15C3">
              <w:rPr>
                <w:rFonts w:cs="Calibri"/>
              </w:rPr>
              <w:t>KBJR-TV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BF9E99" w14:textId="77777777">
            <w:pPr>
              <w:rPr>
                <w:rFonts w:cs="Calibri"/>
              </w:rPr>
            </w:pPr>
            <w:r w:rsidRPr="007D15C3">
              <w:rPr>
                <w:rFonts w:cs="Calibri"/>
              </w:rPr>
              <w:t xml:space="preserve">             275,585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342E3E" w14:textId="77777777">
            <w:pPr>
              <w:rPr>
                <w:rFonts w:cs="Calibri"/>
              </w:rPr>
            </w:pPr>
            <w:r w:rsidRPr="007D15C3">
              <w:rPr>
                <w:rFonts w:cs="Calibri"/>
              </w:rPr>
              <w:t xml:space="preserve">               271,298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DEF87B" w14:textId="77777777">
            <w:pPr>
              <w:jc w:val="right"/>
              <w:rPr>
                <w:rFonts w:cs="Calibri"/>
              </w:rPr>
            </w:pPr>
            <w:r w:rsidRPr="007D15C3">
              <w:rPr>
                <w:rFonts w:cs="Calibri"/>
              </w:rPr>
              <w:t>$2,126</w:t>
            </w:r>
          </w:p>
        </w:tc>
      </w:tr>
      <w:tr w14:paraId="5E207FC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FCD0E2" w14:textId="77777777">
            <w:pPr>
              <w:jc w:val="center"/>
              <w:rPr>
                <w:rFonts w:cs="Calibri"/>
              </w:rPr>
            </w:pPr>
            <w:r w:rsidRPr="007D15C3">
              <w:rPr>
                <w:rFonts w:cs="Calibri"/>
              </w:rPr>
              <w:t>83306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E662C4" w14:textId="77777777">
            <w:pPr>
              <w:jc w:val="center"/>
              <w:rPr>
                <w:rFonts w:cs="Calibri"/>
              </w:rPr>
            </w:pPr>
            <w:r w:rsidRPr="007D15C3">
              <w:rPr>
                <w:rFonts w:cs="Calibri"/>
              </w:rPr>
              <w:t>KBLN-TV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67CBFF" w14:textId="77777777">
            <w:pPr>
              <w:rPr>
                <w:rFonts w:cs="Calibri"/>
              </w:rPr>
            </w:pPr>
            <w:r w:rsidRPr="007D15C3">
              <w:rPr>
                <w:rFonts w:cs="Calibri"/>
              </w:rPr>
              <w:t xml:space="preserve">             297,384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9EAD4" w14:textId="77777777">
            <w:pPr>
              <w:rPr>
                <w:rFonts w:cs="Calibri"/>
              </w:rPr>
            </w:pPr>
            <w:r w:rsidRPr="007D15C3">
              <w:rPr>
                <w:rFonts w:cs="Calibri"/>
              </w:rPr>
              <w:t xml:space="preserve">               134,927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827DCA" w14:textId="77777777">
            <w:pPr>
              <w:jc w:val="right"/>
              <w:rPr>
                <w:rFonts w:cs="Calibri"/>
              </w:rPr>
            </w:pPr>
            <w:r w:rsidRPr="007D15C3">
              <w:rPr>
                <w:rFonts w:cs="Calibri"/>
              </w:rPr>
              <w:t>$1,057</w:t>
            </w:r>
          </w:p>
        </w:tc>
      </w:tr>
      <w:tr w14:paraId="2922D4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D1F2FF" w14:textId="77777777">
            <w:pPr>
              <w:jc w:val="center"/>
              <w:rPr>
                <w:rFonts w:cs="Calibri"/>
              </w:rPr>
            </w:pPr>
            <w:r w:rsidRPr="007D15C3">
              <w:rPr>
                <w:rFonts w:cs="Calibri"/>
              </w:rPr>
              <w:t>63768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63D8FB" w14:textId="77777777">
            <w:pPr>
              <w:jc w:val="center"/>
              <w:rPr>
                <w:rFonts w:cs="Calibri"/>
              </w:rPr>
            </w:pPr>
            <w:r w:rsidRPr="007D15C3">
              <w:rPr>
                <w:rFonts w:cs="Calibri"/>
              </w:rPr>
              <w:t>KBLR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8805CE" w14:textId="77777777">
            <w:pPr>
              <w:rPr>
                <w:rFonts w:cs="Calibri"/>
              </w:rPr>
            </w:pPr>
            <w:r w:rsidRPr="007D15C3">
              <w:rPr>
                <w:rFonts w:cs="Calibri"/>
              </w:rPr>
              <w:t xml:space="preserve">          1,964,979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53638A" w14:textId="77777777">
            <w:pPr>
              <w:rPr>
                <w:rFonts w:cs="Calibri"/>
              </w:rPr>
            </w:pPr>
            <w:r w:rsidRPr="007D15C3">
              <w:rPr>
                <w:rFonts w:cs="Calibri"/>
              </w:rPr>
              <w:t xml:space="preserve">            1,915,859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1E655A" w14:textId="77777777">
            <w:pPr>
              <w:jc w:val="right"/>
              <w:rPr>
                <w:rFonts w:cs="Calibri"/>
              </w:rPr>
            </w:pPr>
            <w:r w:rsidRPr="007D15C3">
              <w:rPr>
                <w:rFonts w:cs="Calibri"/>
              </w:rPr>
              <w:t>$15,015</w:t>
            </w:r>
          </w:p>
        </w:tc>
      </w:tr>
      <w:tr w14:paraId="54CFF1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399CC6" w14:textId="77777777">
            <w:pPr>
              <w:jc w:val="center"/>
              <w:rPr>
                <w:rFonts w:cs="Calibri"/>
              </w:rPr>
            </w:pPr>
            <w:r w:rsidRPr="007D15C3">
              <w:rPr>
                <w:rFonts w:cs="Calibri"/>
              </w:rPr>
              <w:t>53324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402782" w14:textId="77777777">
            <w:pPr>
              <w:jc w:val="center"/>
              <w:rPr>
                <w:rFonts w:cs="Calibri"/>
              </w:rPr>
            </w:pPr>
            <w:r w:rsidRPr="007D15C3">
              <w:rPr>
                <w:rFonts w:cs="Calibri"/>
              </w:rPr>
              <w:t>KBME-TV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3855F4" w14:textId="77777777">
            <w:pPr>
              <w:rPr>
                <w:rFonts w:cs="Calibri"/>
              </w:rPr>
            </w:pPr>
            <w:r w:rsidRPr="007D15C3">
              <w:rPr>
                <w:rFonts w:cs="Calibri"/>
              </w:rPr>
              <w:t xml:space="preserve">             123,571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466687" w14:textId="77777777">
            <w:pPr>
              <w:rPr>
                <w:rFonts w:cs="Calibri"/>
              </w:rPr>
            </w:pPr>
            <w:r w:rsidRPr="007D15C3">
              <w:rPr>
                <w:rFonts w:cs="Calibri"/>
              </w:rPr>
              <w:t xml:space="preserve">               123,485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D830AB" w14:textId="77777777">
            <w:pPr>
              <w:jc w:val="right"/>
              <w:rPr>
                <w:rFonts w:cs="Calibri"/>
              </w:rPr>
            </w:pPr>
            <w:r w:rsidRPr="007D15C3">
              <w:rPr>
                <w:rFonts w:cs="Calibri"/>
              </w:rPr>
              <w:t>$968</w:t>
            </w:r>
          </w:p>
        </w:tc>
      </w:tr>
      <w:tr w14:paraId="68B311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82E633" w14:textId="77777777">
            <w:pPr>
              <w:jc w:val="center"/>
              <w:rPr>
                <w:rFonts w:cs="Calibri"/>
              </w:rPr>
            </w:pPr>
            <w:r w:rsidRPr="007D15C3">
              <w:rPr>
                <w:rFonts w:cs="Calibri"/>
              </w:rPr>
              <w:t>10150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C61F52" w14:textId="77777777">
            <w:pPr>
              <w:jc w:val="center"/>
              <w:rPr>
                <w:rFonts w:cs="Calibri"/>
              </w:rPr>
            </w:pPr>
            <w:r w:rsidRPr="007D15C3">
              <w:rPr>
                <w:rFonts w:cs="Calibri"/>
              </w:rPr>
              <w:t>KBMT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AC831A" w14:textId="77777777">
            <w:pPr>
              <w:rPr>
                <w:rFonts w:cs="Calibri"/>
              </w:rPr>
            </w:pPr>
            <w:r w:rsidRPr="007D15C3">
              <w:rPr>
                <w:rFonts w:cs="Calibri"/>
              </w:rPr>
              <w:t xml:space="preserve">             743,009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2E4F05" w14:textId="77777777">
            <w:pPr>
              <w:rPr>
                <w:rFonts w:cs="Calibri"/>
              </w:rPr>
            </w:pPr>
            <w:r w:rsidRPr="007D15C3">
              <w:rPr>
                <w:rFonts w:cs="Calibri"/>
              </w:rPr>
              <w:t xml:space="preserve">               742,369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9A2CBC" w14:textId="77777777">
            <w:pPr>
              <w:jc w:val="right"/>
              <w:rPr>
                <w:rFonts w:cs="Calibri"/>
              </w:rPr>
            </w:pPr>
            <w:r w:rsidRPr="007D15C3">
              <w:rPr>
                <w:rFonts w:cs="Calibri"/>
              </w:rPr>
              <w:t>$5,818</w:t>
            </w:r>
          </w:p>
        </w:tc>
      </w:tr>
      <w:tr w14:paraId="54E25A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BE8F5C" w14:textId="77777777">
            <w:pPr>
              <w:jc w:val="center"/>
              <w:rPr>
                <w:rFonts w:cs="Calibri"/>
              </w:rPr>
            </w:pPr>
            <w:r w:rsidRPr="007D15C3">
              <w:rPr>
                <w:rFonts w:cs="Calibri"/>
              </w:rPr>
              <w:t>22121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8E8482" w14:textId="77777777">
            <w:pPr>
              <w:jc w:val="center"/>
              <w:rPr>
                <w:rFonts w:cs="Calibri"/>
              </w:rPr>
            </w:pPr>
            <w:r w:rsidRPr="007D15C3">
              <w:rPr>
                <w:rFonts w:cs="Calibri"/>
              </w:rPr>
              <w:t>KBMY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7E18A9" w14:textId="77777777">
            <w:pPr>
              <w:rPr>
                <w:rFonts w:cs="Calibri"/>
              </w:rPr>
            </w:pPr>
            <w:r w:rsidRPr="007D15C3">
              <w:rPr>
                <w:rFonts w:cs="Calibri"/>
              </w:rPr>
              <w:t xml:space="preserve">             119,993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84F665" w14:textId="77777777">
            <w:pPr>
              <w:rPr>
                <w:rFonts w:cs="Calibri"/>
              </w:rPr>
            </w:pPr>
            <w:r w:rsidRPr="007D15C3">
              <w:rPr>
                <w:rFonts w:cs="Calibri"/>
              </w:rPr>
              <w:t xml:space="preserve">               119,908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ED4E51" w14:textId="77777777">
            <w:pPr>
              <w:jc w:val="right"/>
              <w:rPr>
                <w:rFonts w:cs="Calibri"/>
              </w:rPr>
            </w:pPr>
            <w:r w:rsidRPr="007D15C3">
              <w:rPr>
                <w:rFonts w:cs="Calibri"/>
              </w:rPr>
              <w:t>$940</w:t>
            </w:r>
          </w:p>
        </w:tc>
      </w:tr>
      <w:tr w14:paraId="075D78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A99D7B" w14:textId="77777777">
            <w:pPr>
              <w:jc w:val="center"/>
              <w:rPr>
                <w:rFonts w:cs="Calibri"/>
              </w:rPr>
            </w:pPr>
            <w:r w:rsidRPr="007D15C3">
              <w:rPr>
                <w:rFonts w:cs="Calibri"/>
              </w:rPr>
              <w:t>49760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0B2F35" w14:textId="77777777">
            <w:pPr>
              <w:jc w:val="center"/>
              <w:rPr>
                <w:rFonts w:cs="Calibri"/>
              </w:rPr>
            </w:pPr>
            <w:r w:rsidRPr="007D15C3">
              <w:rPr>
                <w:rFonts w:cs="Calibri"/>
              </w:rPr>
              <w:t>KBOI-TV*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1ECE95" w14:textId="77777777">
            <w:pPr>
              <w:rPr>
                <w:rFonts w:cs="Calibri"/>
              </w:rPr>
            </w:pPr>
            <w:r w:rsidRPr="007D15C3">
              <w:rPr>
                <w:rFonts w:cs="Calibri"/>
              </w:rPr>
              <w:t xml:space="preserve">             715,191</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E80B29" w14:textId="77777777">
            <w:pPr>
              <w:rPr>
                <w:rFonts w:cs="Calibri"/>
              </w:rPr>
            </w:pPr>
            <w:r w:rsidRPr="007D15C3">
              <w:rPr>
                <w:rFonts w:cs="Calibri"/>
              </w:rPr>
              <w:t xml:space="preserve">               708,374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01065B" w14:textId="77777777">
            <w:pPr>
              <w:jc w:val="right"/>
              <w:rPr>
                <w:rFonts w:cs="Calibri"/>
              </w:rPr>
            </w:pPr>
            <w:r w:rsidRPr="007D15C3">
              <w:rPr>
                <w:rFonts w:cs="Calibri"/>
              </w:rPr>
              <w:t>$5,552</w:t>
            </w:r>
          </w:p>
        </w:tc>
      </w:tr>
      <w:tr w14:paraId="175CAFF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D522E9" w14:textId="77777777">
            <w:pPr>
              <w:jc w:val="center"/>
              <w:rPr>
                <w:rFonts w:cs="Calibri"/>
              </w:rPr>
            </w:pPr>
            <w:r w:rsidRPr="007D15C3">
              <w:rPr>
                <w:rFonts w:cs="Calibri"/>
              </w:rPr>
              <w:t>55370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A91797" w14:textId="77777777">
            <w:pPr>
              <w:jc w:val="center"/>
              <w:rPr>
                <w:rFonts w:cs="Calibri"/>
              </w:rPr>
            </w:pPr>
            <w:r w:rsidRPr="007D15C3">
              <w:rPr>
                <w:rFonts w:cs="Calibri"/>
              </w:rPr>
              <w:t>KBRR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FAD89F" w14:textId="77777777">
            <w:pPr>
              <w:rPr>
                <w:rFonts w:cs="Calibri"/>
              </w:rPr>
            </w:pPr>
            <w:r w:rsidRPr="007D15C3">
              <w:rPr>
                <w:rFonts w:cs="Calibri"/>
              </w:rPr>
              <w:t xml:space="preserve">             149,869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54FA4B" w14:textId="77777777">
            <w:pPr>
              <w:rPr>
                <w:rFonts w:cs="Calibri"/>
              </w:rPr>
            </w:pPr>
            <w:r w:rsidRPr="007D15C3">
              <w:rPr>
                <w:rFonts w:cs="Calibri"/>
              </w:rPr>
              <w:t xml:space="preserve">               149,868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12E15E" w14:textId="77777777">
            <w:pPr>
              <w:jc w:val="right"/>
              <w:rPr>
                <w:rFonts w:cs="Calibri"/>
              </w:rPr>
            </w:pPr>
            <w:r w:rsidRPr="007D15C3">
              <w:rPr>
                <w:rFonts w:cs="Calibri"/>
              </w:rPr>
              <w:t>$1,175</w:t>
            </w:r>
          </w:p>
        </w:tc>
      </w:tr>
      <w:tr w14:paraId="771C83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D83268" w14:textId="77777777">
            <w:pPr>
              <w:jc w:val="center"/>
              <w:rPr>
                <w:rFonts w:cs="Calibri"/>
              </w:rPr>
            </w:pPr>
            <w:r w:rsidRPr="007D15C3">
              <w:rPr>
                <w:rFonts w:cs="Calibri"/>
              </w:rPr>
              <w:t>66414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12B425" w14:textId="77777777">
            <w:pPr>
              <w:jc w:val="center"/>
              <w:rPr>
                <w:rFonts w:cs="Calibri"/>
              </w:rPr>
            </w:pPr>
            <w:r w:rsidRPr="007D15C3">
              <w:rPr>
                <w:rFonts w:cs="Calibri"/>
              </w:rPr>
              <w:t>KBSD-DT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95CCA7" w14:textId="77777777">
            <w:pPr>
              <w:rPr>
                <w:rFonts w:cs="Calibri"/>
              </w:rPr>
            </w:pPr>
            <w:r w:rsidRPr="007D15C3">
              <w:rPr>
                <w:rFonts w:cs="Calibri"/>
              </w:rPr>
              <w:t xml:space="preserve">             155,012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D8FB02" w14:textId="77777777">
            <w:pPr>
              <w:rPr>
                <w:rFonts w:cs="Calibri"/>
              </w:rPr>
            </w:pPr>
            <w:r w:rsidRPr="007D15C3">
              <w:rPr>
                <w:rFonts w:cs="Calibri"/>
              </w:rPr>
              <w:t xml:space="preserve">               154,891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225B7D" w14:textId="77777777">
            <w:pPr>
              <w:jc w:val="right"/>
              <w:rPr>
                <w:rFonts w:cs="Calibri"/>
              </w:rPr>
            </w:pPr>
            <w:r w:rsidRPr="007D15C3">
              <w:rPr>
                <w:rFonts w:cs="Calibri"/>
              </w:rPr>
              <w:t>$1,214</w:t>
            </w:r>
          </w:p>
        </w:tc>
      </w:tr>
      <w:tr w14:paraId="667F4E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DF7616" w14:textId="77777777">
            <w:pPr>
              <w:jc w:val="center"/>
              <w:rPr>
                <w:rFonts w:cs="Calibri"/>
              </w:rPr>
            </w:pPr>
            <w:r w:rsidRPr="007D15C3">
              <w:rPr>
                <w:rFonts w:cs="Calibri"/>
              </w:rPr>
              <w:t>66415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C1EF73" w14:textId="77777777">
            <w:pPr>
              <w:jc w:val="center"/>
              <w:rPr>
                <w:rFonts w:cs="Calibri"/>
              </w:rPr>
            </w:pPr>
            <w:r w:rsidRPr="007D15C3">
              <w:rPr>
                <w:rFonts w:cs="Calibri"/>
              </w:rPr>
              <w:t>KBSH-DT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0BF73A" w14:textId="77777777">
            <w:pPr>
              <w:rPr>
                <w:rFonts w:cs="Calibri"/>
              </w:rPr>
            </w:pPr>
            <w:r w:rsidRPr="007D15C3">
              <w:rPr>
                <w:rFonts w:cs="Calibri"/>
              </w:rPr>
              <w:t xml:space="preserve">             102,781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184DDB" w14:textId="77777777">
            <w:pPr>
              <w:rPr>
                <w:rFonts w:cs="Calibri"/>
              </w:rPr>
            </w:pPr>
            <w:r w:rsidRPr="007D15C3">
              <w:rPr>
                <w:rFonts w:cs="Calibri"/>
              </w:rPr>
              <w:t xml:space="preserve">               100,433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6F7F9C" w14:textId="77777777">
            <w:pPr>
              <w:jc w:val="right"/>
              <w:rPr>
                <w:rFonts w:cs="Calibri"/>
              </w:rPr>
            </w:pPr>
            <w:r w:rsidRPr="007D15C3">
              <w:rPr>
                <w:rFonts w:cs="Calibri"/>
              </w:rPr>
              <w:t>$787</w:t>
            </w:r>
          </w:p>
        </w:tc>
      </w:tr>
      <w:tr w14:paraId="0EC65A7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E8D6A5" w14:textId="77777777">
            <w:pPr>
              <w:jc w:val="center"/>
              <w:rPr>
                <w:rFonts w:cs="Calibri"/>
              </w:rPr>
            </w:pPr>
            <w:r w:rsidRPr="007D15C3">
              <w:rPr>
                <w:rFonts w:cs="Calibri"/>
              </w:rPr>
              <w:t>19593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7F4E09" w14:textId="77777777">
            <w:pPr>
              <w:jc w:val="center"/>
              <w:rPr>
                <w:rFonts w:cs="Calibri"/>
              </w:rPr>
            </w:pPr>
            <w:r w:rsidRPr="007D15C3">
              <w:rPr>
                <w:rFonts w:cs="Calibri"/>
              </w:rPr>
              <w:t>KBSI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E17DCB" w14:textId="77777777">
            <w:pPr>
              <w:rPr>
                <w:rFonts w:cs="Calibri"/>
              </w:rPr>
            </w:pPr>
            <w:r w:rsidRPr="007D15C3">
              <w:rPr>
                <w:rFonts w:cs="Calibri"/>
              </w:rPr>
              <w:t xml:space="preserve">             752,366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A3BC5E" w14:textId="77777777">
            <w:pPr>
              <w:rPr>
                <w:rFonts w:cs="Calibri"/>
              </w:rPr>
            </w:pPr>
            <w:r w:rsidRPr="007D15C3">
              <w:rPr>
                <w:rFonts w:cs="Calibri"/>
              </w:rPr>
              <w:t xml:space="preserve">               751,025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7E6A71" w14:textId="77777777">
            <w:pPr>
              <w:jc w:val="right"/>
              <w:rPr>
                <w:rFonts w:cs="Calibri"/>
              </w:rPr>
            </w:pPr>
            <w:r w:rsidRPr="007D15C3">
              <w:rPr>
                <w:rFonts w:cs="Calibri"/>
              </w:rPr>
              <w:t>$5,886</w:t>
            </w:r>
          </w:p>
        </w:tc>
      </w:tr>
      <w:tr w14:paraId="5359B8A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89C399" w14:textId="77777777">
            <w:pPr>
              <w:jc w:val="center"/>
              <w:rPr>
                <w:rFonts w:cs="Calibri"/>
              </w:rPr>
            </w:pPr>
            <w:r w:rsidRPr="007D15C3">
              <w:rPr>
                <w:rFonts w:cs="Calibri"/>
              </w:rPr>
              <w:t>66416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21B726" w14:textId="77777777">
            <w:pPr>
              <w:jc w:val="center"/>
              <w:rPr>
                <w:rFonts w:cs="Calibri"/>
              </w:rPr>
            </w:pPr>
            <w:r w:rsidRPr="007D15C3">
              <w:rPr>
                <w:rFonts w:cs="Calibri"/>
              </w:rPr>
              <w:t>KBSL-DT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7BFC3B" w14:textId="77777777">
            <w:pPr>
              <w:rPr>
                <w:rFonts w:cs="Calibri"/>
              </w:rPr>
            </w:pPr>
            <w:r w:rsidRPr="007D15C3">
              <w:rPr>
                <w:rFonts w:cs="Calibri"/>
              </w:rPr>
              <w:t xml:space="preserve">               49,814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882B98" w14:textId="77777777">
            <w:pPr>
              <w:rPr>
                <w:rFonts w:cs="Calibri"/>
              </w:rPr>
            </w:pPr>
            <w:r w:rsidRPr="007D15C3">
              <w:rPr>
                <w:rFonts w:cs="Calibri"/>
              </w:rPr>
              <w:t xml:space="preserve">                 48,483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FD169F" w14:textId="77777777">
            <w:pPr>
              <w:jc w:val="right"/>
              <w:rPr>
                <w:rFonts w:cs="Calibri"/>
              </w:rPr>
            </w:pPr>
            <w:r w:rsidRPr="007D15C3">
              <w:rPr>
                <w:rFonts w:cs="Calibri"/>
              </w:rPr>
              <w:t>$380</w:t>
            </w:r>
          </w:p>
        </w:tc>
      </w:tr>
      <w:tr w14:paraId="0EAE38E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0D2E1E" w14:textId="77777777">
            <w:pPr>
              <w:jc w:val="center"/>
              <w:rPr>
                <w:rFonts w:cs="Calibri"/>
              </w:rPr>
            </w:pPr>
            <w:r w:rsidRPr="007D15C3">
              <w:rPr>
                <w:rFonts w:cs="Calibri"/>
              </w:rPr>
              <w:t>4939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AEF3C3" w14:textId="77777777">
            <w:pPr>
              <w:jc w:val="center"/>
              <w:rPr>
                <w:rFonts w:cs="Calibri"/>
              </w:rPr>
            </w:pPr>
            <w:r w:rsidRPr="007D15C3">
              <w:rPr>
                <w:rFonts w:cs="Calibri"/>
              </w:rPr>
              <w:t>KBSV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CA68E3" w14:textId="77777777">
            <w:pPr>
              <w:rPr>
                <w:rFonts w:cs="Calibri"/>
              </w:rPr>
            </w:pPr>
            <w:r w:rsidRPr="007D15C3">
              <w:rPr>
                <w:rFonts w:cs="Calibri"/>
              </w:rPr>
              <w:t xml:space="preserve">          1,352,166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26BFC7" w14:textId="77777777">
            <w:pPr>
              <w:rPr>
                <w:rFonts w:cs="Calibri"/>
              </w:rPr>
            </w:pPr>
            <w:r w:rsidRPr="007D15C3">
              <w:rPr>
                <w:rFonts w:cs="Calibri"/>
              </w:rPr>
              <w:t xml:space="preserve">            1,262,708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98241C" w14:textId="77777777">
            <w:pPr>
              <w:jc w:val="right"/>
              <w:rPr>
                <w:rFonts w:cs="Calibri"/>
              </w:rPr>
            </w:pPr>
            <w:r w:rsidRPr="007D15C3">
              <w:rPr>
                <w:rFonts w:cs="Calibri"/>
              </w:rPr>
              <w:t>$9,896</w:t>
            </w:r>
          </w:p>
        </w:tc>
      </w:tr>
      <w:tr w14:paraId="3951ABB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C939D3" w14:textId="77777777">
            <w:pPr>
              <w:jc w:val="center"/>
              <w:rPr>
                <w:rFonts w:cs="Calibri"/>
              </w:rPr>
            </w:pPr>
            <w:r w:rsidRPr="007D15C3">
              <w:rPr>
                <w:rFonts w:cs="Calibri"/>
              </w:rPr>
              <w:t>62469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BC39EE" w14:textId="77777777">
            <w:pPr>
              <w:jc w:val="center"/>
              <w:rPr>
                <w:rFonts w:cs="Calibri"/>
              </w:rPr>
            </w:pPr>
            <w:r w:rsidRPr="007D15C3">
              <w:rPr>
                <w:rFonts w:cs="Calibri"/>
              </w:rPr>
              <w:t>KBTC-TV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0736F9" w14:textId="77777777">
            <w:pPr>
              <w:rPr>
                <w:rFonts w:cs="Calibri"/>
              </w:rPr>
            </w:pPr>
            <w:r w:rsidRPr="007D15C3">
              <w:rPr>
                <w:rFonts w:cs="Calibri"/>
              </w:rPr>
              <w:t xml:space="preserve">          3,697,981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D4F4A8" w14:textId="77777777">
            <w:pPr>
              <w:rPr>
                <w:rFonts w:cs="Calibri"/>
              </w:rPr>
            </w:pPr>
            <w:r w:rsidRPr="007D15C3">
              <w:rPr>
                <w:rFonts w:cs="Calibri"/>
              </w:rPr>
              <w:t xml:space="preserve">            3,621,965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BA90CC" w14:textId="77777777">
            <w:pPr>
              <w:jc w:val="right"/>
              <w:rPr>
                <w:rFonts w:cs="Calibri"/>
              </w:rPr>
            </w:pPr>
            <w:r w:rsidRPr="007D15C3">
              <w:rPr>
                <w:rFonts w:cs="Calibri"/>
              </w:rPr>
              <w:t>$28,385</w:t>
            </w:r>
          </w:p>
        </w:tc>
      </w:tr>
      <w:tr w14:paraId="222BF18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346704" w14:textId="77777777">
            <w:pPr>
              <w:jc w:val="center"/>
              <w:rPr>
                <w:rFonts w:cs="Calibri"/>
              </w:rPr>
            </w:pPr>
            <w:r w:rsidRPr="007D15C3">
              <w:rPr>
                <w:rFonts w:cs="Calibri"/>
              </w:rPr>
              <w:t>61214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60C365" w14:textId="77777777">
            <w:pPr>
              <w:jc w:val="center"/>
              <w:rPr>
                <w:rFonts w:cs="Calibri"/>
              </w:rPr>
            </w:pPr>
            <w:r w:rsidRPr="007D15C3">
              <w:rPr>
                <w:rFonts w:cs="Calibri"/>
              </w:rPr>
              <w:t>KBTV-TV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34C358" w14:textId="77777777">
            <w:pPr>
              <w:rPr>
                <w:rFonts w:cs="Calibri"/>
              </w:rPr>
            </w:pPr>
            <w:r w:rsidRPr="007D15C3">
              <w:rPr>
                <w:rFonts w:cs="Calibri"/>
              </w:rPr>
              <w:t xml:space="preserve">             734,008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36F603" w14:textId="77777777">
            <w:pPr>
              <w:rPr>
                <w:rFonts w:cs="Calibri"/>
              </w:rPr>
            </w:pPr>
            <w:r w:rsidRPr="007D15C3">
              <w:rPr>
                <w:rFonts w:cs="Calibri"/>
              </w:rPr>
              <w:t xml:space="preserve">               734,008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88B247" w14:textId="77777777">
            <w:pPr>
              <w:jc w:val="right"/>
              <w:rPr>
                <w:rFonts w:cs="Calibri"/>
              </w:rPr>
            </w:pPr>
            <w:r w:rsidRPr="007D15C3">
              <w:rPr>
                <w:rFonts w:cs="Calibri"/>
              </w:rPr>
              <w:t>$5,752</w:t>
            </w:r>
          </w:p>
        </w:tc>
      </w:tr>
      <w:tr w14:paraId="4D8A4B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DDE0E6" w14:textId="77777777">
            <w:pPr>
              <w:jc w:val="center"/>
              <w:rPr>
                <w:rFonts w:cs="Calibri"/>
              </w:rPr>
            </w:pPr>
            <w:r w:rsidRPr="007D15C3">
              <w:rPr>
                <w:rFonts w:cs="Calibri"/>
              </w:rPr>
              <w:t>6669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09A002" w14:textId="77777777">
            <w:pPr>
              <w:jc w:val="center"/>
              <w:rPr>
                <w:rFonts w:cs="Calibri"/>
              </w:rPr>
            </w:pPr>
            <w:r w:rsidRPr="007D15C3">
              <w:rPr>
                <w:rFonts w:cs="Calibri"/>
              </w:rPr>
              <w:t>KBTX-TV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4C5F5D" w14:textId="77777777">
            <w:pPr>
              <w:rPr>
                <w:rFonts w:cs="Calibri"/>
              </w:rPr>
            </w:pPr>
            <w:r w:rsidRPr="007D15C3">
              <w:rPr>
                <w:rFonts w:cs="Calibri"/>
              </w:rPr>
              <w:t xml:space="preserve">          4,048,516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F36FB2" w14:textId="77777777">
            <w:pPr>
              <w:rPr>
                <w:rFonts w:cs="Calibri"/>
              </w:rPr>
            </w:pPr>
            <w:r w:rsidRPr="007D15C3">
              <w:rPr>
                <w:rFonts w:cs="Calibri"/>
              </w:rPr>
              <w:t xml:space="preserve">            4,047,275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10AB59" w14:textId="77777777">
            <w:pPr>
              <w:jc w:val="right"/>
              <w:rPr>
                <w:rFonts w:cs="Calibri"/>
              </w:rPr>
            </w:pPr>
            <w:r w:rsidRPr="007D15C3">
              <w:rPr>
                <w:rFonts w:cs="Calibri"/>
              </w:rPr>
              <w:t>$31,718</w:t>
            </w:r>
          </w:p>
        </w:tc>
      </w:tr>
      <w:tr w14:paraId="437F253F"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73C383" w14:textId="77777777">
            <w:pPr>
              <w:jc w:val="center"/>
              <w:rPr>
                <w:rFonts w:cs="Calibri"/>
              </w:rPr>
            </w:pPr>
            <w:r w:rsidRPr="007D15C3">
              <w:rPr>
                <w:rFonts w:cs="Calibri"/>
              </w:rPr>
              <w:t>35909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D204637" w14:textId="77777777">
            <w:pPr>
              <w:jc w:val="center"/>
              <w:rPr>
                <w:rFonts w:cs="Calibri"/>
              </w:rPr>
            </w:pPr>
            <w:r w:rsidRPr="007D15C3">
              <w:rPr>
                <w:rFonts w:cs="Calibri"/>
              </w:rPr>
              <w:t>KBVO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A328CB7" w14:textId="77777777">
            <w:pPr>
              <w:rPr>
                <w:rFonts w:cs="Calibri"/>
              </w:rPr>
            </w:pPr>
            <w:r w:rsidRPr="007D15C3">
              <w:rPr>
                <w:rFonts w:cs="Calibri"/>
              </w:rPr>
              <w:t xml:space="preserve">          1,498,015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04D0F23" w14:textId="77777777">
            <w:pPr>
              <w:rPr>
                <w:rFonts w:cs="Calibri"/>
              </w:rPr>
            </w:pPr>
            <w:r w:rsidRPr="007D15C3">
              <w:rPr>
                <w:rFonts w:cs="Calibri"/>
              </w:rPr>
              <w:t xml:space="preserve">            1,312,360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74A9692" w14:textId="77777777">
            <w:pPr>
              <w:jc w:val="right"/>
              <w:rPr>
                <w:rFonts w:cs="Calibri"/>
              </w:rPr>
            </w:pPr>
            <w:r w:rsidRPr="007D15C3">
              <w:rPr>
                <w:rFonts w:cs="Calibri"/>
              </w:rPr>
              <w:t>$10,285</w:t>
            </w:r>
          </w:p>
        </w:tc>
      </w:tr>
      <w:tr w14:paraId="066B0DF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C4C34A" w14:textId="77777777">
            <w:pPr>
              <w:jc w:val="center"/>
              <w:rPr>
                <w:rFonts w:cs="Calibri"/>
              </w:rPr>
            </w:pPr>
            <w:r w:rsidRPr="007D15C3">
              <w:rPr>
                <w:rFonts w:cs="Calibri"/>
              </w:rPr>
              <w:t>58618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84F32E" w14:textId="77777777">
            <w:pPr>
              <w:jc w:val="center"/>
              <w:rPr>
                <w:rFonts w:cs="Calibri"/>
              </w:rPr>
            </w:pPr>
            <w:r w:rsidRPr="007D15C3">
              <w:rPr>
                <w:rFonts w:cs="Calibri"/>
              </w:rPr>
              <w:t>KBVU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720AF3" w14:textId="77777777">
            <w:pPr>
              <w:rPr>
                <w:rFonts w:cs="Calibri"/>
              </w:rPr>
            </w:pPr>
            <w:r w:rsidRPr="007D15C3">
              <w:rPr>
                <w:rFonts w:cs="Calibri"/>
              </w:rPr>
              <w:t xml:space="preserve">             135,249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1ABA95" w14:textId="77777777">
            <w:pPr>
              <w:rPr>
                <w:rFonts w:cs="Calibri"/>
              </w:rPr>
            </w:pPr>
            <w:r w:rsidRPr="007D15C3">
              <w:rPr>
                <w:rFonts w:cs="Calibri"/>
              </w:rPr>
              <w:t xml:space="preserve">               120,827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74C9B5" w14:textId="77777777">
            <w:pPr>
              <w:jc w:val="right"/>
              <w:rPr>
                <w:rFonts w:cs="Calibri"/>
              </w:rPr>
            </w:pPr>
            <w:r w:rsidRPr="007D15C3">
              <w:rPr>
                <w:rFonts w:cs="Calibri"/>
              </w:rPr>
              <w:t>$947</w:t>
            </w:r>
          </w:p>
        </w:tc>
      </w:tr>
      <w:tr w14:paraId="2FB744C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032461" w14:textId="77777777">
            <w:pPr>
              <w:jc w:val="center"/>
              <w:rPr>
                <w:rFonts w:cs="Calibri"/>
              </w:rPr>
            </w:pPr>
            <w:r w:rsidRPr="007D15C3">
              <w:rPr>
                <w:rFonts w:cs="Calibri"/>
              </w:rPr>
              <w:t>6823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9775CE" w14:textId="77777777">
            <w:pPr>
              <w:jc w:val="center"/>
              <w:rPr>
                <w:rFonts w:cs="Calibri"/>
              </w:rPr>
            </w:pPr>
            <w:r w:rsidRPr="007D15C3">
              <w:rPr>
                <w:rFonts w:cs="Calibri"/>
              </w:rPr>
              <w:t>KBYU-TV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8F2E23" w14:textId="77777777">
            <w:pPr>
              <w:rPr>
                <w:rFonts w:cs="Calibri"/>
              </w:rPr>
            </w:pPr>
            <w:r w:rsidRPr="007D15C3">
              <w:rPr>
                <w:rFonts w:cs="Calibri"/>
              </w:rPr>
              <w:t xml:space="preserve">          2,389,548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E9C770" w14:textId="77777777">
            <w:pPr>
              <w:rPr>
                <w:rFonts w:cs="Calibri"/>
              </w:rPr>
            </w:pPr>
            <w:r w:rsidRPr="007D15C3">
              <w:rPr>
                <w:rFonts w:cs="Calibri"/>
              </w:rPr>
              <w:t xml:space="preserve">            2,209,060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94DB8A" w14:textId="77777777">
            <w:pPr>
              <w:jc w:val="right"/>
              <w:rPr>
                <w:rFonts w:cs="Calibri"/>
              </w:rPr>
            </w:pPr>
            <w:r w:rsidRPr="007D15C3">
              <w:rPr>
                <w:rFonts w:cs="Calibri"/>
              </w:rPr>
              <w:t>$17,312</w:t>
            </w:r>
          </w:p>
        </w:tc>
      </w:tr>
      <w:tr w14:paraId="460EBAC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D57143" w14:textId="77777777">
            <w:pPr>
              <w:jc w:val="center"/>
              <w:rPr>
                <w:rFonts w:cs="Calibri"/>
              </w:rPr>
            </w:pPr>
            <w:r w:rsidRPr="007D15C3">
              <w:rPr>
                <w:rFonts w:cs="Calibri"/>
              </w:rPr>
              <w:t>33756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66E651" w14:textId="77777777">
            <w:pPr>
              <w:jc w:val="center"/>
              <w:rPr>
                <w:rFonts w:cs="Calibri"/>
              </w:rPr>
            </w:pPr>
            <w:r w:rsidRPr="007D15C3">
              <w:rPr>
                <w:rFonts w:cs="Calibri"/>
              </w:rPr>
              <w:t>KBZK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9E7623" w14:textId="77777777">
            <w:pPr>
              <w:rPr>
                <w:rFonts w:cs="Calibri"/>
              </w:rPr>
            </w:pPr>
            <w:r w:rsidRPr="007D15C3">
              <w:rPr>
                <w:rFonts w:cs="Calibri"/>
              </w:rPr>
              <w:t xml:space="preserve">             116,485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26E5D8" w14:textId="77777777">
            <w:pPr>
              <w:rPr>
                <w:rFonts w:cs="Calibri"/>
              </w:rPr>
            </w:pPr>
            <w:r w:rsidRPr="007D15C3">
              <w:rPr>
                <w:rFonts w:cs="Calibri"/>
              </w:rPr>
              <w:t xml:space="preserve">               106,020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4C7419" w14:textId="77777777">
            <w:pPr>
              <w:jc w:val="right"/>
              <w:rPr>
                <w:rFonts w:cs="Calibri"/>
              </w:rPr>
            </w:pPr>
            <w:r w:rsidRPr="007D15C3">
              <w:rPr>
                <w:rFonts w:cs="Calibri"/>
              </w:rPr>
              <w:t>$831</w:t>
            </w:r>
          </w:p>
        </w:tc>
      </w:tr>
      <w:tr w14:paraId="420576D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1F1F28" w14:textId="77777777">
            <w:pPr>
              <w:jc w:val="center"/>
              <w:rPr>
                <w:rFonts w:cs="Calibri"/>
              </w:rPr>
            </w:pPr>
            <w:r w:rsidRPr="007D15C3">
              <w:rPr>
                <w:rFonts w:cs="Calibri"/>
              </w:rPr>
              <w:t>21422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FB1F57" w14:textId="77777777">
            <w:pPr>
              <w:jc w:val="center"/>
              <w:rPr>
                <w:rFonts w:cs="Calibri"/>
              </w:rPr>
            </w:pPr>
            <w:r w:rsidRPr="007D15C3">
              <w:rPr>
                <w:rFonts w:cs="Calibri"/>
              </w:rPr>
              <w:t>KCAL-TV*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EE3655" w14:textId="77777777">
            <w:pPr>
              <w:rPr>
                <w:rFonts w:cs="Calibri"/>
              </w:rPr>
            </w:pPr>
            <w:r w:rsidRPr="007D15C3">
              <w:rPr>
                <w:rFonts w:cs="Calibri"/>
              </w:rPr>
              <w:t xml:space="preserve">        17,499,483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A719AB" w14:textId="77777777">
            <w:pPr>
              <w:rPr>
                <w:rFonts w:cs="Calibri"/>
              </w:rPr>
            </w:pPr>
            <w:r w:rsidRPr="007D15C3">
              <w:rPr>
                <w:rFonts w:cs="Calibri"/>
              </w:rPr>
              <w:t xml:space="preserve">          16,889,157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909734" w14:textId="77777777">
            <w:pPr>
              <w:jc w:val="right"/>
              <w:rPr>
                <w:rFonts w:cs="Calibri"/>
              </w:rPr>
            </w:pPr>
            <w:r w:rsidRPr="007D15C3">
              <w:rPr>
                <w:rFonts w:cs="Calibri"/>
              </w:rPr>
              <w:t>$132,360</w:t>
            </w:r>
          </w:p>
        </w:tc>
      </w:tr>
      <w:tr w14:paraId="2DEF68E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ABE9FE" w14:textId="77777777">
            <w:pPr>
              <w:jc w:val="center"/>
              <w:rPr>
                <w:rFonts w:cs="Calibri"/>
              </w:rPr>
            </w:pPr>
            <w:r w:rsidRPr="007D15C3">
              <w:rPr>
                <w:rFonts w:cs="Calibri"/>
              </w:rPr>
              <w:t>11265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3CACB5" w14:textId="77777777">
            <w:pPr>
              <w:jc w:val="center"/>
              <w:rPr>
                <w:rFonts w:cs="Calibri"/>
              </w:rPr>
            </w:pPr>
            <w:r w:rsidRPr="007D15C3">
              <w:rPr>
                <w:rFonts w:cs="Calibri"/>
              </w:rPr>
              <w:t>KCAU-TV*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BA8A1F" w14:textId="77777777">
            <w:pPr>
              <w:rPr>
                <w:rFonts w:cs="Calibri"/>
              </w:rPr>
            </w:pPr>
            <w:r w:rsidRPr="007D15C3">
              <w:rPr>
                <w:rFonts w:cs="Calibri"/>
              </w:rPr>
              <w:t xml:space="preserve">             714,315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51B689" w14:textId="77777777">
            <w:pPr>
              <w:rPr>
                <w:rFonts w:cs="Calibri"/>
              </w:rPr>
            </w:pPr>
            <w:r w:rsidRPr="007D15C3">
              <w:rPr>
                <w:rFonts w:cs="Calibri"/>
              </w:rPr>
              <w:t xml:space="preserve">               706,224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D44F35" w14:textId="77777777">
            <w:pPr>
              <w:jc w:val="right"/>
              <w:rPr>
                <w:rFonts w:cs="Calibri"/>
              </w:rPr>
            </w:pPr>
            <w:r w:rsidRPr="007D15C3">
              <w:rPr>
                <w:rFonts w:cs="Calibri"/>
              </w:rPr>
              <w:t>$5,535</w:t>
            </w:r>
          </w:p>
        </w:tc>
      </w:tr>
      <w:tr w14:paraId="51316C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97B4FD" w14:textId="77777777">
            <w:pPr>
              <w:jc w:val="center"/>
              <w:rPr>
                <w:rFonts w:cs="Calibri"/>
              </w:rPr>
            </w:pPr>
            <w:r w:rsidRPr="007D15C3">
              <w:rPr>
                <w:rFonts w:cs="Calibri"/>
              </w:rPr>
              <w:t>14867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0736A9" w14:textId="77777777">
            <w:pPr>
              <w:jc w:val="center"/>
              <w:rPr>
                <w:rFonts w:cs="Calibri"/>
              </w:rPr>
            </w:pPr>
            <w:r w:rsidRPr="007D15C3">
              <w:rPr>
                <w:rFonts w:cs="Calibri"/>
              </w:rPr>
              <w:t>KCBA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C8C8B0" w14:textId="77777777">
            <w:pPr>
              <w:rPr>
                <w:rFonts w:cs="Calibri"/>
              </w:rPr>
            </w:pPr>
            <w:r w:rsidRPr="007D15C3">
              <w:rPr>
                <w:rFonts w:cs="Calibri"/>
              </w:rPr>
              <w:t xml:space="preserve">          3,094,778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C7D2DE" w14:textId="77777777">
            <w:pPr>
              <w:rPr>
                <w:rFonts w:cs="Calibri"/>
              </w:rPr>
            </w:pPr>
            <w:r w:rsidRPr="007D15C3">
              <w:rPr>
                <w:rFonts w:cs="Calibri"/>
              </w:rPr>
              <w:t xml:space="preserve">            2,278,552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F15AB4" w14:textId="77777777">
            <w:pPr>
              <w:jc w:val="right"/>
              <w:rPr>
                <w:rFonts w:cs="Calibri"/>
              </w:rPr>
            </w:pPr>
            <w:r w:rsidRPr="007D15C3">
              <w:rPr>
                <w:rFonts w:cs="Calibri"/>
              </w:rPr>
              <w:t>$17,857</w:t>
            </w:r>
          </w:p>
        </w:tc>
      </w:tr>
      <w:tr w14:paraId="503DC88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2AC422" w14:textId="77777777">
            <w:pPr>
              <w:jc w:val="center"/>
              <w:rPr>
                <w:rFonts w:cs="Calibri"/>
              </w:rPr>
            </w:pPr>
            <w:r w:rsidRPr="007D15C3">
              <w:rPr>
                <w:rFonts w:cs="Calibri"/>
              </w:rPr>
              <w:t>27507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B348BC" w14:textId="77777777">
            <w:pPr>
              <w:jc w:val="center"/>
              <w:rPr>
                <w:rFonts w:cs="Calibri"/>
              </w:rPr>
            </w:pPr>
            <w:r w:rsidRPr="007D15C3">
              <w:rPr>
                <w:rFonts w:cs="Calibri"/>
              </w:rPr>
              <w:t>KCBD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FA1BDA" w14:textId="77777777">
            <w:pPr>
              <w:rPr>
                <w:rFonts w:cs="Calibri"/>
              </w:rPr>
            </w:pPr>
            <w:r w:rsidRPr="007D15C3">
              <w:rPr>
                <w:rFonts w:cs="Calibri"/>
              </w:rPr>
              <w:t xml:space="preserve">             414,804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0B65F1" w14:textId="77777777">
            <w:pPr>
              <w:rPr>
                <w:rFonts w:cs="Calibri"/>
              </w:rPr>
            </w:pPr>
            <w:r w:rsidRPr="007D15C3">
              <w:rPr>
                <w:rFonts w:cs="Calibri"/>
              </w:rPr>
              <w:t xml:space="preserve">               414,091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52B030" w14:textId="77777777">
            <w:pPr>
              <w:jc w:val="right"/>
              <w:rPr>
                <w:rFonts w:cs="Calibri"/>
              </w:rPr>
            </w:pPr>
            <w:r w:rsidRPr="007D15C3">
              <w:rPr>
                <w:rFonts w:cs="Calibri"/>
              </w:rPr>
              <w:t>$3,245</w:t>
            </w:r>
          </w:p>
        </w:tc>
      </w:tr>
      <w:tr w14:paraId="000D199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439C04" w14:textId="77777777">
            <w:pPr>
              <w:jc w:val="center"/>
              <w:rPr>
                <w:rFonts w:cs="Calibri"/>
              </w:rPr>
            </w:pPr>
            <w:r w:rsidRPr="007D15C3">
              <w:rPr>
                <w:rFonts w:cs="Calibri"/>
              </w:rPr>
              <w:t>9628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C53AA4" w14:textId="77777777">
            <w:pPr>
              <w:jc w:val="center"/>
              <w:rPr>
                <w:rFonts w:cs="Calibri"/>
              </w:rPr>
            </w:pPr>
            <w:r w:rsidRPr="007D15C3">
              <w:rPr>
                <w:rFonts w:cs="Calibri"/>
              </w:rPr>
              <w:t>KCBS-TV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782B8" w14:textId="77777777">
            <w:pPr>
              <w:rPr>
                <w:rFonts w:cs="Calibri"/>
              </w:rPr>
            </w:pPr>
            <w:r w:rsidRPr="007D15C3">
              <w:rPr>
                <w:rFonts w:cs="Calibri"/>
              </w:rPr>
              <w:t xml:space="preserve">        17,853,152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0E77DA" w14:textId="77777777">
            <w:pPr>
              <w:rPr>
                <w:rFonts w:cs="Calibri"/>
              </w:rPr>
            </w:pPr>
            <w:r w:rsidRPr="007D15C3">
              <w:rPr>
                <w:rFonts w:cs="Calibri"/>
              </w:rPr>
              <w:t xml:space="preserve">          16,656,778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18CA14" w14:textId="77777777">
            <w:pPr>
              <w:jc w:val="right"/>
              <w:rPr>
                <w:rFonts w:cs="Calibri"/>
              </w:rPr>
            </w:pPr>
            <w:r w:rsidRPr="007D15C3">
              <w:rPr>
                <w:rFonts w:cs="Calibri"/>
              </w:rPr>
              <w:t>$130,539</w:t>
            </w:r>
          </w:p>
        </w:tc>
      </w:tr>
      <w:tr w14:paraId="1A71B75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9C664B" w14:textId="77777777">
            <w:pPr>
              <w:jc w:val="center"/>
              <w:rPr>
                <w:rFonts w:cs="Calibri"/>
              </w:rPr>
            </w:pPr>
            <w:r w:rsidRPr="007D15C3">
              <w:rPr>
                <w:rFonts w:cs="Calibri"/>
              </w:rPr>
              <w:t>49750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0CFEF3" w14:textId="77777777">
            <w:pPr>
              <w:jc w:val="center"/>
              <w:rPr>
                <w:rFonts w:cs="Calibri"/>
              </w:rPr>
            </w:pPr>
            <w:r w:rsidRPr="007D15C3">
              <w:rPr>
                <w:rFonts w:cs="Calibri"/>
              </w:rPr>
              <w:t>KCBY-TV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9D7E25" w14:textId="77777777">
            <w:pPr>
              <w:rPr>
                <w:rFonts w:cs="Calibri"/>
              </w:rPr>
            </w:pPr>
            <w:r w:rsidRPr="007D15C3">
              <w:rPr>
                <w:rFonts w:cs="Calibri"/>
              </w:rPr>
              <w:t xml:space="preserve">               89,156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FD3F36" w14:textId="77777777">
            <w:pPr>
              <w:rPr>
                <w:rFonts w:cs="Calibri"/>
              </w:rPr>
            </w:pPr>
            <w:r w:rsidRPr="007D15C3">
              <w:rPr>
                <w:rFonts w:cs="Calibri"/>
              </w:rPr>
              <w:t xml:space="preserve">                 73,211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6ED86E" w14:textId="77777777">
            <w:pPr>
              <w:jc w:val="right"/>
              <w:rPr>
                <w:rFonts w:cs="Calibri"/>
              </w:rPr>
            </w:pPr>
            <w:r w:rsidRPr="007D15C3">
              <w:rPr>
                <w:rFonts w:cs="Calibri"/>
              </w:rPr>
              <w:t>$574</w:t>
            </w:r>
          </w:p>
        </w:tc>
      </w:tr>
      <w:tr w14:paraId="435682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92A9F2" w14:textId="77777777">
            <w:pPr>
              <w:jc w:val="center"/>
              <w:rPr>
                <w:rFonts w:cs="Calibri"/>
              </w:rPr>
            </w:pPr>
            <w:r w:rsidRPr="007D15C3">
              <w:rPr>
                <w:rFonts w:cs="Calibri"/>
              </w:rPr>
              <w:t>33710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8E64A1" w14:textId="77777777">
            <w:pPr>
              <w:jc w:val="center"/>
              <w:rPr>
                <w:rFonts w:cs="Calibri"/>
              </w:rPr>
            </w:pPr>
            <w:r w:rsidRPr="007D15C3">
              <w:rPr>
                <w:rFonts w:cs="Calibri"/>
              </w:rPr>
              <w:t>KCCI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B76BC7" w14:textId="77777777">
            <w:pPr>
              <w:rPr>
                <w:rFonts w:cs="Calibri"/>
              </w:rPr>
            </w:pPr>
            <w:r w:rsidRPr="007D15C3">
              <w:rPr>
                <w:rFonts w:cs="Calibri"/>
              </w:rPr>
              <w:t xml:space="preserve">          1,102,130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AE6B5E" w14:textId="77777777">
            <w:pPr>
              <w:rPr>
                <w:rFonts w:cs="Calibri"/>
              </w:rPr>
            </w:pPr>
            <w:r w:rsidRPr="007D15C3">
              <w:rPr>
                <w:rFonts w:cs="Calibri"/>
              </w:rPr>
              <w:t xml:space="preserve">            1,095,326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599FDD" w14:textId="77777777">
            <w:pPr>
              <w:jc w:val="right"/>
              <w:rPr>
                <w:rFonts w:cs="Calibri"/>
              </w:rPr>
            </w:pPr>
            <w:r w:rsidRPr="007D15C3">
              <w:rPr>
                <w:rFonts w:cs="Calibri"/>
              </w:rPr>
              <w:t>$8,584</w:t>
            </w:r>
          </w:p>
        </w:tc>
      </w:tr>
      <w:tr w14:paraId="4B0CA0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E9AD4B" w14:textId="77777777">
            <w:pPr>
              <w:jc w:val="center"/>
              <w:rPr>
                <w:rFonts w:cs="Calibri"/>
              </w:rPr>
            </w:pPr>
            <w:r w:rsidRPr="007D15C3">
              <w:rPr>
                <w:rFonts w:cs="Calibri"/>
              </w:rPr>
              <w:t>9640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A9F601" w14:textId="77777777">
            <w:pPr>
              <w:jc w:val="center"/>
              <w:rPr>
                <w:rFonts w:cs="Calibri"/>
              </w:rPr>
            </w:pPr>
            <w:r w:rsidRPr="007D15C3">
              <w:rPr>
                <w:rFonts w:cs="Calibri"/>
              </w:rPr>
              <w:t>KCCW-TV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4F6372" w14:textId="77777777">
            <w:pPr>
              <w:rPr>
                <w:rFonts w:cs="Calibri"/>
              </w:rPr>
            </w:pPr>
            <w:r w:rsidRPr="007D15C3">
              <w:rPr>
                <w:rFonts w:cs="Calibri"/>
              </w:rPr>
              <w:t xml:space="preserve">             284,280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A6F982" w14:textId="77777777">
            <w:pPr>
              <w:rPr>
                <w:rFonts w:cs="Calibri"/>
              </w:rPr>
            </w:pPr>
            <w:r w:rsidRPr="007D15C3">
              <w:rPr>
                <w:rFonts w:cs="Calibri"/>
              </w:rPr>
              <w:t xml:space="preserve">               276,935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BEDC0D" w14:textId="77777777">
            <w:pPr>
              <w:jc w:val="right"/>
              <w:rPr>
                <w:rFonts w:cs="Calibri"/>
              </w:rPr>
            </w:pPr>
            <w:r w:rsidRPr="007D15C3">
              <w:rPr>
                <w:rFonts w:cs="Calibri"/>
              </w:rPr>
              <w:t>$2,170</w:t>
            </w:r>
          </w:p>
        </w:tc>
      </w:tr>
      <w:tr w14:paraId="10241D5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8206FB" w14:textId="77777777">
            <w:pPr>
              <w:jc w:val="center"/>
              <w:rPr>
                <w:rFonts w:cs="Calibri"/>
              </w:rPr>
            </w:pPr>
            <w:r w:rsidRPr="007D15C3">
              <w:rPr>
                <w:rFonts w:cs="Calibri"/>
              </w:rPr>
              <w:t>63158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52A699" w14:textId="77777777">
            <w:pPr>
              <w:jc w:val="center"/>
              <w:rPr>
                <w:rFonts w:cs="Calibri"/>
              </w:rPr>
            </w:pPr>
            <w:r w:rsidRPr="007D15C3">
              <w:rPr>
                <w:rFonts w:cs="Calibri"/>
              </w:rPr>
              <w:t>KCDO-TV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CE0624" w14:textId="77777777">
            <w:pPr>
              <w:rPr>
                <w:rFonts w:cs="Calibri"/>
              </w:rPr>
            </w:pPr>
            <w:r w:rsidRPr="007D15C3">
              <w:rPr>
                <w:rFonts w:cs="Calibri"/>
              </w:rPr>
              <w:t xml:space="preserve">          2,798,103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CE3C4A" w14:textId="77777777">
            <w:pPr>
              <w:rPr>
                <w:rFonts w:cs="Calibri"/>
              </w:rPr>
            </w:pPr>
            <w:r w:rsidRPr="007D15C3">
              <w:rPr>
                <w:rFonts w:cs="Calibri"/>
              </w:rPr>
              <w:t xml:space="preserve">            2,650,225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EBB8FB" w14:textId="77777777">
            <w:pPr>
              <w:jc w:val="right"/>
              <w:rPr>
                <w:rFonts w:cs="Calibri"/>
              </w:rPr>
            </w:pPr>
            <w:r w:rsidRPr="007D15C3">
              <w:rPr>
                <w:rFonts w:cs="Calibri"/>
              </w:rPr>
              <w:t>$20,770</w:t>
            </w:r>
          </w:p>
        </w:tc>
      </w:tr>
      <w:tr w14:paraId="52F3F9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86A098" w14:textId="77777777">
            <w:pPr>
              <w:jc w:val="center"/>
              <w:rPr>
                <w:rFonts w:cs="Calibri"/>
              </w:rPr>
            </w:pPr>
            <w:r w:rsidRPr="007D15C3">
              <w:rPr>
                <w:rFonts w:cs="Calibri"/>
              </w:rPr>
              <w:t>62424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CBC913" w14:textId="77777777">
            <w:pPr>
              <w:jc w:val="center"/>
              <w:rPr>
                <w:rFonts w:cs="Calibri"/>
              </w:rPr>
            </w:pPr>
            <w:r w:rsidRPr="007D15C3">
              <w:rPr>
                <w:rFonts w:cs="Calibri"/>
              </w:rPr>
              <w:t>KCDT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EDC048" w14:textId="77777777">
            <w:pPr>
              <w:rPr>
                <w:rFonts w:cs="Calibri"/>
              </w:rPr>
            </w:pPr>
            <w:r w:rsidRPr="007D15C3">
              <w:rPr>
                <w:rFonts w:cs="Calibri"/>
              </w:rPr>
              <w:t xml:space="preserve">             694,584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F676F4" w14:textId="77777777">
            <w:pPr>
              <w:rPr>
                <w:rFonts w:cs="Calibri"/>
              </w:rPr>
            </w:pPr>
            <w:r w:rsidRPr="007D15C3">
              <w:rPr>
                <w:rFonts w:cs="Calibri"/>
              </w:rPr>
              <w:t xml:space="preserve">               638,366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3E3E97" w14:textId="77777777">
            <w:pPr>
              <w:jc w:val="right"/>
              <w:rPr>
                <w:rFonts w:cs="Calibri"/>
              </w:rPr>
            </w:pPr>
            <w:r w:rsidRPr="007D15C3">
              <w:rPr>
                <w:rFonts w:cs="Calibri"/>
              </w:rPr>
              <w:t>$5,003</w:t>
            </w:r>
          </w:p>
        </w:tc>
      </w:tr>
      <w:tr w14:paraId="17D4EAA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B4AAE1" w14:textId="77777777">
            <w:pPr>
              <w:jc w:val="center"/>
              <w:rPr>
                <w:rFonts w:cs="Calibri"/>
              </w:rPr>
            </w:pPr>
            <w:r w:rsidRPr="007D15C3">
              <w:rPr>
                <w:rFonts w:cs="Calibri"/>
              </w:rPr>
              <w:t>83913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0C633D" w14:textId="77777777">
            <w:pPr>
              <w:jc w:val="center"/>
              <w:rPr>
                <w:rFonts w:cs="Calibri"/>
              </w:rPr>
            </w:pPr>
            <w:r w:rsidRPr="007D15C3">
              <w:rPr>
                <w:rFonts w:cs="Calibri"/>
              </w:rPr>
              <w:t>KCEB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47EB69" w14:textId="77777777">
            <w:pPr>
              <w:rPr>
                <w:rFonts w:cs="Calibri"/>
              </w:rPr>
            </w:pPr>
            <w:r w:rsidRPr="007D15C3">
              <w:rPr>
                <w:rFonts w:cs="Calibri"/>
              </w:rPr>
              <w:t xml:space="preserve">          1,163,228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1EE33A" w14:textId="77777777">
            <w:pPr>
              <w:rPr>
                <w:rFonts w:cs="Calibri"/>
              </w:rPr>
            </w:pPr>
            <w:r w:rsidRPr="007D15C3">
              <w:rPr>
                <w:rFonts w:cs="Calibri"/>
              </w:rPr>
              <w:t xml:space="preserve">            1,159,665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FFF7DF" w14:textId="77777777">
            <w:pPr>
              <w:jc w:val="right"/>
              <w:rPr>
                <w:rFonts w:cs="Calibri"/>
              </w:rPr>
            </w:pPr>
            <w:r w:rsidRPr="007D15C3">
              <w:rPr>
                <w:rFonts w:cs="Calibri"/>
              </w:rPr>
              <w:t>$9,088</w:t>
            </w:r>
          </w:p>
        </w:tc>
      </w:tr>
      <w:tr w14:paraId="23D2B8D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3AA477" w14:textId="77777777">
            <w:pPr>
              <w:jc w:val="center"/>
              <w:rPr>
                <w:rFonts w:cs="Calibri"/>
              </w:rPr>
            </w:pPr>
            <w:r w:rsidRPr="007D15C3">
              <w:rPr>
                <w:rFonts w:cs="Calibri"/>
              </w:rPr>
              <w:t>57219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C451FC" w14:textId="77777777">
            <w:pPr>
              <w:jc w:val="center"/>
              <w:rPr>
                <w:rFonts w:cs="Calibri"/>
              </w:rPr>
            </w:pPr>
            <w:r w:rsidRPr="007D15C3">
              <w:rPr>
                <w:rFonts w:cs="Calibri"/>
              </w:rPr>
              <w:t>KCEC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89E17A" w14:textId="77777777">
            <w:pPr>
              <w:rPr>
                <w:rFonts w:cs="Calibri"/>
              </w:rPr>
            </w:pPr>
            <w:r w:rsidRPr="007D15C3">
              <w:rPr>
                <w:rFonts w:cs="Calibri"/>
              </w:rPr>
              <w:t xml:space="preserve">          3,874,159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9BD040" w14:textId="77777777">
            <w:pPr>
              <w:rPr>
                <w:rFonts w:cs="Calibri"/>
              </w:rPr>
            </w:pPr>
            <w:r w:rsidRPr="007D15C3">
              <w:rPr>
                <w:rFonts w:cs="Calibri"/>
              </w:rPr>
              <w:t xml:space="preserve">            3,654,445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90F34E" w14:textId="77777777">
            <w:pPr>
              <w:jc w:val="right"/>
              <w:rPr>
                <w:rFonts w:cs="Calibri"/>
              </w:rPr>
            </w:pPr>
            <w:r w:rsidRPr="007D15C3">
              <w:rPr>
                <w:rFonts w:cs="Calibri"/>
              </w:rPr>
              <w:t>$28,640</w:t>
            </w:r>
          </w:p>
        </w:tc>
      </w:tr>
      <w:tr w14:paraId="3C6713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09470C" w14:textId="77777777">
            <w:pPr>
              <w:jc w:val="center"/>
              <w:rPr>
                <w:rFonts w:cs="Calibri"/>
              </w:rPr>
            </w:pPr>
            <w:r w:rsidRPr="007D15C3">
              <w:rPr>
                <w:rFonts w:cs="Calibri"/>
              </w:rPr>
              <w:t>10245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F793BE" w14:textId="77777777">
            <w:pPr>
              <w:jc w:val="center"/>
              <w:rPr>
                <w:rFonts w:cs="Calibri"/>
              </w:rPr>
            </w:pPr>
            <w:r w:rsidRPr="007D15C3">
              <w:rPr>
                <w:rFonts w:cs="Calibri"/>
              </w:rPr>
              <w:t>KCEN-TV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EBA795" w14:textId="77777777">
            <w:pPr>
              <w:rPr>
                <w:rFonts w:cs="Calibri"/>
              </w:rPr>
            </w:pPr>
            <w:r w:rsidRPr="007D15C3">
              <w:rPr>
                <w:rFonts w:cs="Calibri"/>
              </w:rPr>
              <w:t xml:space="preserve">          1,795,767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88C483" w14:textId="77777777">
            <w:pPr>
              <w:rPr>
                <w:rFonts w:cs="Calibri"/>
              </w:rPr>
            </w:pPr>
            <w:r w:rsidRPr="007D15C3">
              <w:rPr>
                <w:rFonts w:cs="Calibri"/>
              </w:rPr>
              <w:t xml:space="preserve">            1,757,018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E7B713" w14:textId="77777777">
            <w:pPr>
              <w:jc w:val="right"/>
              <w:rPr>
                <w:rFonts w:cs="Calibri"/>
              </w:rPr>
            </w:pPr>
            <w:r w:rsidRPr="007D15C3">
              <w:rPr>
                <w:rFonts w:cs="Calibri"/>
              </w:rPr>
              <w:t>$13,770</w:t>
            </w:r>
          </w:p>
        </w:tc>
      </w:tr>
      <w:tr w14:paraId="515369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61B116" w14:textId="77777777">
            <w:pPr>
              <w:jc w:val="center"/>
              <w:rPr>
                <w:rFonts w:cs="Calibri"/>
              </w:rPr>
            </w:pPr>
            <w:r w:rsidRPr="007D15C3">
              <w:rPr>
                <w:rFonts w:cs="Calibri"/>
              </w:rPr>
              <w:t>13058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D38D6F" w14:textId="77777777">
            <w:pPr>
              <w:jc w:val="center"/>
              <w:rPr>
                <w:rFonts w:cs="Calibri"/>
              </w:rPr>
            </w:pPr>
            <w:r w:rsidRPr="007D15C3">
              <w:rPr>
                <w:rFonts w:cs="Calibri"/>
              </w:rPr>
              <w:t>KCET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E59924" w14:textId="77777777">
            <w:pPr>
              <w:rPr>
                <w:rFonts w:cs="Calibri"/>
              </w:rPr>
            </w:pPr>
            <w:r w:rsidRPr="007D15C3">
              <w:rPr>
                <w:rFonts w:cs="Calibri"/>
              </w:rPr>
              <w:t xml:space="preserve">        16,875,019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30CE4C" w14:textId="77777777">
            <w:pPr>
              <w:rPr>
                <w:rFonts w:cs="Calibri"/>
              </w:rPr>
            </w:pPr>
            <w:r w:rsidRPr="007D15C3">
              <w:rPr>
                <w:rFonts w:cs="Calibri"/>
              </w:rPr>
              <w:t xml:space="preserve">          15,402,588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6719BF" w14:textId="77777777">
            <w:pPr>
              <w:jc w:val="right"/>
              <w:rPr>
                <w:rFonts w:cs="Calibri"/>
              </w:rPr>
            </w:pPr>
            <w:r w:rsidRPr="007D15C3">
              <w:rPr>
                <w:rFonts w:cs="Calibri"/>
              </w:rPr>
              <w:t>$120,710</w:t>
            </w:r>
          </w:p>
        </w:tc>
      </w:tr>
      <w:tr w14:paraId="70506A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0677FC" w14:textId="77777777">
            <w:pPr>
              <w:jc w:val="center"/>
              <w:rPr>
                <w:rFonts w:cs="Calibri"/>
              </w:rPr>
            </w:pPr>
            <w:r w:rsidRPr="007D15C3">
              <w:rPr>
                <w:rFonts w:cs="Calibri"/>
              </w:rPr>
              <w:t>18079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35C5E0" w14:textId="77777777">
            <w:pPr>
              <w:jc w:val="center"/>
              <w:rPr>
                <w:rFonts w:cs="Calibri"/>
              </w:rPr>
            </w:pPr>
            <w:r w:rsidRPr="007D15C3">
              <w:rPr>
                <w:rFonts w:cs="Calibri"/>
              </w:rPr>
              <w:t>KCFW-TV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F51F94" w14:textId="77777777">
            <w:pPr>
              <w:rPr>
                <w:rFonts w:cs="Calibri"/>
              </w:rPr>
            </w:pPr>
            <w:r w:rsidRPr="007D15C3">
              <w:rPr>
                <w:rFonts w:cs="Calibri"/>
              </w:rPr>
              <w:t xml:space="preserve">             148,162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C95EAF" w14:textId="77777777">
            <w:pPr>
              <w:rPr>
                <w:rFonts w:cs="Calibri"/>
              </w:rPr>
            </w:pPr>
            <w:r w:rsidRPr="007D15C3">
              <w:rPr>
                <w:rFonts w:cs="Calibri"/>
              </w:rPr>
              <w:t xml:space="preserve">               129,122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424B53" w14:textId="77777777">
            <w:pPr>
              <w:jc w:val="right"/>
              <w:rPr>
                <w:rFonts w:cs="Calibri"/>
              </w:rPr>
            </w:pPr>
            <w:r w:rsidRPr="007D15C3">
              <w:rPr>
                <w:rFonts w:cs="Calibri"/>
              </w:rPr>
              <w:t>$1,012</w:t>
            </w:r>
          </w:p>
        </w:tc>
      </w:tr>
      <w:tr w14:paraId="07BBE9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09BEF8" w14:textId="77777777">
            <w:pPr>
              <w:jc w:val="center"/>
              <w:rPr>
                <w:rFonts w:cs="Calibri"/>
              </w:rPr>
            </w:pPr>
            <w:r w:rsidRPr="007D15C3">
              <w:rPr>
                <w:rFonts w:cs="Calibri"/>
              </w:rPr>
              <w:t>132606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F00B23" w14:textId="77777777">
            <w:pPr>
              <w:jc w:val="center"/>
              <w:rPr>
                <w:rFonts w:cs="Calibri"/>
              </w:rPr>
            </w:pPr>
            <w:r w:rsidRPr="007D15C3">
              <w:rPr>
                <w:rFonts w:cs="Calibri"/>
              </w:rPr>
              <w:t>KCGE-DT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E7E56C" w14:textId="77777777">
            <w:pPr>
              <w:rPr>
                <w:rFonts w:cs="Calibri"/>
              </w:rPr>
            </w:pPr>
            <w:r w:rsidRPr="007D15C3">
              <w:rPr>
                <w:rFonts w:cs="Calibri"/>
              </w:rPr>
              <w:t xml:space="preserve">             123,930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596AC8" w14:textId="77777777">
            <w:pPr>
              <w:rPr>
                <w:rFonts w:cs="Calibri"/>
              </w:rPr>
            </w:pPr>
            <w:r w:rsidRPr="007D15C3">
              <w:rPr>
                <w:rFonts w:cs="Calibri"/>
              </w:rPr>
              <w:t xml:space="preserve">               123,930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622897" w14:textId="77777777">
            <w:pPr>
              <w:jc w:val="right"/>
              <w:rPr>
                <w:rFonts w:cs="Calibri"/>
              </w:rPr>
            </w:pPr>
            <w:r w:rsidRPr="007D15C3">
              <w:rPr>
                <w:rFonts w:cs="Calibri"/>
              </w:rPr>
              <w:t>$971</w:t>
            </w:r>
          </w:p>
        </w:tc>
      </w:tr>
      <w:tr w14:paraId="5DB277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FD43A9" w14:textId="77777777">
            <w:pPr>
              <w:jc w:val="center"/>
              <w:rPr>
                <w:rFonts w:cs="Calibri"/>
              </w:rPr>
            </w:pPr>
            <w:r w:rsidRPr="007D15C3">
              <w:rPr>
                <w:rFonts w:cs="Calibri"/>
              </w:rPr>
              <w:t>60793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5198342" w14:textId="77777777">
            <w:pPr>
              <w:jc w:val="center"/>
              <w:rPr>
                <w:rFonts w:cs="Calibri"/>
              </w:rPr>
            </w:pPr>
            <w:r w:rsidRPr="007D15C3">
              <w:rPr>
                <w:rFonts w:cs="Calibri"/>
              </w:rPr>
              <w:t>KCHF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CD6527" w14:textId="77777777">
            <w:pPr>
              <w:rPr>
                <w:rFonts w:cs="Calibri"/>
              </w:rPr>
            </w:pPr>
            <w:r w:rsidRPr="007D15C3">
              <w:rPr>
                <w:rFonts w:cs="Calibri"/>
              </w:rPr>
              <w:t xml:space="preserve">          1,118,671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AE4B68" w14:textId="77777777">
            <w:pPr>
              <w:rPr>
                <w:rFonts w:cs="Calibri"/>
              </w:rPr>
            </w:pPr>
            <w:r w:rsidRPr="007D15C3">
              <w:rPr>
                <w:rFonts w:cs="Calibri"/>
              </w:rPr>
              <w:t xml:space="preserve">            1,085,205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8F9E22" w14:textId="77777777">
            <w:pPr>
              <w:jc w:val="right"/>
              <w:rPr>
                <w:rFonts w:cs="Calibri"/>
              </w:rPr>
            </w:pPr>
            <w:r w:rsidRPr="007D15C3">
              <w:rPr>
                <w:rFonts w:cs="Calibri"/>
              </w:rPr>
              <w:t>$8,505</w:t>
            </w:r>
          </w:p>
        </w:tc>
      </w:tr>
      <w:tr w14:paraId="76A9B61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AE0AC5" w14:textId="77777777">
            <w:pPr>
              <w:jc w:val="center"/>
              <w:rPr>
                <w:rFonts w:cs="Calibri"/>
              </w:rPr>
            </w:pPr>
            <w:r w:rsidRPr="007D15C3">
              <w:rPr>
                <w:rFonts w:cs="Calibri"/>
              </w:rPr>
              <w:t>33722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DFF01A" w14:textId="77777777">
            <w:pPr>
              <w:jc w:val="center"/>
              <w:rPr>
                <w:rFonts w:cs="Calibri"/>
              </w:rPr>
            </w:pPr>
            <w:r w:rsidRPr="007D15C3">
              <w:rPr>
                <w:rFonts w:cs="Calibri"/>
              </w:rPr>
              <w:t>KCIT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0AC253" w14:textId="77777777">
            <w:pPr>
              <w:rPr>
                <w:rFonts w:cs="Calibri"/>
              </w:rPr>
            </w:pPr>
            <w:r w:rsidRPr="007D15C3">
              <w:rPr>
                <w:rFonts w:cs="Calibri"/>
              </w:rPr>
              <w:t xml:space="preserve">             382,477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CDE2CA" w14:textId="77777777">
            <w:pPr>
              <w:rPr>
                <w:rFonts w:cs="Calibri"/>
              </w:rPr>
            </w:pPr>
            <w:r w:rsidRPr="007D15C3">
              <w:rPr>
                <w:rFonts w:cs="Calibri"/>
              </w:rPr>
              <w:t xml:space="preserve">               381,818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8223F2" w14:textId="77777777">
            <w:pPr>
              <w:jc w:val="right"/>
              <w:rPr>
                <w:rFonts w:cs="Calibri"/>
              </w:rPr>
            </w:pPr>
            <w:r w:rsidRPr="007D15C3">
              <w:rPr>
                <w:rFonts w:cs="Calibri"/>
              </w:rPr>
              <w:t>$2,992</w:t>
            </w:r>
          </w:p>
        </w:tc>
      </w:tr>
      <w:tr w14:paraId="760757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BC16AD" w14:textId="77777777">
            <w:pPr>
              <w:jc w:val="center"/>
              <w:rPr>
                <w:rFonts w:cs="Calibri"/>
              </w:rPr>
            </w:pPr>
            <w:r w:rsidRPr="007D15C3">
              <w:rPr>
                <w:rFonts w:cs="Calibri"/>
              </w:rPr>
              <w:t>62468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BEE834" w14:textId="77777777">
            <w:pPr>
              <w:jc w:val="center"/>
              <w:rPr>
                <w:rFonts w:cs="Calibri"/>
              </w:rPr>
            </w:pPr>
            <w:r w:rsidRPr="007D15C3">
              <w:rPr>
                <w:rFonts w:cs="Calibri"/>
              </w:rPr>
              <w:t>KCKA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DEE84E" w14:textId="77777777">
            <w:pPr>
              <w:rPr>
                <w:rFonts w:cs="Calibri"/>
              </w:rPr>
            </w:pPr>
            <w:r w:rsidRPr="007D15C3">
              <w:rPr>
                <w:rFonts w:cs="Calibri"/>
              </w:rPr>
              <w:t xml:space="preserve">             953,680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82FB3C" w14:textId="77777777">
            <w:pPr>
              <w:rPr>
                <w:rFonts w:cs="Calibri"/>
              </w:rPr>
            </w:pPr>
            <w:r w:rsidRPr="007D15C3">
              <w:rPr>
                <w:rFonts w:cs="Calibri"/>
              </w:rPr>
              <w:t xml:space="preserve">               804,362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ED1339" w14:textId="77777777">
            <w:pPr>
              <w:jc w:val="right"/>
              <w:rPr>
                <w:rFonts w:cs="Calibri"/>
              </w:rPr>
            </w:pPr>
            <w:r w:rsidRPr="007D15C3">
              <w:rPr>
                <w:rFonts w:cs="Calibri"/>
              </w:rPr>
              <w:t>$6,304</w:t>
            </w:r>
          </w:p>
        </w:tc>
      </w:tr>
      <w:tr w14:paraId="7BD858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A7977D" w14:textId="77777777">
            <w:pPr>
              <w:jc w:val="center"/>
              <w:rPr>
                <w:rFonts w:cs="Calibri"/>
              </w:rPr>
            </w:pPr>
            <w:r w:rsidRPr="007D15C3">
              <w:rPr>
                <w:rFonts w:cs="Calibri"/>
              </w:rPr>
              <w:t>41969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6B56EC" w14:textId="77777777">
            <w:pPr>
              <w:jc w:val="center"/>
              <w:rPr>
                <w:rFonts w:cs="Calibri"/>
              </w:rPr>
            </w:pPr>
            <w:r w:rsidRPr="007D15C3">
              <w:rPr>
                <w:rFonts w:cs="Calibri"/>
              </w:rPr>
              <w:t>KCLO-TV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F284A3" w14:textId="77777777">
            <w:pPr>
              <w:rPr>
                <w:rFonts w:cs="Calibri"/>
              </w:rPr>
            </w:pPr>
            <w:r w:rsidRPr="007D15C3">
              <w:rPr>
                <w:rFonts w:cs="Calibri"/>
              </w:rPr>
              <w:t xml:space="preserve">             138,413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D72015" w14:textId="77777777">
            <w:pPr>
              <w:rPr>
                <w:rFonts w:cs="Calibri"/>
              </w:rPr>
            </w:pPr>
            <w:r w:rsidRPr="007D15C3">
              <w:rPr>
                <w:rFonts w:cs="Calibri"/>
              </w:rPr>
              <w:t xml:space="preserve">               132,157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F68851" w14:textId="77777777">
            <w:pPr>
              <w:jc w:val="right"/>
              <w:rPr>
                <w:rFonts w:cs="Calibri"/>
              </w:rPr>
            </w:pPr>
            <w:r w:rsidRPr="007D15C3">
              <w:rPr>
                <w:rFonts w:cs="Calibri"/>
              </w:rPr>
              <w:t>$1,036</w:t>
            </w:r>
          </w:p>
        </w:tc>
      </w:tr>
      <w:tr w14:paraId="3A7591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BD89E1" w14:textId="77777777">
            <w:pPr>
              <w:jc w:val="center"/>
              <w:rPr>
                <w:rFonts w:cs="Calibri"/>
              </w:rPr>
            </w:pPr>
            <w:r w:rsidRPr="007D15C3">
              <w:rPr>
                <w:rFonts w:cs="Calibri"/>
              </w:rPr>
              <w:t>47903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5F4A4A" w14:textId="77777777">
            <w:pPr>
              <w:jc w:val="center"/>
              <w:rPr>
                <w:rFonts w:cs="Calibri"/>
              </w:rPr>
            </w:pPr>
            <w:r w:rsidRPr="007D15C3">
              <w:rPr>
                <w:rFonts w:cs="Calibri"/>
              </w:rPr>
              <w:t>KCNC-TV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B1D2A6" w14:textId="77777777">
            <w:pPr>
              <w:rPr>
                <w:rFonts w:cs="Calibri"/>
              </w:rPr>
            </w:pPr>
            <w:r w:rsidRPr="007D15C3">
              <w:rPr>
                <w:rFonts w:cs="Calibri"/>
              </w:rPr>
              <w:t xml:space="preserve">          3,794,400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EAF501" w14:textId="77777777">
            <w:pPr>
              <w:rPr>
                <w:rFonts w:cs="Calibri"/>
              </w:rPr>
            </w:pPr>
            <w:r w:rsidRPr="007D15C3">
              <w:rPr>
                <w:rFonts w:cs="Calibri"/>
              </w:rPr>
              <w:t xml:space="preserve">            3,541,089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C62B3C" w14:textId="77777777">
            <w:pPr>
              <w:jc w:val="right"/>
              <w:rPr>
                <w:rFonts w:cs="Calibri"/>
              </w:rPr>
            </w:pPr>
            <w:r w:rsidRPr="007D15C3">
              <w:rPr>
                <w:rFonts w:cs="Calibri"/>
              </w:rPr>
              <w:t>$27,752</w:t>
            </w:r>
          </w:p>
        </w:tc>
      </w:tr>
      <w:tr w14:paraId="14E7448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48EF5D" w14:textId="77777777">
            <w:pPr>
              <w:jc w:val="center"/>
              <w:rPr>
                <w:rFonts w:cs="Calibri"/>
              </w:rPr>
            </w:pPr>
            <w:r w:rsidRPr="007D15C3">
              <w:rPr>
                <w:rFonts w:cs="Calibri"/>
              </w:rPr>
              <w:t>71586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13A35E" w14:textId="77777777">
            <w:pPr>
              <w:jc w:val="center"/>
              <w:rPr>
                <w:rFonts w:cs="Calibri"/>
              </w:rPr>
            </w:pPr>
            <w:r w:rsidRPr="007D15C3">
              <w:rPr>
                <w:rFonts w:cs="Calibri"/>
              </w:rPr>
              <w:t>KCNS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6F2C29" w14:textId="77777777">
            <w:pPr>
              <w:rPr>
                <w:rFonts w:cs="Calibri"/>
              </w:rPr>
            </w:pPr>
            <w:r w:rsidRPr="007D15C3">
              <w:rPr>
                <w:rFonts w:cs="Calibri"/>
              </w:rPr>
              <w:t xml:space="preserve">          8,048,427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FDE0A9" w14:textId="77777777">
            <w:pPr>
              <w:rPr>
                <w:rFonts w:cs="Calibri"/>
              </w:rPr>
            </w:pPr>
            <w:r w:rsidRPr="007D15C3">
              <w:rPr>
                <w:rFonts w:cs="Calibri"/>
              </w:rPr>
              <w:t xml:space="preserve">            7,069,903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A07CF9" w14:textId="77777777">
            <w:pPr>
              <w:jc w:val="right"/>
              <w:rPr>
                <w:rFonts w:cs="Calibri"/>
              </w:rPr>
            </w:pPr>
            <w:r w:rsidRPr="007D15C3">
              <w:rPr>
                <w:rFonts w:cs="Calibri"/>
              </w:rPr>
              <w:t>$55,407</w:t>
            </w:r>
          </w:p>
        </w:tc>
      </w:tr>
      <w:tr w14:paraId="3167B30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3CFAB7" w14:textId="77777777">
            <w:pPr>
              <w:jc w:val="center"/>
              <w:rPr>
                <w:rFonts w:cs="Calibri"/>
              </w:rPr>
            </w:pPr>
            <w:r w:rsidRPr="007D15C3">
              <w:rPr>
                <w:rFonts w:cs="Calibri"/>
              </w:rPr>
              <w:t>33742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6AE1C5" w14:textId="77777777">
            <w:pPr>
              <w:jc w:val="center"/>
              <w:rPr>
                <w:rFonts w:cs="Calibri"/>
              </w:rPr>
            </w:pPr>
            <w:r w:rsidRPr="007D15C3">
              <w:rPr>
                <w:rFonts w:cs="Calibri"/>
              </w:rPr>
              <w:t>KCOP-TV*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64319D" w14:textId="77777777">
            <w:pPr>
              <w:rPr>
                <w:rFonts w:cs="Calibri"/>
              </w:rPr>
            </w:pPr>
            <w:r w:rsidRPr="007D15C3">
              <w:rPr>
                <w:rFonts w:cs="Calibri"/>
              </w:rPr>
              <w:t xml:space="preserve">        17,386,133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D00EDB" w14:textId="77777777">
            <w:pPr>
              <w:rPr>
                <w:rFonts w:cs="Calibri"/>
              </w:rPr>
            </w:pPr>
            <w:r w:rsidRPr="007D15C3">
              <w:rPr>
                <w:rFonts w:cs="Calibri"/>
              </w:rPr>
              <w:t xml:space="preserve">          16,647,708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D6B196" w14:textId="77777777">
            <w:pPr>
              <w:jc w:val="right"/>
              <w:rPr>
                <w:rFonts w:cs="Calibri"/>
              </w:rPr>
            </w:pPr>
            <w:r w:rsidRPr="007D15C3">
              <w:rPr>
                <w:rFonts w:cs="Calibri"/>
              </w:rPr>
              <w:t>$130,468</w:t>
            </w:r>
          </w:p>
        </w:tc>
      </w:tr>
      <w:tr w14:paraId="054FE15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4B6D1A" w14:textId="77777777">
            <w:pPr>
              <w:jc w:val="center"/>
              <w:rPr>
                <w:rFonts w:cs="Calibri"/>
              </w:rPr>
            </w:pPr>
            <w:r w:rsidRPr="007D15C3">
              <w:rPr>
                <w:rFonts w:cs="Calibri"/>
              </w:rPr>
              <w:t>19117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A577AE" w14:textId="77777777">
            <w:pPr>
              <w:jc w:val="center"/>
              <w:rPr>
                <w:rFonts w:cs="Calibri"/>
              </w:rPr>
            </w:pPr>
            <w:r w:rsidRPr="007D15C3">
              <w:rPr>
                <w:rFonts w:cs="Calibri"/>
              </w:rPr>
              <w:t>KCOS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ED2428" w14:textId="77777777">
            <w:pPr>
              <w:rPr>
                <w:rFonts w:cs="Calibri"/>
              </w:rPr>
            </w:pPr>
            <w:r w:rsidRPr="007D15C3">
              <w:rPr>
                <w:rFonts w:cs="Calibri"/>
              </w:rPr>
              <w:t xml:space="preserve">          1,014,396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90D31F" w14:textId="77777777">
            <w:pPr>
              <w:rPr>
                <w:rFonts w:cs="Calibri"/>
              </w:rPr>
            </w:pPr>
            <w:r w:rsidRPr="007D15C3">
              <w:rPr>
                <w:rFonts w:cs="Calibri"/>
              </w:rPr>
              <w:t xml:space="preserve">            1,014,205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0015C5" w14:textId="77777777">
            <w:pPr>
              <w:jc w:val="right"/>
              <w:rPr>
                <w:rFonts w:cs="Calibri"/>
              </w:rPr>
            </w:pPr>
            <w:r w:rsidRPr="007D15C3">
              <w:rPr>
                <w:rFonts w:cs="Calibri"/>
              </w:rPr>
              <w:t>$7,948</w:t>
            </w:r>
          </w:p>
        </w:tc>
      </w:tr>
      <w:tr w14:paraId="405C124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837D1F" w14:textId="77777777">
            <w:pPr>
              <w:jc w:val="center"/>
              <w:rPr>
                <w:rFonts w:cs="Calibri"/>
              </w:rPr>
            </w:pPr>
            <w:r w:rsidRPr="007D15C3">
              <w:rPr>
                <w:rFonts w:cs="Calibri"/>
              </w:rPr>
              <w:t>63165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63FDE8" w14:textId="77777777">
            <w:pPr>
              <w:jc w:val="center"/>
              <w:rPr>
                <w:rFonts w:cs="Calibri"/>
              </w:rPr>
            </w:pPr>
            <w:r w:rsidRPr="007D15C3">
              <w:rPr>
                <w:rFonts w:cs="Calibri"/>
              </w:rPr>
              <w:t>KCOY-TV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10797C" w14:textId="77777777">
            <w:pPr>
              <w:rPr>
                <w:rFonts w:cs="Calibri"/>
              </w:rPr>
            </w:pPr>
            <w:r w:rsidRPr="007D15C3">
              <w:rPr>
                <w:rFonts w:cs="Calibri"/>
              </w:rPr>
              <w:t xml:space="preserve">             664,655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115978" w14:textId="77777777">
            <w:pPr>
              <w:rPr>
                <w:rFonts w:cs="Calibri"/>
              </w:rPr>
            </w:pPr>
            <w:r w:rsidRPr="007D15C3">
              <w:rPr>
                <w:rFonts w:cs="Calibri"/>
              </w:rPr>
              <w:t xml:space="preserve">               459,468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A23F1D" w14:textId="77777777">
            <w:pPr>
              <w:jc w:val="right"/>
              <w:rPr>
                <w:rFonts w:cs="Calibri"/>
              </w:rPr>
            </w:pPr>
            <w:r w:rsidRPr="007D15C3">
              <w:rPr>
                <w:rFonts w:cs="Calibri"/>
              </w:rPr>
              <w:t>$3,601</w:t>
            </w:r>
          </w:p>
        </w:tc>
      </w:tr>
      <w:tr w14:paraId="2E2ED0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36FADA" w14:textId="77777777">
            <w:pPr>
              <w:jc w:val="center"/>
              <w:rPr>
                <w:rFonts w:cs="Calibri"/>
              </w:rPr>
            </w:pPr>
            <w:r w:rsidRPr="007D15C3">
              <w:rPr>
                <w:rFonts w:cs="Calibri"/>
              </w:rPr>
              <w:t>86208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3423FBC" w14:textId="77777777">
            <w:pPr>
              <w:jc w:val="center"/>
              <w:rPr>
                <w:rFonts w:cs="Calibri"/>
              </w:rPr>
            </w:pPr>
            <w:r w:rsidRPr="007D15C3">
              <w:rPr>
                <w:rFonts w:cs="Calibri"/>
              </w:rPr>
              <w:t>KCPM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93CE2A" w14:textId="77777777">
            <w:pPr>
              <w:rPr>
                <w:rFonts w:cs="Calibri"/>
              </w:rPr>
            </w:pPr>
            <w:r w:rsidRPr="007D15C3">
              <w:rPr>
                <w:rFonts w:cs="Calibri"/>
              </w:rPr>
              <w:t xml:space="preserve">               90,266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58E3F3" w14:textId="77777777">
            <w:pPr>
              <w:rPr>
                <w:rFonts w:cs="Calibri"/>
              </w:rPr>
            </w:pPr>
            <w:r w:rsidRPr="007D15C3">
              <w:rPr>
                <w:rFonts w:cs="Calibri"/>
              </w:rPr>
              <w:t xml:space="preserve">                 90,266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2D9EB8" w14:textId="77777777">
            <w:pPr>
              <w:jc w:val="right"/>
              <w:rPr>
                <w:rFonts w:cs="Calibri"/>
              </w:rPr>
            </w:pPr>
            <w:r w:rsidRPr="007D15C3">
              <w:rPr>
                <w:rFonts w:cs="Calibri"/>
              </w:rPr>
              <w:t>$707</w:t>
            </w:r>
          </w:p>
        </w:tc>
      </w:tr>
      <w:tr w14:paraId="2C39C7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04D8DE" w14:textId="77777777">
            <w:pPr>
              <w:jc w:val="center"/>
              <w:rPr>
                <w:rFonts w:cs="Calibri"/>
              </w:rPr>
            </w:pPr>
            <w:r w:rsidRPr="007D15C3">
              <w:rPr>
                <w:rFonts w:cs="Calibri"/>
              </w:rPr>
              <w:t>33894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009657" w14:textId="77777777">
            <w:pPr>
              <w:jc w:val="center"/>
              <w:rPr>
                <w:rFonts w:cs="Calibri"/>
              </w:rPr>
            </w:pPr>
            <w:r w:rsidRPr="007D15C3">
              <w:rPr>
                <w:rFonts w:cs="Calibri"/>
              </w:rPr>
              <w:t>KCPQ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944B57" w14:textId="77777777">
            <w:pPr>
              <w:rPr>
                <w:rFonts w:cs="Calibri"/>
              </w:rPr>
            </w:pPr>
            <w:r w:rsidRPr="007D15C3">
              <w:rPr>
                <w:rFonts w:cs="Calibri"/>
              </w:rPr>
              <w:t xml:space="preserve">          4,439,875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1B2A3E" w14:textId="77777777">
            <w:pPr>
              <w:rPr>
                <w:rFonts w:cs="Calibri"/>
              </w:rPr>
            </w:pPr>
            <w:r w:rsidRPr="007D15C3">
              <w:rPr>
                <w:rFonts w:cs="Calibri"/>
              </w:rPr>
              <w:t xml:space="preserve">            4,311,994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3033A3" w14:textId="77777777">
            <w:pPr>
              <w:jc w:val="right"/>
              <w:rPr>
                <w:rFonts w:cs="Calibri"/>
              </w:rPr>
            </w:pPr>
            <w:r w:rsidRPr="007D15C3">
              <w:rPr>
                <w:rFonts w:cs="Calibri"/>
              </w:rPr>
              <w:t>$33,793</w:t>
            </w:r>
          </w:p>
        </w:tc>
      </w:tr>
      <w:tr w14:paraId="788AF91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948CEA" w14:textId="77777777">
            <w:pPr>
              <w:jc w:val="center"/>
              <w:rPr>
                <w:rFonts w:cs="Calibri"/>
              </w:rPr>
            </w:pPr>
            <w:r w:rsidRPr="007D15C3">
              <w:rPr>
                <w:rFonts w:cs="Calibri"/>
              </w:rPr>
              <w:t>53843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EECA25" w14:textId="77777777">
            <w:pPr>
              <w:jc w:val="center"/>
              <w:rPr>
                <w:rFonts w:cs="Calibri"/>
              </w:rPr>
            </w:pPr>
            <w:r w:rsidRPr="007D15C3">
              <w:rPr>
                <w:rFonts w:cs="Calibri"/>
              </w:rPr>
              <w:t>KCPT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CDBED1" w14:textId="77777777">
            <w:pPr>
              <w:rPr>
                <w:rFonts w:cs="Calibri"/>
              </w:rPr>
            </w:pPr>
            <w:r w:rsidRPr="007D15C3">
              <w:rPr>
                <w:rFonts w:cs="Calibri"/>
              </w:rPr>
              <w:t xml:space="preserve">          2,507,879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1E1572" w14:textId="77777777">
            <w:pPr>
              <w:rPr>
                <w:rFonts w:cs="Calibri"/>
              </w:rPr>
            </w:pPr>
            <w:r w:rsidRPr="007D15C3">
              <w:rPr>
                <w:rFonts w:cs="Calibri"/>
              </w:rPr>
              <w:t xml:space="preserve">            2,506,224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296EC3" w14:textId="77777777">
            <w:pPr>
              <w:jc w:val="right"/>
              <w:rPr>
                <w:rFonts w:cs="Calibri"/>
              </w:rPr>
            </w:pPr>
            <w:r w:rsidRPr="007D15C3">
              <w:rPr>
                <w:rFonts w:cs="Calibri"/>
              </w:rPr>
              <w:t>$19,641</w:t>
            </w:r>
          </w:p>
        </w:tc>
      </w:tr>
      <w:tr w14:paraId="1F42AFB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82E7C9" w14:textId="77777777">
            <w:pPr>
              <w:jc w:val="center"/>
              <w:rPr>
                <w:rFonts w:cs="Calibri"/>
              </w:rPr>
            </w:pPr>
            <w:r w:rsidRPr="007D15C3">
              <w:rPr>
                <w:rFonts w:cs="Calibri"/>
              </w:rPr>
              <w:t>33875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02CA62" w14:textId="77777777">
            <w:pPr>
              <w:jc w:val="center"/>
              <w:rPr>
                <w:rFonts w:cs="Calibri"/>
              </w:rPr>
            </w:pPr>
            <w:r w:rsidRPr="007D15C3">
              <w:rPr>
                <w:rFonts w:cs="Calibri"/>
              </w:rPr>
              <w:t>KCRA-TV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1AEC90" w14:textId="77777777">
            <w:pPr>
              <w:rPr>
                <w:rFonts w:cs="Calibri"/>
              </w:rPr>
            </w:pPr>
            <w:r w:rsidRPr="007D15C3">
              <w:rPr>
                <w:rFonts w:cs="Calibri"/>
              </w:rPr>
              <w:t xml:space="preserve">        10,612,483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F23DC9" w14:textId="77777777">
            <w:pPr>
              <w:rPr>
                <w:rFonts w:cs="Calibri"/>
              </w:rPr>
            </w:pPr>
            <w:r w:rsidRPr="007D15C3">
              <w:rPr>
                <w:rFonts w:cs="Calibri"/>
              </w:rPr>
              <w:t xml:space="preserve">            6,500,774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390A08" w14:textId="77777777">
            <w:pPr>
              <w:jc w:val="right"/>
              <w:rPr>
                <w:rFonts w:cs="Calibri"/>
              </w:rPr>
            </w:pPr>
            <w:r w:rsidRPr="007D15C3">
              <w:rPr>
                <w:rFonts w:cs="Calibri"/>
              </w:rPr>
              <w:t>$50,947</w:t>
            </w:r>
          </w:p>
        </w:tc>
      </w:tr>
      <w:tr w14:paraId="249A0A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5C0560" w14:textId="77777777">
            <w:pPr>
              <w:jc w:val="center"/>
              <w:rPr>
                <w:rFonts w:cs="Calibri"/>
              </w:rPr>
            </w:pPr>
            <w:r w:rsidRPr="007D15C3">
              <w:rPr>
                <w:rFonts w:cs="Calibri"/>
              </w:rPr>
              <w:t>9719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47246B" w14:textId="77777777">
            <w:pPr>
              <w:jc w:val="center"/>
              <w:rPr>
                <w:rFonts w:cs="Calibri"/>
              </w:rPr>
            </w:pPr>
            <w:r w:rsidRPr="007D15C3">
              <w:rPr>
                <w:rFonts w:cs="Calibri"/>
              </w:rPr>
              <w:t>KCRG-TV*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4CEFF8" w14:textId="77777777">
            <w:pPr>
              <w:rPr>
                <w:rFonts w:cs="Calibri"/>
              </w:rPr>
            </w:pPr>
            <w:r w:rsidRPr="007D15C3">
              <w:rPr>
                <w:rFonts w:cs="Calibri"/>
              </w:rPr>
              <w:t xml:space="preserve">          1,136.762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9EC16D" w14:textId="77777777">
            <w:pPr>
              <w:rPr>
                <w:rFonts w:cs="Calibri"/>
              </w:rPr>
            </w:pPr>
            <w:r w:rsidRPr="007D15C3">
              <w:rPr>
                <w:rFonts w:cs="Calibri"/>
              </w:rPr>
              <w:t xml:space="preserve">            1,107,130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6F659D" w14:textId="77777777">
            <w:pPr>
              <w:jc w:val="right"/>
              <w:rPr>
                <w:rFonts w:cs="Calibri"/>
              </w:rPr>
            </w:pPr>
            <w:r w:rsidRPr="007D15C3">
              <w:rPr>
                <w:rFonts w:cs="Calibri"/>
              </w:rPr>
              <w:t>$8,677</w:t>
            </w:r>
          </w:p>
        </w:tc>
      </w:tr>
      <w:tr w14:paraId="7B5298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A41BF2" w14:textId="77777777">
            <w:pPr>
              <w:jc w:val="center"/>
              <w:rPr>
                <w:rFonts w:cs="Calibri"/>
              </w:rPr>
            </w:pPr>
            <w:r w:rsidRPr="007D15C3">
              <w:rPr>
                <w:rFonts w:cs="Calibri"/>
              </w:rPr>
              <w:t>60728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D0E7CE" w14:textId="77777777">
            <w:pPr>
              <w:jc w:val="center"/>
              <w:rPr>
                <w:rFonts w:cs="Calibri"/>
              </w:rPr>
            </w:pPr>
            <w:r w:rsidRPr="007D15C3">
              <w:rPr>
                <w:rFonts w:cs="Calibri"/>
              </w:rPr>
              <w:t>KCSD-TV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59C251" w14:textId="77777777">
            <w:pPr>
              <w:rPr>
                <w:rFonts w:cs="Calibri"/>
              </w:rPr>
            </w:pPr>
            <w:r w:rsidRPr="007D15C3">
              <w:rPr>
                <w:rFonts w:cs="Calibri"/>
              </w:rPr>
              <w:t xml:space="preserve">             273,553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80A0A0" w14:textId="77777777">
            <w:pPr>
              <w:rPr>
                <w:rFonts w:cs="Calibri"/>
              </w:rPr>
            </w:pPr>
            <w:r w:rsidRPr="007D15C3">
              <w:rPr>
                <w:rFonts w:cs="Calibri"/>
              </w:rPr>
              <w:t xml:space="preserve">               273,447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9EF60F" w14:textId="77777777">
            <w:pPr>
              <w:jc w:val="right"/>
              <w:rPr>
                <w:rFonts w:cs="Calibri"/>
              </w:rPr>
            </w:pPr>
            <w:r w:rsidRPr="007D15C3">
              <w:rPr>
                <w:rFonts w:cs="Calibri"/>
              </w:rPr>
              <w:t>$2,143</w:t>
            </w:r>
          </w:p>
        </w:tc>
      </w:tr>
      <w:tr w14:paraId="191B2B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BC09BF" w14:textId="77777777">
            <w:pPr>
              <w:jc w:val="center"/>
              <w:rPr>
                <w:rFonts w:cs="Calibri"/>
              </w:rPr>
            </w:pPr>
            <w:r w:rsidRPr="007D15C3">
              <w:rPr>
                <w:rFonts w:cs="Calibri"/>
              </w:rPr>
              <w:t>59494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CEBD2E" w14:textId="77777777">
            <w:pPr>
              <w:jc w:val="center"/>
              <w:rPr>
                <w:rFonts w:cs="Calibri"/>
              </w:rPr>
            </w:pPr>
            <w:r w:rsidRPr="007D15C3">
              <w:rPr>
                <w:rFonts w:cs="Calibri"/>
              </w:rPr>
              <w:t>KCSG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3C4A8E" w14:textId="77777777">
            <w:pPr>
              <w:rPr>
                <w:rFonts w:cs="Calibri"/>
              </w:rPr>
            </w:pPr>
            <w:r w:rsidRPr="007D15C3">
              <w:rPr>
                <w:rFonts w:cs="Calibri"/>
              </w:rPr>
              <w:t xml:space="preserve">             174,814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04EFF1" w14:textId="77777777">
            <w:pPr>
              <w:rPr>
                <w:rFonts w:cs="Calibri"/>
              </w:rPr>
            </w:pPr>
            <w:r w:rsidRPr="007D15C3">
              <w:rPr>
                <w:rFonts w:cs="Calibri"/>
              </w:rPr>
              <w:t xml:space="preserve">               164,765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75DFE4" w14:textId="77777777">
            <w:pPr>
              <w:jc w:val="right"/>
              <w:rPr>
                <w:rFonts w:cs="Calibri"/>
              </w:rPr>
            </w:pPr>
            <w:r w:rsidRPr="007D15C3">
              <w:rPr>
                <w:rFonts w:cs="Calibri"/>
              </w:rPr>
              <w:t>$1,291</w:t>
            </w:r>
          </w:p>
        </w:tc>
      </w:tr>
      <w:tr w14:paraId="43CB00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4EBFC0" w14:textId="77777777">
            <w:pPr>
              <w:jc w:val="center"/>
              <w:rPr>
                <w:rFonts w:cs="Calibri"/>
              </w:rPr>
            </w:pPr>
            <w:r w:rsidRPr="007D15C3">
              <w:rPr>
                <w:rFonts w:cs="Calibri"/>
              </w:rPr>
              <w:t>33749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1F0D87" w14:textId="77777777">
            <w:pPr>
              <w:jc w:val="center"/>
              <w:rPr>
                <w:rFonts w:cs="Calibri"/>
              </w:rPr>
            </w:pPr>
            <w:r w:rsidRPr="007D15C3">
              <w:rPr>
                <w:rFonts w:cs="Calibri"/>
              </w:rPr>
              <w:t>KCTS-TV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56D9A5" w14:textId="77777777">
            <w:pPr>
              <w:rPr>
                <w:rFonts w:cs="Calibri"/>
              </w:rPr>
            </w:pPr>
            <w:r w:rsidRPr="007D15C3">
              <w:rPr>
                <w:rFonts w:cs="Calibri"/>
              </w:rPr>
              <w:t xml:space="preserve">          4,177,824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E87479" w14:textId="77777777">
            <w:pPr>
              <w:rPr>
                <w:rFonts w:cs="Calibri"/>
              </w:rPr>
            </w:pPr>
            <w:r w:rsidRPr="007D15C3">
              <w:rPr>
                <w:rFonts w:cs="Calibri"/>
              </w:rPr>
              <w:t xml:space="preserve">            4,115,603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C8FE28" w14:textId="77777777">
            <w:pPr>
              <w:jc w:val="right"/>
              <w:rPr>
                <w:rFonts w:cs="Calibri"/>
              </w:rPr>
            </w:pPr>
            <w:r w:rsidRPr="007D15C3">
              <w:rPr>
                <w:rFonts w:cs="Calibri"/>
              </w:rPr>
              <w:t>$32,254</w:t>
            </w:r>
          </w:p>
        </w:tc>
      </w:tr>
      <w:tr w14:paraId="60C172AA"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EC6723" w14:textId="77777777">
            <w:pPr>
              <w:jc w:val="center"/>
              <w:rPr>
                <w:rFonts w:cs="Calibri"/>
              </w:rPr>
            </w:pPr>
            <w:r w:rsidRPr="007D15C3">
              <w:rPr>
                <w:rFonts w:cs="Calibri"/>
              </w:rPr>
              <w:t>41230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13D8F8B" w14:textId="77777777">
            <w:pPr>
              <w:jc w:val="center"/>
              <w:rPr>
                <w:rFonts w:cs="Calibri"/>
              </w:rPr>
            </w:pPr>
            <w:r w:rsidRPr="007D15C3">
              <w:rPr>
                <w:rFonts w:cs="Calibri"/>
              </w:rPr>
              <w:t>KCTV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1B89B91" w14:textId="77777777">
            <w:pPr>
              <w:rPr>
                <w:rFonts w:cs="Calibri"/>
              </w:rPr>
            </w:pPr>
            <w:r w:rsidRPr="007D15C3">
              <w:rPr>
                <w:rFonts w:cs="Calibri"/>
              </w:rPr>
              <w:t xml:space="preserve">          2,547,456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234DBDF" w14:textId="77777777">
            <w:pPr>
              <w:rPr>
                <w:rFonts w:cs="Calibri"/>
              </w:rPr>
            </w:pPr>
            <w:r w:rsidRPr="007D15C3">
              <w:rPr>
                <w:rFonts w:cs="Calibri"/>
              </w:rPr>
              <w:t xml:space="preserve">            2,545,645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0E3DDD2" w14:textId="77777777">
            <w:pPr>
              <w:jc w:val="right"/>
              <w:rPr>
                <w:rFonts w:cs="Calibri"/>
              </w:rPr>
            </w:pPr>
            <w:r w:rsidRPr="007D15C3">
              <w:rPr>
                <w:rFonts w:cs="Calibri"/>
              </w:rPr>
              <w:t>$19,950</w:t>
            </w:r>
          </w:p>
        </w:tc>
      </w:tr>
      <w:tr w14:paraId="3471FB4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58D87E" w14:textId="77777777">
            <w:pPr>
              <w:jc w:val="center"/>
              <w:rPr>
                <w:rFonts w:cs="Calibri"/>
              </w:rPr>
            </w:pPr>
            <w:r w:rsidRPr="007D15C3">
              <w:rPr>
                <w:rFonts w:cs="Calibri"/>
              </w:rPr>
              <w:t>58605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37659D4" w14:textId="77777777">
            <w:pPr>
              <w:jc w:val="center"/>
              <w:rPr>
                <w:rFonts w:cs="Calibri"/>
              </w:rPr>
            </w:pPr>
            <w:r w:rsidRPr="007D15C3">
              <w:rPr>
                <w:rFonts w:cs="Calibri"/>
              </w:rPr>
              <w:t>KCVU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60DDD3" w14:textId="77777777">
            <w:pPr>
              <w:rPr>
                <w:rFonts w:cs="Calibri"/>
              </w:rPr>
            </w:pPr>
            <w:r w:rsidRPr="007D15C3">
              <w:rPr>
                <w:rFonts w:cs="Calibri"/>
              </w:rPr>
              <w:t xml:space="preserve">             630,068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2AD041" w14:textId="77777777">
            <w:pPr>
              <w:rPr>
                <w:rFonts w:cs="Calibri"/>
              </w:rPr>
            </w:pPr>
            <w:r w:rsidRPr="007D15C3">
              <w:rPr>
                <w:rFonts w:cs="Calibri"/>
              </w:rPr>
              <w:t xml:space="preserve">               616,068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8416F8" w14:textId="77777777">
            <w:pPr>
              <w:jc w:val="right"/>
              <w:rPr>
                <w:rFonts w:cs="Calibri"/>
              </w:rPr>
            </w:pPr>
            <w:r w:rsidRPr="007D15C3">
              <w:rPr>
                <w:rFonts w:cs="Calibri"/>
              </w:rPr>
              <w:t>$4,828</w:t>
            </w:r>
          </w:p>
        </w:tc>
      </w:tr>
      <w:tr w14:paraId="05C204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C12B02" w14:textId="77777777">
            <w:pPr>
              <w:jc w:val="center"/>
              <w:rPr>
                <w:rFonts w:cs="Calibri"/>
              </w:rPr>
            </w:pPr>
            <w:r w:rsidRPr="007D15C3">
              <w:rPr>
                <w:rFonts w:cs="Calibri"/>
              </w:rPr>
              <w:t>10036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9BB441" w14:textId="77777777">
            <w:pPr>
              <w:jc w:val="center"/>
              <w:rPr>
                <w:rFonts w:cs="Calibri"/>
              </w:rPr>
            </w:pPr>
            <w:r w:rsidRPr="007D15C3">
              <w:rPr>
                <w:rFonts w:cs="Calibri"/>
              </w:rPr>
              <w:t>KCWC-DT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5F1B3A" w14:textId="77777777">
            <w:pPr>
              <w:rPr>
                <w:rFonts w:cs="Calibri"/>
              </w:rPr>
            </w:pPr>
            <w:r w:rsidRPr="007D15C3">
              <w:rPr>
                <w:rFonts w:cs="Calibri"/>
              </w:rPr>
              <w:t xml:space="preserve">               44,216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A42C0E" w14:textId="77777777">
            <w:pPr>
              <w:rPr>
                <w:rFonts w:cs="Calibri"/>
              </w:rPr>
            </w:pPr>
            <w:r w:rsidRPr="007D15C3">
              <w:rPr>
                <w:rFonts w:cs="Calibri"/>
              </w:rPr>
              <w:t xml:space="preserve">                 39,439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3AE076" w14:textId="77777777">
            <w:pPr>
              <w:jc w:val="right"/>
              <w:rPr>
                <w:rFonts w:cs="Calibri"/>
              </w:rPr>
            </w:pPr>
            <w:r w:rsidRPr="007D15C3">
              <w:rPr>
                <w:rFonts w:cs="Calibri"/>
              </w:rPr>
              <w:t>$309</w:t>
            </w:r>
          </w:p>
        </w:tc>
      </w:tr>
      <w:tr w14:paraId="039B8E6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3C4921" w14:textId="77777777">
            <w:pPr>
              <w:jc w:val="center"/>
              <w:rPr>
                <w:rFonts w:cs="Calibri"/>
              </w:rPr>
            </w:pPr>
            <w:r w:rsidRPr="007D15C3">
              <w:rPr>
                <w:rFonts w:cs="Calibri"/>
              </w:rPr>
              <w:t>64444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CE76F7" w14:textId="77777777">
            <w:pPr>
              <w:jc w:val="center"/>
              <w:rPr>
                <w:rFonts w:cs="Calibri"/>
              </w:rPr>
            </w:pPr>
            <w:r w:rsidRPr="007D15C3">
              <w:rPr>
                <w:rFonts w:cs="Calibri"/>
              </w:rPr>
              <w:t>KCWE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B6C4DB" w14:textId="77777777">
            <w:pPr>
              <w:rPr>
                <w:rFonts w:cs="Calibri"/>
              </w:rPr>
            </w:pPr>
            <w:r w:rsidRPr="007D15C3">
              <w:rPr>
                <w:rFonts w:cs="Calibri"/>
              </w:rPr>
              <w:t xml:space="preserve">          2,460,172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AB11AC" w14:textId="77777777">
            <w:pPr>
              <w:rPr>
                <w:rFonts w:cs="Calibri"/>
              </w:rPr>
            </w:pPr>
            <w:r w:rsidRPr="007D15C3">
              <w:rPr>
                <w:rFonts w:cs="Calibri"/>
              </w:rPr>
              <w:t xml:space="preserve">            2,458,913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D1E71A" w14:textId="77777777">
            <w:pPr>
              <w:jc w:val="right"/>
              <w:rPr>
                <w:rFonts w:cs="Calibri"/>
              </w:rPr>
            </w:pPr>
            <w:r w:rsidRPr="007D15C3">
              <w:rPr>
                <w:rFonts w:cs="Calibri"/>
              </w:rPr>
              <w:t>$19,271</w:t>
            </w:r>
          </w:p>
        </w:tc>
      </w:tr>
      <w:tr w14:paraId="0898C7D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B3344E" w14:textId="77777777">
            <w:pPr>
              <w:jc w:val="center"/>
              <w:rPr>
                <w:rFonts w:cs="Calibri"/>
              </w:rPr>
            </w:pPr>
            <w:r w:rsidRPr="007D15C3">
              <w:rPr>
                <w:rFonts w:cs="Calibri"/>
              </w:rPr>
              <w:t>51502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EA45DD" w14:textId="77777777">
            <w:pPr>
              <w:jc w:val="center"/>
              <w:rPr>
                <w:rFonts w:cs="Calibri"/>
              </w:rPr>
            </w:pPr>
            <w:r w:rsidRPr="007D15C3">
              <w:rPr>
                <w:rFonts w:cs="Calibri"/>
              </w:rPr>
              <w:t>KCWI-TV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870B9A" w14:textId="77777777">
            <w:pPr>
              <w:rPr>
                <w:rFonts w:cs="Calibri"/>
              </w:rPr>
            </w:pPr>
            <w:r w:rsidRPr="007D15C3">
              <w:rPr>
                <w:rFonts w:cs="Calibri"/>
              </w:rPr>
              <w:t xml:space="preserve">          1,043,811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D4D508" w14:textId="77777777">
            <w:pPr>
              <w:rPr>
                <w:rFonts w:cs="Calibri"/>
              </w:rPr>
            </w:pPr>
            <w:r w:rsidRPr="007D15C3">
              <w:rPr>
                <w:rFonts w:cs="Calibri"/>
              </w:rPr>
              <w:t xml:space="preserve">            1,042,642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FD75B1" w14:textId="77777777">
            <w:pPr>
              <w:jc w:val="right"/>
              <w:rPr>
                <w:rFonts w:cs="Calibri"/>
              </w:rPr>
            </w:pPr>
            <w:r w:rsidRPr="007D15C3">
              <w:rPr>
                <w:rFonts w:cs="Calibri"/>
              </w:rPr>
              <w:t>$8,171</w:t>
            </w:r>
          </w:p>
        </w:tc>
      </w:tr>
      <w:tr w14:paraId="5FFC908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365F76" w14:textId="77777777">
            <w:pPr>
              <w:jc w:val="center"/>
              <w:rPr>
                <w:rFonts w:cs="Calibri"/>
              </w:rPr>
            </w:pPr>
            <w:r w:rsidRPr="007D15C3">
              <w:rPr>
                <w:rFonts w:cs="Calibri"/>
              </w:rPr>
              <w:t>42008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F91719" w14:textId="77777777">
            <w:pPr>
              <w:jc w:val="center"/>
              <w:rPr>
                <w:rFonts w:cs="Calibri"/>
              </w:rPr>
            </w:pPr>
            <w:r w:rsidRPr="007D15C3">
              <w:rPr>
                <w:rFonts w:cs="Calibri"/>
              </w:rPr>
              <w:t>KCWO-TV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F7DCC4" w14:textId="77777777">
            <w:pPr>
              <w:rPr>
                <w:rFonts w:cs="Calibri"/>
              </w:rPr>
            </w:pPr>
            <w:r w:rsidRPr="007D15C3">
              <w:rPr>
                <w:rFonts w:cs="Calibri"/>
              </w:rPr>
              <w:t xml:space="preserve">               50,707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DD3E5D" w14:textId="77777777">
            <w:pPr>
              <w:rPr>
                <w:rFonts w:cs="Calibri"/>
              </w:rPr>
            </w:pPr>
            <w:r w:rsidRPr="007D15C3">
              <w:rPr>
                <w:rFonts w:cs="Calibri"/>
              </w:rPr>
              <w:t xml:space="preserve">                 50,685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AE7CF5" w14:textId="77777777">
            <w:pPr>
              <w:jc w:val="right"/>
              <w:rPr>
                <w:rFonts w:cs="Calibri"/>
              </w:rPr>
            </w:pPr>
            <w:r w:rsidRPr="007D15C3">
              <w:rPr>
                <w:rFonts w:cs="Calibri"/>
              </w:rPr>
              <w:t>$397</w:t>
            </w:r>
          </w:p>
        </w:tc>
      </w:tr>
      <w:tr w14:paraId="112710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427159" w14:textId="77777777">
            <w:pPr>
              <w:jc w:val="center"/>
              <w:rPr>
                <w:rFonts w:cs="Calibri"/>
              </w:rPr>
            </w:pPr>
            <w:r w:rsidRPr="007D15C3">
              <w:rPr>
                <w:rFonts w:cs="Calibri"/>
              </w:rPr>
              <w:t>166511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035466" w14:textId="77777777">
            <w:pPr>
              <w:jc w:val="center"/>
              <w:rPr>
                <w:rFonts w:cs="Calibri"/>
              </w:rPr>
            </w:pPr>
            <w:r w:rsidRPr="007D15C3">
              <w:rPr>
                <w:rFonts w:cs="Calibri"/>
              </w:rPr>
              <w:t>KCWV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C9AAA4" w14:textId="77777777">
            <w:pPr>
              <w:rPr>
                <w:rFonts w:cs="Calibri"/>
              </w:rPr>
            </w:pPr>
            <w:r w:rsidRPr="007D15C3">
              <w:rPr>
                <w:rFonts w:cs="Calibri"/>
              </w:rPr>
              <w:t xml:space="preserve">             207,398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A42A66" w14:textId="77777777">
            <w:pPr>
              <w:rPr>
                <w:rFonts w:cs="Calibri"/>
              </w:rPr>
            </w:pPr>
            <w:r w:rsidRPr="007D15C3">
              <w:rPr>
                <w:rFonts w:cs="Calibri"/>
              </w:rPr>
              <w:t xml:space="preserve">               207,370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FB5635" w14:textId="77777777">
            <w:pPr>
              <w:jc w:val="right"/>
              <w:rPr>
                <w:rFonts w:cs="Calibri"/>
              </w:rPr>
            </w:pPr>
            <w:r w:rsidRPr="007D15C3">
              <w:rPr>
                <w:rFonts w:cs="Calibri"/>
              </w:rPr>
              <w:t>$1,625</w:t>
            </w:r>
          </w:p>
        </w:tc>
      </w:tr>
      <w:tr w14:paraId="1631D1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A5C31B" w14:textId="77777777">
            <w:pPr>
              <w:jc w:val="center"/>
              <w:rPr>
                <w:rFonts w:cs="Calibri"/>
              </w:rPr>
            </w:pPr>
            <w:r w:rsidRPr="007D15C3">
              <w:rPr>
                <w:rFonts w:cs="Calibri"/>
              </w:rPr>
              <w:t>24316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3AB455" w14:textId="77777777">
            <w:pPr>
              <w:jc w:val="center"/>
              <w:rPr>
                <w:rFonts w:cs="Calibri"/>
              </w:rPr>
            </w:pPr>
            <w:r w:rsidRPr="007D15C3">
              <w:rPr>
                <w:rFonts w:cs="Calibri"/>
              </w:rPr>
              <w:t>KCWX*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24EC56" w14:textId="77777777">
            <w:pPr>
              <w:rPr>
                <w:rFonts w:cs="Calibri"/>
              </w:rPr>
            </w:pPr>
            <w:r w:rsidRPr="007D15C3">
              <w:rPr>
                <w:rFonts w:cs="Calibri"/>
              </w:rPr>
              <w:t xml:space="preserve">          3,961,268</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8B4F59" w14:textId="77777777">
            <w:pPr>
              <w:rPr>
                <w:rFonts w:cs="Calibri"/>
              </w:rPr>
            </w:pPr>
            <w:r w:rsidRPr="007D15C3">
              <w:rPr>
                <w:rFonts w:cs="Calibri"/>
              </w:rPr>
              <w:t xml:space="preserve">            3,954,787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6FD457" w14:textId="77777777">
            <w:pPr>
              <w:jc w:val="right"/>
              <w:rPr>
                <w:rFonts w:cs="Calibri"/>
              </w:rPr>
            </w:pPr>
            <w:r w:rsidRPr="007D15C3">
              <w:rPr>
                <w:rFonts w:cs="Calibri"/>
              </w:rPr>
              <w:t>$30,994</w:t>
            </w:r>
          </w:p>
        </w:tc>
      </w:tr>
      <w:tr w14:paraId="2AB450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35F85F" w14:textId="77777777">
            <w:pPr>
              <w:jc w:val="center"/>
              <w:rPr>
                <w:rFonts w:cs="Calibri"/>
              </w:rPr>
            </w:pPr>
            <w:r w:rsidRPr="007D15C3">
              <w:rPr>
                <w:rFonts w:cs="Calibri"/>
              </w:rPr>
              <w:t>68713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85FFC0" w14:textId="77777777">
            <w:pPr>
              <w:jc w:val="center"/>
              <w:rPr>
                <w:rFonts w:cs="Calibri"/>
              </w:rPr>
            </w:pPr>
            <w:r w:rsidRPr="007D15C3">
              <w:rPr>
                <w:rFonts w:cs="Calibri"/>
              </w:rPr>
              <w:t>KCWY-DT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B114D0" w14:textId="77777777">
            <w:pPr>
              <w:rPr>
                <w:rFonts w:cs="Calibri"/>
              </w:rPr>
            </w:pPr>
            <w:r w:rsidRPr="007D15C3">
              <w:rPr>
                <w:rFonts w:cs="Calibri"/>
              </w:rPr>
              <w:t xml:space="preserve">               79,948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781B8D" w14:textId="77777777">
            <w:pPr>
              <w:rPr>
                <w:rFonts w:cs="Calibri"/>
              </w:rPr>
            </w:pPr>
            <w:r w:rsidRPr="007D15C3">
              <w:rPr>
                <w:rFonts w:cs="Calibri"/>
              </w:rPr>
              <w:t xml:space="preserve">                 79,414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C5A0BE" w14:textId="77777777">
            <w:pPr>
              <w:jc w:val="right"/>
              <w:rPr>
                <w:rFonts w:cs="Calibri"/>
              </w:rPr>
            </w:pPr>
            <w:r w:rsidRPr="007D15C3">
              <w:rPr>
                <w:rFonts w:cs="Calibri"/>
              </w:rPr>
              <w:t>$622</w:t>
            </w:r>
          </w:p>
        </w:tc>
      </w:tr>
      <w:tr w14:paraId="2290C7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8CF03C" w14:textId="77777777">
            <w:pPr>
              <w:jc w:val="center"/>
              <w:rPr>
                <w:rFonts w:cs="Calibri"/>
              </w:rPr>
            </w:pPr>
            <w:r w:rsidRPr="007D15C3">
              <w:rPr>
                <w:rFonts w:cs="Calibri"/>
              </w:rPr>
              <w:t>22201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E9223C" w14:textId="77777777">
            <w:pPr>
              <w:jc w:val="center"/>
              <w:rPr>
                <w:rFonts w:cs="Calibri"/>
              </w:rPr>
            </w:pPr>
            <w:r w:rsidRPr="007D15C3">
              <w:rPr>
                <w:rFonts w:cs="Calibri"/>
              </w:rPr>
              <w:t>KDAF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D33BFA" w14:textId="77777777">
            <w:pPr>
              <w:rPr>
                <w:rFonts w:cs="Calibri"/>
              </w:rPr>
            </w:pPr>
            <w:r w:rsidRPr="007D15C3">
              <w:rPr>
                <w:rFonts w:cs="Calibri"/>
              </w:rPr>
              <w:t xml:space="preserve">          6,648,507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B0BA0B" w14:textId="77777777">
            <w:pPr>
              <w:rPr>
                <w:rFonts w:cs="Calibri"/>
              </w:rPr>
            </w:pPr>
            <w:r w:rsidRPr="007D15C3">
              <w:rPr>
                <w:rFonts w:cs="Calibri"/>
              </w:rPr>
              <w:t xml:space="preserve">            6,645,226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DDF1C5" w14:textId="77777777">
            <w:pPr>
              <w:jc w:val="right"/>
              <w:rPr>
                <w:rFonts w:cs="Calibri"/>
              </w:rPr>
            </w:pPr>
            <w:r w:rsidRPr="007D15C3">
              <w:rPr>
                <w:rFonts w:cs="Calibri"/>
              </w:rPr>
              <w:t>$52,079</w:t>
            </w:r>
          </w:p>
        </w:tc>
      </w:tr>
      <w:tr w14:paraId="637392F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4C82B2" w14:textId="77777777">
            <w:pPr>
              <w:jc w:val="center"/>
              <w:rPr>
                <w:rFonts w:cs="Calibri"/>
              </w:rPr>
            </w:pPr>
            <w:r w:rsidRPr="007D15C3">
              <w:rPr>
                <w:rFonts w:cs="Calibri"/>
              </w:rPr>
              <w:t>33764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3EADFF" w14:textId="77777777">
            <w:pPr>
              <w:jc w:val="center"/>
              <w:rPr>
                <w:rFonts w:cs="Calibri"/>
              </w:rPr>
            </w:pPr>
            <w:r w:rsidRPr="007D15C3">
              <w:rPr>
                <w:rFonts w:cs="Calibri"/>
              </w:rPr>
              <w:t>KDBC-TV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A5E67B" w14:textId="77777777">
            <w:pPr>
              <w:rPr>
                <w:rFonts w:cs="Calibri"/>
              </w:rPr>
            </w:pPr>
            <w:r w:rsidRPr="007D15C3">
              <w:rPr>
                <w:rFonts w:cs="Calibri"/>
              </w:rPr>
              <w:t xml:space="preserve">          1,015,564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87C429" w14:textId="77777777">
            <w:pPr>
              <w:rPr>
                <w:rFonts w:cs="Calibri"/>
              </w:rPr>
            </w:pPr>
            <w:r w:rsidRPr="007D15C3">
              <w:rPr>
                <w:rFonts w:cs="Calibri"/>
              </w:rPr>
              <w:t xml:space="preserve">            1,015,162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7D640A" w14:textId="77777777">
            <w:pPr>
              <w:jc w:val="right"/>
              <w:rPr>
                <w:rFonts w:cs="Calibri"/>
              </w:rPr>
            </w:pPr>
            <w:r w:rsidRPr="007D15C3">
              <w:rPr>
                <w:rFonts w:cs="Calibri"/>
              </w:rPr>
              <w:t>$7,956</w:t>
            </w:r>
          </w:p>
        </w:tc>
      </w:tr>
      <w:tr w14:paraId="383C92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D93A69" w14:textId="77777777">
            <w:pPr>
              <w:jc w:val="center"/>
              <w:rPr>
                <w:rFonts w:cs="Calibri"/>
              </w:rPr>
            </w:pPr>
            <w:r w:rsidRPr="007D15C3">
              <w:rPr>
                <w:rFonts w:cs="Calibri"/>
              </w:rPr>
              <w:t>79258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A2A896" w14:textId="77777777">
            <w:pPr>
              <w:jc w:val="center"/>
              <w:rPr>
                <w:rFonts w:cs="Calibri"/>
              </w:rPr>
            </w:pPr>
            <w:r w:rsidRPr="007D15C3">
              <w:rPr>
                <w:rFonts w:cs="Calibri"/>
              </w:rPr>
              <w:t>KDCK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2A3F2F" w14:textId="77777777">
            <w:pPr>
              <w:rPr>
                <w:rFonts w:cs="Calibri"/>
              </w:rPr>
            </w:pPr>
            <w:r w:rsidRPr="007D15C3">
              <w:rPr>
                <w:rFonts w:cs="Calibri"/>
              </w:rPr>
              <w:t xml:space="preserve">               43,088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C6CCDB" w14:textId="77777777">
            <w:pPr>
              <w:rPr>
                <w:rFonts w:cs="Calibri"/>
              </w:rPr>
            </w:pPr>
            <w:r w:rsidRPr="007D15C3">
              <w:rPr>
                <w:rFonts w:cs="Calibri"/>
              </w:rPr>
              <w:t xml:space="preserve">                 43,067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ADE524" w14:textId="77777777">
            <w:pPr>
              <w:jc w:val="right"/>
              <w:rPr>
                <w:rFonts w:cs="Calibri"/>
              </w:rPr>
            </w:pPr>
            <w:r w:rsidRPr="007D15C3">
              <w:rPr>
                <w:rFonts w:cs="Calibri"/>
              </w:rPr>
              <w:t>$338</w:t>
            </w:r>
          </w:p>
        </w:tc>
      </w:tr>
      <w:tr w14:paraId="57092D3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C8A08F" w14:textId="77777777">
            <w:pPr>
              <w:jc w:val="center"/>
              <w:rPr>
                <w:rFonts w:cs="Calibri"/>
              </w:rPr>
            </w:pPr>
            <w:r w:rsidRPr="007D15C3">
              <w:rPr>
                <w:rFonts w:cs="Calibri"/>
              </w:rPr>
              <w:t>166332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C43117" w14:textId="77777777">
            <w:pPr>
              <w:jc w:val="center"/>
              <w:rPr>
                <w:rFonts w:cs="Calibri"/>
              </w:rPr>
            </w:pPr>
            <w:r w:rsidRPr="007D15C3">
              <w:rPr>
                <w:rFonts w:cs="Calibri"/>
              </w:rPr>
              <w:t>KDCU-DT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9C2076" w14:textId="77777777">
            <w:pPr>
              <w:rPr>
                <w:rFonts w:cs="Calibri"/>
              </w:rPr>
            </w:pPr>
            <w:r w:rsidRPr="007D15C3">
              <w:rPr>
                <w:rFonts w:cs="Calibri"/>
              </w:rPr>
              <w:t xml:space="preserve">             796,251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96384B" w14:textId="77777777">
            <w:pPr>
              <w:rPr>
                <w:rFonts w:cs="Calibri"/>
              </w:rPr>
            </w:pPr>
            <w:r w:rsidRPr="007D15C3">
              <w:rPr>
                <w:rFonts w:cs="Calibri"/>
              </w:rPr>
              <w:t xml:space="preserve">               795,504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FA5E87" w14:textId="77777777">
            <w:pPr>
              <w:jc w:val="right"/>
              <w:rPr>
                <w:rFonts w:cs="Calibri"/>
              </w:rPr>
            </w:pPr>
            <w:r w:rsidRPr="007D15C3">
              <w:rPr>
                <w:rFonts w:cs="Calibri"/>
              </w:rPr>
              <w:t>$6,234</w:t>
            </w:r>
          </w:p>
        </w:tc>
      </w:tr>
      <w:tr w14:paraId="36C79FF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199950" w14:textId="77777777">
            <w:pPr>
              <w:jc w:val="center"/>
              <w:rPr>
                <w:rFonts w:cs="Calibri"/>
              </w:rPr>
            </w:pPr>
            <w:r w:rsidRPr="007D15C3">
              <w:rPr>
                <w:rFonts w:cs="Calibri"/>
              </w:rPr>
              <w:t>38375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1B5A37" w14:textId="77777777">
            <w:pPr>
              <w:jc w:val="center"/>
              <w:rPr>
                <w:rFonts w:cs="Calibri"/>
              </w:rPr>
            </w:pPr>
            <w:r w:rsidRPr="007D15C3">
              <w:rPr>
                <w:rFonts w:cs="Calibri"/>
              </w:rPr>
              <w:t>KDEN-TV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60ED1D" w14:textId="77777777">
            <w:pPr>
              <w:rPr>
                <w:rFonts w:cs="Calibri"/>
              </w:rPr>
            </w:pPr>
            <w:r w:rsidRPr="007D15C3">
              <w:rPr>
                <w:rFonts w:cs="Calibri"/>
              </w:rPr>
              <w:t xml:space="preserve">          3,376,799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753233" w14:textId="77777777">
            <w:pPr>
              <w:rPr>
                <w:rFonts w:cs="Calibri"/>
              </w:rPr>
            </w:pPr>
            <w:r w:rsidRPr="007D15C3">
              <w:rPr>
                <w:rFonts w:cs="Calibri"/>
              </w:rPr>
              <w:t xml:space="preserve">            3,351,182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139F01" w14:textId="77777777">
            <w:pPr>
              <w:jc w:val="right"/>
              <w:rPr>
                <w:rFonts w:cs="Calibri"/>
              </w:rPr>
            </w:pPr>
            <w:r w:rsidRPr="007D15C3">
              <w:rPr>
                <w:rFonts w:cs="Calibri"/>
              </w:rPr>
              <w:t>$26,263</w:t>
            </w:r>
          </w:p>
        </w:tc>
      </w:tr>
      <w:tr w14:paraId="35DA8FB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517059" w14:textId="77777777">
            <w:pPr>
              <w:jc w:val="center"/>
              <w:rPr>
                <w:rFonts w:cs="Calibri"/>
              </w:rPr>
            </w:pPr>
            <w:r w:rsidRPr="007D15C3">
              <w:rPr>
                <w:rFonts w:cs="Calibri"/>
              </w:rPr>
              <w:t>17037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4FCC18" w14:textId="77777777">
            <w:pPr>
              <w:jc w:val="center"/>
              <w:rPr>
                <w:rFonts w:cs="Calibri"/>
              </w:rPr>
            </w:pPr>
            <w:r w:rsidRPr="007D15C3">
              <w:rPr>
                <w:rFonts w:cs="Calibri"/>
              </w:rPr>
              <w:t>KDFI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556C51" w14:textId="77777777">
            <w:pPr>
              <w:rPr>
                <w:rFonts w:cs="Calibri"/>
              </w:rPr>
            </w:pPr>
            <w:r w:rsidRPr="007D15C3">
              <w:rPr>
                <w:rFonts w:cs="Calibri"/>
              </w:rPr>
              <w:t xml:space="preserve">          6,684,439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2930B8" w14:textId="77777777">
            <w:pPr>
              <w:rPr>
                <w:rFonts w:cs="Calibri"/>
              </w:rPr>
            </w:pPr>
            <w:r w:rsidRPr="007D15C3">
              <w:rPr>
                <w:rFonts w:cs="Calibri"/>
              </w:rPr>
              <w:t xml:space="preserve">            6,682,487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3F061E" w14:textId="77777777">
            <w:pPr>
              <w:jc w:val="right"/>
              <w:rPr>
                <w:rFonts w:cs="Calibri"/>
              </w:rPr>
            </w:pPr>
            <w:r w:rsidRPr="007D15C3">
              <w:rPr>
                <w:rFonts w:cs="Calibri"/>
              </w:rPr>
              <w:t>$52,371</w:t>
            </w:r>
          </w:p>
        </w:tc>
      </w:tr>
      <w:tr w14:paraId="498ED33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C8C2D1" w14:textId="77777777">
            <w:pPr>
              <w:jc w:val="center"/>
              <w:rPr>
                <w:rFonts w:cs="Calibri"/>
              </w:rPr>
            </w:pPr>
            <w:r w:rsidRPr="007D15C3">
              <w:rPr>
                <w:rFonts w:cs="Calibri"/>
              </w:rPr>
              <w:t>33770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E68326" w14:textId="77777777">
            <w:pPr>
              <w:jc w:val="center"/>
              <w:rPr>
                <w:rFonts w:cs="Calibri"/>
              </w:rPr>
            </w:pPr>
            <w:r w:rsidRPr="007D15C3">
              <w:rPr>
                <w:rFonts w:cs="Calibri"/>
              </w:rPr>
              <w:t>KDFW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421DA0" w14:textId="77777777">
            <w:pPr>
              <w:rPr>
                <w:rFonts w:cs="Calibri"/>
              </w:rPr>
            </w:pPr>
            <w:r w:rsidRPr="007D15C3">
              <w:rPr>
                <w:rFonts w:cs="Calibri"/>
              </w:rPr>
              <w:t xml:space="preserve">          6,658,976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774E48" w14:textId="77777777">
            <w:pPr>
              <w:rPr>
                <w:rFonts w:cs="Calibri"/>
              </w:rPr>
            </w:pPr>
            <w:r w:rsidRPr="007D15C3">
              <w:rPr>
                <w:rFonts w:cs="Calibri"/>
              </w:rPr>
              <w:t xml:space="preserve">            6,656,502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02DAC0" w14:textId="77777777">
            <w:pPr>
              <w:jc w:val="right"/>
              <w:rPr>
                <w:rFonts w:cs="Calibri"/>
              </w:rPr>
            </w:pPr>
            <w:r w:rsidRPr="007D15C3">
              <w:rPr>
                <w:rFonts w:cs="Calibri"/>
              </w:rPr>
              <w:t>$52,167</w:t>
            </w:r>
          </w:p>
        </w:tc>
      </w:tr>
      <w:tr w14:paraId="304E934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4A9CB0" w14:textId="77777777">
            <w:pPr>
              <w:jc w:val="center"/>
              <w:rPr>
                <w:rFonts w:cs="Calibri"/>
              </w:rPr>
            </w:pPr>
            <w:r w:rsidRPr="007D15C3">
              <w:rPr>
                <w:rFonts w:cs="Calibri"/>
              </w:rPr>
              <w:t>29102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69B107" w14:textId="77777777">
            <w:pPr>
              <w:jc w:val="center"/>
              <w:rPr>
                <w:rFonts w:cs="Calibri"/>
              </w:rPr>
            </w:pPr>
            <w:r w:rsidRPr="007D15C3">
              <w:rPr>
                <w:rFonts w:cs="Calibri"/>
              </w:rPr>
              <w:t>KDIN-TV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B93002" w14:textId="77777777">
            <w:pPr>
              <w:rPr>
                <w:rFonts w:cs="Calibri"/>
              </w:rPr>
            </w:pPr>
            <w:r w:rsidRPr="007D15C3">
              <w:rPr>
                <w:rFonts w:cs="Calibri"/>
              </w:rPr>
              <w:t xml:space="preserve">          1,088,376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73AE17" w14:textId="77777777">
            <w:pPr>
              <w:rPr>
                <w:rFonts w:cs="Calibri"/>
              </w:rPr>
            </w:pPr>
            <w:r w:rsidRPr="007D15C3">
              <w:rPr>
                <w:rFonts w:cs="Calibri"/>
              </w:rPr>
              <w:t xml:space="preserve">            1,083,845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EAA1D0" w14:textId="77777777">
            <w:pPr>
              <w:jc w:val="right"/>
              <w:rPr>
                <w:rFonts w:cs="Calibri"/>
              </w:rPr>
            </w:pPr>
            <w:r w:rsidRPr="007D15C3">
              <w:rPr>
                <w:rFonts w:cs="Calibri"/>
              </w:rPr>
              <w:t>$8,494</w:t>
            </w:r>
          </w:p>
        </w:tc>
      </w:tr>
      <w:tr w14:paraId="1C77C0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743DFE" w14:textId="77777777">
            <w:pPr>
              <w:jc w:val="center"/>
              <w:rPr>
                <w:rFonts w:cs="Calibri"/>
              </w:rPr>
            </w:pPr>
            <w:r w:rsidRPr="007D15C3">
              <w:rPr>
                <w:rFonts w:cs="Calibri"/>
              </w:rPr>
              <w:t>25454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7B0C24" w14:textId="77777777">
            <w:pPr>
              <w:jc w:val="center"/>
              <w:rPr>
                <w:rFonts w:cs="Calibri"/>
              </w:rPr>
            </w:pPr>
            <w:r w:rsidRPr="007D15C3">
              <w:rPr>
                <w:rFonts w:cs="Calibri"/>
              </w:rPr>
              <w:t>KDKA-TV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8DBD3C" w14:textId="77777777">
            <w:pPr>
              <w:rPr>
                <w:rFonts w:cs="Calibri"/>
              </w:rPr>
            </w:pPr>
            <w:r w:rsidRPr="007D15C3">
              <w:rPr>
                <w:rFonts w:cs="Calibri"/>
              </w:rPr>
              <w:t xml:space="preserve">          3,611,796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A17FE4" w14:textId="77777777">
            <w:pPr>
              <w:rPr>
                <w:rFonts w:cs="Calibri"/>
              </w:rPr>
            </w:pPr>
            <w:r w:rsidRPr="007D15C3">
              <w:rPr>
                <w:rFonts w:cs="Calibri"/>
              </w:rPr>
              <w:t xml:space="preserve">            3,450,690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B4002F" w14:textId="77777777">
            <w:pPr>
              <w:jc w:val="right"/>
              <w:rPr>
                <w:rFonts w:cs="Calibri"/>
              </w:rPr>
            </w:pPr>
            <w:r w:rsidRPr="007D15C3">
              <w:rPr>
                <w:rFonts w:cs="Calibri"/>
              </w:rPr>
              <w:t>$27,043</w:t>
            </w:r>
          </w:p>
        </w:tc>
      </w:tr>
      <w:tr w14:paraId="7C3038F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31F4C2" w14:textId="77777777">
            <w:pPr>
              <w:jc w:val="center"/>
              <w:rPr>
                <w:rFonts w:cs="Calibri"/>
              </w:rPr>
            </w:pPr>
            <w:r w:rsidRPr="007D15C3">
              <w:rPr>
                <w:rFonts w:cs="Calibri"/>
              </w:rPr>
              <w:t>60740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877F15" w14:textId="77777777">
            <w:pPr>
              <w:jc w:val="center"/>
              <w:rPr>
                <w:rFonts w:cs="Calibri"/>
              </w:rPr>
            </w:pPr>
            <w:r w:rsidRPr="007D15C3">
              <w:rPr>
                <w:rFonts w:cs="Calibri"/>
              </w:rPr>
              <w:t>KDKF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2322D9" w14:textId="77777777">
            <w:pPr>
              <w:rPr>
                <w:rFonts w:cs="Calibri"/>
              </w:rPr>
            </w:pPr>
            <w:r w:rsidRPr="007D15C3">
              <w:rPr>
                <w:rFonts w:cs="Calibri"/>
              </w:rPr>
              <w:t xml:space="preserve">               71,413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FC869F" w14:textId="77777777">
            <w:pPr>
              <w:rPr>
                <w:rFonts w:cs="Calibri"/>
              </w:rPr>
            </w:pPr>
            <w:r w:rsidRPr="007D15C3">
              <w:rPr>
                <w:rFonts w:cs="Calibri"/>
              </w:rPr>
              <w:t xml:space="preserve">                 64,567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C5468D" w14:textId="77777777">
            <w:pPr>
              <w:jc w:val="right"/>
              <w:rPr>
                <w:rFonts w:cs="Calibri"/>
              </w:rPr>
            </w:pPr>
            <w:r w:rsidRPr="007D15C3">
              <w:rPr>
                <w:rFonts w:cs="Calibri"/>
              </w:rPr>
              <w:t>$506</w:t>
            </w:r>
          </w:p>
        </w:tc>
      </w:tr>
      <w:tr w14:paraId="4D3067A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05EF83" w14:textId="77777777">
            <w:pPr>
              <w:jc w:val="center"/>
              <w:rPr>
                <w:rFonts w:cs="Calibri"/>
              </w:rPr>
            </w:pPr>
            <w:r w:rsidRPr="007D15C3">
              <w:rPr>
                <w:rFonts w:cs="Calibri"/>
              </w:rPr>
              <w:t>4691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C24CA2" w14:textId="77777777">
            <w:pPr>
              <w:jc w:val="center"/>
              <w:rPr>
                <w:rFonts w:cs="Calibri"/>
              </w:rPr>
            </w:pPr>
            <w:r w:rsidRPr="007D15C3">
              <w:rPr>
                <w:rFonts w:cs="Calibri"/>
              </w:rPr>
              <w:t>KDLH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02A6BD" w14:textId="77777777">
            <w:pPr>
              <w:rPr>
                <w:rFonts w:cs="Calibri"/>
              </w:rPr>
            </w:pPr>
            <w:r w:rsidRPr="007D15C3">
              <w:rPr>
                <w:rFonts w:cs="Calibri"/>
              </w:rPr>
              <w:t xml:space="preserve">             263,422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C369DE" w14:textId="77777777">
            <w:pPr>
              <w:rPr>
                <w:rFonts w:cs="Calibri"/>
              </w:rPr>
            </w:pPr>
            <w:r w:rsidRPr="007D15C3">
              <w:rPr>
                <w:rFonts w:cs="Calibri"/>
              </w:rPr>
              <w:t xml:space="preserve">               260,394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C12EE2" w14:textId="77777777">
            <w:pPr>
              <w:jc w:val="right"/>
              <w:rPr>
                <w:rFonts w:cs="Calibri"/>
              </w:rPr>
            </w:pPr>
            <w:r w:rsidRPr="007D15C3">
              <w:rPr>
                <w:rFonts w:cs="Calibri"/>
              </w:rPr>
              <w:t>$2,041</w:t>
            </w:r>
          </w:p>
        </w:tc>
      </w:tr>
      <w:tr w14:paraId="56479E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051316" w14:textId="77777777">
            <w:pPr>
              <w:jc w:val="center"/>
              <w:rPr>
                <w:rFonts w:cs="Calibri"/>
              </w:rPr>
            </w:pPr>
            <w:r w:rsidRPr="007D15C3">
              <w:rPr>
                <w:rFonts w:cs="Calibri"/>
              </w:rPr>
              <w:t>41975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BA0D48" w14:textId="77777777">
            <w:pPr>
              <w:jc w:val="center"/>
              <w:rPr>
                <w:rFonts w:cs="Calibri"/>
              </w:rPr>
            </w:pPr>
            <w:r w:rsidRPr="007D15C3">
              <w:rPr>
                <w:rFonts w:cs="Calibri"/>
              </w:rPr>
              <w:t>KDLO-TV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9C5847" w14:textId="77777777">
            <w:pPr>
              <w:rPr>
                <w:rFonts w:cs="Calibri"/>
              </w:rPr>
            </w:pPr>
            <w:r w:rsidRPr="007D15C3">
              <w:rPr>
                <w:rFonts w:cs="Calibri"/>
              </w:rPr>
              <w:t xml:space="preserve">             208,354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F35C75" w14:textId="77777777">
            <w:pPr>
              <w:rPr>
                <w:rFonts w:cs="Calibri"/>
              </w:rPr>
            </w:pPr>
            <w:r w:rsidRPr="007D15C3">
              <w:rPr>
                <w:rFonts w:cs="Calibri"/>
              </w:rPr>
              <w:t xml:space="preserve">               208,118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2EC4FC" w14:textId="77777777">
            <w:pPr>
              <w:jc w:val="right"/>
              <w:rPr>
                <w:rFonts w:cs="Calibri"/>
              </w:rPr>
            </w:pPr>
            <w:r w:rsidRPr="007D15C3">
              <w:rPr>
                <w:rFonts w:cs="Calibri"/>
              </w:rPr>
              <w:t>$1,631</w:t>
            </w:r>
          </w:p>
        </w:tc>
      </w:tr>
      <w:tr w14:paraId="05F5AC8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A44BEF" w14:textId="77777777">
            <w:pPr>
              <w:jc w:val="center"/>
              <w:rPr>
                <w:rFonts w:cs="Calibri"/>
              </w:rPr>
            </w:pPr>
            <w:r w:rsidRPr="007D15C3">
              <w:rPr>
                <w:rFonts w:cs="Calibri"/>
              </w:rPr>
              <w:t>55379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01D667" w14:textId="77777777">
            <w:pPr>
              <w:jc w:val="center"/>
              <w:rPr>
                <w:rFonts w:cs="Calibri"/>
              </w:rPr>
            </w:pPr>
            <w:r w:rsidRPr="007D15C3">
              <w:rPr>
                <w:rFonts w:cs="Calibri"/>
              </w:rPr>
              <w:t>KDLT-TV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8B31AB" w14:textId="77777777">
            <w:pPr>
              <w:rPr>
                <w:rFonts w:cs="Calibri"/>
              </w:rPr>
            </w:pPr>
            <w:r w:rsidRPr="007D15C3">
              <w:rPr>
                <w:rFonts w:cs="Calibri"/>
              </w:rPr>
              <w:t xml:space="preserve">             639,284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FD3787" w14:textId="77777777">
            <w:pPr>
              <w:rPr>
                <w:rFonts w:cs="Calibri"/>
              </w:rPr>
            </w:pPr>
            <w:r w:rsidRPr="007D15C3">
              <w:rPr>
                <w:rFonts w:cs="Calibri"/>
              </w:rPr>
              <w:t xml:space="preserve">               628,281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47F7AF" w14:textId="77777777">
            <w:pPr>
              <w:jc w:val="right"/>
              <w:rPr>
                <w:rFonts w:cs="Calibri"/>
              </w:rPr>
            </w:pPr>
            <w:r w:rsidRPr="007D15C3">
              <w:rPr>
                <w:rFonts w:cs="Calibri"/>
              </w:rPr>
              <w:t>$4,924</w:t>
            </w:r>
          </w:p>
        </w:tc>
      </w:tr>
      <w:tr w14:paraId="5CF90A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E944A3" w14:textId="77777777">
            <w:pPr>
              <w:jc w:val="center"/>
              <w:rPr>
                <w:rFonts w:cs="Calibri"/>
              </w:rPr>
            </w:pPr>
            <w:r w:rsidRPr="007D15C3">
              <w:rPr>
                <w:rFonts w:cs="Calibri"/>
              </w:rPr>
              <w:t>55375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FAE985" w14:textId="77777777">
            <w:pPr>
              <w:jc w:val="center"/>
              <w:rPr>
                <w:rFonts w:cs="Calibri"/>
              </w:rPr>
            </w:pPr>
            <w:r w:rsidRPr="007D15C3">
              <w:rPr>
                <w:rFonts w:cs="Calibri"/>
              </w:rPr>
              <w:t>KDLV-TV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DD7805" w14:textId="77777777">
            <w:pPr>
              <w:rPr>
                <w:rFonts w:cs="Calibri"/>
              </w:rPr>
            </w:pPr>
            <w:r w:rsidRPr="007D15C3">
              <w:rPr>
                <w:rFonts w:cs="Calibri"/>
              </w:rPr>
              <w:t xml:space="preserve">               96,873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523674" w14:textId="77777777">
            <w:pPr>
              <w:rPr>
                <w:rFonts w:cs="Calibri"/>
              </w:rPr>
            </w:pPr>
            <w:r w:rsidRPr="007D15C3">
              <w:rPr>
                <w:rFonts w:cs="Calibri"/>
              </w:rPr>
              <w:t xml:space="preserve">                 96,620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FFC36D" w14:textId="77777777">
            <w:pPr>
              <w:jc w:val="right"/>
              <w:rPr>
                <w:rFonts w:cs="Calibri"/>
              </w:rPr>
            </w:pPr>
            <w:r w:rsidRPr="007D15C3">
              <w:rPr>
                <w:rFonts w:cs="Calibri"/>
              </w:rPr>
              <w:t>$757</w:t>
            </w:r>
          </w:p>
        </w:tc>
      </w:tr>
      <w:tr w14:paraId="104349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1F80DB" w14:textId="77777777">
            <w:pPr>
              <w:jc w:val="center"/>
              <w:rPr>
                <w:rFonts w:cs="Calibri"/>
              </w:rPr>
            </w:pPr>
            <w:r w:rsidRPr="007D15C3">
              <w:rPr>
                <w:rFonts w:cs="Calibri"/>
              </w:rPr>
              <w:t>25221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9F4879" w14:textId="77777777">
            <w:pPr>
              <w:jc w:val="center"/>
              <w:rPr>
                <w:rFonts w:cs="Calibri"/>
              </w:rPr>
            </w:pPr>
            <w:r w:rsidRPr="007D15C3">
              <w:rPr>
                <w:rFonts w:cs="Calibri"/>
              </w:rPr>
              <w:t>KDMD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AC078D" w14:textId="77777777">
            <w:pPr>
              <w:rPr>
                <w:rFonts w:cs="Calibri"/>
              </w:rPr>
            </w:pPr>
            <w:r w:rsidRPr="007D15C3">
              <w:rPr>
                <w:rFonts w:cs="Calibri"/>
              </w:rPr>
              <w:t xml:space="preserve">             374,951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AA6B8A" w14:textId="77777777">
            <w:pPr>
              <w:rPr>
                <w:rFonts w:cs="Calibri"/>
              </w:rPr>
            </w:pPr>
            <w:r w:rsidRPr="007D15C3">
              <w:rPr>
                <w:rFonts w:cs="Calibri"/>
              </w:rPr>
              <w:t xml:space="preserve">               372,727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EC5346" w14:textId="77777777">
            <w:pPr>
              <w:jc w:val="right"/>
              <w:rPr>
                <w:rFonts w:cs="Calibri"/>
              </w:rPr>
            </w:pPr>
            <w:r w:rsidRPr="007D15C3">
              <w:rPr>
                <w:rFonts w:cs="Calibri"/>
              </w:rPr>
              <w:t>$2,921</w:t>
            </w:r>
          </w:p>
        </w:tc>
      </w:tr>
      <w:tr w14:paraId="67A1100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59EA6F" w14:textId="77777777">
            <w:pPr>
              <w:jc w:val="center"/>
              <w:rPr>
                <w:rFonts w:cs="Calibri"/>
              </w:rPr>
            </w:pPr>
            <w:r w:rsidRPr="007D15C3">
              <w:rPr>
                <w:rFonts w:cs="Calibri"/>
              </w:rPr>
              <w:t>78915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835D93" w14:textId="77777777">
            <w:pPr>
              <w:jc w:val="center"/>
              <w:rPr>
                <w:rFonts w:cs="Calibri"/>
              </w:rPr>
            </w:pPr>
            <w:r w:rsidRPr="007D15C3">
              <w:rPr>
                <w:rFonts w:cs="Calibri"/>
              </w:rPr>
              <w:t>KDMI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A97B31" w14:textId="77777777">
            <w:pPr>
              <w:rPr>
                <w:rFonts w:cs="Calibri"/>
              </w:rPr>
            </w:pPr>
            <w:r w:rsidRPr="007D15C3">
              <w:rPr>
                <w:rFonts w:cs="Calibri"/>
              </w:rPr>
              <w:t xml:space="preserve">          1,141,990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E7BDC8" w14:textId="77777777">
            <w:pPr>
              <w:rPr>
                <w:rFonts w:cs="Calibri"/>
              </w:rPr>
            </w:pPr>
            <w:r w:rsidRPr="007D15C3">
              <w:rPr>
                <w:rFonts w:cs="Calibri"/>
              </w:rPr>
              <w:t xml:space="preserve">            1,140,939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68696B" w14:textId="77777777">
            <w:pPr>
              <w:jc w:val="right"/>
              <w:rPr>
                <w:rFonts w:cs="Calibri"/>
              </w:rPr>
            </w:pPr>
            <w:r w:rsidRPr="007D15C3">
              <w:rPr>
                <w:rFonts w:cs="Calibri"/>
              </w:rPr>
              <w:t>$8,942</w:t>
            </w:r>
          </w:p>
        </w:tc>
      </w:tr>
      <w:tr w14:paraId="3BB53AB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EFFC7D" w14:textId="77777777">
            <w:pPr>
              <w:jc w:val="center"/>
              <w:rPr>
                <w:rFonts w:cs="Calibri"/>
              </w:rPr>
            </w:pPr>
            <w:r w:rsidRPr="007D15C3">
              <w:rPr>
                <w:rFonts w:cs="Calibri"/>
              </w:rPr>
              <w:t>56524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B60022" w14:textId="77777777">
            <w:pPr>
              <w:jc w:val="center"/>
              <w:rPr>
                <w:rFonts w:cs="Calibri"/>
              </w:rPr>
            </w:pPr>
            <w:r w:rsidRPr="007D15C3">
              <w:rPr>
                <w:rFonts w:cs="Calibri"/>
              </w:rPr>
              <w:t>KDNL-TV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2FDF15" w14:textId="77777777">
            <w:pPr>
              <w:rPr>
                <w:rFonts w:cs="Calibri"/>
              </w:rPr>
            </w:pPr>
            <w:r w:rsidRPr="007D15C3">
              <w:rPr>
                <w:rFonts w:cs="Calibri"/>
              </w:rPr>
              <w:t xml:space="preserve">          2,987,219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8E1474" w14:textId="77777777">
            <w:pPr>
              <w:rPr>
                <w:rFonts w:cs="Calibri"/>
              </w:rPr>
            </w:pPr>
            <w:r w:rsidRPr="007D15C3">
              <w:rPr>
                <w:rFonts w:cs="Calibri"/>
              </w:rPr>
              <w:t xml:space="preserve">            2,982,311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B3684D" w14:textId="77777777">
            <w:pPr>
              <w:jc w:val="right"/>
              <w:rPr>
                <w:rFonts w:cs="Calibri"/>
              </w:rPr>
            </w:pPr>
            <w:r w:rsidRPr="007D15C3">
              <w:rPr>
                <w:rFonts w:cs="Calibri"/>
              </w:rPr>
              <w:t>$23,372</w:t>
            </w:r>
          </w:p>
        </w:tc>
      </w:tr>
      <w:tr w14:paraId="5297F8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9AA280" w14:textId="77777777">
            <w:pPr>
              <w:jc w:val="center"/>
              <w:rPr>
                <w:rFonts w:cs="Calibri"/>
              </w:rPr>
            </w:pPr>
            <w:r w:rsidRPr="007D15C3">
              <w:rPr>
                <w:rFonts w:cs="Calibri"/>
              </w:rPr>
              <w:t>24518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58D36D" w14:textId="77777777">
            <w:pPr>
              <w:jc w:val="center"/>
              <w:rPr>
                <w:rFonts w:cs="Calibri"/>
              </w:rPr>
            </w:pPr>
            <w:r w:rsidRPr="007D15C3">
              <w:rPr>
                <w:rFonts w:cs="Calibri"/>
              </w:rPr>
              <w:t>KDOC-TV*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B3EF03" w14:textId="77777777">
            <w:pPr>
              <w:rPr>
                <w:rFonts w:cs="Calibri"/>
              </w:rPr>
            </w:pPr>
            <w:r w:rsidRPr="007D15C3">
              <w:rPr>
                <w:rFonts w:cs="Calibri"/>
              </w:rPr>
              <w:t xml:space="preserve">        17,503,793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E52E04" w14:textId="77777777">
            <w:pPr>
              <w:rPr>
                <w:rFonts w:cs="Calibri"/>
              </w:rPr>
            </w:pPr>
            <w:r w:rsidRPr="007D15C3">
              <w:rPr>
                <w:rFonts w:cs="Calibri"/>
              </w:rPr>
              <w:t xml:space="preserve">          16,701,233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2326E6" w14:textId="77777777">
            <w:pPr>
              <w:jc w:val="right"/>
              <w:rPr>
                <w:rFonts w:cs="Calibri"/>
              </w:rPr>
            </w:pPr>
            <w:r w:rsidRPr="007D15C3">
              <w:rPr>
                <w:rFonts w:cs="Calibri"/>
              </w:rPr>
              <w:t>$130,888</w:t>
            </w:r>
          </w:p>
        </w:tc>
      </w:tr>
      <w:tr w14:paraId="381B180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141B43" w14:textId="77777777">
            <w:pPr>
              <w:jc w:val="center"/>
              <w:rPr>
                <w:rFonts w:cs="Calibri"/>
              </w:rPr>
            </w:pPr>
            <w:r w:rsidRPr="007D15C3">
              <w:rPr>
                <w:rFonts w:cs="Calibri"/>
              </w:rPr>
              <w:t>1005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669B94" w14:textId="77777777">
            <w:pPr>
              <w:jc w:val="center"/>
              <w:rPr>
                <w:rFonts w:cs="Calibri"/>
              </w:rPr>
            </w:pPr>
            <w:r w:rsidRPr="007D15C3">
              <w:rPr>
                <w:rFonts w:cs="Calibri"/>
              </w:rPr>
              <w:t>KDOR-TV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6B461F" w14:textId="77777777">
            <w:pPr>
              <w:rPr>
                <w:rFonts w:cs="Calibri"/>
              </w:rPr>
            </w:pPr>
            <w:r w:rsidRPr="007D15C3">
              <w:rPr>
                <w:rFonts w:cs="Calibri"/>
              </w:rPr>
              <w:t xml:space="preserve">          1,112,060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6DE66F" w14:textId="77777777">
            <w:pPr>
              <w:rPr>
                <w:rFonts w:cs="Calibri"/>
              </w:rPr>
            </w:pPr>
            <w:r w:rsidRPr="007D15C3">
              <w:rPr>
                <w:rFonts w:cs="Calibri"/>
              </w:rPr>
              <w:t xml:space="preserve">            1,108,556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2DFBA1" w14:textId="77777777">
            <w:pPr>
              <w:jc w:val="right"/>
              <w:rPr>
                <w:rFonts w:cs="Calibri"/>
              </w:rPr>
            </w:pPr>
            <w:r w:rsidRPr="007D15C3">
              <w:rPr>
                <w:rFonts w:cs="Calibri"/>
              </w:rPr>
              <w:t>$8,688</w:t>
            </w:r>
          </w:p>
        </w:tc>
      </w:tr>
      <w:tr w14:paraId="4F69EA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754B11" w14:textId="77777777">
            <w:pPr>
              <w:jc w:val="center"/>
              <w:rPr>
                <w:rFonts w:cs="Calibri"/>
              </w:rPr>
            </w:pPr>
            <w:r w:rsidRPr="007D15C3">
              <w:rPr>
                <w:rFonts w:cs="Calibri"/>
              </w:rPr>
              <w:t>60736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CD7715" w14:textId="77777777">
            <w:pPr>
              <w:jc w:val="center"/>
              <w:rPr>
                <w:rFonts w:cs="Calibri"/>
              </w:rPr>
            </w:pPr>
            <w:r w:rsidRPr="007D15C3">
              <w:rPr>
                <w:rFonts w:cs="Calibri"/>
              </w:rPr>
              <w:t>KDRV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5E4B68" w14:textId="77777777">
            <w:pPr>
              <w:rPr>
                <w:rFonts w:cs="Calibri"/>
              </w:rPr>
            </w:pPr>
            <w:r w:rsidRPr="007D15C3">
              <w:rPr>
                <w:rFonts w:cs="Calibri"/>
              </w:rPr>
              <w:t xml:space="preserve">             519,706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7F990B" w14:textId="77777777">
            <w:pPr>
              <w:rPr>
                <w:rFonts w:cs="Calibri"/>
              </w:rPr>
            </w:pPr>
            <w:r w:rsidRPr="007D15C3">
              <w:rPr>
                <w:rFonts w:cs="Calibri"/>
              </w:rPr>
              <w:t xml:space="preserve">               440,002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1F00AE" w14:textId="77777777">
            <w:pPr>
              <w:jc w:val="right"/>
              <w:rPr>
                <w:rFonts w:cs="Calibri"/>
              </w:rPr>
            </w:pPr>
            <w:r w:rsidRPr="007D15C3">
              <w:rPr>
                <w:rFonts w:cs="Calibri"/>
              </w:rPr>
              <w:t>$3,448</w:t>
            </w:r>
          </w:p>
        </w:tc>
      </w:tr>
      <w:tr w14:paraId="3C7238A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4AA24F" w14:textId="77777777">
            <w:pPr>
              <w:jc w:val="center"/>
              <w:rPr>
                <w:rFonts w:cs="Calibri"/>
              </w:rPr>
            </w:pPr>
            <w:r w:rsidRPr="007D15C3">
              <w:rPr>
                <w:rFonts w:cs="Calibri"/>
              </w:rPr>
              <w:t>61064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418D3D" w14:textId="77777777">
            <w:pPr>
              <w:jc w:val="center"/>
              <w:rPr>
                <w:rFonts w:cs="Calibri"/>
              </w:rPr>
            </w:pPr>
            <w:r w:rsidRPr="007D15C3">
              <w:rPr>
                <w:rFonts w:cs="Calibri"/>
              </w:rPr>
              <w:t>KDSD-TV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D41D27" w14:textId="77777777">
            <w:pPr>
              <w:rPr>
                <w:rFonts w:cs="Calibri"/>
              </w:rPr>
            </w:pPr>
            <w:r w:rsidRPr="007D15C3">
              <w:rPr>
                <w:rFonts w:cs="Calibri"/>
              </w:rPr>
              <w:t xml:space="preserve">               64,314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6F1949" w14:textId="77777777">
            <w:pPr>
              <w:rPr>
                <w:rFonts w:cs="Calibri"/>
              </w:rPr>
            </w:pPr>
            <w:r w:rsidRPr="007D15C3">
              <w:rPr>
                <w:rFonts w:cs="Calibri"/>
              </w:rPr>
              <w:t xml:space="preserve">                 59,635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2A0798" w14:textId="77777777">
            <w:pPr>
              <w:jc w:val="right"/>
              <w:rPr>
                <w:rFonts w:cs="Calibri"/>
              </w:rPr>
            </w:pPr>
            <w:r w:rsidRPr="007D15C3">
              <w:rPr>
                <w:rFonts w:cs="Calibri"/>
              </w:rPr>
              <w:t>$467</w:t>
            </w:r>
          </w:p>
        </w:tc>
      </w:tr>
      <w:tr w14:paraId="742E9F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F3F766" w14:textId="77777777">
            <w:pPr>
              <w:jc w:val="center"/>
              <w:rPr>
                <w:rFonts w:cs="Calibri"/>
              </w:rPr>
            </w:pPr>
            <w:r w:rsidRPr="007D15C3">
              <w:rPr>
                <w:rFonts w:cs="Calibri"/>
              </w:rPr>
              <w:t>53329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66B549" w14:textId="77777777">
            <w:pPr>
              <w:jc w:val="center"/>
              <w:rPr>
                <w:rFonts w:cs="Calibri"/>
              </w:rPr>
            </w:pPr>
            <w:r w:rsidRPr="007D15C3">
              <w:rPr>
                <w:rFonts w:cs="Calibri"/>
              </w:rPr>
              <w:t>KDSE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571F5" w14:textId="77777777">
            <w:pPr>
              <w:rPr>
                <w:rFonts w:cs="Calibri"/>
              </w:rPr>
            </w:pPr>
            <w:r w:rsidRPr="007D15C3">
              <w:rPr>
                <w:rFonts w:cs="Calibri"/>
              </w:rPr>
              <w:t xml:space="preserve">               42,896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31A5F0" w14:textId="77777777">
            <w:pPr>
              <w:rPr>
                <w:rFonts w:cs="Calibri"/>
              </w:rPr>
            </w:pPr>
            <w:r w:rsidRPr="007D15C3">
              <w:rPr>
                <w:rFonts w:cs="Calibri"/>
              </w:rPr>
              <w:t xml:space="preserve">                 41,432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B7AB2C" w14:textId="77777777">
            <w:pPr>
              <w:jc w:val="right"/>
              <w:rPr>
                <w:rFonts w:cs="Calibri"/>
              </w:rPr>
            </w:pPr>
            <w:r w:rsidRPr="007D15C3">
              <w:rPr>
                <w:rFonts w:cs="Calibri"/>
              </w:rPr>
              <w:t>$325</w:t>
            </w:r>
          </w:p>
        </w:tc>
      </w:tr>
      <w:tr w14:paraId="3CBD55B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BAFE6CB" w14:textId="77777777">
            <w:pPr>
              <w:jc w:val="center"/>
              <w:rPr>
                <w:rFonts w:cs="Calibri"/>
              </w:rPr>
            </w:pPr>
            <w:r w:rsidRPr="007D15C3">
              <w:rPr>
                <w:rFonts w:cs="Calibri"/>
              </w:rPr>
              <w:t>56527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35CFD6" w14:textId="77777777">
            <w:pPr>
              <w:jc w:val="center"/>
              <w:rPr>
                <w:rFonts w:cs="Calibri"/>
              </w:rPr>
            </w:pPr>
            <w:r w:rsidRPr="007D15C3">
              <w:rPr>
                <w:rFonts w:cs="Calibri"/>
              </w:rPr>
              <w:t>KDSM-TV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7339A2" w14:textId="77777777">
            <w:pPr>
              <w:rPr>
                <w:rFonts w:cs="Calibri"/>
              </w:rPr>
            </w:pPr>
            <w:r w:rsidRPr="007D15C3">
              <w:rPr>
                <w:rFonts w:cs="Calibri"/>
              </w:rPr>
              <w:t xml:space="preserve">          1,096,220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76BD1E" w14:textId="77777777">
            <w:pPr>
              <w:rPr>
                <w:rFonts w:cs="Calibri"/>
              </w:rPr>
            </w:pPr>
            <w:r w:rsidRPr="007D15C3">
              <w:rPr>
                <w:rFonts w:cs="Calibri"/>
              </w:rPr>
              <w:t xml:space="preserve">            1,095,478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41E365" w14:textId="77777777">
            <w:pPr>
              <w:jc w:val="right"/>
              <w:rPr>
                <w:rFonts w:cs="Calibri"/>
              </w:rPr>
            </w:pPr>
            <w:r w:rsidRPr="007D15C3">
              <w:rPr>
                <w:rFonts w:cs="Calibri"/>
              </w:rPr>
              <w:t>$8,585</w:t>
            </w:r>
          </w:p>
        </w:tc>
      </w:tr>
      <w:tr w14:paraId="13971E8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8DED8D" w14:textId="77777777">
            <w:pPr>
              <w:jc w:val="center"/>
              <w:rPr>
                <w:rFonts w:cs="Calibri"/>
              </w:rPr>
            </w:pPr>
            <w:r w:rsidRPr="007D15C3">
              <w:rPr>
                <w:rFonts w:cs="Calibri"/>
              </w:rPr>
              <w:t>49326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DF0A2C" w14:textId="77777777">
            <w:pPr>
              <w:jc w:val="center"/>
              <w:rPr>
                <w:rFonts w:cs="Calibri"/>
              </w:rPr>
            </w:pPr>
            <w:r w:rsidRPr="007D15C3">
              <w:rPr>
                <w:rFonts w:cs="Calibri"/>
              </w:rPr>
              <w:t>KDTN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960C8F" w14:textId="77777777">
            <w:pPr>
              <w:rPr>
                <w:rFonts w:cs="Calibri"/>
              </w:rPr>
            </w:pPr>
            <w:r w:rsidRPr="007D15C3">
              <w:rPr>
                <w:rFonts w:cs="Calibri"/>
              </w:rPr>
              <w:t xml:space="preserve">          6,602,327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6C83DF" w14:textId="77777777">
            <w:pPr>
              <w:rPr>
                <w:rFonts w:cs="Calibri"/>
              </w:rPr>
            </w:pPr>
            <w:r w:rsidRPr="007D15C3">
              <w:rPr>
                <w:rFonts w:cs="Calibri"/>
              </w:rPr>
              <w:t xml:space="preserve">            6,600,186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0BC526" w14:textId="77777777">
            <w:pPr>
              <w:jc w:val="right"/>
              <w:rPr>
                <w:rFonts w:cs="Calibri"/>
              </w:rPr>
            </w:pPr>
            <w:r w:rsidRPr="007D15C3">
              <w:rPr>
                <w:rFonts w:cs="Calibri"/>
              </w:rPr>
              <w:t>$51,726</w:t>
            </w:r>
          </w:p>
        </w:tc>
      </w:tr>
      <w:tr w14:paraId="215829C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7C045B" w14:textId="77777777">
            <w:pPr>
              <w:jc w:val="center"/>
              <w:rPr>
                <w:rFonts w:cs="Calibri"/>
              </w:rPr>
            </w:pPr>
            <w:r w:rsidRPr="007D15C3">
              <w:rPr>
                <w:rFonts w:cs="Calibri"/>
              </w:rPr>
              <w:t>83491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BFD792" w14:textId="77777777">
            <w:pPr>
              <w:jc w:val="center"/>
              <w:rPr>
                <w:rFonts w:cs="Calibri"/>
              </w:rPr>
            </w:pPr>
            <w:r w:rsidRPr="007D15C3">
              <w:rPr>
                <w:rFonts w:cs="Calibri"/>
              </w:rPr>
              <w:t>KDTP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BDE4F0" w14:textId="77777777">
            <w:pPr>
              <w:rPr>
                <w:rFonts w:cs="Calibri"/>
              </w:rPr>
            </w:pPr>
            <w:r w:rsidRPr="007D15C3">
              <w:rPr>
                <w:rFonts w:cs="Calibri"/>
              </w:rPr>
              <w:t xml:space="preserve">               26,564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04B06B" w14:textId="77777777">
            <w:pPr>
              <w:rPr>
                <w:rFonts w:cs="Calibri"/>
              </w:rPr>
            </w:pPr>
            <w:r w:rsidRPr="007D15C3">
              <w:rPr>
                <w:rFonts w:cs="Calibri"/>
              </w:rPr>
              <w:t xml:space="preserve">                 24,469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F0BB8F" w14:textId="77777777">
            <w:pPr>
              <w:jc w:val="right"/>
              <w:rPr>
                <w:rFonts w:cs="Calibri"/>
              </w:rPr>
            </w:pPr>
            <w:r w:rsidRPr="007D15C3">
              <w:rPr>
                <w:rFonts w:cs="Calibri"/>
              </w:rPr>
              <w:t>$192</w:t>
            </w:r>
          </w:p>
        </w:tc>
      </w:tr>
      <w:tr w14:paraId="60CBE7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468B8F" w14:textId="77777777">
            <w:pPr>
              <w:jc w:val="center"/>
              <w:rPr>
                <w:rFonts w:cs="Calibri"/>
              </w:rPr>
            </w:pPr>
            <w:r w:rsidRPr="007D15C3">
              <w:rPr>
                <w:rFonts w:cs="Calibri"/>
              </w:rPr>
              <w:t>33778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364BA81" w14:textId="77777777">
            <w:pPr>
              <w:jc w:val="center"/>
              <w:rPr>
                <w:rFonts w:cs="Calibri"/>
              </w:rPr>
            </w:pPr>
            <w:r w:rsidRPr="007D15C3">
              <w:rPr>
                <w:rFonts w:cs="Calibri"/>
              </w:rPr>
              <w:t>KDTV-DT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539A44" w14:textId="77777777">
            <w:pPr>
              <w:rPr>
                <w:rFonts w:cs="Calibri"/>
              </w:rPr>
            </w:pPr>
            <w:r w:rsidRPr="007D15C3">
              <w:rPr>
                <w:rFonts w:cs="Calibri"/>
              </w:rPr>
              <w:t xml:space="preserve">          7,921,124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51ED69" w14:textId="77777777">
            <w:pPr>
              <w:rPr>
                <w:rFonts w:cs="Calibri"/>
              </w:rPr>
            </w:pPr>
            <w:r w:rsidRPr="007D15C3">
              <w:rPr>
                <w:rFonts w:cs="Calibri"/>
              </w:rPr>
              <w:t xml:space="preserve">            6,576,672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0D8C4A" w14:textId="77777777">
            <w:pPr>
              <w:jc w:val="right"/>
              <w:rPr>
                <w:rFonts w:cs="Calibri"/>
              </w:rPr>
            </w:pPr>
            <w:r w:rsidRPr="007D15C3">
              <w:rPr>
                <w:rFonts w:cs="Calibri"/>
              </w:rPr>
              <w:t>$51,541</w:t>
            </w:r>
          </w:p>
        </w:tc>
      </w:tr>
      <w:tr w14:paraId="3AB58CA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6D795C" w14:textId="77777777">
            <w:pPr>
              <w:jc w:val="center"/>
              <w:rPr>
                <w:rFonts w:cs="Calibri"/>
              </w:rPr>
            </w:pPr>
            <w:r w:rsidRPr="007D15C3">
              <w:rPr>
                <w:rFonts w:cs="Calibri"/>
              </w:rPr>
              <w:t>67910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D578A4" w14:textId="77777777">
            <w:pPr>
              <w:jc w:val="center"/>
              <w:rPr>
                <w:rFonts w:cs="Calibri"/>
              </w:rPr>
            </w:pPr>
            <w:r w:rsidRPr="007D15C3">
              <w:rPr>
                <w:rFonts w:cs="Calibri"/>
              </w:rPr>
              <w:t>KDTX-TV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820A96" w14:textId="77777777">
            <w:pPr>
              <w:rPr>
                <w:rFonts w:cs="Calibri"/>
              </w:rPr>
            </w:pPr>
            <w:r w:rsidRPr="007D15C3">
              <w:rPr>
                <w:rFonts w:cs="Calibri"/>
              </w:rPr>
              <w:t xml:space="preserve">          6,680,738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DD029F" w14:textId="77777777">
            <w:pPr>
              <w:rPr>
                <w:rFonts w:cs="Calibri"/>
              </w:rPr>
            </w:pPr>
            <w:r w:rsidRPr="007D15C3">
              <w:rPr>
                <w:rFonts w:cs="Calibri"/>
              </w:rPr>
              <w:t xml:space="preserve">            6,679,424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BA5757" w14:textId="77777777">
            <w:pPr>
              <w:jc w:val="right"/>
              <w:rPr>
                <w:rFonts w:cs="Calibri"/>
              </w:rPr>
            </w:pPr>
            <w:r w:rsidRPr="007D15C3">
              <w:rPr>
                <w:rFonts w:cs="Calibri"/>
              </w:rPr>
              <w:t>$52,347</w:t>
            </w:r>
          </w:p>
        </w:tc>
      </w:tr>
      <w:tr w14:paraId="40E99EB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E2D483" w14:textId="77777777">
            <w:pPr>
              <w:jc w:val="center"/>
              <w:rPr>
                <w:rFonts w:cs="Calibri"/>
              </w:rPr>
            </w:pPr>
            <w:r w:rsidRPr="007D15C3">
              <w:rPr>
                <w:rFonts w:cs="Calibri"/>
              </w:rPr>
              <w:t>126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FF959B" w14:textId="77777777">
            <w:pPr>
              <w:jc w:val="center"/>
              <w:rPr>
                <w:rFonts w:cs="Calibri"/>
              </w:rPr>
            </w:pPr>
            <w:r w:rsidRPr="007D15C3">
              <w:rPr>
                <w:rFonts w:cs="Calibri"/>
              </w:rPr>
              <w:t>KDVR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1B4A5A" w14:textId="77777777">
            <w:pPr>
              <w:rPr>
                <w:rFonts w:cs="Calibri"/>
              </w:rPr>
            </w:pPr>
            <w:r w:rsidRPr="007D15C3">
              <w:rPr>
                <w:rFonts w:cs="Calibri"/>
              </w:rPr>
              <w:t xml:space="preserve">          3,430,717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003FE1" w14:textId="77777777">
            <w:pPr>
              <w:rPr>
                <w:rFonts w:cs="Calibri"/>
              </w:rPr>
            </w:pPr>
            <w:r w:rsidRPr="007D15C3">
              <w:rPr>
                <w:rFonts w:cs="Calibri"/>
              </w:rPr>
              <w:t xml:space="preserve">            3,394,796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9F64C5" w14:textId="77777777">
            <w:pPr>
              <w:jc w:val="right"/>
              <w:rPr>
                <w:rFonts w:cs="Calibri"/>
              </w:rPr>
            </w:pPr>
            <w:r w:rsidRPr="007D15C3">
              <w:rPr>
                <w:rFonts w:cs="Calibri"/>
              </w:rPr>
              <w:t>$26,605</w:t>
            </w:r>
          </w:p>
        </w:tc>
      </w:tr>
      <w:tr w14:paraId="4712E2C6"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7B1225" w14:textId="77777777">
            <w:pPr>
              <w:jc w:val="center"/>
              <w:rPr>
                <w:rFonts w:cs="Calibri"/>
              </w:rPr>
            </w:pPr>
            <w:r w:rsidRPr="007D15C3">
              <w:rPr>
                <w:rFonts w:cs="Calibri"/>
              </w:rPr>
              <w:t>18084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57407B5" w14:textId="77777777">
            <w:pPr>
              <w:jc w:val="center"/>
              <w:rPr>
                <w:rFonts w:cs="Calibri"/>
              </w:rPr>
            </w:pPr>
            <w:r w:rsidRPr="007D15C3">
              <w:rPr>
                <w:rFonts w:cs="Calibri"/>
              </w:rPr>
              <w:t>KECI-TV*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F5884AB" w14:textId="77777777">
            <w:pPr>
              <w:rPr>
                <w:rFonts w:cs="Calibri"/>
              </w:rPr>
            </w:pPr>
            <w:r w:rsidRPr="007D15C3">
              <w:rPr>
                <w:rFonts w:cs="Calibri"/>
              </w:rPr>
              <w:t xml:space="preserve">             211,745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1E66CC2" w14:textId="77777777">
            <w:pPr>
              <w:rPr>
                <w:rFonts w:cs="Calibri"/>
              </w:rPr>
            </w:pPr>
            <w:r w:rsidRPr="007D15C3">
              <w:rPr>
                <w:rFonts w:cs="Calibri"/>
              </w:rPr>
              <w:t xml:space="preserve">               193,803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FE74A1B" w14:textId="77777777">
            <w:pPr>
              <w:jc w:val="right"/>
              <w:rPr>
                <w:rFonts w:cs="Calibri"/>
              </w:rPr>
            </w:pPr>
            <w:r w:rsidRPr="007D15C3">
              <w:rPr>
                <w:rFonts w:cs="Calibri"/>
              </w:rPr>
              <w:t>$1,519</w:t>
            </w:r>
          </w:p>
        </w:tc>
      </w:tr>
      <w:tr w14:paraId="6B751F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928E29" w14:textId="77777777">
            <w:pPr>
              <w:jc w:val="center"/>
              <w:rPr>
                <w:rFonts w:cs="Calibri"/>
              </w:rPr>
            </w:pPr>
            <w:r w:rsidRPr="007D15C3">
              <w:rPr>
                <w:rFonts w:cs="Calibri"/>
              </w:rPr>
              <w:t>51208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6498A2" w14:textId="77777777">
            <w:pPr>
              <w:jc w:val="center"/>
              <w:rPr>
                <w:rFonts w:cs="Calibri"/>
              </w:rPr>
            </w:pPr>
            <w:r w:rsidRPr="007D15C3">
              <w:rPr>
                <w:rFonts w:cs="Calibri"/>
              </w:rPr>
              <w:t>KECY-TV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03B3E" w14:textId="77777777">
            <w:pPr>
              <w:rPr>
                <w:rFonts w:cs="Calibri"/>
              </w:rPr>
            </w:pPr>
            <w:r w:rsidRPr="007D15C3">
              <w:rPr>
                <w:rFonts w:cs="Calibri"/>
              </w:rPr>
              <w:t xml:space="preserve">             399,372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2DA2CC" w14:textId="77777777">
            <w:pPr>
              <w:rPr>
                <w:rFonts w:cs="Calibri"/>
              </w:rPr>
            </w:pPr>
            <w:r w:rsidRPr="007D15C3">
              <w:rPr>
                <w:rFonts w:cs="Calibri"/>
              </w:rPr>
              <w:t xml:space="preserve">               394,379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CB4DD1" w14:textId="77777777">
            <w:pPr>
              <w:jc w:val="right"/>
              <w:rPr>
                <w:rFonts w:cs="Calibri"/>
              </w:rPr>
            </w:pPr>
            <w:r w:rsidRPr="007D15C3">
              <w:rPr>
                <w:rFonts w:cs="Calibri"/>
              </w:rPr>
              <w:t>$3,091</w:t>
            </w:r>
          </w:p>
        </w:tc>
      </w:tr>
      <w:tr w14:paraId="6DEF56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414E31" w14:textId="77777777">
            <w:pPr>
              <w:jc w:val="center"/>
              <w:rPr>
                <w:rFonts w:cs="Calibri"/>
              </w:rPr>
            </w:pPr>
            <w:r w:rsidRPr="007D15C3">
              <w:rPr>
                <w:rFonts w:cs="Calibri"/>
              </w:rPr>
              <w:t>58408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6156C9" w14:textId="77777777">
            <w:pPr>
              <w:jc w:val="center"/>
              <w:rPr>
                <w:rFonts w:cs="Calibri"/>
              </w:rPr>
            </w:pPr>
            <w:r w:rsidRPr="007D15C3">
              <w:rPr>
                <w:rFonts w:cs="Calibri"/>
              </w:rPr>
              <w:t>KEDT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4B4493" w14:textId="77777777">
            <w:pPr>
              <w:rPr>
                <w:rFonts w:cs="Calibri"/>
              </w:rPr>
            </w:pPr>
            <w:r w:rsidRPr="007D15C3">
              <w:rPr>
                <w:rFonts w:cs="Calibri"/>
              </w:rPr>
              <w:t xml:space="preserve">             513,683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927013" w14:textId="77777777">
            <w:pPr>
              <w:rPr>
                <w:rFonts w:cs="Calibri"/>
              </w:rPr>
            </w:pPr>
            <w:r w:rsidRPr="007D15C3">
              <w:rPr>
                <w:rFonts w:cs="Calibri"/>
              </w:rPr>
              <w:t xml:space="preserve">               513,683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E27D57" w14:textId="77777777">
            <w:pPr>
              <w:jc w:val="right"/>
              <w:rPr>
                <w:rFonts w:cs="Calibri"/>
              </w:rPr>
            </w:pPr>
            <w:r w:rsidRPr="007D15C3">
              <w:rPr>
                <w:rFonts w:cs="Calibri"/>
              </w:rPr>
              <w:t>$4,026</w:t>
            </w:r>
          </w:p>
        </w:tc>
      </w:tr>
      <w:tr w14:paraId="3EB7B4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E1313E" w14:textId="77777777">
            <w:pPr>
              <w:jc w:val="center"/>
              <w:rPr>
                <w:rFonts w:cs="Calibri"/>
              </w:rPr>
            </w:pPr>
            <w:r w:rsidRPr="007D15C3">
              <w:rPr>
                <w:rFonts w:cs="Calibri"/>
              </w:rPr>
              <w:t>55435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2AD14C" w14:textId="77777777">
            <w:pPr>
              <w:jc w:val="center"/>
              <w:rPr>
                <w:rFonts w:cs="Calibri"/>
              </w:rPr>
            </w:pPr>
            <w:r w:rsidRPr="007D15C3">
              <w:rPr>
                <w:rFonts w:cs="Calibri"/>
              </w:rPr>
              <w:t>KEET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AC05D0" w14:textId="77777777">
            <w:pPr>
              <w:rPr>
                <w:rFonts w:cs="Calibri"/>
              </w:rPr>
            </w:pPr>
            <w:r w:rsidRPr="007D15C3">
              <w:rPr>
                <w:rFonts w:cs="Calibri"/>
              </w:rPr>
              <w:t xml:space="preserve">             177,313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67AEB1" w14:textId="77777777">
            <w:pPr>
              <w:rPr>
                <w:rFonts w:cs="Calibri"/>
              </w:rPr>
            </w:pPr>
            <w:r w:rsidRPr="007D15C3">
              <w:rPr>
                <w:rFonts w:cs="Calibri"/>
              </w:rPr>
              <w:t xml:space="preserve">               159,960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A583A2" w14:textId="77777777">
            <w:pPr>
              <w:jc w:val="right"/>
              <w:rPr>
                <w:rFonts w:cs="Calibri"/>
              </w:rPr>
            </w:pPr>
            <w:r w:rsidRPr="007D15C3">
              <w:rPr>
                <w:rFonts w:cs="Calibri"/>
              </w:rPr>
              <w:t>$1,254</w:t>
            </w:r>
          </w:p>
        </w:tc>
      </w:tr>
      <w:tr w14:paraId="50BAC25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9BD826" w14:textId="77777777">
            <w:pPr>
              <w:jc w:val="center"/>
              <w:rPr>
                <w:rFonts w:cs="Calibri"/>
              </w:rPr>
            </w:pPr>
            <w:r w:rsidRPr="007D15C3">
              <w:rPr>
                <w:rFonts w:cs="Calibri"/>
              </w:rPr>
              <w:t>41983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BFE837" w14:textId="77777777">
            <w:pPr>
              <w:jc w:val="center"/>
              <w:rPr>
                <w:rFonts w:cs="Calibri"/>
              </w:rPr>
            </w:pPr>
            <w:r w:rsidRPr="007D15C3">
              <w:rPr>
                <w:rFonts w:cs="Calibri"/>
              </w:rPr>
              <w:t>KELO-TV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3C91F2" w14:textId="77777777">
            <w:pPr>
              <w:rPr>
                <w:rFonts w:cs="Calibri"/>
              </w:rPr>
            </w:pPr>
            <w:r w:rsidRPr="007D15C3">
              <w:rPr>
                <w:rFonts w:cs="Calibri"/>
              </w:rPr>
              <w:t xml:space="preserve">             705,364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B7D672" w14:textId="77777777">
            <w:pPr>
              <w:rPr>
                <w:rFonts w:cs="Calibri"/>
              </w:rPr>
            </w:pPr>
            <w:r w:rsidRPr="007D15C3">
              <w:rPr>
                <w:rFonts w:cs="Calibri"/>
              </w:rPr>
              <w:t xml:space="preserve">               646,126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AA8B9C" w14:textId="77777777">
            <w:pPr>
              <w:jc w:val="right"/>
              <w:rPr>
                <w:rFonts w:cs="Calibri"/>
              </w:rPr>
            </w:pPr>
            <w:r w:rsidRPr="007D15C3">
              <w:rPr>
                <w:rFonts w:cs="Calibri"/>
              </w:rPr>
              <w:t>$5,064</w:t>
            </w:r>
          </w:p>
        </w:tc>
      </w:tr>
      <w:tr w14:paraId="4569284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BED901" w14:textId="77777777">
            <w:pPr>
              <w:jc w:val="center"/>
              <w:rPr>
                <w:rFonts w:cs="Calibri"/>
              </w:rPr>
            </w:pPr>
            <w:r w:rsidRPr="007D15C3">
              <w:rPr>
                <w:rFonts w:cs="Calibri"/>
              </w:rPr>
              <w:t>34440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97BAD3" w14:textId="77777777">
            <w:pPr>
              <w:jc w:val="center"/>
              <w:rPr>
                <w:rFonts w:cs="Calibri"/>
              </w:rPr>
            </w:pPr>
            <w:r w:rsidRPr="007D15C3">
              <w:rPr>
                <w:rFonts w:cs="Calibri"/>
              </w:rPr>
              <w:t>KEMO-TV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E72B15" w14:textId="77777777">
            <w:pPr>
              <w:rPr>
                <w:rFonts w:cs="Calibri"/>
              </w:rPr>
            </w:pPr>
            <w:r w:rsidRPr="007D15C3">
              <w:rPr>
                <w:rFonts w:cs="Calibri"/>
              </w:rPr>
              <w:t xml:space="preserve">          8,048,427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6CBD30" w14:textId="77777777">
            <w:pPr>
              <w:rPr>
                <w:rFonts w:cs="Calibri"/>
              </w:rPr>
            </w:pPr>
            <w:r w:rsidRPr="007D15C3">
              <w:rPr>
                <w:rFonts w:cs="Calibri"/>
              </w:rPr>
              <w:t xml:space="preserve">            7,069,903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A2BE3D" w14:textId="77777777">
            <w:pPr>
              <w:jc w:val="right"/>
              <w:rPr>
                <w:rFonts w:cs="Calibri"/>
              </w:rPr>
            </w:pPr>
            <w:r w:rsidRPr="007D15C3">
              <w:rPr>
                <w:rFonts w:cs="Calibri"/>
              </w:rPr>
              <w:t>$55,407</w:t>
            </w:r>
          </w:p>
        </w:tc>
      </w:tr>
      <w:tr w14:paraId="5C8E9A5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3A8727" w14:textId="77777777">
            <w:pPr>
              <w:jc w:val="center"/>
              <w:rPr>
                <w:rFonts w:cs="Calibri"/>
              </w:rPr>
            </w:pPr>
            <w:r w:rsidRPr="007D15C3">
              <w:rPr>
                <w:rFonts w:cs="Calibri"/>
              </w:rPr>
              <w:t>2777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5FC3D3" w14:textId="77777777">
            <w:pPr>
              <w:jc w:val="center"/>
              <w:rPr>
                <w:rFonts w:cs="Calibri"/>
              </w:rPr>
            </w:pPr>
            <w:r w:rsidRPr="007D15C3">
              <w:rPr>
                <w:rFonts w:cs="Calibri"/>
              </w:rPr>
              <w:t>KEMV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E85BC8" w14:textId="77777777">
            <w:pPr>
              <w:rPr>
                <w:rFonts w:cs="Calibri"/>
              </w:rPr>
            </w:pPr>
            <w:r w:rsidRPr="007D15C3">
              <w:rPr>
                <w:rFonts w:cs="Calibri"/>
              </w:rPr>
              <w:t xml:space="preserve">             619,889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15D13D" w14:textId="77777777">
            <w:pPr>
              <w:rPr>
                <w:rFonts w:cs="Calibri"/>
              </w:rPr>
            </w:pPr>
            <w:r w:rsidRPr="007D15C3">
              <w:rPr>
                <w:rFonts w:cs="Calibri"/>
              </w:rPr>
              <w:t xml:space="preserve">               559,135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08D2DF" w14:textId="77777777">
            <w:pPr>
              <w:jc w:val="right"/>
              <w:rPr>
                <w:rFonts w:cs="Calibri"/>
              </w:rPr>
            </w:pPr>
            <w:r w:rsidRPr="007D15C3">
              <w:rPr>
                <w:rFonts w:cs="Calibri"/>
              </w:rPr>
              <w:t>$4,382</w:t>
            </w:r>
          </w:p>
        </w:tc>
      </w:tr>
      <w:tr w14:paraId="76C23C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C2DF14" w14:textId="77777777">
            <w:pPr>
              <w:jc w:val="center"/>
              <w:rPr>
                <w:rFonts w:cs="Calibri"/>
              </w:rPr>
            </w:pPr>
            <w:r w:rsidRPr="007D15C3">
              <w:rPr>
                <w:rFonts w:cs="Calibri"/>
              </w:rPr>
              <w:t>26304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F4F14E" w14:textId="77777777">
            <w:pPr>
              <w:jc w:val="center"/>
              <w:rPr>
                <w:rFonts w:cs="Calibri"/>
              </w:rPr>
            </w:pPr>
            <w:r w:rsidRPr="007D15C3">
              <w:rPr>
                <w:rFonts w:cs="Calibri"/>
              </w:rPr>
              <w:t>KENS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DA44E1" w14:textId="77777777">
            <w:pPr>
              <w:rPr>
                <w:rFonts w:cs="Calibri"/>
              </w:rPr>
            </w:pPr>
            <w:r w:rsidRPr="007D15C3">
              <w:rPr>
                <w:rFonts w:cs="Calibri"/>
              </w:rPr>
              <w:t xml:space="preserve">          2,544,094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915C35" w14:textId="77777777">
            <w:pPr>
              <w:rPr>
                <w:rFonts w:cs="Calibri"/>
              </w:rPr>
            </w:pPr>
            <w:r w:rsidRPr="007D15C3">
              <w:rPr>
                <w:rFonts w:cs="Calibri"/>
              </w:rPr>
              <w:t xml:space="preserve">            2,529,382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8B2974" w14:textId="77777777">
            <w:pPr>
              <w:jc w:val="right"/>
              <w:rPr>
                <w:rFonts w:cs="Calibri"/>
              </w:rPr>
            </w:pPr>
            <w:r w:rsidRPr="007D15C3">
              <w:rPr>
                <w:rFonts w:cs="Calibri"/>
              </w:rPr>
              <w:t>$19,823</w:t>
            </w:r>
          </w:p>
        </w:tc>
      </w:tr>
      <w:tr w14:paraId="01D801B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A83E9F" w14:textId="77777777">
            <w:pPr>
              <w:jc w:val="center"/>
              <w:rPr>
                <w:rFonts w:cs="Calibri"/>
              </w:rPr>
            </w:pPr>
            <w:r w:rsidRPr="007D15C3">
              <w:rPr>
                <w:rFonts w:cs="Calibri"/>
              </w:rPr>
              <w:t>63845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770A3E" w14:textId="77777777">
            <w:pPr>
              <w:jc w:val="center"/>
              <w:rPr>
                <w:rFonts w:cs="Calibri"/>
              </w:rPr>
            </w:pPr>
            <w:r w:rsidRPr="007D15C3">
              <w:rPr>
                <w:rFonts w:cs="Calibri"/>
              </w:rPr>
              <w:t>KENV-DT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D0B402" w14:textId="77777777">
            <w:pPr>
              <w:rPr>
                <w:rFonts w:cs="Calibri"/>
              </w:rPr>
            </w:pPr>
            <w:r w:rsidRPr="007D15C3">
              <w:rPr>
                <w:rFonts w:cs="Calibri"/>
              </w:rPr>
              <w:t xml:space="preserve">               47,220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966F24" w14:textId="77777777">
            <w:pPr>
              <w:rPr>
                <w:rFonts w:cs="Calibri"/>
              </w:rPr>
            </w:pPr>
            <w:r w:rsidRPr="007D15C3">
              <w:rPr>
                <w:rFonts w:cs="Calibri"/>
              </w:rPr>
              <w:t xml:space="preserve">                 40,677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329DAF" w14:textId="77777777">
            <w:pPr>
              <w:jc w:val="right"/>
              <w:rPr>
                <w:rFonts w:cs="Calibri"/>
              </w:rPr>
            </w:pPr>
            <w:r w:rsidRPr="007D15C3">
              <w:rPr>
                <w:rFonts w:cs="Calibri"/>
              </w:rPr>
              <w:t>$319</w:t>
            </w:r>
          </w:p>
        </w:tc>
      </w:tr>
      <w:tr w14:paraId="77BEFCD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C78E38" w14:textId="77777777">
            <w:pPr>
              <w:jc w:val="center"/>
              <w:rPr>
                <w:rFonts w:cs="Calibri"/>
              </w:rPr>
            </w:pPr>
            <w:r w:rsidRPr="007D15C3">
              <w:rPr>
                <w:rFonts w:cs="Calibri"/>
              </w:rPr>
              <w:t>18338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A7DD07" w14:textId="77777777">
            <w:pPr>
              <w:jc w:val="center"/>
              <w:rPr>
                <w:rFonts w:cs="Calibri"/>
              </w:rPr>
            </w:pPr>
            <w:r w:rsidRPr="007D15C3">
              <w:rPr>
                <w:rFonts w:cs="Calibri"/>
              </w:rPr>
              <w:t>KENW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D7287E" w14:textId="77777777">
            <w:pPr>
              <w:rPr>
                <w:rFonts w:cs="Calibri"/>
              </w:rPr>
            </w:pPr>
            <w:r w:rsidRPr="007D15C3">
              <w:rPr>
                <w:rFonts w:cs="Calibri"/>
              </w:rPr>
              <w:t xml:space="preserve">               87,017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39202D" w14:textId="77777777">
            <w:pPr>
              <w:rPr>
                <w:rFonts w:cs="Calibri"/>
              </w:rPr>
            </w:pPr>
            <w:r w:rsidRPr="007D15C3">
              <w:rPr>
                <w:rFonts w:cs="Calibri"/>
              </w:rPr>
              <w:t xml:space="preserve">                 87,017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940CE2" w14:textId="77777777">
            <w:pPr>
              <w:jc w:val="right"/>
              <w:rPr>
                <w:rFonts w:cs="Calibri"/>
              </w:rPr>
            </w:pPr>
            <w:r w:rsidRPr="007D15C3">
              <w:rPr>
                <w:rFonts w:cs="Calibri"/>
              </w:rPr>
              <w:t>$682</w:t>
            </w:r>
          </w:p>
        </w:tc>
      </w:tr>
      <w:tr w14:paraId="017B9A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F77E0D" w14:textId="77777777">
            <w:pPr>
              <w:jc w:val="center"/>
              <w:rPr>
                <w:rFonts w:cs="Calibri"/>
              </w:rPr>
            </w:pPr>
            <w:r w:rsidRPr="007D15C3">
              <w:rPr>
                <w:rFonts w:cs="Calibri"/>
              </w:rPr>
              <w:t>50591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ABBBEC" w14:textId="77777777">
            <w:pPr>
              <w:jc w:val="center"/>
              <w:rPr>
                <w:rFonts w:cs="Calibri"/>
              </w:rPr>
            </w:pPr>
            <w:r w:rsidRPr="007D15C3">
              <w:rPr>
                <w:rFonts w:cs="Calibri"/>
              </w:rPr>
              <w:t>KEPB-TV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5528AC" w14:textId="77777777">
            <w:pPr>
              <w:rPr>
                <w:rFonts w:cs="Calibri"/>
              </w:rPr>
            </w:pPr>
            <w:r w:rsidRPr="007D15C3">
              <w:rPr>
                <w:rFonts w:cs="Calibri"/>
              </w:rPr>
              <w:t xml:space="preserve">             576,964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062374" w14:textId="77777777">
            <w:pPr>
              <w:rPr>
                <w:rFonts w:cs="Calibri"/>
              </w:rPr>
            </w:pPr>
            <w:r w:rsidRPr="007D15C3">
              <w:rPr>
                <w:rFonts w:cs="Calibri"/>
              </w:rPr>
              <w:t xml:space="preserve">               523,655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8AF23B" w14:textId="77777777">
            <w:pPr>
              <w:jc w:val="right"/>
              <w:rPr>
                <w:rFonts w:cs="Calibri"/>
              </w:rPr>
            </w:pPr>
            <w:r w:rsidRPr="007D15C3">
              <w:rPr>
                <w:rFonts w:cs="Calibri"/>
              </w:rPr>
              <w:t>$4,104</w:t>
            </w:r>
          </w:p>
        </w:tc>
      </w:tr>
      <w:tr w14:paraId="7B8F50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D5800A" w14:textId="77777777">
            <w:pPr>
              <w:jc w:val="center"/>
              <w:rPr>
                <w:rFonts w:cs="Calibri"/>
              </w:rPr>
            </w:pPr>
            <w:r w:rsidRPr="007D15C3">
              <w:rPr>
                <w:rFonts w:cs="Calibri"/>
              </w:rPr>
              <w:t>56029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9DF07B" w14:textId="77777777">
            <w:pPr>
              <w:jc w:val="center"/>
              <w:rPr>
                <w:rFonts w:cs="Calibri"/>
              </w:rPr>
            </w:pPr>
            <w:r w:rsidRPr="007D15C3">
              <w:rPr>
                <w:rFonts w:cs="Calibri"/>
              </w:rPr>
              <w:t>KEPR-TV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1F4C78" w14:textId="77777777">
            <w:pPr>
              <w:rPr>
                <w:rFonts w:cs="Calibri"/>
              </w:rPr>
            </w:pPr>
            <w:r w:rsidRPr="007D15C3">
              <w:rPr>
                <w:rFonts w:cs="Calibri"/>
              </w:rPr>
              <w:t xml:space="preserve">             453,259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C54A66" w14:textId="77777777">
            <w:pPr>
              <w:rPr>
                <w:rFonts w:cs="Calibri"/>
              </w:rPr>
            </w:pPr>
            <w:r w:rsidRPr="007D15C3">
              <w:rPr>
                <w:rFonts w:cs="Calibri"/>
              </w:rPr>
              <w:t xml:space="preserve">               433,260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C3FB5F" w14:textId="77777777">
            <w:pPr>
              <w:jc w:val="right"/>
              <w:rPr>
                <w:rFonts w:cs="Calibri"/>
              </w:rPr>
            </w:pPr>
            <w:r w:rsidRPr="007D15C3">
              <w:rPr>
                <w:rFonts w:cs="Calibri"/>
              </w:rPr>
              <w:t>$3,395</w:t>
            </w:r>
          </w:p>
        </w:tc>
      </w:tr>
      <w:tr w14:paraId="04CA28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166BD7" w14:textId="77777777">
            <w:pPr>
              <w:jc w:val="center"/>
              <w:rPr>
                <w:rFonts w:cs="Calibri"/>
              </w:rPr>
            </w:pPr>
            <w:r w:rsidRPr="007D15C3">
              <w:rPr>
                <w:rFonts w:cs="Calibri"/>
              </w:rPr>
              <w:t>49324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33E81B" w14:textId="77777777">
            <w:pPr>
              <w:jc w:val="center"/>
              <w:rPr>
                <w:rFonts w:cs="Calibri"/>
              </w:rPr>
            </w:pPr>
            <w:r w:rsidRPr="007D15C3">
              <w:rPr>
                <w:rFonts w:cs="Calibri"/>
              </w:rPr>
              <w:t>KERA-TV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5C14DA" w14:textId="77777777">
            <w:pPr>
              <w:rPr>
                <w:rFonts w:cs="Calibri"/>
              </w:rPr>
            </w:pPr>
            <w:r w:rsidRPr="007D15C3">
              <w:rPr>
                <w:rFonts w:cs="Calibri"/>
              </w:rPr>
              <w:t xml:space="preserve">          6,681,083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9895C9" w14:textId="77777777">
            <w:pPr>
              <w:rPr>
                <w:rFonts w:cs="Calibri"/>
              </w:rPr>
            </w:pPr>
            <w:r w:rsidRPr="007D15C3">
              <w:rPr>
                <w:rFonts w:cs="Calibri"/>
              </w:rPr>
              <w:t xml:space="preserve">            6,677,852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B70867" w14:textId="77777777">
            <w:pPr>
              <w:jc w:val="right"/>
              <w:rPr>
                <w:rFonts w:cs="Calibri"/>
              </w:rPr>
            </w:pPr>
            <w:r w:rsidRPr="007D15C3">
              <w:rPr>
                <w:rFonts w:cs="Calibri"/>
              </w:rPr>
              <w:t>$52,334</w:t>
            </w:r>
          </w:p>
        </w:tc>
      </w:tr>
      <w:tr w14:paraId="6E12A50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74B24C" w14:textId="77777777">
            <w:pPr>
              <w:jc w:val="center"/>
              <w:rPr>
                <w:rFonts w:cs="Calibri"/>
              </w:rPr>
            </w:pPr>
            <w:r w:rsidRPr="007D15C3">
              <w:rPr>
                <w:rFonts w:cs="Calibri"/>
              </w:rPr>
              <w:t>40878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E8E6EC" w14:textId="77777777">
            <w:pPr>
              <w:jc w:val="center"/>
              <w:rPr>
                <w:rFonts w:cs="Calibri"/>
              </w:rPr>
            </w:pPr>
            <w:r w:rsidRPr="007D15C3">
              <w:rPr>
                <w:rFonts w:cs="Calibri"/>
              </w:rPr>
              <w:t>KERO-TV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EFD95C" w14:textId="77777777">
            <w:pPr>
              <w:rPr>
                <w:rFonts w:cs="Calibri"/>
              </w:rPr>
            </w:pPr>
            <w:r w:rsidRPr="007D15C3">
              <w:rPr>
                <w:rFonts w:cs="Calibri"/>
              </w:rPr>
              <w:t xml:space="preserve">          1,285,357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7247EF" w14:textId="77777777">
            <w:pPr>
              <w:rPr>
                <w:rFonts w:cs="Calibri"/>
              </w:rPr>
            </w:pPr>
            <w:r w:rsidRPr="007D15C3">
              <w:rPr>
                <w:rFonts w:cs="Calibri"/>
              </w:rPr>
              <w:t xml:space="preserve">            1,164,979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3E676D" w14:textId="77777777">
            <w:pPr>
              <w:jc w:val="right"/>
              <w:rPr>
                <w:rFonts w:cs="Calibri"/>
              </w:rPr>
            </w:pPr>
            <w:r w:rsidRPr="007D15C3">
              <w:rPr>
                <w:rFonts w:cs="Calibri"/>
              </w:rPr>
              <w:t>$9,130</w:t>
            </w:r>
          </w:p>
        </w:tc>
      </w:tr>
      <w:tr w14:paraId="565DCA5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50DA1F" w14:textId="77777777">
            <w:pPr>
              <w:jc w:val="center"/>
              <w:rPr>
                <w:rFonts w:cs="Calibri"/>
              </w:rPr>
            </w:pPr>
            <w:r w:rsidRPr="007D15C3">
              <w:rPr>
                <w:rFonts w:cs="Calibri"/>
              </w:rPr>
              <w:t>61067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CCD179" w14:textId="77777777">
            <w:pPr>
              <w:jc w:val="center"/>
              <w:rPr>
                <w:rFonts w:cs="Calibri"/>
              </w:rPr>
            </w:pPr>
            <w:r w:rsidRPr="007D15C3">
              <w:rPr>
                <w:rFonts w:cs="Calibri"/>
              </w:rPr>
              <w:t>KESD-TV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8CCC3F" w14:textId="77777777">
            <w:pPr>
              <w:rPr>
                <w:rFonts w:cs="Calibri"/>
              </w:rPr>
            </w:pPr>
            <w:r w:rsidRPr="007D15C3">
              <w:rPr>
                <w:rFonts w:cs="Calibri"/>
              </w:rPr>
              <w:t xml:space="preserve">             166,018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847D0F" w14:textId="77777777">
            <w:pPr>
              <w:rPr>
                <w:rFonts w:cs="Calibri"/>
              </w:rPr>
            </w:pPr>
            <w:r w:rsidRPr="007D15C3">
              <w:rPr>
                <w:rFonts w:cs="Calibri"/>
              </w:rPr>
              <w:t xml:space="preserve">               159,195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BE58B4" w14:textId="77777777">
            <w:pPr>
              <w:jc w:val="right"/>
              <w:rPr>
                <w:rFonts w:cs="Calibri"/>
              </w:rPr>
            </w:pPr>
            <w:r w:rsidRPr="007D15C3">
              <w:rPr>
                <w:rFonts w:cs="Calibri"/>
              </w:rPr>
              <w:t>$1,248</w:t>
            </w:r>
          </w:p>
        </w:tc>
      </w:tr>
      <w:tr w14:paraId="26875B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27E9A8" w14:textId="77777777">
            <w:pPr>
              <w:jc w:val="center"/>
              <w:rPr>
                <w:rFonts w:cs="Calibri"/>
              </w:rPr>
            </w:pPr>
            <w:r w:rsidRPr="007D15C3">
              <w:rPr>
                <w:rFonts w:cs="Calibri"/>
              </w:rPr>
              <w:t>25577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3BB684" w14:textId="77777777">
            <w:pPr>
              <w:jc w:val="center"/>
              <w:rPr>
                <w:rFonts w:cs="Calibri"/>
              </w:rPr>
            </w:pPr>
            <w:r w:rsidRPr="007D15C3">
              <w:rPr>
                <w:rFonts w:cs="Calibri"/>
              </w:rPr>
              <w:t>KESQ-TV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D58951" w14:textId="77777777">
            <w:pPr>
              <w:rPr>
                <w:rFonts w:cs="Calibri"/>
              </w:rPr>
            </w:pPr>
            <w:r w:rsidRPr="007D15C3">
              <w:rPr>
                <w:rFonts w:cs="Calibri"/>
              </w:rPr>
              <w:t xml:space="preserve">          1,334,172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01DE71" w14:textId="77777777">
            <w:pPr>
              <w:rPr>
                <w:rFonts w:cs="Calibri"/>
              </w:rPr>
            </w:pPr>
            <w:r w:rsidRPr="007D15C3">
              <w:rPr>
                <w:rFonts w:cs="Calibri"/>
              </w:rPr>
              <w:t xml:space="preserve">               572,057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BF575C" w14:textId="77777777">
            <w:pPr>
              <w:jc w:val="right"/>
              <w:rPr>
                <w:rFonts w:cs="Calibri"/>
              </w:rPr>
            </w:pPr>
            <w:r w:rsidRPr="007D15C3">
              <w:rPr>
                <w:rFonts w:cs="Calibri"/>
              </w:rPr>
              <w:t>$4,483</w:t>
            </w:r>
          </w:p>
        </w:tc>
      </w:tr>
      <w:tr w14:paraId="28A2884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BF1039" w14:textId="77777777">
            <w:pPr>
              <w:jc w:val="center"/>
              <w:rPr>
                <w:rFonts w:cs="Calibri"/>
              </w:rPr>
            </w:pPr>
            <w:r w:rsidRPr="007D15C3">
              <w:rPr>
                <w:rFonts w:cs="Calibri"/>
              </w:rPr>
              <w:t>50205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DE2663" w14:textId="77777777">
            <w:pPr>
              <w:jc w:val="center"/>
              <w:rPr>
                <w:rFonts w:cs="Calibri"/>
              </w:rPr>
            </w:pPr>
            <w:r w:rsidRPr="007D15C3">
              <w:rPr>
                <w:rFonts w:cs="Calibri"/>
              </w:rPr>
              <w:t>KETA-TV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7368FA" w14:textId="77777777">
            <w:pPr>
              <w:rPr>
                <w:rFonts w:cs="Calibri"/>
              </w:rPr>
            </w:pPr>
            <w:r w:rsidRPr="007D15C3">
              <w:rPr>
                <w:rFonts w:cs="Calibri"/>
              </w:rPr>
              <w:t xml:space="preserve">          1,702,441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8EFD76" w14:textId="77777777">
            <w:pPr>
              <w:rPr>
                <w:rFonts w:cs="Calibri"/>
              </w:rPr>
            </w:pPr>
            <w:r w:rsidRPr="007D15C3">
              <w:rPr>
                <w:rFonts w:cs="Calibri"/>
              </w:rPr>
              <w:t xml:space="preserve">            1,688,227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9E6C04" w14:textId="77777777">
            <w:pPr>
              <w:jc w:val="right"/>
              <w:rPr>
                <w:rFonts w:cs="Calibri"/>
              </w:rPr>
            </w:pPr>
            <w:r w:rsidRPr="007D15C3">
              <w:rPr>
                <w:rFonts w:cs="Calibri"/>
              </w:rPr>
              <w:t>$13,231</w:t>
            </w:r>
          </w:p>
        </w:tc>
      </w:tr>
      <w:tr w14:paraId="2ADF1D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52054B" w14:textId="77777777">
            <w:pPr>
              <w:jc w:val="center"/>
              <w:rPr>
                <w:rFonts w:cs="Calibri"/>
              </w:rPr>
            </w:pPr>
            <w:r w:rsidRPr="007D15C3">
              <w:rPr>
                <w:rFonts w:cs="Calibri"/>
              </w:rPr>
              <w:t>62182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A20CBA" w14:textId="77777777">
            <w:pPr>
              <w:jc w:val="center"/>
              <w:rPr>
                <w:rFonts w:cs="Calibri"/>
              </w:rPr>
            </w:pPr>
            <w:r w:rsidRPr="007D15C3">
              <w:rPr>
                <w:rFonts w:cs="Calibri"/>
              </w:rPr>
              <w:t>KETC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CF066E" w14:textId="77777777">
            <w:pPr>
              <w:rPr>
                <w:rFonts w:cs="Calibri"/>
              </w:rPr>
            </w:pPr>
            <w:r w:rsidRPr="007D15C3">
              <w:rPr>
                <w:rFonts w:cs="Calibri"/>
              </w:rPr>
              <w:t xml:space="preserve">          2,913,924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3648AE" w14:textId="77777777">
            <w:pPr>
              <w:rPr>
                <w:rFonts w:cs="Calibri"/>
              </w:rPr>
            </w:pPr>
            <w:r w:rsidRPr="007D15C3">
              <w:rPr>
                <w:rFonts w:cs="Calibri"/>
              </w:rPr>
              <w:t xml:space="preserve">            2,911,313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8F272F" w14:textId="77777777">
            <w:pPr>
              <w:jc w:val="right"/>
              <w:rPr>
                <w:rFonts w:cs="Calibri"/>
              </w:rPr>
            </w:pPr>
            <w:r w:rsidRPr="007D15C3">
              <w:rPr>
                <w:rFonts w:cs="Calibri"/>
              </w:rPr>
              <w:t>$22,816</w:t>
            </w:r>
          </w:p>
        </w:tc>
      </w:tr>
      <w:tr w14:paraId="735FD14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6C3EEB" w14:textId="77777777">
            <w:pPr>
              <w:jc w:val="center"/>
              <w:rPr>
                <w:rFonts w:cs="Calibri"/>
              </w:rPr>
            </w:pPr>
            <w:r w:rsidRPr="007D15C3">
              <w:rPr>
                <w:rFonts w:cs="Calibri"/>
              </w:rPr>
              <w:t>37101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B69A5B" w14:textId="77777777">
            <w:pPr>
              <w:jc w:val="center"/>
              <w:rPr>
                <w:rFonts w:cs="Calibri"/>
              </w:rPr>
            </w:pPr>
            <w:r w:rsidRPr="007D15C3">
              <w:rPr>
                <w:rFonts w:cs="Calibri"/>
              </w:rPr>
              <w:t>KETD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4C7EDB" w14:textId="77777777">
            <w:pPr>
              <w:rPr>
                <w:rFonts w:cs="Calibri"/>
              </w:rPr>
            </w:pPr>
            <w:r w:rsidRPr="007D15C3">
              <w:rPr>
                <w:rFonts w:cs="Calibri"/>
              </w:rPr>
              <w:t xml:space="preserve">          3,098,889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AB83AE" w14:textId="77777777">
            <w:pPr>
              <w:rPr>
                <w:rFonts w:cs="Calibri"/>
              </w:rPr>
            </w:pPr>
            <w:r w:rsidRPr="007D15C3">
              <w:rPr>
                <w:rFonts w:cs="Calibri"/>
              </w:rPr>
              <w:t xml:space="preserve">            3,058,327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E7882B" w14:textId="77777777">
            <w:pPr>
              <w:jc w:val="right"/>
              <w:rPr>
                <w:rFonts w:cs="Calibri"/>
              </w:rPr>
            </w:pPr>
            <w:r w:rsidRPr="007D15C3">
              <w:rPr>
                <w:rFonts w:cs="Calibri"/>
              </w:rPr>
              <w:t>$23,968</w:t>
            </w:r>
          </w:p>
        </w:tc>
      </w:tr>
      <w:tr w14:paraId="508F0C1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EC9411" w14:textId="77777777">
            <w:pPr>
              <w:jc w:val="center"/>
              <w:rPr>
                <w:rFonts w:cs="Calibri"/>
              </w:rPr>
            </w:pPr>
            <w:r w:rsidRPr="007D15C3">
              <w:rPr>
                <w:rFonts w:cs="Calibri"/>
              </w:rPr>
              <w:t>2768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F93302" w14:textId="77777777">
            <w:pPr>
              <w:jc w:val="center"/>
              <w:rPr>
                <w:rFonts w:cs="Calibri"/>
              </w:rPr>
            </w:pPr>
            <w:r w:rsidRPr="007D15C3">
              <w:rPr>
                <w:rFonts w:cs="Calibri"/>
              </w:rPr>
              <w:t>KETG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269D9A" w14:textId="77777777">
            <w:pPr>
              <w:rPr>
                <w:rFonts w:cs="Calibri"/>
              </w:rPr>
            </w:pPr>
            <w:r w:rsidRPr="007D15C3">
              <w:rPr>
                <w:rFonts w:cs="Calibri"/>
              </w:rPr>
              <w:t xml:space="preserve">             426,883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7920E5" w14:textId="77777777">
            <w:pPr>
              <w:rPr>
                <w:rFonts w:cs="Calibri"/>
              </w:rPr>
            </w:pPr>
            <w:r w:rsidRPr="007D15C3">
              <w:rPr>
                <w:rFonts w:cs="Calibri"/>
              </w:rPr>
              <w:t xml:space="preserve">               409,511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EFC615" w14:textId="77777777">
            <w:pPr>
              <w:jc w:val="right"/>
              <w:rPr>
                <w:rFonts w:cs="Calibri"/>
              </w:rPr>
            </w:pPr>
            <w:r w:rsidRPr="007D15C3">
              <w:rPr>
                <w:rFonts w:cs="Calibri"/>
              </w:rPr>
              <w:t>$3,209</w:t>
            </w:r>
          </w:p>
        </w:tc>
      </w:tr>
      <w:tr w14:paraId="4E38B82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D09160" w14:textId="77777777">
            <w:pPr>
              <w:jc w:val="center"/>
              <w:rPr>
                <w:rFonts w:cs="Calibri"/>
              </w:rPr>
            </w:pPr>
            <w:r w:rsidRPr="007D15C3">
              <w:rPr>
                <w:rFonts w:cs="Calibri"/>
              </w:rPr>
              <w:t>12895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65C560" w14:textId="77777777">
            <w:pPr>
              <w:jc w:val="center"/>
              <w:rPr>
                <w:rFonts w:cs="Calibri"/>
              </w:rPr>
            </w:pPr>
            <w:r w:rsidRPr="007D15C3">
              <w:rPr>
                <w:rFonts w:cs="Calibri"/>
              </w:rPr>
              <w:t>KETH-TV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51C1E0" w14:textId="77777777">
            <w:pPr>
              <w:rPr>
                <w:rFonts w:cs="Calibri"/>
              </w:rPr>
            </w:pPr>
            <w:r w:rsidRPr="007D15C3">
              <w:rPr>
                <w:rFonts w:cs="Calibri"/>
              </w:rPr>
              <w:t xml:space="preserve">          6,088,821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878B96" w14:textId="77777777">
            <w:pPr>
              <w:rPr>
                <w:rFonts w:cs="Calibri"/>
              </w:rPr>
            </w:pPr>
            <w:r w:rsidRPr="007D15C3">
              <w:rPr>
                <w:rFonts w:cs="Calibri"/>
              </w:rPr>
              <w:t xml:space="preserve">            6,088,677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02D1D4" w14:textId="77777777">
            <w:pPr>
              <w:jc w:val="right"/>
              <w:rPr>
                <w:rFonts w:cs="Calibri"/>
              </w:rPr>
            </w:pPr>
            <w:r w:rsidRPr="007D15C3">
              <w:rPr>
                <w:rFonts w:cs="Calibri"/>
              </w:rPr>
              <w:t>$47,717</w:t>
            </w:r>
          </w:p>
        </w:tc>
      </w:tr>
      <w:tr w14:paraId="2A0E622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FCF5F2" w14:textId="77777777">
            <w:pPr>
              <w:jc w:val="center"/>
              <w:rPr>
                <w:rFonts w:cs="Calibri"/>
              </w:rPr>
            </w:pPr>
            <w:r w:rsidRPr="007D15C3">
              <w:rPr>
                <w:rFonts w:cs="Calibri"/>
              </w:rPr>
              <w:t>55643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743FF3" w14:textId="77777777">
            <w:pPr>
              <w:jc w:val="center"/>
              <w:rPr>
                <w:rFonts w:cs="Calibri"/>
              </w:rPr>
            </w:pPr>
            <w:r w:rsidRPr="007D15C3">
              <w:rPr>
                <w:rFonts w:cs="Calibri"/>
              </w:rPr>
              <w:t>KETK-TV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C60AA6" w14:textId="77777777">
            <w:pPr>
              <w:rPr>
                <w:rFonts w:cs="Calibri"/>
              </w:rPr>
            </w:pPr>
            <w:r w:rsidRPr="007D15C3">
              <w:rPr>
                <w:rFonts w:cs="Calibri"/>
              </w:rPr>
              <w:t xml:space="preserve">          1,031,567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932CB8" w14:textId="77777777">
            <w:pPr>
              <w:rPr>
                <w:rFonts w:cs="Calibri"/>
              </w:rPr>
            </w:pPr>
            <w:r w:rsidRPr="007D15C3">
              <w:rPr>
                <w:rFonts w:cs="Calibri"/>
              </w:rPr>
              <w:t xml:space="preserve">            1,030,122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273AFB" w14:textId="77777777">
            <w:pPr>
              <w:jc w:val="right"/>
              <w:rPr>
                <w:rFonts w:cs="Calibri"/>
              </w:rPr>
            </w:pPr>
            <w:r w:rsidRPr="007D15C3">
              <w:rPr>
                <w:rFonts w:cs="Calibri"/>
              </w:rPr>
              <w:t>$8,073</w:t>
            </w:r>
          </w:p>
        </w:tc>
      </w:tr>
      <w:tr w14:paraId="424F803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D7AB79" w14:textId="77777777">
            <w:pPr>
              <w:jc w:val="center"/>
              <w:rPr>
                <w:rFonts w:cs="Calibri"/>
              </w:rPr>
            </w:pPr>
            <w:r w:rsidRPr="007D15C3">
              <w:rPr>
                <w:rFonts w:cs="Calibri"/>
              </w:rPr>
              <w:t>2770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D9F179" w14:textId="77777777">
            <w:pPr>
              <w:jc w:val="center"/>
              <w:rPr>
                <w:rFonts w:cs="Calibri"/>
              </w:rPr>
            </w:pPr>
            <w:r w:rsidRPr="007D15C3">
              <w:rPr>
                <w:rFonts w:cs="Calibri"/>
              </w:rPr>
              <w:t>KETS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118D1B" w14:textId="77777777">
            <w:pPr>
              <w:rPr>
                <w:rFonts w:cs="Calibri"/>
              </w:rPr>
            </w:pPr>
            <w:r w:rsidRPr="007D15C3">
              <w:rPr>
                <w:rFonts w:cs="Calibri"/>
              </w:rPr>
              <w:t xml:space="preserve">          1,185,111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5F1462" w14:textId="77777777">
            <w:pPr>
              <w:rPr>
                <w:rFonts w:cs="Calibri"/>
              </w:rPr>
            </w:pPr>
            <w:r w:rsidRPr="007D15C3">
              <w:rPr>
                <w:rFonts w:cs="Calibri"/>
              </w:rPr>
              <w:t xml:space="preserve">            1,166,796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9DC9B1" w14:textId="77777777">
            <w:pPr>
              <w:jc w:val="right"/>
              <w:rPr>
                <w:rFonts w:cs="Calibri"/>
              </w:rPr>
            </w:pPr>
            <w:r w:rsidRPr="007D15C3">
              <w:rPr>
                <w:rFonts w:cs="Calibri"/>
              </w:rPr>
              <w:t>$9,144</w:t>
            </w:r>
          </w:p>
        </w:tc>
      </w:tr>
      <w:tr w14:paraId="7A50C0E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F5990F" w14:textId="77777777">
            <w:pPr>
              <w:jc w:val="center"/>
              <w:rPr>
                <w:rFonts w:cs="Calibri"/>
              </w:rPr>
            </w:pPr>
            <w:r w:rsidRPr="007D15C3">
              <w:rPr>
                <w:rFonts w:cs="Calibri"/>
              </w:rPr>
              <w:t>53903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FDDCAC" w14:textId="77777777">
            <w:pPr>
              <w:jc w:val="center"/>
              <w:rPr>
                <w:rFonts w:cs="Calibri"/>
              </w:rPr>
            </w:pPr>
            <w:r w:rsidRPr="007D15C3">
              <w:rPr>
                <w:rFonts w:cs="Calibri"/>
              </w:rPr>
              <w:t>KETV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076EA7" w14:textId="77777777">
            <w:pPr>
              <w:rPr>
                <w:rFonts w:cs="Calibri"/>
              </w:rPr>
            </w:pPr>
            <w:r w:rsidRPr="007D15C3">
              <w:rPr>
                <w:rFonts w:cs="Calibri"/>
              </w:rPr>
              <w:t xml:space="preserve">          1,355,714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2CD10A" w14:textId="77777777">
            <w:pPr>
              <w:rPr>
                <w:rFonts w:cs="Calibri"/>
              </w:rPr>
            </w:pPr>
            <w:r w:rsidRPr="007D15C3">
              <w:rPr>
                <w:rFonts w:cs="Calibri"/>
              </w:rPr>
              <w:t xml:space="preserve">            1,350,740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5C3456" w14:textId="77777777">
            <w:pPr>
              <w:jc w:val="right"/>
              <w:rPr>
                <w:rFonts w:cs="Calibri"/>
              </w:rPr>
            </w:pPr>
            <w:r w:rsidRPr="007D15C3">
              <w:rPr>
                <w:rFonts w:cs="Calibri"/>
              </w:rPr>
              <w:t>$10,586</w:t>
            </w:r>
          </w:p>
        </w:tc>
      </w:tr>
      <w:tr w14:paraId="68938C2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061D57" w14:textId="77777777">
            <w:pPr>
              <w:jc w:val="center"/>
              <w:rPr>
                <w:rFonts w:cs="Calibri"/>
              </w:rPr>
            </w:pPr>
            <w:r w:rsidRPr="007D15C3">
              <w:rPr>
                <w:rFonts w:cs="Calibri"/>
              </w:rPr>
              <w:t>92872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A052F9" w14:textId="77777777">
            <w:pPr>
              <w:jc w:val="center"/>
              <w:rPr>
                <w:rFonts w:cs="Calibri"/>
              </w:rPr>
            </w:pPr>
            <w:r w:rsidRPr="007D15C3">
              <w:rPr>
                <w:rFonts w:cs="Calibri"/>
              </w:rPr>
              <w:t>KETZ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9BCF0E" w14:textId="77777777">
            <w:pPr>
              <w:rPr>
                <w:rFonts w:cs="Calibri"/>
              </w:rPr>
            </w:pPr>
            <w:r w:rsidRPr="007D15C3">
              <w:rPr>
                <w:rFonts w:cs="Calibri"/>
              </w:rPr>
              <w:t xml:space="preserve">             526,890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63398F" w14:textId="77777777">
            <w:pPr>
              <w:rPr>
                <w:rFonts w:cs="Calibri"/>
              </w:rPr>
            </w:pPr>
            <w:r w:rsidRPr="007D15C3">
              <w:rPr>
                <w:rFonts w:cs="Calibri"/>
              </w:rPr>
              <w:t xml:space="preserve">               523,877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A3E4F6" w14:textId="77777777">
            <w:pPr>
              <w:jc w:val="right"/>
              <w:rPr>
                <w:rFonts w:cs="Calibri"/>
              </w:rPr>
            </w:pPr>
            <w:r w:rsidRPr="007D15C3">
              <w:rPr>
                <w:rFonts w:cs="Calibri"/>
              </w:rPr>
              <w:t>$4,106</w:t>
            </w:r>
          </w:p>
        </w:tc>
      </w:tr>
      <w:tr w14:paraId="5A5D7F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75ABB4" w14:textId="77777777">
            <w:pPr>
              <w:jc w:val="center"/>
              <w:rPr>
                <w:rFonts w:cs="Calibri"/>
              </w:rPr>
            </w:pPr>
            <w:r w:rsidRPr="007D15C3">
              <w:rPr>
                <w:rFonts w:cs="Calibri"/>
              </w:rPr>
              <w:t>68853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492747" w14:textId="77777777">
            <w:pPr>
              <w:jc w:val="center"/>
              <w:rPr>
                <w:rFonts w:cs="Calibri"/>
              </w:rPr>
            </w:pPr>
            <w:r w:rsidRPr="007D15C3">
              <w:rPr>
                <w:rFonts w:cs="Calibri"/>
              </w:rPr>
              <w:t>KEYC-TV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74B79D" w14:textId="77777777">
            <w:pPr>
              <w:rPr>
                <w:rFonts w:cs="Calibri"/>
              </w:rPr>
            </w:pPr>
            <w:r w:rsidRPr="007D15C3">
              <w:rPr>
                <w:rFonts w:cs="Calibri"/>
              </w:rPr>
              <w:t xml:space="preserve">             544,900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B506A9" w14:textId="77777777">
            <w:pPr>
              <w:rPr>
                <w:rFonts w:cs="Calibri"/>
              </w:rPr>
            </w:pPr>
            <w:r w:rsidRPr="007D15C3">
              <w:rPr>
                <w:rFonts w:cs="Calibri"/>
              </w:rPr>
              <w:t xml:space="preserve">               531,079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CD485A" w14:textId="77777777">
            <w:pPr>
              <w:jc w:val="right"/>
              <w:rPr>
                <w:rFonts w:cs="Calibri"/>
              </w:rPr>
            </w:pPr>
            <w:r w:rsidRPr="007D15C3">
              <w:rPr>
                <w:rFonts w:cs="Calibri"/>
              </w:rPr>
              <w:t>$4,162</w:t>
            </w:r>
          </w:p>
        </w:tc>
      </w:tr>
      <w:tr w14:paraId="3C87B4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E03E89" w14:textId="77777777">
            <w:pPr>
              <w:jc w:val="center"/>
              <w:rPr>
                <w:rFonts w:cs="Calibri"/>
              </w:rPr>
            </w:pPr>
            <w:r w:rsidRPr="007D15C3">
              <w:rPr>
                <w:rFonts w:cs="Calibri"/>
              </w:rPr>
              <w:t>33691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CBF0AC" w14:textId="77777777">
            <w:pPr>
              <w:jc w:val="center"/>
              <w:rPr>
                <w:rFonts w:cs="Calibri"/>
              </w:rPr>
            </w:pPr>
            <w:r w:rsidRPr="007D15C3">
              <w:rPr>
                <w:rFonts w:cs="Calibri"/>
              </w:rPr>
              <w:t>KEYE-TV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DCEDB1" w14:textId="77777777">
            <w:pPr>
              <w:rPr>
                <w:rFonts w:cs="Calibri"/>
              </w:rPr>
            </w:pPr>
            <w:r w:rsidRPr="007D15C3">
              <w:rPr>
                <w:rFonts w:cs="Calibri"/>
              </w:rPr>
              <w:t xml:space="preserve">          2,732,257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979F21" w14:textId="77777777">
            <w:pPr>
              <w:rPr>
                <w:rFonts w:cs="Calibri"/>
              </w:rPr>
            </w:pPr>
            <w:r w:rsidRPr="007D15C3">
              <w:rPr>
                <w:rFonts w:cs="Calibri"/>
              </w:rPr>
              <w:t xml:space="preserve">            2,652,529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C08A54" w14:textId="77777777">
            <w:pPr>
              <w:jc w:val="right"/>
              <w:rPr>
                <w:rFonts w:cs="Calibri"/>
              </w:rPr>
            </w:pPr>
            <w:r w:rsidRPr="007D15C3">
              <w:rPr>
                <w:rFonts w:cs="Calibri"/>
              </w:rPr>
              <w:t>$20,788</w:t>
            </w:r>
          </w:p>
        </w:tc>
      </w:tr>
      <w:tr w14:paraId="0A35B91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22640A" w14:textId="77777777">
            <w:pPr>
              <w:jc w:val="center"/>
              <w:rPr>
                <w:rFonts w:cs="Calibri"/>
              </w:rPr>
            </w:pPr>
            <w:r w:rsidRPr="007D15C3">
              <w:rPr>
                <w:rFonts w:cs="Calibri"/>
              </w:rPr>
              <w:t>60637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649950" w14:textId="77777777">
            <w:pPr>
              <w:jc w:val="center"/>
              <w:rPr>
                <w:rFonts w:cs="Calibri"/>
              </w:rPr>
            </w:pPr>
            <w:r w:rsidRPr="007D15C3">
              <w:rPr>
                <w:rFonts w:cs="Calibri"/>
              </w:rPr>
              <w:t>KEYT-TV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5A8F6C" w14:textId="77777777">
            <w:pPr>
              <w:rPr>
                <w:rFonts w:cs="Calibri"/>
              </w:rPr>
            </w:pPr>
            <w:r w:rsidRPr="007D15C3">
              <w:rPr>
                <w:rFonts w:cs="Calibri"/>
              </w:rPr>
              <w:t xml:space="preserve">          1,419,564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3CD15D" w14:textId="77777777">
            <w:pPr>
              <w:rPr>
                <w:rFonts w:cs="Calibri"/>
              </w:rPr>
            </w:pPr>
            <w:r w:rsidRPr="007D15C3">
              <w:rPr>
                <w:rFonts w:cs="Calibri"/>
              </w:rPr>
              <w:t xml:space="preserve">            1,239,577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38C04A" w14:textId="77777777">
            <w:pPr>
              <w:jc w:val="right"/>
              <w:rPr>
                <w:rFonts w:cs="Calibri"/>
              </w:rPr>
            </w:pPr>
            <w:r w:rsidRPr="007D15C3">
              <w:rPr>
                <w:rFonts w:cs="Calibri"/>
              </w:rPr>
              <w:t>$9,715</w:t>
            </w:r>
          </w:p>
        </w:tc>
      </w:tr>
      <w:tr w14:paraId="5FD8AB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0B6C65" w14:textId="77777777">
            <w:pPr>
              <w:jc w:val="center"/>
              <w:rPr>
                <w:rFonts w:cs="Calibri"/>
              </w:rPr>
            </w:pPr>
            <w:r w:rsidRPr="007D15C3">
              <w:rPr>
                <w:rFonts w:cs="Calibri"/>
              </w:rPr>
              <w:t>83715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4A36E2" w14:textId="77777777">
            <w:pPr>
              <w:jc w:val="center"/>
              <w:rPr>
                <w:rFonts w:cs="Calibri"/>
              </w:rPr>
            </w:pPr>
            <w:r w:rsidRPr="007D15C3">
              <w:rPr>
                <w:rFonts w:cs="Calibri"/>
              </w:rPr>
              <w:t>KEYU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284DEC" w14:textId="77777777">
            <w:pPr>
              <w:rPr>
                <w:rFonts w:cs="Calibri"/>
              </w:rPr>
            </w:pPr>
            <w:r w:rsidRPr="007D15C3">
              <w:rPr>
                <w:rFonts w:cs="Calibri"/>
              </w:rPr>
              <w:t xml:space="preserve">             339,348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423E10" w14:textId="77777777">
            <w:pPr>
              <w:rPr>
                <w:rFonts w:cs="Calibri"/>
              </w:rPr>
            </w:pPr>
            <w:r w:rsidRPr="007D15C3">
              <w:rPr>
                <w:rFonts w:cs="Calibri"/>
              </w:rPr>
              <w:t xml:space="preserve">               339,302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53B1CD" w14:textId="77777777">
            <w:pPr>
              <w:jc w:val="right"/>
              <w:rPr>
                <w:rFonts w:cs="Calibri"/>
              </w:rPr>
            </w:pPr>
            <w:r w:rsidRPr="007D15C3">
              <w:rPr>
                <w:rFonts w:cs="Calibri"/>
              </w:rPr>
              <w:t>$2,659</w:t>
            </w:r>
          </w:p>
        </w:tc>
      </w:tr>
      <w:tr w14:paraId="36F632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3C6AF9" w14:textId="77777777">
            <w:pPr>
              <w:jc w:val="center"/>
              <w:rPr>
                <w:rFonts w:cs="Calibri"/>
              </w:rPr>
            </w:pPr>
            <w:r w:rsidRPr="007D15C3">
              <w:rPr>
                <w:rFonts w:cs="Calibri"/>
              </w:rPr>
              <w:t>34406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E0A122" w14:textId="77777777">
            <w:pPr>
              <w:jc w:val="center"/>
              <w:rPr>
                <w:rFonts w:cs="Calibri"/>
              </w:rPr>
            </w:pPr>
            <w:r w:rsidRPr="007D15C3">
              <w:rPr>
                <w:rFonts w:cs="Calibri"/>
              </w:rPr>
              <w:t>KEZI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92648E" w14:textId="77777777">
            <w:pPr>
              <w:rPr>
                <w:rFonts w:cs="Calibri"/>
              </w:rPr>
            </w:pPr>
            <w:r w:rsidRPr="007D15C3">
              <w:rPr>
                <w:rFonts w:cs="Calibri"/>
              </w:rPr>
              <w:t xml:space="preserve">          1,113,171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284ED7" w14:textId="77777777">
            <w:pPr>
              <w:rPr>
                <w:rFonts w:cs="Calibri"/>
              </w:rPr>
            </w:pPr>
            <w:r w:rsidRPr="007D15C3">
              <w:rPr>
                <w:rFonts w:cs="Calibri"/>
              </w:rPr>
              <w:t xml:space="preserve">            1,065,880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654ADF" w14:textId="77777777">
            <w:pPr>
              <w:jc w:val="right"/>
              <w:rPr>
                <w:rFonts w:cs="Calibri"/>
              </w:rPr>
            </w:pPr>
            <w:r w:rsidRPr="007D15C3">
              <w:rPr>
                <w:rFonts w:cs="Calibri"/>
              </w:rPr>
              <w:t>$8,353</w:t>
            </w:r>
          </w:p>
        </w:tc>
      </w:tr>
      <w:tr w14:paraId="50D9C1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06564F" w14:textId="77777777">
            <w:pPr>
              <w:jc w:val="center"/>
              <w:rPr>
                <w:rFonts w:cs="Calibri"/>
              </w:rPr>
            </w:pPr>
            <w:r w:rsidRPr="007D15C3">
              <w:rPr>
                <w:rFonts w:cs="Calibri"/>
              </w:rPr>
              <w:t>34412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29C4A7" w14:textId="77777777">
            <w:pPr>
              <w:jc w:val="center"/>
              <w:rPr>
                <w:rFonts w:cs="Calibri"/>
              </w:rPr>
            </w:pPr>
            <w:r w:rsidRPr="007D15C3">
              <w:rPr>
                <w:rFonts w:cs="Calibri"/>
              </w:rPr>
              <w:t>KFBB-TV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6A1E1A" w14:textId="77777777">
            <w:pPr>
              <w:rPr>
                <w:rFonts w:cs="Calibri"/>
              </w:rPr>
            </w:pPr>
            <w:r w:rsidRPr="007D15C3">
              <w:rPr>
                <w:rFonts w:cs="Calibri"/>
              </w:rPr>
              <w:t xml:space="preserve">               93,519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11806B" w14:textId="77777777">
            <w:pPr>
              <w:rPr>
                <w:rFonts w:cs="Calibri"/>
              </w:rPr>
            </w:pPr>
            <w:r w:rsidRPr="007D15C3">
              <w:rPr>
                <w:rFonts w:cs="Calibri"/>
              </w:rPr>
              <w:t xml:space="preserve">                 91,964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7872D2" w14:textId="77777777">
            <w:pPr>
              <w:jc w:val="right"/>
              <w:rPr>
                <w:rFonts w:cs="Calibri"/>
              </w:rPr>
            </w:pPr>
            <w:r w:rsidRPr="007D15C3">
              <w:rPr>
                <w:rFonts w:cs="Calibri"/>
              </w:rPr>
              <w:t>$721</w:t>
            </w:r>
          </w:p>
        </w:tc>
      </w:tr>
      <w:tr w14:paraId="25D7827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DF267A" w14:textId="77777777">
            <w:pPr>
              <w:jc w:val="center"/>
              <w:rPr>
                <w:rFonts w:cs="Calibri"/>
              </w:rPr>
            </w:pPr>
            <w:r w:rsidRPr="007D15C3">
              <w:rPr>
                <w:rFonts w:cs="Calibri"/>
              </w:rPr>
              <w:t>125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D3FE06" w14:textId="77777777">
            <w:pPr>
              <w:jc w:val="center"/>
              <w:rPr>
                <w:rFonts w:cs="Calibri"/>
              </w:rPr>
            </w:pPr>
            <w:r w:rsidRPr="007D15C3">
              <w:rPr>
                <w:rFonts w:cs="Calibri"/>
              </w:rPr>
              <w:t>KFCT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C4EEA5" w14:textId="77777777">
            <w:pPr>
              <w:rPr>
                <w:rFonts w:cs="Calibri"/>
              </w:rPr>
            </w:pPr>
            <w:r w:rsidRPr="007D15C3">
              <w:rPr>
                <w:rFonts w:cs="Calibri"/>
              </w:rPr>
              <w:t xml:space="preserve">             795,114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03E7D7" w14:textId="77777777">
            <w:pPr>
              <w:rPr>
                <w:rFonts w:cs="Calibri"/>
              </w:rPr>
            </w:pPr>
            <w:r w:rsidRPr="007D15C3">
              <w:rPr>
                <w:rFonts w:cs="Calibri"/>
              </w:rPr>
              <w:t xml:space="preserve">               788,747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E1E9E9" w14:textId="77777777">
            <w:pPr>
              <w:jc w:val="right"/>
              <w:rPr>
                <w:rFonts w:cs="Calibri"/>
              </w:rPr>
            </w:pPr>
            <w:r w:rsidRPr="007D15C3">
              <w:rPr>
                <w:rFonts w:cs="Calibri"/>
              </w:rPr>
              <w:t>$6,181</w:t>
            </w:r>
          </w:p>
        </w:tc>
      </w:tr>
      <w:tr w14:paraId="1AFB08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B3C0A7" w14:textId="77777777">
            <w:pPr>
              <w:jc w:val="center"/>
              <w:rPr>
                <w:rFonts w:cs="Calibri"/>
              </w:rPr>
            </w:pPr>
            <w:r w:rsidRPr="007D15C3">
              <w:rPr>
                <w:rFonts w:cs="Calibri"/>
              </w:rPr>
              <w:t>51466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F2A8D3" w14:textId="77777777">
            <w:pPr>
              <w:jc w:val="center"/>
              <w:rPr>
                <w:rFonts w:cs="Calibri"/>
              </w:rPr>
            </w:pPr>
            <w:r w:rsidRPr="007D15C3">
              <w:rPr>
                <w:rFonts w:cs="Calibri"/>
              </w:rPr>
              <w:t>KFDA-TV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437E8B" w14:textId="77777777">
            <w:pPr>
              <w:rPr>
                <w:rFonts w:cs="Calibri"/>
              </w:rPr>
            </w:pPr>
            <w:r w:rsidRPr="007D15C3">
              <w:rPr>
                <w:rFonts w:cs="Calibri"/>
              </w:rPr>
              <w:t xml:space="preserve">             385,064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5A76CE" w14:textId="77777777">
            <w:pPr>
              <w:rPr>
                <w:rFonts w:cs="Calibri"/>
              </w:rPr>
            </w:pPr>
            <w:r w:rsidRPr="007D15C3">
              <w:rPr>
                <w:rFonts w:cs="Calibri"/>
              </w:rPr>
              <w:t xml:space="preserve">               383,977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8CB4A5" w14:textId="77777777">
            <w:pPr>
              <w:jc w:val="right"/>
              <w:rPr>
                <w:rFonts w:cs="Calibri"/>
              </w:rPr>
            </w:pPr>
            <w:r w:rsidRPr="007D15C3">
              <w:rPr>
                <w:rFonts w:cs="Calibri"/>
              </w:rPr>
              <w:t>$3,009</w:t>
            </w:r>
          </w:p>
        </w:tc>
      </w:tr>
      <w:tr w14:paraId="06C2A3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8D081F" w14:textId="77777777">
            <w:pPr>
              <w:jc w:val="center"/>
              <w:rPr>
                <w:rFonts w:cs="Calibri"/>
              </w:rPr>
            </w:pPr>
            <w:r w:rsidRPr="007D15C3">
              <w:rPr>
                <w:rFonts w:cs="Calibri"/>
              </w:rPr>
              <w:t>22589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7D65D3" w14:textId="77777777">
            <w:pPr>
              <w:jc w:val="center"/>
              <w:rPr>
                <w:rFonts w:cs="Calibri"/>
              </w:rPr>
            </w:pPr>
            <w:r w:rsidRPr="007D15C3">
              <w:rPr>
                <w:rFonts w:cs="Calibri"/>
              </w:rPr>
              <w:t>KFDM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B84451" w14:textId="77777777">
            <w:pPr>
              <w:rPr>
                <w:rFonts w:cs="Calibri"/>
              </w:rPr>
            </w:pPr>
            <w:r w:rsidRPr="007D15C3">
              <w:rPr>
                <w:rFonts w:cs="Calibri"/>
              </w:rPr>
              <w:t xml:space="preserve">             732,665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21AA26" w14:textId="77777777">
            <w:pPr>
              <w:rPr>
                <w:rFonts w:cs="Calibri"/>
              </w:rPr>
            </w:pPr>
            <w:r w:rsidRPr="007D15C3">
              <w:rPr>
                <w:rFonts w:cs="Calibri"/>
              </w:rPr>
              <w:t xml:space="preserve">               732,588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893BAA" w14:textId="77777777">
            <w:pPr>
              <w:jc w:val="right"/>
              <w:rPr>
                <w:rFonts w:cs="Calibri"/>
              </w:rPr>
            </w:pPr>
            <w:r w:rsidRPr="007D15C3">
              <w:rPr>
                <w:rFonts w:cs="Calibri"/>
              </w:rPr>
              <w:t>$5,741</w:t>
            </w:r>
          </w:p>
        </w:tc>
      </w:tr>
      <w:tr w14:paraId="07F7596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0D0EAA" w14:textId="77777777">
            <w:pPr>
              <w:jc w:val="center"/>
              <w:rPr>
                <w:rFonts w:cs="Calibri"/>
              </w:rPr>
            </w:pPr>
            <w:r w:rsidRPr="007D15C3">
              <w:rPr>
                <w:rFonts w:cs="Calibri"/>
              </w:rPr>
              <w:t>65370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F87729" w14:textId="77777777">
            <w:pPr>
              <w:jc w:val="center"/>
              <w:rPr>
                <w:rFonts w:cs="Calibri"/>
              </w:rPr>
            </w:pPr>
            <w:r w:rsidRPr="007D15C3">
              <w:rPr>
                <w:rFonts w:cs="Calibri"/>
              </w:rPr>
              <w:t>KFDX-TV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002CD8" w14:textId="77777777">
            <w:pPr>
              <w:rPr>
                <w:rFonts w:cs="Calibri"/>
              </w:rPr>
            </w:pPr>
            <w:r w:rsidRPr="007D15C3">
              <w:rPr>
                <w:rFonts w:cs="Calibri"/>
              </w:rPr>
              <w:t xml:space="preserve">             381,703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C54936" w14:textId="77777777">
            <w:pPr>
              <w:rPr>
                <w:rFonts w:cs="Calibri"/>
              </w:rPr>
            </w:pPr>
            <w:r w:rsidRPr="007D15C3">
              <w:rPr>
                <w:rFonts w:cs="Calibri"/>
              </w:rPr>
              <w:t xml:space="preserve">               381,318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968849" w14:textId="77777777">
            <w:pPr>
              <w:jc w:val="right"/>
              <w:rPr>
                <w:rFonts w:cs="Calibri"/>
              </w:rPr>
            </w:pPr>
            <w:r w:rsidRPr="007D15C3">
              <w:rPr>
                <w:rFonts w:cs="Calibri"/>
              </w:rPr>
              <w:t>$2,988</w:t>
            </w:r>
          </w:p>
        </w:tc>
      </w:tr>
      <w:tr w14:paraId="42E8C3B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2D61B7" w14:textId="77777777">
            <w:pPr>
              <w:jc w:val="center"/>
              <w:rPr>
                <w:rFonts w:cs="Calibri"/>
              </w:rPr>
            </w:pPr>
            <w:r w:rsidRPr="007D15C3">
              <w:rPr>
                <w:rFonts w:cs="Calibri"/>
              </w:rPr>
              <w:t>49264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0A8424" w14:textId="77777777">
            <w:pPr>
              <w:jc w:val="center"/>
              <w:rPr>
                <w:rFonts w:cs="Calibri"/>
              </w:rPr>
            </w:pPr>
            <w:r w:rsidRPr="007D15C3">
              <w:rPr>
                <w:rFonts w:cs="Calibri"/>
              </w:rPr>
              <w:t>KFFV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7C510A" w14:textId="77777777">
            <w:pPr>
              <w:rPr>
                <w:rFonts w:cs="Calibri"/>
              </w:rPr>
            </w:pPr>
            <w:r w:rsidRPr="007D15C3">
              <w:rPr>
                <w:rFonts w:cs="Calibri"/>
              </w:rPr>
              <w:t xml:space="preserve">          3,783,380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3DBF0E" w14:textId="77777777">
            <w:pPr>
              <w:rPr>
                <w:rFonts w:cs="Calibri"/>
              </w:rPr>
            </w:pPr>
            <w:r w:rsidRPr="007D15C3">
              <w:rPr>
                <w:rFonts w:cs="Calibri"/>
              </w:rPr>
              <w:t xml:space="preserve">            3,717,323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D74E6F" w14:textId="77777777">
            <w:pPr>
              <w:jc w:val="right"/>
              <w:rPr>
                <w:rFonts w:cs="Calibri"/>
              </w:rPr>
            </w:pPr>
            <w:r w:rsidRPr="007D15C3">
              <w:rPr>
                <w:rFonts w:cs="Calibri"/>
              </w:rPr>
              <w:t>$29,133</w:t>
            </w:r>
          </w:p>
        </w:tc>
      </w:tr>
      <w:tr w14:paraId="3C7ED08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A89FE3" w14:textId="77777777">
            <w:pPr>
              <w:jc w:val="center"/>
              <w:rPr>
                <w:rFonts w:cs="Calibri"/>
              </w:rPr>
            </w:pPr>
            <w:r w:rsidRPr="007D15C3">
              <w:rPr>
                <w:rFonts w:cs="Calibri"/>
              </w:rPr>
              <w:t>12729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0ABCF4" w14:textId="77777777">
            <w:pPr>
              <w:jc w:val="center"/>
              <w:rPr>
                <w:rFonts w:cs="Calibri"/>
              </w:rPr>
            </w:pPr>
            <w:r w:rsidRPr="007D15C3">
              <w:rPr>
                <w:rFonts w:cs="Calibri"/>
              </w:rPr>
              <w:t>KFFX-TV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FFAF49" w14:textId="77777777">
            <w:pPr>
              <w:rPr>
                <w:rFonts w:cs="Calibri"/>
              </w:rPr>
            </w:pPr>
            <w:r w:rsidRPr="007D15C3">
              <w:rPr>
                <w:rFonts w:cs="Calibri"/>
              </w:rPr>
              <w:t xml:space="preserve">             409,952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F46AC6" w14:textId="77777777">
            <w:pPr>
              <w:rPr>
                <w:rFonts w:cs="Calibri"/>
              </w:rPr>
            </w:pPr>
            <w:r w:rsidRPr="007D15C3">
              <w:rPr>
                <w:rFonts w:cs="Calibri"/>
              </w:rPr>
              <w:t xml:space="preserve">               403,692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B0ECF2" w14:textId="77777777">
            <w:pPr>
              <w:jc w:val="right"/>
              <w:rPr>
                <w:rFonts w:cs="Calibri"/>
              </w:rPr>
            </w:pPr>
            <w:r w:rsidRPr="007D15C3">
              <w:rPr>
                <w:rFonts w:cs="Calibri"/>
              </w:rPr>
              <w:t>$3,164</w:t>
            </w:r>
          </w:p>
        </w:tc>
      </w:tr>
      <w:tr w14:paraId="6F6FC918"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1302B1" w14:textId="77777777">
            <w:pPr>
              <w:jc w:val="center"/>
              <w:rPr>
                <w:rFonts w:cs="Calibri"/>
              </w:rPr>
            </w:pPr>
            <w:r w:rsidRPr="007D15C3">
              <w:rPr>
                <w:rFonts w:cs="Calibri"/>
              </w:rPr>
              <w:t>83992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3C5B21DC" w14:textId="77777777">
            <w:pPr>
              <w:jc w:val="center"/>
              <w:rPr>
                <w:rFonts w:cs="Calibri"/>
              </w:rPr>
            </w:pPr>
            <w:r w:rsidRPr="007D15C3">
              <w:rPr>
                <w:rFonts w:cs="Calibri"/>
              </w:rPr>
              <w:t>KFJX</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F2EBB6F" w14:textId="77777777">
            <w:pPr>
              <w:rPr>
                <w:rFonts w:cs="Calibri"/>
              </w:rPr>
            </w:pPr>
            <w:r w:rsidRPr="007D15C3">
              <w:rPr>
                <w:rFonts w:cs="Calibri"/>
              </w:rPr>
              <w:t xml:space="preserve">             515,708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ED941E2" w14:textId="77777777">
            <w:pPr>
              <w:rPr>
                <w:rFonts w:cs="Calibri"/>
              </w:rPr>
            </w:pPr>
            <w:r w:rsidRPr="007D15C3">
              <w:rPr>
                <w:rFonts w:cs="Calibri"/>
              </w:rPr>
              <w:t xml:space="preserve">               505,647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FC12330" w14:textId="77777777">
            <w:pPr>
              <w:jc w:val="right"/>
              <w:rPr>
                <w:rFonts w:cs="Calibri"/>
              </w:rPr>
            </w:pPr>
            <w:r w:rsidRPr="007D15C3">
              <w:rPr>
                <w:rFonts w:cs="Calibri"/>
              </w:rPr>
              <w:t>$3,963</w:t>
            </w:r>
          </w:p>
        </w:tc>
      </w:tr>
      <w:tr w14:paraId="257DB68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8283B3" w14:textId="77777777">
            <w:pPr>
              <w:jc w:val="center"/>
              <w:rPr>
                <w:rFonts w:cs="Calibri"/>
              </w:rPr>
            </w:pPr>
            <w:r w:rsidRPr="007D15C3">
              <w:rPr>
                <w:rFonts w:cs="Calibri"/>
              </w:rPr>
              <w:t>42122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0325BE" w14:textId="77777777">
            <w:pPr>
              <w:jc w:val="center"/>
              <w:rPr>
                <w:rFonts w:cs="Calibri"/>
              </w:rPr>
            </w:pPr>
            <w:r w:rsidRPr="007D15C3">
              <w:rPr>
                <w:rFonts w:cs="Calibri"/>
              </w:rPr>
              <w:t>KFMB-TV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CBE14E" w14:textId="77777777">
            <w:pPr>
              <w:rPr>
                <w:rFonts w:cs="Calibri"/>
              </w:rPr>
            </w:pPr>
            <w:r w:rsidRPr="007D15C3">
              <w:rPr>
                <w:rFonts w:cs="Calibri"/>
              </w:rPr>
              <w:t xml:space="preserve">          3,947,735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8F7421" w14:textId="77777777">
            <w:pPr>
              <w:rPr>
                <w:rFonts w:cs="Calibri"/>
              </w:rPr>
            </w:pPr>
            <w:r w:rsidRPr="007D15C3">
              <w:rPr>
                <w:rFonts w:cs="Calibri"/>
              </w:rPr>
              <w:t xml:space="preserve">            3,699,981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670D7F" w14:textId="77777777">
            <w:pPr>
              <w:jc w:val="right"/>
              <w:rPr>
                <w:rFonts w:cs="Calibri"/>
              </w:rPr>
            </w:pPr>
            <w:r w:rsidRPr="007D15C3">
              <w:rPr>
                <w:rFonts w:cs="Calibri"/>
              </w:rPr>
              <w:t>$28,997</w:t>
            </w:r>
          </w:p>
        </w:tc>
      </w:tr>
      <w:tr w14:paraId="551EC6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D10AF9" w14:textId="77777777">
            <w:pPr>
              <w:jc w:val="center"/>
              <w:rPr>
                <w:rFonts w:cs="Calibri"/>
              </w:rPr>
            </w:pPr>
            <w:r w:rsidRPr="007D15C3">
              <w:rPr>
                <w:rFonts w:cs="Calibri"/>
              </w:rPr>
              <w:t>53321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9EE4CD" w14:textId="77777777">
            <w:pPr>
              <w:jc w:val="center"/>
              <w:rPr>
                <w:rFonts w:cs="Calibri"/>
              </w:rPr>
            </w:pPr>
            <w:r w:rsidRPr="007D15C3">
              <w:rPr>
                <w:rFonts w:cs="Calibri"/>
              </w:rPr>
              <w:t>KFME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BC46FE" w14:textId="77777777">
            <w:pPr>
              <w:rPr>
                <w:rFonts w:cs="Calibri"/>
              </w:rPr>
            </w:pPr>
            <w:r w:rsidRPr="007D15C3">
              <w:rPr>
                <w:rFonts w:cs="Calibri"/>
              </w:rPr>
              <w:t xml:space="preserve">             393,045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FC52CC" w14:textId="77777777">
            <w:pPr>
              <w:rPr>
                <w:rFonts w:cs="Calibri"/>
              </w:rPr>
            </w:pPr>
            <w:r w:rsidRPr="007D15C3">
              <w:rPr>
                <w:rFonts w:cs="Calibri"/>
              </w:rPr>
              <w:t xml:space="preserve">               392,472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010B64" w14:textId="77777777">
            <w:pPr>
              <w:jc w:val="right"/>
              <w:rPr>
                <w:rFonts w:cs="Calibri"/>
              </w:rPr>
            </w:pPr>
            <w:r w:rsidRPr="007D15C3">
              <w:rPr>
                <w:rFonts w:cs="Calibri"/>
              </w:rPr>
              <w:t>$3,076</w:t>
            </w:r>
          </w:p>
        </w:tc>
      </w:tr>
      <w:tr w14:paraId="43AE54E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AE5DC6" w14:textId="77777777">
            <w:pPr>
              <w:jc w:val="center"/>
              <w:rPr>
                <w:rFonts w:cs="Calibri"/>
              </w:rPr>
            </w:pPr>
            <w:r w:rsidRPr="007D15C3">
              <w:rPr>
                <w:rFonts w:cs="Calibri"/>
              </w:rPr>
              <w:t>74256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502E2C" w14:textId="77777777">
            <w:pPr>
              <w:jc w:val="center"/>
              <w:rPr>
                <w:rFonts w:cs="Calibri"/>
              </w:rPr>
            </w:pPr>
            <w:r w:rsidRPr="007D15C3">
              <w:rPr>
                <w:rFonts w:cs="Calibri"/>
              </w:rPr>
              <w:t>KFNB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08457F" w14:textId="77777777">
            <w:pPr>
              <w:rPr>
                <w:rFonts w:cs="Calibri"/>
              </w:rPr>
            </w:pPr>
            <w:r w:rsidRPr="007D15C3">
              <w:rPr>
                <w:rFonts w:cs="Calibri"/>
              </w:rPr>
              <w:t xml:space="preserve">               80,382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5EE830" w14:textId="77777777">
            <w:pPr>
              <w:rPr>
                <w:rFonts w:cs="Calibri"/>
              </w:rPr>
            </w:pPr>
            <w:r w:rsidRPr="007D15C3">
              <w:rPr>
                <w:rFonts w:cs="Calibri"/>
              </w:rPr>
              <w:t xml:space="preserve">                 79,842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FE451D" w14:textId="77777777">
            <w:pPr>
              <w:jc w:val="right"/>
              <w:rPr>
                <w:rFonts w:cs="Calibri"/>
              </w:rPr>
            </w:pPr>
            <w:r w:rsidRPr="007D15C3">
              <w:rPr>
                <w:rFonts w:cs="Calibri"/>
              </w:rPr>
              <w:t>$626</w:t>
            </w:r>
          </w:p>
        </w:tc>
      </w:tr>
      <w:tr w14:paraId="606D40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FC2D4A" w14:textId="77777777">
            <w:pPr>
              <w:jc w:val="center"/>
              <w:rPr>
                <w:rFonts w:cs="Calibri"/>
              </w:rPr>
            </w:pPr>
            <w:r w:rsidRPr="007D15C3">
              <w:rPr>
                <w:rFonts w:cs="Calibri"/>
              </w:rPr>
              <w:t>21613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621DAB" w14:textId="77777777">
            <w:pPr>
              <w:jc w:val="center"/>
              <w:rPr>
                <w:rFonts w:cs="Calibri"/>
              </w:rPr>
            </w:pPr>
            <w:r w:rsidRPr="007D15C3">
              <w:rPr>
                <w:rFonts w:cs="Calibri"/>
              </w:rPr>
              <w:t>KFNE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18DBEC" w14:textId="77777777">
            <w:pPr>
              <w:rPr>
                <w:rFonts w:cs="Calibri"/>
              </w:rPr>
            </w:pPr>
            <w:r w:rsidRPr="007D15C3">
              <w:rPr>
                <w:rFonts w:cs="Calibri"/>
              </w:rPr>
              <w:t xml:space="preserve">               54,988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B9CC6B" w14:textId="77777777">
            <w:pPr>
              <w:rPr>
                <w:rFonts w:cs="Calibri"/>
              </w:rPr>
            </w:pPr>
            <w:r w:rsidRPr="007D15C3">
              <w:rPr>
                <w:rFonts w:cs="Calibri"/>
              </w:rPr>
              <w:t xml:space="preserve">                 54,420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E3FCFC" w14:textId="77777777">
            <w:pPr>
              <w:jc w:val="right"/>
              <w:rPr>
                <w:rFonts w:cs="Calibri"/>
              </w:rPr>
            </w:pPr>
            <w:r w:rsidRPr="007D15C3">
              <w:rPr>
                <w:rFonts w:cs="Calibri"/>
              </w:rPr>
              <w:t>$426</w:t>
            </w:r>
          </w:p>
        </w:tc>
      </w:tr>
      <w:tr w14:paraId="2DD5B34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5A6449" w14:textId="77777777">
            <w:pPr>
              <w:jc w:val="center"/>
              <w:rPr>
                <w:rFonts w:cs="Calibri"/>
              </w:rPr>
            </w:pPr>
            <w:r w:rsidRPr="007D15C3">
              <w:rPr>
                <w:rFonts w:cs="Calibri"/>
              </w:rPr>
              <w:t>21612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C6307D" w14:textId="77777777">
            <w:pPr>
              <w:jc w:val="center"/>
              <w:rPr>
                <w:rFonts w:cs="Calibri"/>
              </w:rPr>
            </w:pPr>
            <w:r w:rsidRPr="007D15C3">
              <w:rPr>
                <w:rFonts w:cs="Calibri"/>
              </w:rPr>
              <w:t>KFNR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3F21CC" w14:textId="77777777">
            <w:pPr>
              <w:rPr>
                <w:rFonts w:cs="Calibri"/>
              </w:rPr>
            </w:pPr>
            <w:r w:rsidRPr="007D15C3">
              <w:rPr>
                <w:rFonts w:cs="Calibri"/>
              </w:rPr>
              <w:t xml:space="preserve">               10,988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0068A5" w14:textId="77777777">
            <w:pPr>
              <w:rPr>
                <w:rFonts w:cs="Calibri"/>
              </w:rPr>
            </w:pPr>
            <w:r w:rsidRPr="007D15C3">
              <w:rPr>
                <w:rFonts w:cs="Calibri"/>
              </w:rPr>
              <w:t xml:space="preserve">                 10,965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BB8477" w14:textId="77777777">
            <w:pPr>
              <w:jc w:val="right"/>
              <w:rPr>
                <w:rFonts w:cs="Calibri"/>
              </w:rPr>
            </w:pPr>
            <w:r w:rsidRPr="007D15C3">
              <w:rPr>
                <w:rFonts w:cs="Calibri"/>
              </w:rPr>
              <w:t>$86</w:t>
            </w:r>
          </w:p>
        </w:tc>
      </w:tr>
      <w:tr w14:paraId="275706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4A9F46" w14:textId="77777777">
            <w:pPr>
              <w:jc w:val="center"/>
              <w:rPr>
                <w:rFonts w:cs="Calibri"/>
              </w:rPr>
            </w:pPr>
            <w:r w:rsidRPr="007D15C3">
              <w:rPr>
                <w:rFonts w:cs="Calibri"/>
              </w:rPr>
              <w:t>66222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CD3864" w14:textId="77777777">
            <w:pPr>
              <w:jc w:val="center"/>
              <w:rPr>
                <w:rFonts w:cs="Calibri"/>
              </w:rPr>
            </w:pPr>
            <w:r w:rsidRPr="007D15C3">
              <w:rPr>
                <w:rFonts w:cs="Calibri"/>
              </w:rPr>
              <w:t>KFOR-TV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F926D3" w14:textId="77777777">
            <w:pPr>
              <w:rPr>
                <w:rFonts w:cs="Calibri"/>
              </w:rPr>
            </w:pPr>
            <w:r w:rsidRPr="007D15C3">
              <w:rPr>
                <w:rFonts w:cs="Calibri"/>
              </w:rPr>
              <w:t xml:space="preserve">          1,616,459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5345F8" w14:textId="77777777">
            <w:pPr>
              <w:rPr>
                <w:rFonts w:cs="Calibri"/>
              </w:rPr>
            </w:pPr>
            <w:r w:rsidRPr="007D15C3">
              <w:rPr>
                <w:rFonts w:cs="Calibri"/>
              </w:rPr>
              <w:t xml:space="preserve">            1,615,614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B0025A" w14:textId="77777777">
            <w:pPr>
              <w:jc w:val="right"/>
              <w:rPr>
                <w:rFonts w:cs="Calibri"/>
              </w:rPr>
            </w:pPr>
            <w:r w:rsidRPr="007D15C3">
              <w:rPr>
                <w:rFonts w:cs="Calibri"/>
              </w:rPr>
              <w:t>$12,662</w:t>
            </w:r>
          </w:p>
        </w:tc>
      </w:tr>
      <w:tr w14:paraId="122DE0D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A3DAA4" w14:textId="77777777">
            <w:pPr>
              <w:jc w:val="center"/>
              <w:rPr>
                <w:rFonts w:cs="Calibri"/>
              </w:rPr>
            </w:pPr>
            <w:r w:rsidRPr="007D15C3">
              <w:rPr>
                <w:rFonts w:cs="Calibri"/>
              </w:rPr>
              <w:t>33716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07A9FC" w14:textId="77777777">
            <w:pPr>
              <w:jc w:val="center"/>
              <w:rPr>
                <w:rFonts w:cs="Calibri"/>
              </w:rPr>
            </w:pPr>
            <w:r w:rsidRPr="007D15C3">
              <w:rPr>
                <w:rFonts w:cs="Calibri"/>
              </w:rPr>
              <w:t>KFOX-TV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10EB4E" w14:textId="77777777">
            <w:pPr>
              <w:rPr>
                <w:rFonts w:cs="Calibri"/>
              </w:rPr>
            </w:pPr>
            <w:r w:rsidRPr="007D15C3">
              <w:rPr>
                <w:rFonts w:cs="Calibri"/>
              </w:rPr>
              <w:t xml:space="preserve">          1,023,999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200979" w14:textId="77777777">
            <w:pPr>
              <w:rPr>
                <w:rFonts w:cs="Calibri"/>
              </w:rPr>
            </w:pPr>
            <w:r w:rsidRPr="007D15C3">
              <w:rPr>
                <w:rFonts w:cs="Calibri"/>
              </w:rPr>
              <w:t xml:space="preserve">            1,018,549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181D6F" w14:textId="77777777">
            <w:pPr>
              <w:jc w:val="right"/>
              <w:rPr>
                <w:rFonts w:cs="Calibri"/>
              </w:rPr>
            </w:pPr>
            <w:r w:rsidRPr="007D15C3">
              <w:rPr>
                <w:rFonts w:cs="Calibri"/>
              </w:rPr>
              <w:t>$7,982</w:t>
            </w:r>
          </w:p>
        </w:tc>
      </w:tr>
      <w:tr w14:paraId="21A7DAB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16E3A9" w14:textId="77777777">
            <w:pPr>
              <w:jc w:val="center"/>
              <w:rPr>
                <w:rFonts w:cs="Calibri"/>
              </w:rPr>
            </w:pPr>
            <w:r w:rsidRPr="007D15C3">
              <w:rPr>
                <w:rFonts w:cs="Calibri"/>
              </w:rPr>
              <w:t>41517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A28782D" w14:textId="77777777">
            <w:pPr>
              <w:jc w:val="center"/>
              <w:rPr>
                <w:rFonts w:cs="Calibri"/>
              </w:rPr>
            </w:pPr>
            <w:r w:rsidRPr="007D15C3">
              <w:rPr>
                <w:rFonts w:cs="Calibri"/>
              </w:rPr>
              <w:t>KFPH-DT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972F83" w14:textId="77777777">
            <w:pPr>
              <w:rPr>
                <w:rFonts w:cs="Calibri"/>
              </w:rPr>
            </w:pPr>
            <w:r w:rsidRPr="007D15C3">
              <w:rPr>
                <w:rFonts w:cs="Calibri"/>
              </w:rPr>
              <w:t xml:space="preserve">             347,579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069447" w14:textId="77777777">
            <w:pPr>
              <w:rPr>
                <w:rFonts w:cs="Calibri"/>
              </w:rPr>
            </w:pPr>
            <w:r w:rsidRPr="007D15C3">
              <w:rPr>
                <w:rFonts w:cs="Calibri"/>
              </w:rPr>
              <w:t xml:space="preserve">               282,838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73198B" w14:textId="77777777">
            <w:pPr>
              <w:jc w:val="right"/>
              <w:rPr>
                <w:rFonts w:cs="Calibri"/>
              </w:rPr>
            </w:pPr>
            <w:r w:rsidRPr="007D15C3">
              <w:rPr>
                <w:rFonts w:cs="Calibri"/>
              </w:rPr>
              <w:t>$2,217</w:t>
            </w:r>
          </w:p>
        </w:tc>
      </w:tr>
      <w:tr w14:paraId="7F8FD8A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7E63A4" w14:textId="77777777">
            <w:pPr>
              <w:jc w:val="center"/>
              <w:rPr>
                <w:rFonts w:cs="Calibri"/>
              </w:rPr>
            </w:pPr>
            <w:r w:rsidRPr="007D15C3">
              <w:rPr>
                <w:rFonts w:cs="Calibri"/>
              </w:rPr>
              <w:t>81509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C15727" w14:textId="77777777">
            <w:pPr>
              <w:jc w:val="center"/>
              <w:rPr>
                <w:rFonts w:cs="Calibri"/>
              </w:rPr>
            </w:pPr>
            <w:r w:rsidRPr="007D15C3">
              <w:rPr>
                <w:rFonts w:cs="Calibri"/>
              </w:rPr>
              <w:t>KFPX-TV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396570" w14:textId="77777777">
            <w:pPr>
              <w:rPr>
                <w:rFonts w:cs="Calibri"/>
              </w:rPr>
            </w:pPr>
            <w:r w:rsidRPr="007D15C3">
              <w:rPr>
                <w:rFonts w:cs="Calibri"/>
              </w:rPr>
              <w:t xml:space="preserve">             963,969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F52D50" w14:textId="77777777">
            <w:pPr>
              <w:rPr>
                <w:rFonts w:cs="Calibri"/>
              </w:rPr>
            </w:pPr>
            <w:r w:rsidRPr="007D15C3">
              <w:rPr>
                <w:rFonts w:cs="Calibri"/>
              </w:rPr>
              <w:t xml:space="preserve">               963,846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D835AD" w14:textId="77777777">
            <w:pPr>
              <w:jc w:val="right"/>
              <w:rPr>
                <w:rFonts w:cs="Calibri"/>
              </w:rPr>
            </w:pPr>
            <w:r w:rsidRPr="007D15C3">
              <w:rPr>
                <w:rFonts w:cs="Calibri"/>
              </w:rPr>
              <w:t>$7,554</w:t>
            </w:r>
          </w:p>
        </w:tc>
      </w:tr>
      <w:tr w14:paraId="6079E9F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768DD3" w14:textId="77777777">
            <w:pPr>
              <w:jc w:val="center"/>
              <w:rPr>
                <w:rFonts w:cs="Calibri"/>
              </w:rPr>
            </w:pPr>
            <w:r w:rsidRPr="007D15C3">
              <w:rPr>
                <w:rFonts w:cs="Calibri"/>
              </w:rPr>
              <w:t>31597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2BC2DF" w14:textId="77777777">
            <w:pPr>
              <w:jc w:val="center"/>
              <w:rPr>
                <w:rFonts w:cs="Calibri"/>
              </w:rPr>
            </w:pPr>
            <w:r w:rsidRPr="007D15C3">
              <w:rPr>
                <w:rFonts w:cs="Calibri"/>
              </w:rPr>
              <w:t>KFQX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DFE271" w14:textId="77777777">
            <w:pPr>
              <w:rPr>
                <w:rFonts w:cs="Calibri"/>
              </w:rPr>
            </w:pPr>
            <w:r w:rsidRPr="007D15C3">
              <w:rPr>
                <w:rFonts w:cs="Calibri"/>
              </w:rPr>
              <w:t xml:space="preserve">             186,473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FEE597" w14:textId="77777777">
            <w:pPr>
              <w:rPr>
                <w:rFonts w:cs="Calibri"/>
              </w:rPr>
            </w:pPr>
            <w:r w:rsidRPr="007D15C3">
              <w:rPr>
                <w:rFonts w:cs="Calibri"/>
              </w:rPr>
              <w:t xml:space="preserve">               163,637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BA91D9" w14:textId="77777777">
            <w:pPr>
              <w:jc w:val="right"/>
              <w:rPr>
                <w:rFonts w:cs="Calibri"/>
              </w:rPr>
            </w:pPr>
            <w:r w:rsidRPr="007D15C3">
              <w:rPr>
                <w:rFonts w:cs="Calibri"/>
              </w:rPr>
              <w:t>$1,282</w:t>
            </w:r>
          </w:p>
        </w:tc>
      </w:tr>
      <w:tr w14:paraId="071F06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11115A" w14:textId="77777777">
            <w:pPr>
              <w:jc w:val="center"/>
              <w:rPr>
                <w:rFonts w:cs="Calibri"/>
              </w:rPr>
            </w:pPr>
            <w:r w:rsidRPr="007D15C3">
              <w:rPr>
                <w:rFonts w:cs="Calibri"/>
              </w:rPr>
              <w:t>59013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D3901F" w14:textId="77777777">
            <w:pPr>
              <w:jc w:val="center"/>
              <w:rPr>
                <w:rFonts w:cs="Calibri"/>
              </w:rPr>
            </w:pPr>
            <w:r w:rsidRPr="007D15C3">
              <w:rPr>
                <w:rFonts w:cs="Calibri"/>
              </w:rPr>
              <w:t>KFRE-TV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4CDAB6" w14:textId="77777777">
            <w:pPr>
              <w:rPr>
                <w:rFonts w:cs="Calibri"/>
              </w:rPr>
            </w:pPr>
            <w:r w:rsidRPr="007D15C3">
              <w:rPr>
                <w:rFonts w:cs="Calibri"/>
              </w:rPr>
              <w:t xml:space="preserve">          1,721,275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F7612" w14:textId="77777777">
            <w:pPr>
              <w:rPr>
                <w:rFonts w:cs="Calibri"/>
              </w:rPr>
            </w:pPr>
            <w:r w:rsidRPr="007D15C3">
              <w:rPr>
                <w:rFonts w:cs="Calibri"/>
              </w:rPr>
              <w:t xml:space="preserve">            1,705,484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11776B" w14:textId="77777777">
            <w:pPr>
              <w:jc w:val="right"/>
              <w:rPr>
                <w:rFonts w:cs="Calibri"/>
              </w:rPr>
            </w:pPr>
            <w:r w:rsidRPr="007D15C3">
              <w:rPr>
                <w:rFonts w:cs="Calibri"/>
              </w:rPr>
              <w:t>$13,366</w:t>
            </w:r>
          </w:p>
        </w:tc>
      </w:tr>
      <w:tr w14:paraId="17595E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45A902" w14:textId="77777777">
            <w:pPr>
              <w:jc w:val="center"/>
              <w:rPr>
                <w:rFonts w:cs="Calibri"/>
              </w:rPr>
            </w:pPr>
            <w:r w:rsidRPr="007D15C3">
              <w:rPr>
                <w:rFonts w:cs="Calibri"/>
              </w:rPr>
              <w:t>51429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719AC7" w14:textId="77777777">
            <w:pPr>
              <w:jc w:val="center"/>
              <w:rPr>
                <w:rFonts w:cs="Calibri"/>
              </w:rPr>
            </w:pPr>
            <w:r w:rsidRPr="007D15C3">
              <w:rPr>
                <w:rFonts w:cs="Calibri"/>
              </w:rPr>
              <w:t>KFSF-DT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4B9118" w14:textId="77777777">
            <w:pPr>
              <w:rPr>
                <w:rFonts w:cs="Calibri"/>
              </w:rPr>
            </w:pPr>
            <w:r w:rsidRPr="007D15C3">
              <w:rPr>
                <w:rFonts w:cs="Calibri"/>
              </w:rPr>
              <w:t xml:space="preserve">          7,348,828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A2688" w14:textId="77777777">
            <w:pPr>
              <w:rPr>
                <w:rFonts w:cs="Calibri"/>
              </w:rPr>
            </w:pPr>
            <w:r w:rsidRPr="007D15C3">
              <w:rPr>
                <w:rFonts w:cs="Calibri"/>
              </w:rPr>
              <w:t xml:space="preserve">            6,528,430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74D698" w14:textId="77777777">
            <w:pPr>
              <w:jc w:val="right"/>
              <w:rPr>
                <w:rFonts w:cs="Calibri"/>
              </w:rPr>
            </w:pPr>
            <w:r w:rsidRPr="007D15C3">
              <w:rPr>
                <w:rFonts w:cs="Calibri"/>
              </w:rPr>
              <w:t>$51,163</w:t>
            </w:r>
          </w:p>
        </w:tc>
      </w:tr>
      <w:tr w14:paraId="5AC62A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9DB440" w14:textId="77777777">
            <w:pPr>
              <w:jc w:val="center"/>
              <w:rPr>
                <w:rFonts w:cs="Calibri"/>
              </w:rPr>
            </w:pPr>
            <w:r w:rsidRPr="007D15C3">
              <w:rPr>
                <w:rFonts w:cs="Calibri"/>
              </w:rPr>
              <w:t>66469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18D8C2" w14:textId="77777777">
            <w:pPr>
              <w:jc w:val="center"/>
              <w:rPr>
                <w:rFonts w:cs="Calibri"/>
              </w:rPr>
            </w:pPr>
            <w:r w:rsidRPr="007D15C3">
              <w:rPr>
                <w:rFonts w:cs="Calibri"/>
              </w:rPr>
              <w:t>KFSM-TV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407EB1" w14:textId="77777777">
            <w:pPr>
              <w:rPr>
                <w:rFonts w:cs="Calibri"/>
              </w:rPr>
            </w:pPr>
            <w:r w:rsidRPr="007D15C3">
              <w:rPr>
                <w:rFonts w:cs="Calibri"/>
              </w:rPr>
              <w:t xml:space="preserve">             906,728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491BA6" w14:textId="77777777">
            <w:pPr>
              <w:rPr>
                <w:rFonts w:cs="Calibri"/>
              </w:rPr>
            </w:pPr>
            <w:r w:rsidRPr="007D15C3">
              <w:rPr>
                <w:rFonts w:cs="Calibri"/>
              </w:rPr>
              <w:t xml:space="preserve">               884,919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B696DB" w14:textId="77777777">
            <w:pPr>
              <w:jc w:val="right"/>
              <w:rPr>
                <w:rFonts w:cs="Calibri"/>
              </w:rPr>
            </w:pPr>
            <w:r w:rsidRPr="007D15C3">
              <w:rPr>
                <w:rFonts w:cs="Calibri"/>
              </w:rPr>
              <w:t>$6,935</w:t>
            </w:r>
          </w:p>
        </w:tc>
      </w:tr>
      <w:tr w14:paraId="096645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5CFDA7" w14:textId="77777777">
            <w:pPr>
              <w:jc w:val="center"/>
              <w:rPr>
                <w:rFonts w:cs="Calibri"/>
              </w:rPr>
            </w:pPr>
            <w:r w:rsidRPr="007D15C3">
              <w:rPr>
                <w:rFonts w:cs="Calibri"/>
              </w:rPr>
              <w:t>8620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D7BFA36" w14:textId="77777777">
            <w:pPr>
              <w:jc w:val="center"/>
              <w:rPr>
                <w:rFonts w:cs="Calibri"/>
              </w:rPr>
            </w:pPr>
            <w:r w:rsidRPr="007D15C3">
              <w:rPr>
                <w:rFonts w:cs="Calibri"/>
              </w:rPr>
              <w:t>KFSN-TV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3ABDEA" w14:textId="77777777">
            <w:pPr>
              <w:rPr>
                <w:rFonts w:cs="Calibri"/>
              </w:rPr>
            </w:pPr>
            <w:r w:rsidRPr="007D15C3">
              <w:rPr>
                <w:rFonts w:cs="Calibri"/>
              </w:rPr>
              <w:t xml:space="preserve">          1,836,607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947ABF" w14:textId="77777777">
            <w:pPr>
              <w:rPr>
                <w:rFonts w:cs="Calibri"/>
              </w:rPr>
            </w:pPr>
            <w:r w:rsidRPr="007D15C3">
              <w:rPr>
                <w:rFonts w:cs="Calibri"/>
              </w:rPr>
              <w:t xml:space="preserve">            1,819,585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35C8D3" w14:textId="77777777">
            <w:pPr>
              <w:jc w:val="right"/>
              <w:rPr>
                <w:rFonts w:cs="Calibri"/>
              </w:rPr>
            </w:pPr>
            <w:r w:rsidRPr="007D15C3">
              <w:rPr>
                <w:rFonts w:cs="Calibri"/>
              </w:rPr>
              <w:t>$14,260</w:t>
            </w:r>
          </w:p>
        </w:tc>
      </w:tr>
      <w:tr w14:paraId="54E7A7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93B310" w14:textId="77777777">
            <w:pPr>
              <w:jc w:val="center"/>
              <w:rPr>
                <w:rFonts w:cs="Calibri"/>
              </w:rPr>
            </w:pPr>
            <w:r w:rsidRPr="007D15C3">
              <w:rPr>
                <w:rFonts w:cs="Calibri"/>
              </w:rPr>
              <w:t>29560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493CFC" w14:textId="77777777">
            <w:pPr>
              <w:jc w:val="center"/>
              <w:rPr>
                <w:rFonts w:cs="Calibri"/>
              </w:rPr>
            </w:pPr>
            <w:r w:rsidRPr="007D15C3">
              <w:rPr>
                <w:rFonts w:cs="Calibri"/>
              </w:rPr>
              <w:t>KFTA-TV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B57706" w14:textId="77777777">
            <w:pPr>
              <w:rPr>
                <w:rFonts w:cs="Calibri"/>
              </w:rPr>
            </w:pPr>
            <w:r w:rsidRPr="007D15C3">
              <w:rPr>
                <w:rFonts w:cs="Calibri"/>
              </w:rPr>
              <w:t xml:space="preserve">             818,859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A3F519" w14:textId="77777777">
            <w:pPr>
              <w:rPr>
                <w:rFonts w:cs="Calibri"/>
              </w:rPr>
            </w:pPr>
            <w:r w:rsidRPr="007D15C3">
              <w:rPr>
                <w:rFonts w:cs="Calibri"/>
              </w:rPr>
              <w:t xml:space="preserve">               809,173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FEAAB4" w14:textId="77777777">
            <w:pPr>
              <w:jc w:val="right"/>
              <w:rPr>
                <w:rFonts w:cs="Calibri"/>
              </w:rPr>
            </w:pPr>
            <w:r w:rsidRPr="007D15C3">
              <w:rPr>
                <w:rFonts w:cs="Calibri"/>
              </w:rPr>
              <w:t>$6,341</w:t>
            </w:r>
          </w:p>
        </w:tc>
      </w:tr>
      <w:tr w14:paraId="7B1EB0B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122A8D" w14:textId="77777777">
            <w:pPr>
              <w:jc w:val="center"/>
              <w:rPr>
                <w:rFonts w:cs="Calibri"/>
              </w:rPr>
            </w:pPr>
            <w:r w:rsidRPr="007D15C3">
              <w:rPr>
                <w:rFonts w:cs="Calibri"/>
              </w:rPr>
              <w:t>83714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F73486" w14:textId="77777777">
            <w:pPr>
              <w:jc w:val="center"/>
              <w:rPr>
                <w:rFonts w:cs="Calibri"/>
              </w:rPr>
            </w:pPr>
            <w:r w:rsidRPr="007D15C3">
              <w:rPr>
                <w:rFonts w:cs="Calibri"/>
              </w:rPr>
              <w:t>KFTC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A6AF3A" w14:textId="77777777">
            <w:pPr>
              <w:rPr>
                <w:rFonts w:cs="Calibri"/>
              </w:rPr>
            </w:pPr>
            <w:r w:rsidRPr="007D15C3">
              <w:rPr>
                <w:rFonts w:cs="Calibri"/>
              </w:rPr>
              <w:t xml:space="preserve">               61,990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9D26E7" w14:textId="77777777">
            <w:pPr>
              <w:rPr>
                <w:rFonts w:cs="Calibri"/>
              </w:rPr>
            </w:pPr>
            <w:r w:rsidRPr="007D15C3">
              <w:rPr>
                <w:rFonts w:cs="Calibri"/>
              </w:rPr>
              <w:t xml:space="preserve">                 61,953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EA35CB" w14:textId="77777777">
            <w:pPr>
              <w:jc w:val="right"/>
              <w:rPr>
                <w:rFonts w:cs="Calibri"/>
              </w:rPr>
            </w:pPr>
            <w:r w:rsidRPr="007D15C3">
              <w:rPr>
                <w:rFonts w:cs="Calibri"/>
              </w:rPr>
              <w:t>$486</w:t>
            </w:r>
          </w:p>
        </w:tc>
      </w:tr>
      <w:tr w14:paraId="75AAFDF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6D718E" w14:textId="77777777">
            <w:pPr>
              <w:jc w:val="center"/>
              <w:rPr>
                <w:rFonts w:cs="Calibri"/>
              </w:rPr>
            </w:pPr>
            <w:r w:rsidRPr="007D15C3">
              <w:rPr>
                <w:rFonts w:cs="Calibri"/>
              </w:rPr>
              <w:t>60537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AA4D24" w14:textId="77777777">
            <w:pPr>
              <w:jc w:val="center"/>
              <w:rPr>
                <w:rFonts w:cs="Calibri"/>
              </w:rPr>
            </w:pPr>
            <w:r w:rsidRPr="007D15C3">
              <w:rPr>
                <w:rFonts w:cs="Calibri"/>
              </w:rPr>
              <w:t>KFTH-DT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5E683F" w14:textId="77777777">
            <w:pPr>
              <w:rPr>
                <w:rFonts w:cs="Calibri"/>
              </w:rPr>
            </w:pPr>
            <w:r w:rsidRPr="007D15C3">
              <w:rPr>
                <w:rFonts w:cs="Calibri"/>
              </w:rPr>
              <w:t xml:space="preserve">          6,080,688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D210A1" w14:textId="77777777">
            <w:pPr>
              <w:rPr>
                <w:rFonts w:cs="Calibri"/>
              </w:rPr>
            </w:pPr>
            <w:r w:rsidRPr="007D15C3">
              <w:rPr>
                <w:rFonts w:cs="Calibri"/>
              </w:rPr>
              <w:t xml:space="preserve">            6,080,373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D4BEDD" w14:textId="77777777">
            <w:pPr>
              <w:jc w:val="right"/>
              <w:rPr>
                <w:rFonts w:cs="Calibri"/>
              </w:rPr>
            </w:pPr>
            <w:r w:rsidRPr="007D15C3">
              <w:rPr>
                <w:rFonts w:cs="Calibri"/>
              </w:rPr>
              <w:t>$47,652</w:t>
            </w:r>
          </w:p>
        </w:tc>
      </w:tr>
      <w:tr w14:paraId="2876591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BDE238E" w14:textId="77777777">
            <w:pPr>
              <w:jc w:val="center"/>
              <w:rPr>
                <w:rFonts w:cs="Calibri"/>
              </w:rPr>
            </w:pPr>
            <w:r w:rsidRPr="007D15C3">
              <w:rPr>
                <w:rFonts w:cs="Calibri"/>
              </w:rPr>
              <w:t>60549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06E037" w14:textId="77777777">
            <w:pPr>
              <w:jc w:val="center"/>
              <w:rPr>
                <w:rFonts w:cs="Calibri"/>
              </w:rPr>
            </w:pPr>
            <w:r w:rsidRPr="007D15C3">
              <w:rPr>
                <w:rFonts w:cs="Calibri"/>
              </w:rPr>
              <w:t>KFTR-DT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D491D2" w14:textId="77777777">
            <w:pPr>
              <w:rPr>
                <w:rFonts w:cs="Calibri"/>
              </w:rPr>
            </w:pPr>
            <w:r w:rsidRPr="007D15C3">
              <w:rPr>
                <w:rFonts w:cs="Calibri"/>
              </w:rPr>
              <w:t xml:space="preserve">        17,560,679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EAF816" w14:textId="77777777">
            <w:pPr>
              <w:rPr>
                <w:rFonts w:cs="Calibri"/>
              </w:rPr>
            </w:pPr>
            <w:r w:rsidRPr="007D15C3">
              <w:rPr>
                <w:rFonts w:cs="Calibri"/>
              </w:rPr>
              <w:t xml:space="preserve">          16,305,726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3C32D2" w14:textId="77777777">
            <w:pPr>
              <w:jc w:val="right"/>
              <w:rPr>
                <w:rFonts w:cs="Calibri"/>
              </w:rPr>
            </w:pPr>
            <w:r w:rsidRPr="007D15C3">
              <w:rPr>
                <w:rFonts w:cs="Calibri"/>
              </w:rPr>
              <w:t>$127,788</w:t>
            </w:r>
          </w:p>
        </w:tc>
      </w:tr>
      <w:tr w14:paraId="2B75AF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438C2F" w14:textId="77777777">
            <w:pPr>
              <w:jc w:val="center"/>
              <w:rPr>
                <w:rFonts w:cs="Calibri"/>
              </w:rPr>
            </w:pPr>
            <w:r w:rsidRPr="007D15C3">
              <w:rPr>
                <w:rFonts w:cs="Calibri"/>
              </w:rPr>
              <w:t>61335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65CAF4" w14:textId="77777777">
            <w:pPr>
              <w:jc w:val="center"/>
              <w:rPr>
                <w:rFonts w:cs="Calibri"/>
              </w:rPr>
            </w:pPr>
            <w:r w:rsidRPr="007D15C3">
              <w:rPr>
                <w:rFonts w:cs="Calibri"/>
              </w:rPr>
              <w:t>KFTS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27D15B" w14:textId="77777777">
            <w:pPr>
              <w:rPr>
                <w:rFonts w:cs="Calibri"/>
              </w:rPr>
            </w:pPr>
            <w:r w:rsidRPr="007D15C3">
              <w:rPr>
                <w:rFonts w:cs="Calibri"/>
              </w:rPr>
              <w:t xml:space="preserve">               74,936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9733F3" w14:textId="77777777">
            <w:pPr>
              <w:rPr>
                <w:rFonts w:cs="Calibri"/>
              </w:rPr>
            </w:pPr>
            <w:r w:rsidRPr="007D15C3">
              <w:rPr>
                <w:rFonts w:cs="Calibri"/>
              </w:rPr>
              <w:t xml:space="preserve">                 65,126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B0CB58" w14:textId="77777777">
            <w:pPr>
              <w:jc w:val="right"/>
              <w:rPr>
                <w:rFonts w:cs="Calibri"/>
              </w:rPr>
            </w:pPr>
            <w:r w:rsidRPr="007D15C3">
              <w:rPr>
                <w:rFonts w:cs="Calibri"/>
              </w:rPr>
              <w:t>$510</w:t>
            </w:r>
          </w:p>
        </w:tc>
      </w:tr>
      <w:tr w14:paraId="53DB0A6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CE6B19" w14:textId="77777777">
            <w:pPr>
              <w:jc w:val="center"/>
              <w:rPr>
                <w:rFonts w:cs="Calibri"/>
              </w:rPr>
            </w:pPr>
            <w:r w:rsidRPr="007D15C3">
              <w:rPr>
                <w:rFonts w:cs="Calibri"/>
              </w:rPr>
              <w:t>81441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EF93CB" w14:textId="77777777">
            <w:pPr>
              <w:jc w:val="center"/>
              <w:rPr>
                <w:rFonts w:cs="Calibri"/>
              </w:rPr>
            </w:pPr>
            <w:r w:rsidRPr="007D15C3">
              <w:rPr>
                <w:rFonts w:cs="Calibri"/>
              </w:rPr>
              <w:t>KFTU-DT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05BA4D" w14:textId="77777777">
            <w:pPr>
              <w:rPr>
                <w:rFonts w:cs="Calibri"/>
              </w:rPr>
            </w:pPr>
            <w:r w:rsidRPr="007D15C3">
              <w:rPr>
                <w:rFonts w:cs="Calibri"/>
              </w:rPr>
              <w:t xml:space="preserve">             113,876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C8D0A7" w14:textId="77777777">
            <w:pPr>
              <w:rPr>
                <w:rFonts w:cs="Calibri"/>
              </w:rPr>
            </w:pPr>
            <w:r w:rsidRPr="007D15C3">
              <w:rPr>
                <w:rFonts w:cs="Calibri"/>
              </w:rPr>
              <w:t xml:space="preserve">               109,731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F93E61" w14:textId="77777777">
            <w:pPr>
              <w:jc w:val="right"/>
              <w:rPr>
                <w:rFonts w:cs="Calibri"/>
              </w:rPr>
            </w:pPr>
            <w:r w:rsidRPr="007D15C3">
              <w:rPr>
                <w:rFonts w:cs="Calibri"/>
              </w:rPr>
              <w:t>$860</w:t>
            </w:r>
          </w:p>
        </w:tc>
      </w:tr>
      <w:tr w14:paraId="340A0FE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2B9C64" w14:textId="77777777">
            <w:pPr>
              <w:jc w:val="center"/>
              <w:rPr>
                <w:rFonts w:cs="Calibri"/>
              </w:rPr>
            </w:pPr>
            <w:r w:rsidRPr="007D15C3">
              <w:rPr>
                <w:rFonts w:cs="Calibri"/>
              </w:rPr>
              <w:t>34439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1B62EC" w14:textId="77777777">
            <w:pPr>
              <w:jc w:val="center"/>
              <w:rPr>
                <w:rFonts w:cs="Calibri"/>
              </w:rPr>
            </w:pPr>
            <w:r w:rsidRPr="007D15C3">
              <w:rPr>
                <w:rFonts w:cs="Calibri"/>
              </w:rPr>
              <w:t>KFTV-DT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AED339" w14:textId="77777777">
            <w:pPr>
              <w:rPr>
                <w:rFonts w:cs="Calibri"/>
              </w:rPr>
            </w:pPr>
            <w:r w:rsidRPr="007D15C3">
              <w:rPr>
                <w:rFonts w:cs="Calibri"/>
              </w:rPr>
              <w:t xml:space="preserve">          1,807,731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EA033B" w14:textId="77777777">
            <w:pPr>
              <w:rPr>
                <w:rFonts w:cs="Calibri"/>
              </w:rPr>
            </w:pPr>
            <w:r w:rsidRPr="007D15C3">
              <w:rPr>
                <w:rFonts w:cs="Calibri"/>
              </w:rPr>
              <w:t xml:space="preserve">            1,793,418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8AB9E4" w14:textId="77777777">
            <w:pPr>
              <w:jc w:val="right"/>
              <w:rPr>
                <w:rFonts w:cs="Calibri"/>
              </w:rPr>
            </w:pPr>
            <w:r w:rsidRPr="007D15C3">
              <w:rPr>
                <w:rFonts w:cs="Calibri"/>
              </w:rPr>
              <w:t>$14,055</w:t>
            </w:r>
          </w:p>
        </w:tc>
      </w:tr>
      <w:tr w14:paraId="1C9592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120ED5" w14:textId="77777777">
            <w:pPr>
              <w:jc w:val="center"/>
              <w:rPr>
                <w:rFonts w:cs="Calibri"/>
              </w:rPr>
            </w:pPr>
            <w:r w:rsidRPr="007D15C3">
              <w:rPr>
                <w:rFonts w:cs="Calibri"/>
              </w:rPr>
              <w:t>36917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CFAE0A" w14:textId="77777777">
            <w:pPr>
              <w:jc w:val="center"/>
              <w:rPr>
                <w:rFonts w:cs="Calibri"/>
              </w:rPr>
            </w:pPr>
            <w:r w:rsidRPr="007D15C3">
              <w:rPr>
                <w:rFonts w:cs="Calibri"/>
              </w:rPr>
              <w:t>KFVE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547300" w14:textId="77777777">
            <w:pPr>
              <w:rPr>
                <w:rFonts w:cs="Calibri"/>
              </w:rPr>
            </w:pPr>
            <w:r w:rsidRPr="007D15C3">
              <w:rPr>
                <w:rFonts w:cs="Calibri"/>
              </w:rPr>
              <w:t xml:space="preserve">             953,895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CCA346" w14:textId="77777777">
            <w:pPr>
              <w:rPr>
                <w:rFonts w:cs="Calibri"/>
              </w:rPr>
            </w:pPr>
            <w:r w:rsidRPr="007D15C3">
              <w:rPr>
                <w:rFonts w:cs="Calibri"/>
              </w:rPr>
              <w:t xml:space="preserve">               851,585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A0958A" w14:textId="77777777">
            <w:pPr>
              <w:jc w:val="right"/>
              <w:rPr>
                <w:rFonts w:cs="Calibri"/>
              </w:rPr>
            </w:pPr>
            <w:r w:rsidRPr="007D15C3">
              <w:rPr>
                <w:rFonts w:cs="Calibri"/>
              </w:rPr>
              <w:t>$6,674</w:t>
            </w:r>
          </w:p>
        </w:tc>
      </w:tr>
      <w:tr w14:paraId="1C73A9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165172" w14:textId="77777777">
            <w:pPr>
              <w:jc w:val="center"/>
              <w:rPr>
                <w:rFonts w:cs="Calibri"/>
              </w:rPr>
            </w:pPr>
            <w:r w:rsidRPr="007D15C3">
              <w:rPr>
                <w:rFonts w:cs="Calibri"/>
              </w:rPr>
              <w:t>592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3F4E9E" w14:textId="77777777">
            <w:pPr>
              <w:jc w:val="center"/>
              <w:rPr>
                <w:rFonts w:cs="Calibri"/>
              </w:rPr>
            </w:pPr>
            <w:r w:rsidRPr="007D15C3">
              <w:rPr>
                <w:rFonts w:cs="Calibri"/>
              </w:rPr>
              <w:t>KFVS-TV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B7D2D2" w14:textId="77777777">
            <w:pPr>
              <w:rPr>
                <w:rFonts w:cs="Calibri"/>
              </w:rPr>
            </w:pPr>
            <w:r w:rsidRPr="007D15C3">
              <w:rPr>
                <w:rFonts w:cs="Calibri"/>
              </w:rPr>
              <w:t xml:space="preserve">             810,574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1FB0CF" w14:textId="77777777">
            <w:pPr>
              <w:rPr>
                <w:rFonts w:cs="Calibri"/>
              </w:rPr>
            </w:pPr>
            <w:r w:rsidRPr="007D15C3">
              <w:rPr>
                <w:rFonts w:cs="Calibri"/>
              </w:rPr>
              <w:t xml:space="preserve">               782,713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CECBF7" w14:textId="77777777">
            <w:pPr>
              <w:jc w:val="right"/>
              <w:rPr>
                <w:rFonts w:cs="Calibri"/>
              </w:rPr>
            </w:pPr>
            <w:r w:rsidRPr="007D15C3">
              <w:rPr>
                <w:rFonts w:cs="Calibri"/>
              </w:rPr>
              <w:t>$6,134</w:t>
            </w:r>
          </w:p>
        </w:tc>
      </w:tr>
      <w:tr w14:paraId="3A488D6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3E8836" w14:textId="77777777">
            <w:pPr>
              <w:jc w:val="center"/>
              <w:rPr>
                <w:rFonts w:cs="Calibri"/>
              </w:rPr>
            </w:pPr>
            <w:r w:rsidRPr="007D15C3">
              <w:rPr>
                <w:rFonts w:cs="Calibri"/>
              </w:rPr>
              <w:t>29015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FC3E7C" w14:textId="77777777">
            <w:pPr>
              <w:jc w:val="center"/>
              <w:rPr>
                <w:rFonts w:cs="Calibri"/>
              </w:rPr>
            </w:pPr>
            <w:r w:rsidRPr="007D15C3">
              <w:rPr>
                <w:rFonts w:cs="Calibri"/>
              </w:rPr>
              <w:t>KFWD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F5DDBB" w14:textId="77777777">
            <w:pPr>
              <w:rPr>
                <w:rFonts w:cs="Calibri"/>
              </w:rPr>
            </w:pPr>
            <w:r w:rsidRPr="007D15C3">
              <w:rPr>
                <w:rFonts w:cs="Calibri"/>
              </w:rPr>
              <w:t xml:space="preserve">          6,610,836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484219" w14:textId="77777777">
            <w:pPr>
              <w:rPr>
                <w:rFonts w:cs="Calibri"/>
              </w:rPr>
            </w:pPr>
            <w:r w:rsidRPr="007D15C3">
              <w:rPr>
                <w:rFonts w:cs="Calibri"/>
              </w:rPr>
              <w:t xml:space="preserve">            6,598,496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1C99E4" w14:textId="77777777">
            <w:pPr>
              <w:jc w:val="right"/>
              <w:rPr>
                <w:rFonts w:cs="Calibri"/>
              </w:rPr>
            </w:pPr>
            <w:r w:rsidRPr="007D15C3">
              <w:rPr>
                <w:rFonts w:cs="Calibri"/>
              </w:rPr>
              <w:t>$51,712</w:t>
            </w:r>
          </w:p>
        </w:tc>
      </w:tr>
      <w:tr w14:paraId="1A50E09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649C01" w14:textId="77777777">
            <w:pPr>
              <w:jc w:val="center"/>
              <w:rPr>
                <w:rFonts w:cs="Calibri"/>
              </w:rPr>
            </w:pPr>
            <w:r w:rsidRPr="007D15C3">
              <w:rPr>
                <w:rFonts w:cs="Calibri"/>
              </w:rPr>
              <w:t>35336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C19D12" w14:textId="77777777">
            <w:pPr>
              <w:jc w:val="center"/>
              <w:rPr>
                <w:rFonts w:cs="Calibri"/>
              </w:rPr>
            </w:pPr>
            <w:r w:rsidRPr="007D15C3">
              <w:rPr>
                <w:rFonts w:cs="Calibri"/>
              </w:rPr>
              <w:t>KFXA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B372B0" w14:textId="77777777">
            <w:pPr>
              <w:rPr>
                <w:rFonts w:cs="Calibri"/>
              </w:rPr>
            </w:pPr>
            <w:r w:rsidRPr="007D15C3">
              <w:rPr>
                <w:rFonts w:cs="Calibri"/>
              </w:rPr>
              <w:t xml:space="preserve">             875,538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4397CA" w14:textId="77777777">
            <w:pPr>
              <w:rPr>
                <w:rFonts w:cs="Calibri"/>
              </w:rPr>
            </w:pPr>
            <w:r w:rsidRPr="007D15C3">
              <w:rPr>
                <w:rFonts w:cs="Calibri"/>
              </w:rPr>
              <w:t xml:space="preserve">               874,070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22EFA9" w14:textId="77777777">
            <w:pPr>
              <w:jc w:val="right"/>
              <w:rPr>
                <w:rFonts w:cs="Calibri"/>
              </w:rPr>
            </w:pPr>
            <w:r w:rsidRPr="007D15C3">
              <w:rPr>
                <w:rFonts w:cs="Calibri"/>
              </w:rPr>
              <w:t>$6,850</w:t>
            </w:r>
          </w:p>
        </w:tc>
      </w:tr>
      <w:tr w14:paraId="18E40C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C5C60C" w14:textId="77777777">
            <w:pPr>
              <w:jc w:val="center"/>
              <w:rPr>
                <w:rFonts w:cs="Calibri"/>
              </w:rPr>
            </w:pPr>
            <w:r w:rsidRPr="007D15C3">
              <w:rPr>
                <w:rFonts w:cs="Calibri"/>
              </w:rPr>
              <w:t>17625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4B7A1F" w14:textId="77777777">
            <w:pPr>
              <w:jc w:val="center"/>
              <w:rPr>
                <w:rFonts w:cs="Calibri"/>
              </w:rPr>
            </w:pPr>
            <w:r w:rsidRPr="007D15C3">
              <w:rPr>
                <w:rFonts w:cs="Calibri"/>
              </w:rPr>
              <w:t>KFXB-TV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98E735" w14:textId="77777777">
            <w:pPr>
              <w:rPr>
                <w:rFonts w:cs="Calibri"/>
              </w:rPr>
            </w:pPr>
            <w:r w:rsidRPr="007D15C3">
              <w:rPr>
                <w:rFonts w:cs="Calibri"/>
              </w:rPr>
              <w:t xml:space="preserve">             373,280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EA9DF8" w14:textId="77777777">
            <w:pPr>
              <w:rPr>
                <w:rFonts w:cs="Calibri"/>
              </w:rPr>
            </w:pPr>
            <w:r w:rsidRPr="007D15C3">
              <w:rPr>
                <w:rFonts w:cs="Calibri"/>
              </w:rPr>
              <w:t xml:space="preserve">               368,466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BAF209" w14:textId="77777777">
            <w:pPr>
              <w:jc w:val="right"/>
              <w:rPr>
                <w:rFonts w:cs="Calibri"/>
              </w:rPr>
            </w:pPr>
            <w:r w:rsidRPr="007D15C3">
              <w:rPr>
                <w:rFonts w:cs="Calibri"/>
              </w:rPr>
              <w:t>$2,888</w:t>
            </w:r>
          </w:p>
        </w:tc>
      </w:tr>
      <w:tr w14:paraId="0E8947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D0A8C6" w14:textId="77777777">
            <w:pPr>
              <w:jc w:val="center"/>
              <w:rPr>
                <w:rFonts w:cs="Calibri"/>
              </w:rPr>
            </w:pPr>
            <w:r w:rsidRPr="007D15C3">
              <w:rPr>
                <w:rFonts w:cs="Calibri"/>
              </w:rPr>
              <w:t>70917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E7BB7B" w14:textId="77777777">
            <w:pPr>
              <w:jc w:val="center"/>
              <w:rPr>
                <w:rFonts w:cs="Calibri"/>
              </w:rPr>
            </w:pPr>
            <w:r w:rsidRPr="007D15C3">
              <w:rPr>
                <w:rFonts w:cs="Calibri"/>
              </w:rPr>
              <w:t>KFXK-TV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10016D" w14:textId="77777777">
            <w:pPr>
              <w:rPr>
                <w:rFonts w:cs="Calibri"/>
              </w:rPr>
            </w:pPr>
            <w:r w:rsidRPr="007D15C3">
              <w:rPr>
                <w:rFonts w:cs="Calibri"/>
              </w:rPr>
              <w:t xml:space="preserve">             934,043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137EB9" w14:textId="77777777">
            <w:pPr>
              <w:rPr>
                <w:rFonts w:cs="Calibri"/>
              </w:rPr>
            </w:pPr>
            <w:r w:rsidRPr="007D15C3">
              <w:rPr>
                <w:rFonts w:cs="Calibri"/>
              </w:rPr>
              <w:t xml:space="preserve">               931,791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F18508" w14:textId="77777777">
            <w:pPr>
              <w:jc w:val="right"/>
              <w:rPr>
                <w:rFonts w:cs="Calibri"/>
              </w:rPr>
            </w:pPr>
            <w:r w:rsidRPr="007D15C3">
              <w:rPr>
                <w:rFonts w:cs="Calibri"/>
              </w:rPr>
              <w:t>$7,302</w:t>
            </w:r>
          </w:p>
        </w:tc>
      </w:tr>
      <w:tr w14:paraId="5F5231B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7FE0DB" w14:textId="77777777">
            <w:pPr>
              <w:jc w:val="center"/>
              <w:rPr>
                <w:rFonts w:cs="Calibri"/>
              </w:rPr>
            </w:pPr>
            <w:r w:rsidRPr="007D15C3">
              <w:rPr>
                <w:rFonts w:cs="Calibri"/>
              </w:rPr>
              <w:t>84453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E213A4" w14:textId="77777777">
            <w:pPr>
              <w:jc w:val="center"/>
              <w:rPr>
                <w:rFonts w:cs="Calibri"/>
              </w:rPr>
            </w:pPr>
            <w:r w:rsidRPr="007D15C3">
              <w:rPr>
                <w:rFonts w:cs="Calibri"/>
              </w:rPr>
              <w:t>KFXL-TV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184B80" w14:textId="77777777">
            <w:pPr>
              <w:rPr>
                <w:rFonts w:cs="Calibri"/>
              </w:rPr>
            </w:pPr>
            <w:r w:rsidRPr="007D15C3">
              <w:rPr>
                <w:rFonts w:cs="Calibri"/>
              </w:rPr>
              <w:t xml:space="preserve">             361,632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154DEE" w14:textId="77777777">
            <w:pPr>
              <w:rPr>
                <w:rFonts w:cs="Calibri"/>
              </w:rPr>
            </w:pPr>
            <w:r w:rsidRPr="007D15C3">
              <w:rPr>
                <w:rFonts w:cs="Calibri"/>
              </w:rPr>
              <w:t xml:space="preserve">               361,097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5B9AE6" w14:textId="77777777">
            <w:pPr>
              <w:jc w:val="right"/>
              <w:rPr>
                <w:rFonts w:cs="Calibri"/>
              </w:rPr>
            </w:pPr>
            <w:r w:rsidRPr="007D15C3">
              <w:rPr>
                <w:rFonts w:cs="Calibri"/>
              </w:rPr>
              <w:t>$2,830</w:t>
            </w:r>
          </w:p>
        </w:tc>
      </w:tr>
      <w:tr w14:paraId="5EFB150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49E9E2" w14:textId="77777777">
            <w:pPr>
              <w:jc w:val="center"/>
              <w:rPr>
                <w:rFonts w:cs="Calibri"/>
              </w:rPr>
            </w:pPr>
            <w:r w:rsidRPr="007D15C3">
              <w:rPr>
                <w:rFonts w:cs="Calibri"/>
              </w:rPr>
              <w:t>41427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9E69FB" w14:textId="77777777">
            <w:pPr>
              <w:jc w:val="center"/>
              <w:rPr>
                <w:rFonts w:cs="Calibri"/>
              </w:rPr>
            </w:pPr>
            <w:r w:rsidRPr="007D15C3">
              <w:rPr>
                <w:rFonts w:cs="Calibri"/>
              </w:rPr>
              <w:t>KFYR-TV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5484CC" w14:textId="77777777">
            <w:pPr>
              <w:rPr>
                <w:rFonts w:cs="Calibri"/>
              </w:rPr>
            </w:pPr>
            <w:r w:rsidRPr="007D15C3">
              <w:rPr>
                <w:rFonts w:cs="Calibri"/>
              </w:rPr>
              <w:t xml:space="preserve">             130,881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774BF3" w14:textId="77777777">
            <w:pPr>
              <w:rPr>
                <w:rFonts w:cs="Calibri"/>
              </w:rPr>
            </w:pPr>
            <w:r w:rsidRPr="007D15C3">
              <w:rPr>
                <w:rFonts w:cs="Calibri"/>
              </w:rPr>
              <w:t xml:space="preserve">               128,301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A94CFB" w14:textId="77777777">
            <w:pPr>
              <w:jc w:val="right"/>
              <w:rPr>
                <w:rFonts w:cs="Calibri"/>
              </w:rPr>
            </w:pPr>
            <w:r w:rsidRPr="007D15C3">
              <w:rPr>
                <w:rFonts w:cs="Calibri"/>
              </w:rPr>
              <w:t>$1,005</w:t>
            </w:r>
          </w:p>
        </w:tc>
      </w:tr>
      <w:tr w14:paraId="4B277D8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61CB6C" w14:textId="77777777">
            <w:pPr>
              <w:jc w:val="center"/>
              <w:rPr>
                <w:rFonts w:cs="Calibri"/>
              </w:rPr>
            </w:pPr>
            <w:r w:rsidRPr="007D15C3">
              <w:rPr>
                <w:rFonts w:cs="Calibri"/>
              </w:rPr>
              <w:t>25685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C5E0B9" w14:textId="77777777">
            <w:pPr>
              <w:jc w:val="center"/>
              <w:rPr>
                <w:rFonts w:cs="Calibri"/>
              </w:rPr>
            </w:pPr>
            <w:r w:rsidRPr="007D15C3">
              <w:rPr>
                <w:rFonts w:cs="Calibri"/>
              </w:rPr>
              <w:t>KGAN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B0806" w14:textId="77777777">
            <w:pPr>
              <w:rPr>
                <w:rFonts w:cs="Calibri"/>
              </w:rPr>
            </w:pPr>
            <w:r w:rsidRPr="007D15C3">
              <w:rPr>
                <w:rFonts w:cs="Calibri"/>
              </w:rPr>
              <w:t xml:space="preserve">          1,083,213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7FC0E6" w14:textId="77777777">
            <w:pPr>
              <w:rPr>
                <w:rFonts w:cs="Calibri"/>
              </w:rPr>
            </w:pPr>
            <w:r w:rsidRPr="007D15C3">
              <w:rPr>
                <w:rFonts w:cs="Calibri"/>
              </w:rPr>
              <w:t xml:space="preserve">            1,057,597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17EE8D" w14:textId="77777777">
            <w:pPr>
              <w:jc w:val="right"/>
              <w:rPr>
                <w:rFonts w:cs="Calibri"/>
              </w:rPr>
            </w:pPr>
            <w:r w:rsidRPr="007D15C3">
              <w:rPr>
                <w:rFonts w:cs="Calibri"/>
              </w:rPr>
              <w:t>$8,288</w:t>
            </w:r>
          </w:p>
        </w:tc>
      </w:tr>
      <w:tr w14:paraId="5B4EAC7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066F04" w14:textId="77777777">
            <w:pPr>
              <w:jc w:val="center"/>
              <w:rPr>
                <w:rFonts w:cs="Calibri"/>
              </w:rPr>
            </w:pPr>
            <w:r w:rsidRPr="007D15C3">
              <w:rPr>
                <w:rFonts w:cs="Calibri"/>
              </w:rPr>
              <w:t>34457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DDCC4A" w14:textId="77777777">
            <w:pPr>
              <w:jc w:val="center"/>
              <w:rPr>
                <w:rFonts w:cs="Calibri"/>
              </w:rPr>
            </w:pPr>
            <w:r w:rsidRPr="007D15C3">
              <w:rPr>
                <w:rFonts w:cs="Calibri"/>
              </w:rPr>
              <w:t>KGBT-TV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F2F293" w14:textId="77777777">
            <w:pPr>
              <w:rPr>
                <w:rFonts w:cs="Calibri"/>
              </w:rPr>
            </w:pPr>
            <w:r w:rsidRPr="007D15C3">
              <w:rPr>
                <w:rFonts w:cs="Calibri"/>
              </w:rPr>
              <w:t xml:space="preserve">          1,230,798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50B403" w14:textId="77777777">
            <w:pPr>
              <w:rPr>
                <w:rFonts w:cs="Calibri"/>
              </w:rPr>
            </w:pPr>
            <w:r w:rsidRPr="007D15C3">
              <w:rPr>
                <w:rFonts w:cs="Calibri"/>
              </w:rPr>
              <w:t xml:space="preserve">            1,230,791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16C349" w14:textId="77777777">
            <w:pPr>
              <w:jc w:val="right"/>
              <w:rPr>
                <w:rFonts w:cs="Calibri"/>
              </w:rPr>
            </w:pPr>
            <w:r w:rsidRPr="007D15C3">
              <w:rPr>
                <w:rFonts w:cs="Calibri"/>
              </w:rPr>
              <w:t>$9,646</w:t>
            </w:r>
          </w:p>
        </w:tc>
      </w:tr>
      <w:tr w14:paraId="49B2F1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3A84F3" w14:textId="77777777">
            <w:pPr>
              <w:jc w:val="center"/>
              <w:rPr>
                <w:rFonts w:cs="Calibri"/>
              </w:rPr>
            </w:pPr>
            <w:r w:rsidRPr="007D15C3">
              <w:rPr>
                <w:rFonts w:cs="Calibri"/>
              </w:rPr>
              <w:t>52593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0B61EE" w14:textId="77777777">
            <w:pPr>
              <w:jc w:val="center"/>
              <w:rPr>
                <w:rFonts w:cs="Calibri"/>
              </w:rPr>
            </w:pPr>
            <w:r w:rsidRPr="007D15C3">
              <w:rPr>
                <w:rFonts w:cs="Calibri"/>
              </w:rPr>
              <w:t>KGBY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B8A07B" w14:textId="77777777">
            <w:pPr>
              <w:rPr>
                <w:rFonts w:cs="Calibri"/>
              </w:rPr>
            </w:pPr>
            <w:r w:rsidRPr="007D15C3">
              <w:rPr>
                <w:rFonts w:cs="Calibri"/>
              </w:rPr>
              <w:t xml:space="preserve">             270,089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F1714B" w14:textId="77777777">
            <w:pPr>
              <w:rPr>
                <w:rFonts w:cs="Calibri"/>
              </w:rPr>
            </w:pPr>
            <w:r w:rsidRPr="007D15C3">
              <w:rPr>
                <w:rFonts w:cs="Calibri"/>
              </w:rPr>
              <w:t xml:space="preserve">               218,544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93FF38" w14:textId="77777777">
            <w:pPr>
              <w:jc w:val="right"/>
              <w:rPr>
                <w:rFonts w:cs="Calibri"/>
              </w:rPr>
            </w:pPr>
            <w:r w:rsidRPr="007D15C3">
              <w:rPr>
                <w:rFonts w:cs="Calibri"/>
              </w:rPr>
              <w:t>$1,713</w:t>
            </w:r>
          </w:p>
        </w:tc>
      </w:tr>
      <w:tr w14:paraId="1C847D0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DF9E17" w14:textId="77777777">
            <w:pPr>
              <w:jc w:val="center"/>
              <w:rPr>
                <w:rFonts w:cs="Calibri"/>
              </w:rPr>
            </w:pPr>
            <w:r w:rsidRPr="007D15C3">
              <w:rPr>
                <w:rFonts w:cs="Calibri"/>
              </w:rPr>
              <w:t>7841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C0BC02" w14:textId="77777777">
            <w:pPr>
              <w:jc w:val="center"/>
              <w:rPr>
                <w:rFonts w:cs="Calibri"/>
              </w:rPr>
            </w:pPr>
            <w:r w:rsidRPr="007D15C3">
              <w:rPr>
                <w:rFonts w:cs="Calibri"/>
              </w:rPr>
              <w:t>KGCW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F9890B" w14:textId="77777777">
            <w:pPr>
              <w:rPr>
                <w:rFonts w:cs="Calibri"/>
              </w:rPr>
            </w:pPr>
            <w:r w:rsidRPr="007D15C3">
              <w:rPr>
                <w:rFonts w:cs="Calibri"/>
              </w:rPr>
              <w:t xml:space="preserve">             888,054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0B4F8E" w14:textId="77777777">
            <w:pPr>
              <w:rPr>
                <w:rFonts w:cs="Calibri"/>
              </w:rPr>
            </w:pPr>
            <w:r w:rsidRPr="007D15C3">
              <w:rPr>
                <w:rFonts w:cs="Calibri"/>
              </w:rPr>
              <w:t xml:space="preserve">               886,499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F7A512" w14:textId="77777777">
            <w:pPr>
              <w:jc w:val="right"/>
              <w:rPr>
                <w:rFonts w:cs="Calibri"/>
              </w:rPr>
            </w:pPr>
            <w:r w:rsidRPr="007D15C3">
              <w:rPr>
                <w:rFonts w:cs="Calibri"/>
              </w:rPr>
              <w:t>$6,947</w:t>
            </w:r>
          </w:p>
        </w:tc>
      </w:tr>
      <w:tr w14:paraId="4313A90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BC700F" w14:textId="77777777">
            <w:pPr>
              <w:jc w:val="center"/>
              <w:rPr>
                <w:rFonts w:cs="Calibri"/>
              </w:rPr>
            </w:pPr>
            <w:r w:rsidRPr="007D15C3">
              <w:rPr>
                <w:rFonts w:cs="Calibri"/>
              </w:rPr>
              <w:t>24485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23C5BA" w14:textId="77777777">
            <w:pPr>
              <w:jc w:val="center"/>
              <w:rPr>
                <w:rFonts w:cs="Calibri"/>
              </w:rPr>
            </w:pPr>
            <w:r w:rsidRPr="007D15C3">
              <w:rPr>
                <w:rFonts w:cs="Calibri"/>
              </w:rPr>
              <w:t>KGEB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6563B2" w14:textId="77777777">
            <w:pPr>
              <w:rPr>
                <w:rFonts w:cs="Calibri"/>
              </w:rPr>
            </w:pPr>
            <w:r w:rsidRPr="007D15C3">
              <w:rPr>
                <w:rFonts w:cs="Calibri"/>
              </w:rPr>
              <w:t xml:space="preserve">          1,186,225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AE9435" w14:textId="77777777">
            <w:pPr>
              <w:rPr>
                <w:rFonts w:cs="Calibri"/>
              </w:rPr>
            </w:pPr>
            <w:r w:rsidRPr="007D15C3">
              <w:rPr>
                <w:rFonts w:cs="Calibri"/>
              </w:rPr>
              <w:t xml:space="preserve">            1,150,201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788859" w14:textId="77777777">
            <w:pPr>
              <w:jc w:val="right"/>
              <w:rPr>
                <w:rFonts w:cs="Calibri"/>
              </w:rPr>
            </w:pPr>
            <w:r w:rsidRPr="007D15C3">
              <w:rPr>
                <w:rFonts w:cs="Calibri"/>
              </w:rPr>
              <w:t>$9,014</w:t>
            </w:r>
          </w:p>
        </w:tc>
      </w:tr>
      <w:tr w14:paraId="707987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48648E" w14:textId="77777777">
            <w:pPr>
              <w:jc w:val="center"/>
              <w:rPr>
                <w:rFonts w:cs="Calibri"/>
              </w:rPr>
            </w:pPr>
            <w:r w:rsidRPr="007D15C3">
              <w:rPr>
                <w:rFonts w:cs="Calibri"/>
              </w:rPr>
              <w:t>34459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4694D2" w14:textId="77777777">
            <w:pPr>
              <w:jc w:val="center"/>
              <w:rPr>
                <w:rFonts w:cs="Calibri"/>
              </w:rPr>
            </w:pPr>
            <w:r w:rsidRPr="007D15C3">
              <w:rPr>
                <w:rFonts w:cs="Calibri"/>
              </w:rPr>
              <w:t>KGET-TV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C81215" w14:textId="77777777">
            <w:pPr>
              <w:rPr>
                <w:rFonts w:cs="Calibri"/>
              </w:rPr>
            </w:pPr>
            <w:r w:rsidRPr="007D15C3">
              <w:rPr>
                <w:rFonts w:cs="Calibri"/>
              </w:rPr>
              <w:t xml:space="preserve">             917,927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6A88A5" w14:textId="77777777">
            <w:pPr>
              <w:rPr>
                <w:rFonts w:cs="Calibri"/>
              </w:rPr>
            </w:pPr>
            <w:r w:rsidRPr="007D15C3">
              <w:rPr>
                <w:rFonts w:cs="Calibri"/>
              </w:rPr>
              <w:t xml:space="preserve">               874,332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08F3B1" w14:textId="77777777">
            <w:pPr>
              <w:jc w:val="right"/>
              <w:rPr>
                <w:rFonts w:cs="Calibri"/>
              </w:rPr>
            </w:pPr>
            <w:r w:rsidRPr="007D15C3">
              <w:rPr>
                <w:rFonts w:cs="Calibri"/>
              </w:rPr>
              <w:t>$6,852</w:t>
            </w:r>
          </w:p>
        </w:tc>
      </w:tr>
      <w:tr w14:paraId="1E78B9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4838B8" w14:textId="77777777">
            <w:pPr>
              <w:jc w:val="center"/>
              <w:rPr>
                <w:rFonts w:cs="Calibri"/>
              </w:rPr>
            </w:pPr>
            <w:r w:rsidRPr="007D15C3">
              <w:rPr>
                <w:rFonts w:cs="Calibri"/>
              </w:rPr>
              <w:t>53320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B490AF" w14:textId="77777777">
            <w:pPr>
              <w:jc w:val="center"/>
              <w:rPr>
                <w:rFonts w:cs="Calibri"/>
              </w:rPr>
            </w:pPr>
            <w:r w:rsidRPr="007D15C3">
              <w:rPr>
                <w:rFonts w:cs="Calibri"/>
              </w:rPr>
              <w:t>KGFE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1F5901" w14:textId="77777777">
            <w:pPr>
              <w:rPr>
                <w:rFonts w:cs="Calibri"/>
              </w:rPr>
            </w:pPr>
            <w:r w:rsidRPr="007D15C3">
              <w:rPr>
                <w:rFonts w:cs="Calibri"/>
              </w:rPr>
              <w:t xml:space="preserve">             114,564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A6289F" w14:textId="77777777">
            <w:pPr>
              <w:rPr>
                <w:rFonts w:cs="Calibri"/>
              </w:rPr>
            </w:pPr>
            <w:r w:rsidRPr="007D15C3">
              <w:rPr>
                <w:rFonts w:cs="Calibri"/>
              </w:rPr>
              <w:t xml:space="preserve">               114,564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712A82" w14:textId="77777777">
            <w:pPr>
              <w:jc w:val="right"/>
              <w:rPr>
                <w:rFonts w:cs="Calibri"/>
              </w:rPr>
            </w:pPr>
            <w:r w:rsidRPr="007D15C3">
              <w:rPr>
                <w:rFonts w:cs="Calibri"/>
              </w:rPr>
              <w:t>$898</w:t>
            </w:r>
          </w:p>
        </w:tc>
      </w:tr>
      <w:tr w14:paraId="42B4206B"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7B1CF9" w14:textId="77777777">
            <w:pPr>
              <w:jc w:val="center"/>
              <w:rPr>
                <w:rFonts w:cs="Calibri"/>
              </w:rPr>
            </w:pPr>
            <w:r w:rsidRPr="007D15C3">
              <w:rPr>
                <w:rFonts w:cs="Calibri"/>
              </w:rPr>
              <w:t>7894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46133999" w14:textId="77777777">
            <w:pPr>
              <w:jc w:val="center"/>
              <w:rPr>
                <w:rFonts w:cs="Calibri"/>
              </w:rPr>
            </w:pPr>
            <w:r w:rsidRPr="007D15C3">
              <w:rPr>
                <w:rFonts w:cs="Calibri"/>
              </w:rPr>
              <w:t>KGIN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A9584D0" w14:textId="77777777">
            <w:pPr>
              <w:rPr>
                <w:rFonts w:cs="Calibri"/>
              </w:rPr>
            </w:pPr>
            <w:r w:rsidRPr="007D15C3">
              <w:rPr>
                <w:rFonts w:cs="Calibri"/>
              </w:rPr>
              <w:t xml:space="preserve">             230,535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514FE6D" w14:textId="77777777">
            <w:pPr>
              <w:rPr>
                <w:rFonts w:cs="Calibri"/>
              </w:rPr>
            </w:pPr>
            <w:r w:rsidRPr="007D15C3">
              <w:rPr>
                <w:rFonts w:cs="Calibri"/>
              </w:rPr>
              <w:t xml:space="preserve">               228,338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1714D6E" w14:textId="77777777">
            <w:pPr>
              <w:jc w:val="right"/>
              <w:rPr>
                <w:rFonts w:cs="Calibri"/>
              </w:rPr>
            </w:pPr>
            <w:r w:rsidRPr="007D15C3">
              <w:rPr>
                <w:rFonts w:cs="Calibri"/>
              </w:rPr>
              <w:t>$1,789</w:t>
            </w:r>
          </w:p>
        </w:tc>
      </w:tr>
      <w:tr w14:paraId="4F10148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4C9033" w14:textId="77777777">
            <w:pPr>
              <w:jc w:val="center"/>
              <w:rPr>
                <w:rFonts w:cs="Calibri"/>
              </w:rPr>
            </w:pPr>
            <w:r w:rsidRPr="007D15C3">
              <w:rPr>
                <w:rFonts w:cs="Calibri"/>
              </w:rPr>
              <w:t>83945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44BA82" w14:textId="77777777">
            <w:pPr>
              <w:jc w:val="center"/>
              <w:rPr>
                <w:rFonts w:cs="Calibri"/>
              </w:rPr>
            </w:pPr>
            <w:r w:rsidRPr="007D15C3">
              <w:rPr>
                <w:rFonts w:cs="Calibri"/>
              </w:rPr>
              <w:t>KGLA-DT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B40018" w14:textId="77777777">
            <w:pPr>
              <w:rPr>
                <w:rFonts w:cs="Calibri"/>
              </w:rPr>
            </w:pPr>
            <w:r w:rsidRPr="007D15C3">
              <w:rPr>
                <w:rFonts w:cs="Calibri"/>
              </w:rPr>
              <w:t xml:space="preserve">          1,645,641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745DBB" w14:textId="77777777">
            <w:pPr>
              <w:rPr>
                <w:rFonts w:cs="Calibri"/>
              </w:rPr>
            </w:pPr>
            <w:r w:rsidRPr="007D15C3">
              <w:rPr>
                <w:rFonts w:cs="Calibri"/>
              </w:rPr>
              <w:t xml:space="preserve">            1,645,641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3C8D94" w14:textId="77777777">
            <w:pPr>
              <w:jc w:val="right"/>
              <w:rPr>
                <w:rFonts w:cs="Calibri"/>
              </w:rPr>
            </w:pPr>
            <w:r w:rsidRPr="007D15C3">
              <w:rPr>
                <w:rFonts w:cs="Calibri"/>
              </w:rPr>
              <w:t>$12,897</w:t>
            </w:r>
          </w:p>
        </w:tc>
      </w:tr>
      <w:tr w14:paraId="79C4EC8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F11806" w14:textId="77777777">
            <w:pPr>
              <w:jc w:val="center"/>
              <w:rPr>
                <w:rFonts w:cs="Calibri"/>
              </w:rPr>
            </w:pPr>
            <w:r w:rsidRPr="007D15C3">
              <w:rPr>
                <w:rFonts w:cs="Calibri"/>
              </w:rPr>
              <w:t>34445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A337DDD" w14:textId="77777777">
            <w:pPr>
              <w:jc w:val="center"/>
              <w:rPr>
                <w:rFonts w:cs="Calibri"/>
              </w:rPr>
            </w:pPr>
            <w:r w:rsidRPr="007D15C3">
              <w:rPr>
                <w:rFonts w:cs="Calibri"/>
              </w:rPr>
              <w:t>KGMB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705F68" w14:textId="77777777">
            <w:pPr>
              <w:rPr>
                <w:rFonts w:cs="Calibri"/>
              </w:rPr>
            </w:pPr>
            <w:r w:rsidRPr="007D15C3">
              <w:rPr>
                <w:rFonts w:cs="Calibri"/>
              </w:rPr>
              <w:t xml:space="preserve">             953,398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08BD45" w14:textId="77777777">
            <w:pPr>
              <w:rPr>
                <w:rFonts w:cs="Calibri"/>
              </w:rPr>
            </w:pPr>
            <w:r w:rsidRPr="007D15C3">
              <w:rPr>
                <w:rFonts w:cs="Calibri"/>
              </w:rPr>
              <w:t xml:space="preserve">               851,088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51EB83" w14:textId="77777777">
            <w:pPr>
              <w:jc w:val="right"/>
              <w:rPr>
                <w:rFonts w:cs="Calibri"/>
              </w:rPr>
            </w:pPr>
            <w:r w:rsidRPr="007D15C3">
              <w:rPr>
                <w:rFonts w:cs="Calibri"/>
              </w:rPr>
              <w:t>$6,670</w:t>
            </w:r>
          </w:p>
        </w:tc>
      </w:tr>
      <w:tr w14:paraId="4D507C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B4206A" w14:textId="77777777">
            <w:pPr>
              <w:jc w:val="center"/>
              <w:rPr>
                <w:rFonts w:cs="Calibri"/>
              </w:rPr>
            </w:pPr>
            <w:r w:rsidRPr="007D15C3">
              <w:rPr>
                <w:rFonts w:cs="Calibri"/>
              </w:rPr>
              <w:t>23302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4C3CBB" w14:textId="77777777">
            <w:pPr>
              <w:jc w:val="center"/>
              <w:rPr>
                <w:rFonts w:cs="Calibri"/>
              </w:rPr>
            </w:pPr>
            <w:r w:rsidRPr="007D15C3">
              <w:rPr>
                <w:rFonts w:cs="Calibri"/>
              </w:rPr>
              <w:t>KGMC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C28A94" w14:textId="77777777">
            <w:pPr>
              <w:rPr>
                <w:rFonts w:cs="Calibri"/>
              </w:rPr>
            </w:pPr>
            <w:r w:rsidRPr="007D15C3">
              <w:rPr>
                <w:rFonts w:cs="Calibri"/>
              </w:rPr>
              <w:t xml:space="preserve">          1,824,786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4B35E5" w14:textId="77777777">
            <w:pPr>
              <w:rPr>
                <w:rFonts w:cs="Calibri"/>
              </w:rPr>
            </w:pPr>
            <w:r w:rsidRPr="007D15C3">
              <w:rPr>
                <w:rFonts w:cs="Calibri"/>
              </w:rPr>
              <w:t xml:space="preserve">            1,803,796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5F5BC6" w14:textId="77777777">
            <w:pPr>
              <w:jc w:val="right"/>
              <w:rPr>
                <w:rFonts w:cs="Calibri"/>
              </w:rPr>
            </w:pPr>
            <w:r w:rsidRPr="007D15C3">
              <w:rPr>
                <w:rFonts w:cs="Calibri"/>
              </w:rPr>
              <w:t>$14,136</w:t>
            </w:r>
          </w:p>
        </w:tc>
      </w:tr>
      <w:tr w14:paraId="27D0F9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CA84E2" w14:textId="77777777">
            <w:pPr>
              <w:jc w:val="center"/>
              <w:rPr>
                <w:rFonts w:cs="Calibri"/>
              </w:rPr>
            </w:pPr>
            <w:r w:rsidRPr="007D15C3">
              <w:rPr>
                <w:rFonts w:cs="Calibri"/>
              </w:rPr>
              <w:t>36914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589BC2" w14:textId="77777777">
            <w:pPr>
              <w:jc w:val="center"/>
              <w:rPr>
                <w:rFonts w:cs="Calibri"/>
              </w:rPr>
            </w:pPr>
            <w:r w:rsidRPr="007D15C3">
              <w:rPr>
                <w:rFonts w:cs="Calibri"/>
              </w:rPr>
              <w:t>KGMD-TV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5C2A29" w14:textId="77777777">
            <w:pPr>
              <w:rPr>
                <w:rFonts w:cs="Calibri"/>
              </w:rPr>
            </w:pPr>
            <w:r w:rsidRPr="007D15C3">
              <w:rPr>
                <w:rFonts w:cs="Calibri"/>
              </w:rPr>
              <w:t xml:space="preserve">               94,323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CA21B7" w14:textId="77777777">
            <w:pPr>
              <w:rPr>
                <w:rFonts w:cs="Calibri"/>
              </w:rPr>
            </w:pPr>
            <w:r w:rsidRPr="007D15C3">
              <w:rPr>
                <w:rFonts w:cs="Calibri"/>
              </w:rPr>
              <w:t xml:space="preserve">                 93,879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7C3383" w14:textId="77777777">
            <w:pPr>
              <w:jc w:val="right"/>
              <w:rPr>
                <w:rFonts w:cs="Calibri"/>
              </w:rPr>
            </w:pPr>
            <w:r w:rsidRPr="007D15C3">
              <w:rPr>
                <w:rFonts w:cs="Calibri"/>
              </w:rPr>
              <w:t>$736</w:t>
            </w:r>
          </w:p>
        </w:tc>
      </w:tr>
      <w:tr w14:paraId="296351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F5778B" w14:textId="77777777">
            <w:pPr>
              <w:jc w:val="center"/>
              <w:rPr>
                <w:rFonts w:cs="Calibri"/>
              </w:rPr>
            </w:pPr>
            <w:r w:rsidRPr="007D15C3">
              <w:rPr>
                <w:rFonts w:cs="Calibri"/>
              </w:rPr>
              <w:t>36920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F7CAB0" w14:textId="77777777">
            <w:pPr>
              <w:jc w:val="center"/>
              <w:rPr>
                <w:rFonts w:cs="Calibri"/>
              </w:rPr>
            </w:pPr>
            <w:r w:rsidRPr="007D15C3">
              <w:rPr>
                <w:rFonts w:cs="Calibri"/>
              </w:rPr>
              <w:t>KGMV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27AECE" w14:textId="77777777">
            <w:pPr>
              <w:rPr>
                <w:rFonts w:cs="Calibri"/>
              </w:rPr>
            </w:pPr>
            <w:r w:rsidRPr="007D15C3">
              <w:rPr>
                <w:rFonts w:cs="Calibri"/>
              </w:rPr>
              <w:t xml:space="preserve">             193,564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6A121D" w14:textId="77777777">
            <w:pPr>
              <w:rPr>
                <w:rFonts w:cs="Calibri"/>
              </w:rPr>
            </w:pPr>
            <w:r w:rsidRPr="007D15C3">
              <w:rPr>
                <w:rFonts w:cs="Calibri"/>
              </w:rPr>
              <w:t xml:space="preserve">               162,230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45D75A" w14:textId="77777777">
            <w:pPr>
              <w:jc w:val="right"/>
              <w:rPr>
                <w:rFonts w:cs="Calibri"/>
              </w:rPr>
            </w:pPr>
            <w:r w:rsidRPr="007D15C3">
              <w:rPr>
                <w:rFonts w:cs="Calibri"/>
              </w:rPr>
              <w:t>$1,271</w:t>
            </w:r>
          </w:p>
        </w:tc>
      </w:tr>
      <w:tr w14:paraId="34BA93C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4D3CE3" w14:textId="77777777">
            <w:pPr>
              <w:jc w:val="center"/>
              <w:rPr>
                <w:rFonts w:cs="Calibri"/>
              </w:rPr>
            </w:pPr>
            <w:r w:rsidRPr="007D15C3">
              <w:rPr>
                <w:rFonts w:cs="Calibri"/>
              </w:rPr>
              <w:t>10061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25C979" w14:textId="77777777">
            <w:pPr>
              <w:jc w:val="center"/>
              <w:rPr>
                <w:rFonts w:cs="Calibri"/>
              </w:rPr>
            </w:pPr>
            <w:r w:rsidRPr="007D15C3">
              <w:rPr>
                <w:rFonts w:cs="Calibri"/>
              </w:rPr>
              <w:t>KGNS-TV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AF0E35" w14:textId="77777777">
            <w:pPr>
              <w:rPr>
                <w:rFonts w:cs="Calibri"/>
              </w:rPr>
            </w:pPr>
            <w:r w:rsidRPr="007D15C3">
              <w:rPr>
                <w:rFonts w:cs="Calibri"/>
              </w:rPr>
              <w:t xml:space="preserve">             267,236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C0ECA3" w14:textId="77777777">
            <w:pPr>
              <w:rPr>
                <w:rFonts w:cs="Calibri"/>
              </w:rPr>
            </w:pPr>
            <w:r w:rsidRPr="007D15C3">
              <w:rPr>
                <w:rFonts w:cs="Calibri"/>
              </w:rPr>
              <w:t xml:space="preserve">               259,548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42D38D" w14:textId="77777777">
            <w:pPr>
              <w:jc w:val="right"/>
              <w:rPr>
                <w:rFonts w:cs="Calibri"/>
              </w:rPr>
            </w:pPr>
            <w:r w:rsidRPr="007D15C3">
              <w:rPr>
                <w:rFonts w:cs="Calibri"/>
              </w:rPr>
              <w:t>$2,034</w:t>
            </w:r>
          </w:p>
        </w:tc>
      </w:tr>
      <w:tr w14:paraId="086D889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C30A2F" w14:textId="77777777">
            <w:pPr>
              <w:jc w:val="center"/>
              <w:rPr>
                <w:rFonts w:cs="Calibri"/>
              </w:rPr>
            </w:pPr>
            <w:r w:rsidRPr="007D15C3">
              <w:rPr>
                <w:rFonts w:cs="Calibri"/>
              </w:rPr>
              <w:t>34470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6A9A51" w14:textId="77777777">
            <w:pPr>
              <w:jc w:val="center"/>
              <w:rPr>
                <w:rFonts w:cs="Calibri"/>
              </w:rPr>
            </w:pPr>
            <w:r w:rsidRPr="007D15C3">
              <w:rPr>
                <w:rFonts w:cs="Calibri"/>
              </w:rPr>
              <w:t>KGO-TV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AF0F56" w14:textId="77777777">
            <w:pPr>
              <w:rPr>
                <w:rFonts w:cs="Calibri"/>
              </w:rPr>
            </w:pPr>
            <w:r w:rsidRPr="007D15C3">
              <w:rPr>
                <w:rFonts w:cs="Calibri"/>
              </w:rPr>
              <w:t xml:space="preserve">          8,283,429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EC1E1A" w14:textId="77777777">
            <w:pPr>
              <w:rPr>
                <w:rFonts w:cs="Calibri"/>
              </w:rPr>
            </w:pPr>
            <w:r w:rsidRPr="007D15C3">
              <w:rPr>
                <w:rFonts w:cs="Calibri"/>
              </w:rPr>
              <w:t xml:space="preserve">            7,623,657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4B8657" w14:textId="77777777">
            <w:pPr>
              <w:jc w:val="right"/>
              <w:rPr>
                <w:rFonts w:cs="Calibri"/>
              </w:rPr>
            </w:pPr>
            <w:r w:rsidRPr="007D15C3">
              <w:rPr>
                <w:rFonts w:cs="Calibri"/>
              </w:rPr>
              <w:t>$59,747</w:t>
            </w:r>
          </w:p>
        </w:tc>
      </w:tr>
      <w:tr w14:paraId="34A89A5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1E6358" w14:textId="77777777">
            <w:pPr>
              <w:jc w:val="center"/>
              <w:rPr>
                <w:rFonts w:cs="Calibri"/>
              </w:rPr>
            </w:pPr>
            <w:r w:rsidRPr="007D15C3">
              <w:rPr>
                <w:rFonts w:cs="Calibri"/>
              </w:rPr>
              <w:t>56034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D61A49" w14:textId="77777777">
            <w:pPr>
              <w:jc w:val="center"/>
              <w:rPr>
                <w:rFonts w:cs="Calibri"/>
              </w:rPr>
            </w:pPr>
            <w:r w:rsidRPr="007D15C3">
              <w:rPr>
                <w:rFonts w:cs="Calibri"/>
              </w:rPr>
              <w:t>KGPE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BB2AFA" w14:textId="77777777">
            <w:pPr>
              <w:rPr>
                <w:rFonts w:cs="Calibri"/>
              </w:rPr>
            </w:pPr>
            <w:r w:rsidRPr="007D15C3">
              <w:rPr>
                <w:rFonts w:cs="Calibri"/>
              </w:rPr>
              <w:t xml:space="preserve">          1,699,131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6C8519" w14:textId="77777777">
            <w:pPr>
              <w:rPr>
                <w:rFonts w:cs="Calibri"/>
              </w:rPr>
            </w:pPr>
            <w:r w:rsidRPr="007D15C3">
              <w:rPr>
                <w:rFonts w:cs="Calibri"/>
              </w:rPr>
              <w:t xml:space="preserve">            1,682,082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3AE679" w14:textId="77777777">
            <w:pPr>
              <w:jc w:val="right"/>
              <w:rPr>
                <w:rFonts w:cs="Calibri"/>
              </w:rPr>
            </w:pPr>
            <w:r w:rsidRPr="007D15C3">
              <w:rPr>
                <w:rFonts w:cs="Calibri"/>
              </w:rPr>
              <w:t>$13,182</w:t>
            </w:r>
          </w:p>
        </w:tc>
      </w:tr>
      <w:tr w14:paraId="28241F4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366C33" w14:textId="77777777">
            <w:pPr>
              <w:jc w:val="center"/>
              <w:rPr>
                <w:rFonts w:cs="Calibri"/>
              </w:rPr>
            </w:pPr>
            <w:r w:rsidRPr="007D15C3">
              <w:rPr>
                <w:rFonts w:cs="Calibri"/>
              </w:rPr>
              <w:t>81694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E1C3E3" w14:textId="77777777">
            <w:pPr>
              <w:jc w:val="center"/>
              <w:rPr>
                <w:rFonts w:cs="Calibri"/>
              </w:rPr>
            </w:pPr>
            <w:r w:rsidRPr="007D15C3">
              <w:rPr>
                <w:rFonts w:cs="Calibri"/>
              </w:rPr>
              <w:t>KGPX-TV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248966" w14:textId="77777777">
            <w:pPr>
              <w:rPr>
                <w:rFonts w:cs="Calibri"/>
              </w:rPr>
            </w:pPr>
            <w:r w:rsidRPr="007D15C3">
              <w:rPr>
                <w:rFonts w:cs="Calibri"/>
              </w:rPr>
              <w:t xml:space="preserve">             685,626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B7CECA" w14:textId="77777777">
            <w:pPr>
              <w:rPr>
                <w:rFonts w:cs="Calibri"/>
              </w:rPr>
            </w:pPr>
            <w:r w:rsidRPr="007D15C3">
              <w:rPr>
                <w:rFonts w:cs="Calibri"/>
              </w:rPr>
              <w:t xml:space="preserve">               624,955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851930" w14:textId="77777777">
            <w:pPr>
              <w:jc w:val="right"/>
              <w:rPr>
                <w:rFonts w:cs="Calibri"/>
              </w:rPr>
            </w:pPr>
            <w:r w:rsidRPr="007D15C3">
              <w:rPr>
                <w:rFonts w:cs="Calibri"/>
              </w:rPr>
              <w:t>$4,898</w:t>
            </w:r>
          </w:p>
        </w:tc>
      </w:tr>
      <w:tr w14:paraId="0A691D4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D1B726" w14:textId="77777777">
            <w:pPr>
              <w:jc w:val="center"/>
              <w:rPr>
                <w:rFonts w:cs="Calibri"/>
              </w:rPr>
            </w:pPr>
            <w:r w:rsidRPr="007D15C3">
              <w:rPr>
                <w:rFonts w:cs="Calibri"/>
              </w:rPr>
              <w:t>25511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6BEF0A" w14:textId="77777777">
            <w:pPr>
              <w:jc w:val="center"/>
              <w:rPr>
                <w:rFonts w:cs="Calibri"/>
              </w:rPr>
            </w:pPr>
            <w:r w:rsidRPr="007D15C3">
              <w:rPr>
                <w:rFonts w:cs="Calibri"/>
              </w:rPr>
              <w:t>KGTF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BE425A" w14:textId="77777777">
            <w:pPr>
              <w:rPr>
                <w:rFonts w:cs="Calibri"/>
              </w:rPr>
            </w:pPr>
            <w:r w:rsidRPr="007D15C3">
              <w:rPr>
                <w:rFonts w:cs="Calibri"/>
              </w:rPr>
              <w:t xml:space="preserve">             161,885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0449DD" w14:textId="77777777">
            <w:pPr>
              <w:rPr>
                <w:rFonts w:cs="Calibri"/>
              </w:rPr>
            </w:pPr>
            <w:r w:rsidRPr="007D15C3">
              <w:rPr>
                <w:rFonts w:cs="Calibri"/>
              </w:rPr>
              <w:t xml:space="preserve">               160,568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9294F3" w14:textId="77777777">
            <w:pPr>
              <w:jc w:val="right"/>
              <w:rPr>
                <w:rFonts w:cs="Calibri"/>
              </w:rPr>
            </w:pPr>
            <w:r w:rsidRPr="007D15C3">
              <w:rPr>
                <w:rFonts w:cs="Calibri"/>
              </w:rPr>
              <w:t>$1,258</w:t>
            </w:r>
          </w:p>
        </w:tc>
      </w:tr>
      <w:tr w14:paraId="3E6B2EE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93D419" w14:textId="77777777">
            <w:pPr>
              <w:jc w:val="center"/>
              <w:rPr>
                <w:rFonts w:cs="Calibri"/>
              </w:rPr>
            </w:pPr>
            <w:r w:rsidRPr="007D15C3">
              <w:rPr>
                <w:rFonts w:cs="Calibri"/>
              </w:rPr>
              <w:t>40876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3CB799" w14:textId="77777777">
            <w:pPr>
              <w:jc w:val="center"/>
              <w:rPr>
                <w:rFonts w:cs="Calibri"/>
              </w:rPr>
            </w:pPr>
            <w:r w:rsidRPr="007D15C3">
              <w:rPr>
                <w:rFonts w:cs="Calibri"/>
              </w:rPr>
              <w:t>KGTV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5C2D71" w14:textId="77777777">
            <w:pPr>
              <w:rPr>
                <w:rFonts w:cs="Calibri"/>
              </w:rPr>
            </w:pPr>
            <w:r w:rsidRPr="007D15C3">
              <w:rPr>
                <w:rFonts w:cs="Calibri"/>
              </w:rPr>
              <w:t xml:space="preserve">          3,960,667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481F1F" w14:textId="77777777">
            <w:pPr>
              <w:rPr>
                <w:rFonts w:cs="Calibri"/>
              </w:rPr>
            </w:pPr>
            <w:r w:rsidRPr="007D15C3">
              <w:rPr>
                <w:rFonts w:cs="Calibri"/>
              </w:rPr>
              <w:t xml:space="preserve">            3,682,219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DE9E48" w14:textId="77777777">
            <w:pPr>
              <w:jc w:val="right"/>
              <w:rPr>
                <w:rFonts w:cs="Calibri"/>
              </w:rPr>
            </w:pPr>
            <w:r w:rsidRPr="007D15C3">
              <w:rPr>
                <w:rFonts w:cs="Calibri"/>
              </w:rPr>
              <w:t>$28,858</w:t>
            </w:r>
          </w:p>
        </w:tc>
      </w:tr>
      <w:tr w14:paraId="28D73E4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F46D8D" w14:textId="77777777">
            <w:pPr>
              <w:jc w:val="center"/>
              <w:rPr>
                <w:rFonts w:cs="Calibri"/>
              </w:rPr>
            </w:pPr>
            <w:r w:rsidRPr="007D15C3">
              <w:rPr>
                <w:rFonts w:cs="Calibri"/>
              </w:rPr>
              <w:t>36918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1B9530" w14:textId="77777777">
            <w:pPr>
              <w:jc w:val="center"/>
              <w:rPr>
                <w:rFonts w:cs="Calibri"/>
              </w:rPr>
            </w:pPr>
            <w:r w:rsidRPr="007D15C3">
              <w:rPr>
                <w:rFonts w:cs="Calibri"/>
              </w:rPr>
              <w:t>KGUN-TV*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37198C" w14:textId="77777777">
            <w:pPr>
              <w:rPr>
                <w:rFonts w:cs="Calibri"/>
              </w:rPr>
            </w:pPr>
            <w:r w:rsidRPr="007D15C3">
              <w:rPr>
                <w:rFonts w:cs="Calibri"/>
              </w:rPr>
              <w:t xml:space="preserve">          1,398,527</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DBD1CD" w14:textId="77777777">
            <w:pPr>
              <w:rPr>
                <w:rFonts w:cs="Calibri"/>
              </w:rPr>
            </w:pPr>
            <w:r w:rsidRPr="007D15C3">
              <w:rPr>
                <w:rFonts w:cs="Calibri"/>
              </w:rPr>
              <w:t xml:space="preserve">            1,212,484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0C52F4" w14:textId="77777777">
            <w:pPr>
              <w:jc w:val="right"/>
              <w:rPr>
                <w:rFonts w:cs="Calibri"/>
              </w:rPr>
            </w:pPr>
            <w:r w:rsidRPr="007D15C3">
              <w:rPr>
                <w:rFonts w:cs="Calibri"/>
              </w:rPr>
              <w:t>$9,502</w:t>
            </w:r>
          </w:p>
        </w:tc>
      </w:tr>
      <w:tr w14:paraId="47062C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7DB369" w14:textId="77777777">
            <w:pPr>
              <w:jc w:val="center"/>
              <w:rPr>
                <w:rFonts w:cs="Calibri"/>
              </w:rPr>
            </w:pPr>
            <w:r w:rsidRPr="007D15C3">
              <w:rPr>
                <w:rFonts w:cs="Calibri"/>
              </w:rPr>
              <w:t>34874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58C020" w14:textId="77777777">
            <w:pPr>
              <w:jc w:val="center"/>
              <w:rPr>
                <w:rFonts w:cs="Calibri"/>
              </w:rPr>
            </w:pPr>
            <w:r w:rsidRPr="007D15C3">
              <w:rPr>
                <w:rFonts w:cs="Calibri"/>
              </w:rPr>
              <w:t>KGW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CF6490" w14:textId="77777777">
            <w:pPr>
              <w:rPr>
                <w:rFonts w:cs="Calibri"/>
              </w:rPr>
            </w:pPr>
            <w:r w:rsidRPr="007D15C3">
              <w:rPr>
                <w:rFonts w:cs="Calibri"/>
              </w:rPr>
              <w:t xml:space="preserve">          3,058,216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51D974" w14:textId="77777777">
            <w:pPr>
              <w:rPr>
                <w:rFonts w:cs="Calibri"/>
              </w:rPr>
            </w:pPr>
            <w:r w:rsidRPr="007D15C3">
              <w:rPr>
                <w:rFonts w:cs="Calibri"/>
              </w:rPr>
              <w:t xml:space="preserve">            2,881,387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101BC5" w14:textId="77777777">
            <w:pPr>
              <w:jc w:val="right"/>
              <w:rPr>
                <w:rFonts w:cs="Calibri"/>
              </w:rPr>
            </w:pPr>
            <w:r w:rsidRPr="007D15C3">
              <w:rPr>
                <w:rFonts w:cs="Calibri"/>
              </w:rPr>
              <w:t>$22,581</w:t>
            </w:r>
          </w:p>
        </w:tc>
      </w:tr>
      <w:tr w14:paraId="2BD04B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DBC134" w14:textId="77777777">
            <w:pPr>
              <w:jc w:val="center"/>
              <w:rPr>
                <w:rFonts w:cs="Calibri"/>
              </w:rPr>
            </w:pPr>
            <w:r w:rsidRPr="007D15C3">
              <w:rPr>
                <w:rFonts w:cs="Calibri"/>
              </w:rPr>
              <w:t>63177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8FC5B3" w14:textId="77777777">
            <w:pPr>
              <w:jc w:val="center"/>
              <w:rPr>
                <w:rFonts w:cs="Calibri"/>
              </w:rPr>
            </w:pPr>
            <w:r w:rsidRPr="007D15C3">
              <w:rPr>
                <w:rFonts w:cs="Calibri"/>
              </w:rPr>
              <w:t>KGWC-TV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A04DC0" w14:textId="77777777">
            <w:pPr>
              <w:rPr>
                <w:rFonts w:cs="Calibri"/>
              </w:rPr>
            </w:pPr>
            <w:r w:rsidRPr="007D15C3">
              <w:rPr>
                <w:rFonts w:cs="Calibri"/>
              </w:rPr>
              <w:t xml:space="preserve">               80,475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D3A3E8" w14:textId="77777777">
            <w:pPr>
              <w:rPr>
                <w:rFonts w:cs="Calibri"/>
              </w:rPr>
            </w:pPr>
            <w:r w:rsidRPr="007D15C3">
              <w:rPr>
                <w:rFonts w:cs="Calibri"/>
              </w:rPr>
              <w:t xml:space="preserve">                 80,009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43B6FF" w14:textId="77777777">
            <w:pPr>
              <w:jc w:val="right"/>
              <w:rPr>
                <w:rFonts w:cs="Calibri"/>
              </w:rPr>
            </w:pPr>
            <w:r w:rsidRPr="007D15C3">
              <w:rPr>
                <w:rFonts w:cs="Calibri"/>
              </w:rPr>
              <w:t>$627</w:t>
            </w:r>
          </w:p>
        </w:tc>
      </w:tr>
      <w:tr w14:paraId="6FC60F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FD7D2A" w14:textId="77777777">
            <w:pPr>
              <w:jc w:val="center"/>
              <w:rPr>
                <w:rFonts w:cs="Calibri"/>
              </w:rPr>
            </w:pPr>
            <w:r w:rsidRPr="007D15C3">
              <w:rPr>
                <w:rFonts w:cs="Calibri"/>
              </w:rPr>
              <w:t>63162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B7ABB2" w14:textId="77777777">
            <w:pPr>
              <w:jc w:val="center"/>
              <w:rPr>
                <w:rFonts w:cs="Calibri"/>
              </w:rPr>
            </w:pPr>
            <w:r w:rsidRPr="007D15C3">
              <w:rPr>
                <w:rFonts w:cs="Calibri"/>
              </w:rPr>
              <w:t>KGWL-TV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4293D1" w14:textId="77777777">
            <w:pPr>
              <w:rPr>
                <w:rFonts w:cs="Calibri"/>
              </w:rPr>
            </w:pPr>
            <w:r w:rsidRPr="007D15C3">
              <w:rPr>
                <w:rFonts w:cs="Calibri"/>
              </w:rPr>
              <w:t xml:space="preserve">               38,125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2DB60E" w14:textId="77777777">
            <w:pPr>
              <w:rPr>
                <w:rFonts w:cs="Calibri"/>
              </w:rPr>
            </w:pPr>
            <w:r w:rsidRPr="007D15C3">
              <w:rPr>
                <w:rFonts w:cs="Calibri"/>
              </w:rPr>
              <w:t xml:space="preserve">                 38,028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AE1E1C" w14:textId="77777777">
            <w:pPr>
              <w:jc w:val="right"/>
              <w:rPr>
                <w:rFonts w:cs="Calibri"/>
              </w:rPr>
            </w:pPr>
            <w:r w:rsidRPr="007D15C3">
              <w:rPr>
                <w:rFonts w:cs="Calibri"/>
              </w:rPr>
              <w:t>$298</w:t>
            </w:r>
          </w:p>
        </w:tc>
      </w:tr>
      <w:tr w14:paraId="21586DB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3A9CB7" w14:textId="77777777">
            <w:pPr>
              <w:jc w:val="center"/>
              <w:rPr>
                <w:rFonts w:cs="Calibri"/>
              </w:rPr>
            </w:pPr>
            <w:r w:rsidRPr="007D15C3">
              <w:rPr>
                <w:rFonts w:cs="Calibri"/>
              </w:rPr>
              <w:t>63166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9ADBFF" w14:textId="77777777">
            <w:pPr>
              <w:jc w:val="center"/>
              <w:rPr>
                <w:rFonts w:cs="Calibri"/>
              </w:rPr>
            </w:pPr>
            <w:r w:rsidRPr="007D15C3">
              <w:rPr>
                <w:rFonts w:cs="Calibri"/>
              </w:rPr>
              <w:t>KGWN-TV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F66C00" w14:textId="77777777">
            <w:pPr>
              <w:rPr>
                <w:rFonts w:cs="Calibri"/>
              </w:rPr>
            </w:pPr>
            <w:r w:rsidRPr="007D15C3">
              <w:rPr>
                <w:rFonts w:cs="Calibri"/>
              </w:rPr>
              <w:t xml:space="preserve">             469,467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9A15D8" w14:textId="77777777">
            <w:pPr>
              <w:rPr>
                <w:rFonts w:cs="Calibri"/>
              </w:rPr>
            </w:pPr>
            <w:r w:rsidRPr="007D15C3">
              <w:rPr>
                <w:rFonts w:cs="Calibri"/>
              </w:rPr>
              <w:t xml:space="preserve">               440,388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44AAC6" w14:textId="77777777">
            <w:pPr>
              <w:jc w:val="right"/>
              <w:rPr>
                <w:rFonts w:cs="Calibri"/>
              </w:rPr>
            </w:pPr>
            <w:r w:rsidRPr="007D15C3">
              <w:rPr>
                <w:rFonts w:cs="Calibri"/>
              </w:rPr>
              <w:t>$3,451</w:t>
            </w:r>
          </w:p>
        </w:tc>
      </w:tr>
      <w:tr w14:paraId="06C124E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74B7CD" w14:textId="77777777">
            <w:pPr>
              <w:jc w:val="center"/>
              <w:rPr>
                <w:rFonts w:cs="Calibri"/>
              </w:rPr>
            </w:pPr>
            <w:r w:rsidRPr="007D15C3">
              <w:rPr>
                <w:rFonts w:cs="Calibri"/>
              </w:rPr>
              <w:t>63170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BC1C86" w14:textId="77777777">
            <w:pPr>
              <w:jc w:val="center"/>
              <w:rPr>
                <w:rFonts w:cs="Calibri"/>
              </w:rPr>
            </w:pPr>
            <w:r w:rsidRPr="007D15C3">
              <w:rPr>
                <w:rFonts w:cs="Calibri"/>
              </w:rPr>
              <w:t>KGWR-TV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9F0D7C" w14:textId="77777777">
            <w:pPr>
              <w:rPr>
                <w:rFonts w:cs="Calibri"/>
              </w:rPr>
            </w:pPr>
            <w:r w:rsidRPr="007D15C3">
              <w:rPr>
                <w:rFonts w:cs="Calibri"/>
              </w:rPr>
              <w:t xml:space="preserve">               51,315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D5087E" w14:textId="77777777">
            <w:pPr>
              <w:rPr>
                <w:rFonts w:cs="Calibri"/>
              </w:rPr>
            </w:pPr>
            <w:r w:rsidRPr="007D15C3">
              <w:rPr>
                <w:rFonts w:cs="Calibri"/>
              </w:rPr>
              <w:t xml:space="preserve">                 50,957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B39752" w14:textId="77777777">
            <w:pPr>
              <w:jc w:val="right"/>
              <w:rPr>
                <w:rFonts w:cs="Calibri"/>
              </w:rPr>
            </w:pPr>
            <w:r w:rsidRPr="007D15C3">
              <w:rPr>
                <w:rFonts w:cs="Calibri"/>
              </w:rPr>
              <w:t>$399</w:t>
            </w:r>
          </w:p>
        </w:tc>
      </w:tr>
      <w:tr w14:paraId="679F44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B21613" w14:textId="77777777">
            <w:pPr>
              <w:jc w:val="center"/>
              <w:rPr>
                <w:rFonts w:cs="Calibri"/>
              </w:rPr>
            </w:pPr>
            <w:r w:rsidRPr="007D15C3">
              <w:rPr>
                <w:rFonts w:cs="Calibri"/>
              </w:rPr>
              <w:t>4146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05B469" w14:textId="77777777">
            <w:pPr>
              <w:jc w:val="center"/>
              <w:rPr>
                <w:rFonts w:cs="Calibri"/>
              </w:rPr>
            </w:pPr>
            <w:r w:rsidRPr="007D15C3">
              <w:rPr>
                <w:rFonts w:cs="Calibri"/>
              </w:rPr>
              <w:t>KHAW-TV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E7145C" w14:textId="77777777">
            <w:pPr>
              <w:rPr>
                <w:rFonts w:cs="Calibri"/>
              </w:rPr>
            </w:pPr>
            <w:r w:rsidRPr="007D15C3">
              <w:rPr>
                <w:rFonts w:cs="Calibri"/>
              </w:rPr>
              <w:t xml:space="preserve">               95,204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04DCB2" w14:textId="77777777">
            <w:pPr>
              <w:rPr>
                <w:rFonts w:cs="Calibri"/>
              </w:rPr>
            </w:pPr>
            <w:r w:rsidRPr="007D15C3">
              <w:rPr>
                <w:rFonts w:cs="Calibri"/>
              </w:rPr>
              <w:t xml:space="preserve">                 94,851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93793F" w14:textId="77777777">
            <w:pPr>
              <w:jc w:val="right"/>
              <w:rPr>
                <w:rFonts w:cs="Calibri"/>
              </w:rPr>
            </w:pPr>
            <w:r w:rsidRPr="007D15C3">
              <w:rPr>
                <w:rFonts w:cs="Calibri"/>
              </w:rPr>
              <w:t>$743</w:t>
            </w:r>
          </w:p>
        </w:tc>
      </w:tr>
      <w:tr w14:paraId="2E612C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22EB51" w14:textId="77777777">
            <w:pPr>
              <w:jc w:val="center"/>
              <w:rPr>
                <w:rFonts w:cs="Calibri"/>
              </w:rPr>
            </w:pPr>
            <w:r w:rsidRPr="007D15C3">
              <w:rPr>
                <w:rFonts w:cs="Calibri"/>
              </w:rPr>
              <w:t>34846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AA725F" w14:textId="77777777">
            <w:pPr>
              <w:jc w:val="center"/>
              <w:rPr>
                <w:rFonts w:cs="Calibri"/>
              </w:rPr>
            </w:pPr>
            <w:r w:rsidRPr="007D15C3">
              <w:rPr>
                <w:rFonts w:cs="Calibri"/>
              </w:rPr>
              <w:t>KHBC-TV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F26839" w14:textId="77777777">
            <w:pPr>
              <w:rPr>
                <w:rFonts w:cs="Calibri"/>
              </w:rPr>
            </w:pPr>
            <w:r w:rsidRPr="007D15C3">
              <w:rPr>
                <w:rFonts w:cs="Calibri"/>
              </w:rPr>
              <w:t xml:space="preserve">               74,884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953802" w14:textId="77777777">
            <w:pPr>
              <w:rPr>
                <w:rFonts w:cs="Calibri"/>
              </w:rPr>
            </w:pPr>
            <w:r w:rsidRPr="007D15C3">
              <w:rPr>
                <w:rFonts w:cs="Calibri"/>
              </w:rPr>
              <w:t xml:space="preserve">                 74,884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9294BE" w14:textId="77777777">
            <w:pPr>
              <w:jc w:val="right"/>
              <w:rPr>
                <w:rFonts w:cs="Calibri"/>
              </w:rPr>
            </w:pPr>
            <w:r w:rsidRPr="007D15C3">
              <w:rPr>
                <w:rFonts w:cs="Calibri"/>
              </w:rPr>
              <w:t>$587</w:t>
            </w:r>
          </w:p>
        </w:tc>
      </w:tr>
      <w:tr w14:paraId="22A8FF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E4695B" w14:textId="77777777">
            <w:pPr>
              <w:jc w:val="center"/>
              <w:rPr>
                <w:rFonts w:cs="Calibri"/>
              </w:rPr>
            </w:pPr>
            <w:r w:rsidRPr="007D15C3">
              <w:rPr>
                <w:rFonts w:cs="Calibri"/>
              </w:rPr>
              <w:t>60353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AAB874" w14:textId="77777777">
            <w:pPr>
              <w:jc w:val="center"/>
              <w:rPr>
                <w:rFonts w:cs="Calibri"/>
              </w:rPr>
            </w:pPr>
            <w:r w:rsidRPr="007D15C3">
              <w:rPr>
                <w:rFonts w:cs="Calibri"/>
              </w:rPr>
              <w:t>KHBS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72FF4C" w14:textId="77777777">
            <w:pPr>
              <w:rPr>
                <w:rFonts w:cs="Calibri"/>
              </w:rPr>
            </w:pPr>
            <w:r w:rsidRPr="007D15C3">
              <w:rPr>
                <w:rFonts w:cs="Calibri"/>
              </w:rPr>
              <w:t xml:space="preserve">             631,770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B8F98C" w14:textId="77777777">
            <w:pPr>
              <w:rPr>
                <w:rFonts w:cs="Calibri"/>
              </w:rPr>
            </w:pPr>
            <w:r w:rsidRPr="007D15C3">
              <w:rPr>
                <w:rFonts w:cs="Calibri"/>
              </w:rPr>
              <w:t xml:space="preserve">               608,052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4A6246" w14:textId="77777777">
            <w:pPr>
              <w:jc w:val="right"/>
              <w:rPr>
                <w:rFonts w:cs="Calibri"/>
              </w:rPr>
            </w:pPr>
            <w:r w:rsidRPr="007D15C3">
              <w:rPr>
                <w:rFonts w:cs="Calibri"/>
              </w:rPr>
              <w:t>$4,765</w:t>
            </w:r>
          </w:p>
        </w:tc>
      </w:tr>
      <w:tr w14:paraId="0F5C107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563D8E" w14:textId="77777777">
            <w:pPr>
              <w:jc w:val="center"/>
              <w:rPr>
                <w:rFonts w:cs="Calibri"/>
              </w:rPr>
            </w:pPr>
            <w:r w:rsidRPr="007D15C3">
              <w:rPr>
                <w:rFonts w:cs="Calibri"/>
              </w:rPr>
              <w:t>27300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84469B" w14:textId="77777777">
            <w:pPr>
              <w:jc w:val="center"/>
              <w:rPr>
                <w:rFonts w:cs="Calibri"/>
              </w:rPr>
            </w:pPr>
            <w:r w:rsidRPr="007D15C3">
              <w:rPr>
                <w:rFonts w:cs="Calibri"/>
              </w:rPr>
              <w:t>KHCE-TV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956FDF" w14:textId="77777777">
            <w:pPr>
              <w:rPr>
                <w:rFonts w:cs="Calibri"/>
              </w:rPr>
            </w:pPr>
            <w:r w:rsidRPr="007D15C3">
              <w:rPr>
                <w:rFonts w:cs="Calibri"/>
              </w:rPr>
              <w:t xml:space="preserve">          2,353,883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F15D07" w14:textId="77777777">
            <w:pPr>
              <w:rPr>
                <w:rFonts w:cs="Calibri"/>
              </w:rPr>
            </w:pPr>
            <w:r w:rsidRPr="007D15C3">
              <w:rPr>
                <w:rFonts w:cs="Calibri"/>
              </w:rPr>
              <w:t xml:space="preserve">            2,348,391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8ADD63" w14:textId="77777777">
            <w:pPr>
              <w:jc w:val="right"/>
              <w:rPr>
                <w:rFonts w:cs="Calibri"/>
              </w:rPr>
            </w:pPr>
            <w:r w:rsidRPr="007D15C3">
              <w:rPr>
                <w:rFonts w:cs="Calibri"/>
              </w:rPr>
              <w:t>$18,404</w:t>
            </w:r>
          </w:p>
        </w:tc>
      </w:tr>
      <w:tr w14:paraId="3E98E52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F11FA4" w14:textId="77777777">
            <w:pPr>
              <w:jc w:val="center"/>
              <w:rPr>
                <w:rFonts w:cs="Calibri"/>
              </w:rPr>
            </w:pPr>
            <w:r w:rsidRPr="007D15C3">
              <w:rPr>
                <w:rFonts w:cs="Calibri"/>
              </w:rPr>
              <w:t>26431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57B212" w14:textId="77777777">
            <w:pPr>
              <w:jc w:val="center"/>
              <w:rPr>
                <w:rFonts w:cs="Calibri"/>
              </w:rPr>
            </w:pPr>
            <w:r w:rsidRPr="007D15C3">
              <w:rPr>
                <w:rFonts w:cs="Calibri"/>
              </w:rPr>
              <w:t>KHET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5707B3" w14:textId="77777777">
            <w:pPr>
              <w:rPr>
                <w:rFonts w:cs="Calibri"/>
              </w:rPr>
            </w:pPr>
            <w:r w:rsidRPr="007D15C3">
              <w:rPr>
                <w:rFonts w:cs="Calibri"/>
              </w:rPr>
              <w:t xml:space="preserve">             959,060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CF297B" w14:textId="77777777">
            <w:pPr>
              <w:rPr>
                <w:rFonts w:cs="Calibri"/>
              </w:rPr>
            </w:pPr>
            <w:r w:rsidRPr="007D15C3">
              <w:rPr>
                <w:rFonts w:cs="Calibri"/>
              </w:rPr>
              <w:t xml:space="preserve">               944,568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772A26" w14:textId="77777777">
            <w:pPr>
              <w:jc w:val="right"/>
              <w:rPr>
                <w:rFonts w:cs="Calibri"/>
              </w:rPr>
            </w:pPr>
            <w:r w:rsidRPr="007D15C3">
              <w:rPr>
                <w:rFonts w:cs="Calibri"/>
              </w:rPr>
              <w:t>$7,403</w:t>
            </w:r>
          </w:p>
        </w:tc>
      </w:tr>
      <w:tr w14:paraId="3A01DDD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9C9C02" w14:textId="77777777">
            <w:pPr>
              <w:jc w:val="center"/>
              <w:rPr>
                <w:rFonts w:cs="Calibri"/>
              </w:rPr>
            </w:pPr>
            <w:r w:rsidRPr="007D15C3">
              <w:rPr>
                <w:rFonts w:cs="Calibri"/>
              </w:rPr>
              <w:t>21160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19B618" w14:textId="77777777">
            <w:pPr>
              <w:jc w:val="center"/>
              <w:rPr>
                <w:rFonts w:cs="Calibri"/>
              </w:rPr>
            </w:pPr>
            <w:r w:rsidRPr="007D15C3">
              <w:rPr>
                <w:rFonts w:cs="Calibri"/>
              </w:rPr>
              <w:t>KHGI-TV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6B877E" w14:textId="77777777">
            <w:pPr>
              <w:rPr>
                <w:rFonts w:cs="Calibri"/>
              </w:rPr>
            </w:pPr>
            <w:r w:rsidRPr="007D15C3">
              <w:rPr>
                <w:rFonts w:cs="Calibri"/>
              </w:rPr>
              <w:t xml:space="preserve">             233,973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39BF45" w14:textId="77777777">
            <w:pPr>
              <w:rPr>
                <w:rFonts w:cs="Calibri"/>
              </w:rPr>
            </w:pPr>
            <w:r w:rsidRPr="007D15C3">
              <w:rPr>
                <w:rFonts w:cs="Calibri"/>
              </w:rPr>
              <w:t xml:space="preserve">               229,173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6B9363" w14:textId="77777777">
            <w:pPr>
              <w:jc w:val="right"/>
              <w:rPr>
                <w:rFonts w:cs="Calibri"/>
              </w:rPr>
            </w:pPr>
            <w:r w:rsidRPr="007D15C3">
              <w:rPr>
                <w:rFonts w:cs="Calibri"/>
              </w:rPr>
              <w:t>$1,796</w:t>
            </w:r>
          </w:p>
        </w:tc>
      </w:tr>
      <w:tr w14:paraId="20B384D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A910CB" w14:textId="77777777">
            <w:pPr>
              <w:jc w:val="center"/>
              <w:rPr>
                <w:rFonts w:cs="Calibri"/>
              </w:rPr>
            </w:pPr>
            <w:r w:rsidRPr="007D15C3">
              <w:rPr>
                <w:rFonts w:cs="Calibri"/>
              </w:rPr>
              <w:t>29085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F6392E" w14:textId="77777777">
            <w:pPr>
              <w:jc w:val="center"/>
              <w:rPr>
                <w:rFonts w:cs="Calibri"/>
              </w:rPr>
            </w:pPr>
            <w:r w:rsidRPr="007D15C3">
              <w:rPr>
                <w:rFonts w:cs="Calibri"/>
              </w:rPr>
              <w:t>KHIN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FC4FE2" w14:textId="77777777">
            <w:pPr>
              <w:rPr>
                <w:rFonts w:cs="Calibri"/>
              </w:rPr>
            </w:pPr>
            <w:r w:rsidRPr="007D15C3">
              <w:rPr>
                <w:rFonts w:cs="Calibri"/>
              </w:rPr>
              <w:t xml:space="preserve">          1,041,244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917775" w14:textId="77777777">
            <w:pPr>
              <w:rPr>
                <w:rFonts w:cs="Calibri"/>
              </w:rPr>
            </w:pPr>
            <w:r w:rsidRPr="007D15C3">
              <w:rPr>
                <w:rFonts w:cs="Calibri"/>
              </w:rPr>
              <w:t xml:space="preserve">            1,039,383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A07BA0" w14:textId="77777777">
            <w:pPr>
              <w:jc w:val="right"/>
              <w:rPr>
                <w:rFonts w:cs="Calibri"/>
              </w:rPr>
            </w:pPr>
            <w:r w:rsidRPr="007D15C3">
              <w:rPr>
                <w:rFonts w:cs="Calibri"/>
              </w:rPr>
              <w:t>$8,146</w:t>
            </w:r>
          </w:p>
        </w:tc>
      </w:tr>
      <w:tr w14:paraId="1B1D46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FBEC2C" w14:textId="77777777">
            <w:pPr>
              <w:jc w:val="center"/>
              <w:rPr>
                <w:rFonts w:cs="Calibri"/>
              </w:rPr>
            </w:pPr>
            <w:r w:rsidRPr="007D15C3">
              <w:rPr>
                <w:rFonts w:cs="Calibri"/>
              </w:rPr>
              <w:t>17688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A01313" w14:textId="77777777">
            <w:pPr>
              <w:jc w:val="center"/>
              <w:rPr>
                <w:rFonts w:cs="Calibri"/>
              </w:rPr>
            </w:pPr>
            <w:r w:rsidRPr="007D15C3">
              <w:rPr>
                <w:rFonts w:cs="Calibri"/>
              </w:rPr>
              <w:t>KHME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08977F" w14:textId="77777777">
            <w:pPr>
              <w:rPr>
                <w:rFonts w:cs="Calibri"/>
              </w:rPr>
            </w:pPr>
            <w:r w:rsidRPr="007D15C3">
              <w:rPr>
                <w:rFonts w:cs="Calibri"/>
              </w:rPr>
              <w:t xml:space="preserve">             181,345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A8A393" w14:textId="77777777">
            <w:pPr>
              <w:rPr>
                <w:rFonts w:cs="Calibri"/>
              </w:rPr>
            </w:pPr>
            <w:r w:rsidRPr="007D15C3">
              <w:rPr>
                <w:rFonts w:cs="Calibri"/>
              </w:rPr>
              <w:t xml:space="preserve">               179,706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982055" w14:textId="77777777">
            <w:pPr>
              <w:jc w:val="right"/>
              <w:rPr>
                <w:rFonts w:cs="Calibri"/>
              </w:rPr>
            </w:pPr>
            <w:r w:rsidRPr="007D15C3">
              <w:rPr>
                <w:rFonts w:cs="Calibri"/>
              </w:rPr>
              <w:t>$1,408</w:t>
            </w:r>
          </w:p>
        </w:tc>
      </w:tr>
      <w:tr w14:paraId="2182403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1C07BF" w14:textId="77777777">
            <w:pPr>
              <w:jc w:val="center"/>
              <w:rPr>
                <w:rFonts w:cs="Calibri"/>
              </w:rPr>
            </w:pPr>
            <w:r w:rsidRPr="007D15C3">
              <w:rPr>
                <w:rFonts w:cs="Calibri"/>
              </w:rPr>
              <w:t>47670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61FAB6" w14:textId="77777777">
            <w:pPr>
              <w:jc w:val="center"/>
              <w:rPr>
                <w:rFonts w:cs="Calibri"/>
              </w:rPr>
            </w:pPr>
            <w:r w:rsidRPr="007D15C3">
              <w:rPr>
                <w:rFonts w:cs="Calibri"/>
              </w:rPr>
              <w:t>KHMT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DBE72B" w14:textId="77777777">
            <w:pPr>
              <w:rPr>
                <w:rFonts w:cs="Calibri"/>
              </w:rPr>
            </w:pPr>
            <w:r w:rsidRPr="007D15C3">
              <w:rPr>
                <w:rFonts w:cs="Calibri"/>
              </w:rPr>
              <w:t xml:space="preserve">             175,601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40284C" w14:textId="77777777">
            <w:pPr>
              <w:rPr>
                <w:rFonts w:cs="Calibri"/>
              </w:rPr>
            </w:pPr>
            <w:r w:rsidRPr="007D15C3">
              <w:rPr>
                <w:rFonts w:cs="Calibri"/>
              </w:rPr>
              <w:t xml:space="preserve">               170,957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56D6FB" w14:textId="77777777">
            <w:pPr>
              <w:jc w:val="right"/>
              <w:rPr>
                <w:rFonts w:cs="Calibri"/>
              </w:rPr>
            </w:pPr>
            <w:r w:rsidRPr="007D15C3">
              <w:rPr>
                <w:rFonts w:cs="Calibri"/>
              </w:rPr>
              <w:t>$1,340</w:t>
            </w:r>
          </w:p>
        </w:tc>
      </w:tr>
      <w:tr w14:paraId="33D0ECE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E54596" w14:textId="77777777">
            <w:pPr>
              <w:jc w:val="center"/>
              <w:rPr>
                <w:rFonts w:cs="Calibri"/>
              </w:rPr>
            </w:pPr>
            <w:r w:rsidRPr="007D15C3">
              <w:rPr>
                <w:rFonts w:cs="Calibri"/>
              </w:rPr>
              <w:t>47987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AB3E4C" w14:textId="77777777">
            <w:pPr>
              <w:jc w:val="center"/>
              <w:rPr>
                <w:rFonts w:cs="Calibri"/>
              </w:rPr>
            </w:pPr>
            <w:r w:rsidRPr="007D15C3">
              <w:rPr>
                <w:rFonts w:cs="Calibri"/>
              </w:rPr>
              <w:t>KHNE-TV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81A2EF" w14:textId="77777777">
            <w:pPr>
              <w:rPr>
                <w:rFonts w:cs="Calibri"/>
              </w:rPr>
            </w:pPr>
            <w:r w:rsidRPr="007D15C3">
              <w:rPr>
                <w:rFonts w:cs="Calibri"/>
              </w:rPr>
              <w:t xml:space="preserve">             203,931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545C93" w14:textId="77777777">
            <w:pPr>
              <w:rPr>
                <w:rFonts w:cs="Calibri"/>
              </w:rPr>
            </w:pPr>
            <w:r w:rsidRPr="007D15C3">
              <w:rPr>
                <w:rFonts w:cs="Calibri"/>
              </w:rPr>
              <w:t xml:space="preserve">               202,944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70649F" w14:textId="77777777">
            <w:pPr>
              <w:jc w:val="right"/>
              <w:rPr>
                <w:rFonts w:cs="Calibri"/>
              </w:rPr>
            </w:pPr>
            <w:r w:rsidRPr="007D15C3">
              <w:rPr>
                <w:rFonts w:cs="Calibri"/>
              </w:rPr>
              <w:t>$1,590</w:t>
            </w:r>
          </w:p>
        </w:tc>
      </w:tr>
      <w:tr w14:paraId="6A7875D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1DE64F" w14:textId="77777777">
            <w:pPr>
              <w:jc w:val="center"/>
              <w:rPr>
                <w:rFonts w:cs="Calibri"/>
              </w:rPr>
            </w:pPr>
            <w:r w:rsidRPr="007D15C3">
              <w:rPr>
                <w:rFonts w:cs="Calibri"/>
              </w:rPr>
              <w:t>34867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1956F8" w14:textId="77777777">
            <w:pPr>
              <w:jc w:val="center"/>
              <w:rPr>
                <w:rFonts w:cs="Calibri"/>
              </w:rPr>
            </w:pPr>
            <w:r w:rsidRPr="007D15C3">
              <w:rPr>
                <w:rFonts w:cs="Calibri"/>
              </w:rPr>
              <w:t>KHNL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2A1BB9" w14:textId="77777777">
            <w:pPr>
              <w:rPr>
                <w:rFonts w:cs="Calibri"/>
              </w:rPr>
            </w:pPr>
            <w:r w:rsidRPr="007D15C3">
              <w:rPr>
                <w:rFonts w:cs="Calibri"/>
              </w:rPr>
              <w:t xml:space="preserve">             953,398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764174" w14:textId="77777777">
            <w:pPr>
              <w:rPr>
                <w:rFonts w:cs="Calibri"/>
              </w:rPr>
            </w:pPr>
            <w:r w:rsidRPr="007D15C3">
              <w:rPr>
                <w:rFonts w:cs="Calibri"/>
              </w:rPr>
              <w:t xml:space="preserve">               851,088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B9D049" w14:textId="77777777">
            <w:pPr>
              <w:jc w:val="right"/>
              <w:rPr>
                <w:rFonts w:cs="Calibri"/>
              </w:rPr>
            </w:pPr>
            <w:r w:rsidRPr="007D15C3">
              <w:rPr>
                <w:rFonts w:cs="Calibri"/>
              </w:rPr>
              <w:t>$6,670</w:t>
            </w:r>
          </w:p>
        </w:tc>
      </w:tr>
      <w:tr w14:paraId="0F8FD3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4E3DA2" w14:textId="77777777">
            <w:pPr>
              <w:jc w:val="center"/>
              <w:rPr>
                <w:rFonts w:cs="Calibri"/>
              </w:rPr>
            </w:pPr>
            <w:r w:rsidRPr="007D15C3">
              <w:rPr>
                <w:rFonts w:cs="Calibri"/>
              </w:rPr>
              <w:t>60354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9F38FC" w14:textId="77777777">
            <w:pPr>
              <w:jc w:val="center"/>
              <w:rPr>
                <w:rFonts w:cs="Calibri"/>
              </w:rPr>
            </w:pPr>
            <w:r w:rsidRPr="007D15C3">
              <w:rPr>
                <w:rFonts w:cs="Calibri"/>
              </w:rPr>
              <w:t>KHOG-TV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59D9CF" w14:textId="77777777">
            <w:pPr>
              <w:rPr>
                <w:rFonts w:cs="Calibri"/>
              </w:rPr>
            </w:pPr>
            <w:r w:rsidRPr="007D15C3">
              <w:rPr>
                <w:rFonts w:cs="Calibri"/>
              </w:rPr>
              <w:t xml:space="preserve">             765,360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05D83B" w14:textId="77777777">
            <w:pPr>
              <w:rPr>
                <w:rFonts w:cs="Calibri"/>
              </w:rPr>
            </w:pPr>
            <w:r w:rsidRPr="007D15C3">
              <w:rPr>
                <w:rFonts w:cs="Calibri"/>
              </w:rPr>
              <w:t xml:space="preserve">               702,984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4516FD" w14:textId="77777777">
            <w:pPr>
              <w:jc w:val="right"/>
              <w:rPr>
                <w:rFonts w:cs="Calibri"/>
              </w:rPr>
            </w:pPr>
            <w:r w:rsidRPr="007D15C3">
              <w:rPr>
                <w:rFonts w:cs="Calibri"/>
              </w:rPr>
              <w:t>$5,509</w:t>
            </w:r>
          </w:p>
        </w:tc>
      </w:tr>
      <w:tr w14:paraId="7DAEC2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B7B584" w14:textId="77777777">
            <w:pPr>
              <w:jc w:val="center"/>
              <w:rPr>
                <w:rFonts w:cs="Calibri"/>
              </w:rPr>
            </w:pPr>
            <w:r w:rsidRPr="007D15C3">
              <w:rPr>
                <w:rFonts w:cs="Calibri"/>
              </w:rPr>
              <w:t>4144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BB487D" w14:textId="77777777">
            <w:pPr>
              <w:jc w:val="center"/>
              <w:rPr>
                <w:rFonts w:cs="Calibri"/>
              </w:rPr>
            </w:pPr>
            <w:r w:rsidRPr="007D15C3">
              <w:rPr>
                <w:rFonts w:cs="Calibri"/>
              </w:rPr>
              <w:t>KHON-TV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D8E4D0" w14:textId="77777777">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CECDB6" w14:textId="77777777">
            <w:pPr>
              <w:rPr>
                <w:rFonts w:cs="Calibri"/>
              </w:rPr>
            </w:pPr>
            <w:r w:rsidRPr="007D15C3">
              <w:rPr>
                <w:rFonts w:cs="Calibri"/>
              </w:rPr>
              <w:t xml:space="preserve">               886,431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B6AA43" w14:textId="77777777">
            <w:pPr>
              <w:jc w:val="right"/>
              <w:rPr>
                <w:rFonts w:cs="Calibri"/>
              </w:rPr>
            </w:pPr>
            <w:r w:rsidRPr="007D15C3">
              <w:rPr>
                <w:rFonts w:cs="Calibri"/>
              </w:rPr>
              <w:t>$6,947</w:t>
            </w:r>
          </w:p>
        </w:tc>
      </w:tr>
      <w:tr w14:paraId="032E8C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79D2B9" w14:textId="77777777">
            <w:pPr>
              <w:jc w:val="center"/>
              <w:rPr>
                <w:rFonts w:cs="Calibri"/>
              </w:rPr>
            </w:pPr>
            <w:r w:rsidRPr="007D15C3">
              <w:rPr>
                <w:rFonts w:cs="Calibri"/>
              </w:rPr>
              <w:t>34529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95D328" w14:textId="77777777">
            <w:pPr>
              <w:jc w:val="center"/>
              <w:rPr>
                <w:rFonts w:cs="Calibri"/>
              </w:rPr>
            </w:pPr>
            <w:r w:rsidRPr="007D15C3">
              <w:rPr>
                <w:rFonts w:cs="Calibri"/>
              </w:rPr>
              <w:t>KHOU*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D2781A" w14:textId="77777777">
            <w:pPr>
              <w:rPr>
                <w:rFonts w:cs="Calibri"/>
              </w:rPr>
            </w:pPr>
            <w:r w:rsidRPr="007D15C3">
              <w:rPr>
                <w:rFonts w:cs="Calibri"/>
              </w:rPr>
              <w:t xml:space="preserve">          6,083,336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565DBA" w14:textId="77777777">
            <w:pPr>
              <w:rPr>
                <w:rFonts w:cs="Calibri"/>
              </w:rPr>
            </w:pPr>
            <w:r w:rsidRPr="007D15C3">
              <w:rPr>
                <w:rFonts w:cs="Calibri"/>
              </w:rPr>
              <w:t xml:space="preserve">            6,081,785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569212" w14:textId="77777777">
            <w:pPr>
              <w:jc w:val="right"/>
              <w:rPr>
                <w:rFonts w:cs="Calibri"/>
              </w:rPr>
            </w:pPr>
            <w:r w:rsidRPr="007D15C3">
              <w:rPr>
                <w:rFonts w:cs="Calibri"/>
              </w:rPr>
              <w:t>$47,663</w:t>
            </w:r>
          </w:p>
        </w:tc>
      </w:tr>
      <w:tr w14:paraId="2C17A2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DBE977" w14:textId="77777777">
            <w:pPr>
              <w:jc w:val="center"/>
              <w:rPr>
                <w:rFonts w:cs="Calibri"/>
              </w:rPr>
            </w:pPr>
            <w:r w:rsidRPr="007D15C3">
              <w:rPr>
                <w:rFonts w:cs="Calibri"/>
              </w:rPr>
              <w:t>4690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984A08" w14:textId="77777777">
            <w:pPr>
              <w:jc w:val="center"/>
              <w:rPr>
                <w:rFonts w:cs="Calibri"/>
              </w:rPr>
            </w:pPr>
            <w:r w:rsidRPr="007D15C3">
              <w:rPr>
                <w:rFonts w:cs="Calibri"/>
              </w:rPr>
              <w:t>KHQA-TV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5CF08C" w14:textId="77777777">
            <w:pPr>
              <w:rPr>
                <w:rFonts w:cs="Calibri"/>
              </w:rPr>
            </w:pPr>
            <w:r w:rsidRPr="007D15C3">
              <w:rPr>
                <w:rFonts w:cs="Calibri"/>
              </w:rPr>
              <w:t xml:space="preserve">             318,469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84E3F5" w14:textId="77777777">
            <w:pPr>
              <w:rPr>
                <w:rFonts w:cs="Calibri"/>
              </w:rPr>
            </w:pPr>
            <w:r w:rsidRPr="007D15C3">
              <w:rPr>
                <w:rFonts w:cs="Calibri"/>
              </w:rPr>
              <w:t xml:space="preserve">               316,134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29F136" w14:textId="77777777">
            <w:pPr>
              <w:jc w:val="right"/>
              <w:rPr>
                <w:rFonts w:cs="Calibri"/>
              </w:rPr>
            </w:pPr>
            <w:r w:rsidRPr="007D15C3">
              <w:rPr>
                <w:rFonts w:cs="Calibri"/>
              </w:rPr>
              <w:t>$2,478</w:t>
            </w:r>
          </w:p>
        </w:tc>
      </w:tr>
      <w:tr w14:paraId="55507B6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B6427D" w14:textId="77777777">
            <w:pPr>
              <w:jc w:val="center"/>
              <w:rPr>
                <w:rFonts w:cs="Calibri"/>
              </w:rPr>
            </w:pPr>
            <w:r w:rsidRPr="007D15C3">
              <w:rPr>
                <w:rFonts w:cs="Calibri"/>
              </w:rPr>
              <w:t>34537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218595" w14:textId="77777777">
            <w:pPr>
              <w:jc w:val="center"/>
              <w:rPr>
                <w:rFonts w:cs="Calibri"/>
              </w:rPr>
            </w:pPr>
            <w:r w:rsidRPr="007D15C3">
              <w:rPr>
                <w:rFonts w:cs="Calibri"/>
              </w:rPr>
              <w:t>KHQ-TV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0E8C9A" w14:textId="77777777">
            <w:pPr>
              <w:rPr>
                <w:rFonts w:cs="Calibri"/>
              </w:rPr>
            </w:pPr>
            <w:r w:rsidRPr="007D15C3">
              <w:rPr>
                <w:rFonts w:cs="Calibri"/>
              </w:rPr>
              <w:t xml:space="preserve">             822,371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34EA3A" w14:textId="77777777">
            <w:pPr>
              <w:rPr>
                <w:rFonts w:cs="Calibri"/>
              </w:rPr>
            </w:pPr>
            <w:r w:rsidRPr="007D15C3">
              <w:rPr>
                <w:rFonts w:cs="Calibri"/>
              </w:rPr>
              <w:t xml:space="preserve">               774,821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0A9DB1" w14:textId="77777777">
            <w:pPr>
              <w:jc w:val="right"/>
              <w:rPr>
                <w:rFonts w:cs="Calibri"/>
              </w:rPr>
            </w:pPr>
            <w:r w:rsidRPr="007D15C3">
              <w:rPr>
                <w:rFonts w:cs="Calibri"/>
              </w:rPr>
              <w:t>$6,072</w:t>
            </w:r>
          </w:p>
        </w:tc>
      </w:tr>
      <w:tr w14:paraId="2C425F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9BBC46" w14:textId="77777777">
            <w:pPr>
              <w:jc w:val="center"/>
              <w:rPr>
                <w:rFonts w:cs="Calibri"/>
              </w:rPr>
            </w:pPr>
            <w:r w:rsidRPr="007D15C3">
              <w:rPr>
                <w:rFonts w:cs="Calibri"/>
              </w:rPr>
              <w:t>30601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927B54" w14:textId="77777777">
            <w:pPr>
              <w:jc w:val="center"/>
              <w:rPr>
                <w:rFonts w:cs="Calibri"/>
              </w:rPr>
            </w:pPr>
            <w:r w:rsidRPr="007D15C3">
              <w:rPr>
                <w:rFonts w:cs="Calibri"/>
              </w:rPr>
              <w:t>KHRR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9244AB" w14:textId="77777777">
            <w:pPr>
              <w:rPr>
                <w:rFonts w:cs="Calibri"/>
              </w:rPr>
            </w:pPr>
            <w:r w:rsidRPr="007D15C3">
              <w:rPr>
                <w:rFonts w:cs="Calibri"/>
              </w:rPr>
              <w:t xml:space="preserve">          1,227,847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613768" w14:textId="77777777">
            <w:pPr>
              <w:rPr>
                <w:rFonts w:cs="Calibri"/>
              </w:rPr>
            </w:pPr>
            <w:r w:rsidRPr="007D15C3">
              <w:rPr>
                <w:rFonts w:cs="Calibri"/>
              </w:rPr>
              <w:t xml:space="preserve">            1,166,890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9737BF" w14:textId="77777777">
            <w:pPr>
              <w:jc w:val="right"/>
              <w:rPr>
                <w:rFonts w:cs="Calibri"/>
              </w:rPr>
            </w:pPr>
            <w:r w:rsidRPr="007D15C3">
              <w:rPr>
                <w:rFonts w:cs="Calibri"/>
              </w:rPr>
              <w:t>$9,145</w:t>
            </w:r>
          </w:p>
        </w:tc>
      </w:tr>
      <w:tr w14:paraId="782F56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4CCAF5" w14:textId="77777777">
            <w:pPr>
              <w:jc w:val="center"/>
              <w:rPr>
                <w:rFonts w:cs="Calibri"/>
              </w:rPr>
            </w:pPr>
            <w:r w:rsidRPr="007D15C3">
              <w:rPr>
                <w:rFonts w:cs="Calibri"/>
              </w:rPr>
              <w:t>34348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12CF07" w14:textId="77777777">
            <w:pPr>
              <w:jc w:val="center"/>
              <w:rPr>
                <w:rFonts w:cs="Calibri"/>
              </w:rPr>
            </w:pPr>
            <w:r w:rsidRPr="007D15C3">
              <w:rPr>
                <w:rFonts w:cs="Calibri"/>
              </w:rPr>
              <w:t>KHSD-TV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9D17F6" w14:textId="77777777">
            <w:pPr>
              <w:rPr>
                <w:rFonts w:cs="Calibri"/>
              </w:rPr>
            </w:pPr>
            <w:r w:rsidRPr="007D15C3">
              <w:rPr>
                <w:rFonts w:cs="Calibri"/>
              </w:rPr>
              <w:t xml:space="preserve">             188,735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ACF8BB" w14:textId="77777777">
            <w:pPr>
              <w:rPr>
                <w:rFonts w:cs="Calibri"/>
              </w:rPr>
            </w:pPr>
            <w:r w:rsidRPr="007D15C3">
              <w:rPr>
                <w:rFonts w:cs="Calibri"/>
              </w:rPr>
              <w:t xml:space="preserve">               185,202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CEF8E6" w14:textId="77777777">
            <w:pPr>
              <w:jc w:val="right"/>
              <w:rPr>
                <w:rFonts w:cs="Calibri"/>
              </w:rPr>
            </w:pPr>
            <w:r w:rsidRPr="007D15C3">
              <w:rPr>
                <w:rFonts w:cs="Calibri"/>
              </w:rPr>
              <w:t>$1,451</w:t>
            </w:r>
          </w:p>
        </w:tc>
      </w:tr>
      <w:tr w14:paraId="794BBC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1C79B2" w14:textId="77777777">
            <w:pPr>
              <w:jc w:val="center"/>
              <w:rPr>
                <w:rFonts w:cs="Calibri"/>
              </w:rPr>
            </w:pPr>
            <w:r w:rsidRPr="007D15C3">
              <w:rPr>
                <w:rFonts w:cs="Calibri"/>
              </w:rPr>
              <w:t>24508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757583" w14:textId="77777777">
            <w:pPr>
              <w:jc w:val="center"/>
              <w:rPr>
                <w:rFonts w:cs="Calibri"/>
              </w:rPr>
            </w:pPr>
            <w:r w:rsidRPr="007D15C3">
              <w:rPr>
                <w:rFonts w:cs="Calibri"/>
              </w:rPr>
              <w:t>KHSL-TV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29DFE2" w14:textId="77777777">
            <w:pPr>
              <w:rPr>
                <w:rFonts w:cs="Calibri"/>
              </w:rPr>
            </w:pPr>
            <w:r w:rsidRPr="007D15C3">
              <w:rPr>
                <w:rFonts w:cs="Calibri"/>
              </w:rPr>
              <w:t xml:space="preserve">             625,904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7EAAE8" w14:textId="77777777">
            <w:pPr>
              <w:rPr>
                <w:rFonts w:cs="Calibri"/>
              </w:rPr>
            </w:pPr>
            <w:r w:rsidRPr="007D15C3">
              <w:rPr>
                <w:rFonts w:cs="Calibri"/>
              </w:rPr>
              <w:t xml:space="preserve">               608,850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6F5CE7" w14:textId="77777777">
            <w:pPr>
              <w:jc w:val="right"/>
              <w:rPr>
                <w:rFonts w:cs="Calibri"/>
              </w:rPr>
            </w:pPr>
            <w:r w:rsidRPr="007D15C3">
              <w:rPr>
                <w:rFonts w:cs="Calibri"/>
              </w:rPr>
              <w:t>$4,772</w:t>
            </w:r>
          </w:p>
        </w:tc>
      </w:tr>
      <w:tr w14:paraId="37DC43FF"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8B1EEA" w14:textId="77777777">
            <w:pPr>
              <w:jc w:val="center"/>
              <w:rPr>
                <w:rFonts w:cs="Calibri"/>
              </w:rPr>
            </w:pPr>
            <w:r w:rsidRPr="007D15C3">
              <w:rPr>
                <w:rFonts w:cs="Calibri"/>
              </w:rPr>
              <w:t>69677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192DDBA4" w14:textId="77777777">
            <w:pPr>
              <w:jc w:val="center"/>
              <w:rPr>
                <w:rFonts w:cs="Calibri"/>
              </w:rPr>
            </w:pPr>
            <w:r w:rsidRPr="007D15C3">
              <w:rPr>
                <w:rFonts w:cs="Calibri"/>
              </w:rPr>
              <w:t>KHSV*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F4FD3E2" w14:textId="77777777">
            <w:pPr>
              <w:rPr>
                <w:rFonts w:cs="Calibri"/>
              </w:rPr>
            </w:pPr>
            <w:r w:rsidRPr="007D15C3">
              <w:rPr>
                <w:rFonts w:cs="Calibri"/>
              </w:rPr>
              <w:t xml:space="preserve">          2,059,794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4804C83" w14:textId="77777777">
            <w:pPr>
              <w:rPr>
                <w:rFonts w:cs="Calibri"/>
              </w:rPr>
            </w:pPr>
            <w:r w:rsidRPr="007D15C3">
              <w:rPr>
                <w:rFonts w:cs="Calibri"/>
              </w:rPr>
              <w:t xml:space="preserve">            2,020,045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903F509" w14:textId="77777777">
            <w:pPr>
              <w:jc w:val="right"/>
              <w:rPr>
                <w:rFonts w:cs="Calibri"/>
              </w:rPr>
            </w:pPr>
            <w:r w:rsidRPr="007D15C3">
              <w:rPr>
                <w:rFonts w:cs="Calibri"/>
              </w:rPr>
              <w:t>$15,831</w:t>
            </w:r>
          </w:p>
        </w:tc>
      </w:tr>
      <w:tr w14:paraId="5A68DF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294C6E" w14:textId="77777777">
            <w:pPr>
              <w:jc w:val="center"/>
              <w:rPr>
                <w:rFonts w:cs="Calibri"/>
              </w:rPr>
            </w:pPr>
            <w:r w:rsidRPr="007D15C3">
              <w:rPr>
                <w:rFonts w:cs="Calibri"/>
              </w:rPr>
              <w:t>64544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365D3AF" w14:textId="77777777">
            <w:pPr>
              <w:jc w:val="center"/>
              <w:rPr>
                <w:rFonts w:cs="Calibri"/>
              </w:rPr>
            </w:pPr>
            <w:r w:rsidRPr="007D15C3">
              <w:rPr>
                <w:rFonts w:cs="Calibri"/>
              </w:rPr>
              <w:t>KHVO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768B21" w14:textId="77777777">
            <w:pPr>
              <w:rPr>
                <w:rFonts w:cs="Calibri"/>
              </w:rPr>
            </w:pPr>
            <w:r w:rsidRPr="007D15C3">
              <w:rPr>
                <w:rFonts w:cs="Calibri"/>
              </w:rPr>
              <w:t xml:space="preserve">               94,226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C477CA" w14:textId="77777777">
            <w:pPr>
              <w:rPr>
                <w:rFonts w:cs="Calibri"/>
              </w:rPr>
            </w:pPr>
            <w:r w:rsidRPr="007D15C3">
              <w:rPr>
                <w:rFonts w:cs="Calibri"/>
              </w:rPr>
              <w:t xml:space="preserve">                 93,657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342B2B" w14:textId="77777777">
            <w:pPr>
              <w:jc w:val="right"/>
              <w:rPr>
                <w:rFonts w:cs="Calibri"/>
              </w:rPr>
            </w:pPr>
            <w:r w:rsidRPr="007D15C3">
              <w:rPr>
                <w:rFonts w:cs="Calibri"/>
              </w:rPr>
              <w:t>$734</w:t>
            </w:r>
          </w:p>
        </w:tc>
      </w:tr>
      <w:tr w14:paraId="31C133A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56CC4C" w14:textId="77777777">
            <w:pPr>
              <w:jc w:val="center"/>
              <w:rPr>
                <w:rFonts w:cs="Calibri"/>
              </w:rPr>
            </w:pPr>
            <w:r w:rsidRPr="007D15C3">
              <w:rPr>
                <w:rFonts w:cs="Calibri"/>
              </w:rPr>
              <w:t>23394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E83FAD" w14:textId="77777777">
            <w:pPr>
              <w:jc w:val="center"/>
              <w:rPr>
                <w:rFonts w:cs="Calibri"/>
              </w:rPr>
            </w:pPr>
            <w:r w:rsidRPr="007D15C3">
              <w:rPr>
                <w:rFonts w:cs="Calibri"/>
              </w:rPr>
              <w:t>KIAH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DF8EF0" w14:textId="77777777">
            <w:pPr>
              <w:rPr>
                <w:rFonts w:cs="Calibri"/>
              </w:rPr>
            </w:pPr>
            <w:r w:rsidRPr="007D15C3">
              <w:rPr>
                <w:rFonts w:cs="Calibri"/>
              </w:rPr>
              <w:t xml:space="preserve">          6,099,694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7B64C7" w14:textId="77777777">
            <w:pPr>
              <w:rPr>
                <w:rFonts w:cs="Calibri"/>
              </w:rPr>
            </w:pPr>
            <w:r w:rsidRPr="007D15C3">
              <w:rPr>
                <w:rFonts w:cs="Calibri"/>
              </w:rPr>
              <w:t xml:space="preserve">            6,099,297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D60D18" w14:textId="77777777">
            <w:pPr>
              <w:jc w:val="right"/>
              <w:rPr>
                <w:rFonts w:cs="Calibri"/>
              </w:rPr>
            </w:pPr>
            <w:r w:rsidRPr="007D15C3">
              <w:rPr>
                <w:rFonts w:cs="Calibri"/>
              </w:rPr>
              <w:t>$47,800</w:t>
            </w:r>
          </w:p>
        </w:tc>
      </w:tr>
      <w:tr w14:paraId="7D2089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E750A7" w14:textId="77777777">
            <w:pPr>
              <w:jc w:val="center"/>
              <w:rPr>
                <w:rFonts w:cs="Calibri"/>
              </w:rPr>
            </w:pPr>
            <w:r w:rsidRPr="007D15C3">
              <w:rPr>
                <w:rFonts w:cs="Calibri"/>
              </w:rPr>
              <w:t>34564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0DFF58" w14:textId="77777777">
            <w:pPr>
              <w:jc w:val="center"/>
              <w:rPr>
                <w:rFonts w:cs="Calibri"/>
              </w:rPr>
            </w:pPr>
            <w:r w:rsidRPr="007D15C3">
              <w:rPr>
                <w:rFonts w:cs="Calibri"/>
              </w:rPr>
              <w:t>KICU-TV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09A34B" w14:textId="77777777">
            <w:pPr>
              <w:rPr>
                <w:rFonts w:cs="Calibri"/>
              </w:rPr>
            </w:pPr>
            <w:r w:rsidRPr="007D15C3">
              <w:rPr>
                <w:rFonts w:cs="Calibri"/>
              </w:rPr>
              <w:t xml:space="preserve">          8,233,041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CA434B" w14:textId="77777777">
            <w:pPr>
              <w:rPr>
                <w:rFonts w:cs="Calibri"/>
              </w:rPr>
            </w:pPr>
            <w:r w:rsidRPr="007D15C3">
              <w:rPr>
                <w:rFonts w:cs="Calibri"/>
              </w:rPr>
              <w:t xml:space="preserve">            7,174,316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84864A" w14:textId="77777777">
            <w:pPr>
              <w:jc w:val="right"/>
              <w:rPr>
                <w:rFonts w:cs="Calibri"/>
              </w:rPr>
            </w:pPr>
            <w:r w:rsidRPr="007D15C3">
              <w:rPr>
                <w:rFonts w:cs="Calibri"/>
              </w:rPr>
              <w:t>$56,225</w:t>
            </w:r>
          </w:p>
        </w:tc>
      </w:tr>
      <w:tr w14:paraId="7B1A01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56D4D4" w14:textId="77777777">
            <w:pPr>
              <w:jc w:val="center"/>
              <w:rPr>
                <w:rFonts w:cs="Calibri"/>
              </w:rPr>
            </w:pPr>
            <w:r w:rsidRPr="007D15C3">
              <w:rPr>
                <w:rFonts w:cs="Calibri"/>
              </w:rPr>
              <w:t>56028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2FC385" w14:textId="77777777">
            <w:pPr>
              <w:jc w:val="center"/>
              <w:rPr>
                <w:rFonts w:cs="Calibri"/>
              </w:rPr>
            </w:pPr>
            <w:r w:rsidRPr="007D15C3">
              <w:rPr>
                <w:rFonts w:cs="Calibri"/>
              </w:rPr>
              <w:t>KIDK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6CC4D9" w14:textId="77777777">
            <w:pPr>
              <w:rPr>
                <w:rFonts w:cs="Calibri"/>
              </w:rPr>
            </w:pPr>
            <w:r w:rsidRPr="007D15C3">
              <w:rPr>
                <w:rFonts w:cs="Calibri"/>
              </w:rPr>
              <w:t xml:space="preserve">             305,509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C8724D" w14:textId="77777777">
            <w:pPr>
              <w:rPr>
                <w:rFonts w:cs="Calibri"/>
              </w:rPr>
            </w:pPr>
            <w:r w:rsidRPr="007D15C3">
              <w:rPr>
                <w:rFonts w:cs="Calibri"/>
              </w:rPr>
              <w:t xml:space="preserve">               302,535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D5DA06" w14:textId="77777777">
            <w:pPr>
              <w:jc w:val="right"/>
              <w:rPr>
                <w:rFonts w:cs="Calibri"/>
              </w:rPr>
            </w:pPr>
            <w:r w:rsidRPr="007D15C3">
              <w:rPr>
                <w:rFonts w:cs="Calibri"/>
              </w:rPr>
              <w:t>$2,371</w:t>
            </w:r>
          </w:p>
        </w:tc>
      </w:tr>
      <w:tr w14:paraId="1CF859F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AB215E" w14:textId="77777777">
            <w:pPr>
              <w:jc w:val="center"/>
              <w:rPr>
                <w:rFonts w:cs="Calibri"/>
              </w:rPr>
            </w:pPr>
            <w:r w:rsidRPr="007D15C3">
              <w:rPr>
                <w:rFonts w:cs="Calibri"/>
              </w:rPr>
              <w:t>58560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2BD1B6" w14:textId="77777777">
            <w:pPr>
              <w:jc w:val="center"/>
              <w:rPr>
                <w:rFonts w:cs="Calibri"/>
              </w:rPr>
            </w:pPr>
            <w:r w:rsidRPr="007D15C3">
              <w:rPr>
                <w:rFonts w:cs="Calibri"/>
              </w:rPr>
              <w:t>KIDY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1926A8" w14:textId="77777777">
            <w:pPr>
              <w:rPr>
                <w:rFonts w:cs="Calibri"/>
              </w:rPr>
            </w:pPr>
            <w:r w:rsidRPr="007D15C3">
              <w:rPr>
                <w:rFonts w:cs="Calibri"/>
              </w:rPr>
              <w:t xml:space="preserve">             116,614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ECD852" w14:textId="77777777">
            <w:pPr>
              <w:rPr>
                <w:rFonts w:cs="Calibri"/>
              </w:rPr>
            </w:pPr>
            <w:r w:rsidRPr="007D15C3">
              <w:rPr>
                <w:rFonts w:cs="Calibri"/>
              </w:rPr>
              <w:t xml:space="preserve">               116,596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337ABC" w14:textId="77777777">
            <w:pPr>
              <w:jc w:val="right"/>
              <w:rPr>
                <w:rFonts w:cs="Calibri"/>
              </w:rPr>
            </w:pPr>
            <w:r w:rsidRPr="007D15C3">
              <w:rPr>
                <w:rFonts w:cs="Calibri"/>
              </w:rPr>
              <w:t>$914</w:t>
            </w:r>
          </w:p>
        </w:tc>
      </w:tr>
      <w:tr w14:paraId="031D679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9F0548" w14:textId="77777777">
            <w:pPr>
              <w:jc w:val="center"/>
              <w:rPr>
                <w:rFonts w:cs="Calibri"/>
              </w:rPr>
            </w:pPr>
            <w:r w:rsidRPr="007D15C3">
              <w:rPr>
                <w:rFonts w:cs="Calibri"/>
              </w:rPr>
              <w:t>53382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9A84BB" w14:textId="77777777">
            <w:pPr>
              <w:jc w:val="center"/>
              <w:rPr>
                <w:rFonts w:cs="Calibri"/>
              </w:rPr>
            </w:pPr>
            <w:r w:rsidRPr="007D15C3">
              <w:rPr>
                <w:rFonts w:cs="Calibri"/>
              </w:rPr>
              <w:t>KIEM-TV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E2D13B" w14:textId="77777777">
            <w:pPr>
              <w:rPr>
                <w:rFonts w:cs="Calibri"/>
              </w:rPr>
            </w:pPr>
            <w:r w:rsidRPr="007D15C3">
              <w:rPr>
                <w:rFonts w:cs="Calibri"/>
              </w:rPr>
              <w:t xml:space="preserve">             174,390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816900" w14:textId="77777777">
            <w:pPr>
              <w:rPr>
                <w:rFonts w:cs="Calibri"/>
              </w:rPr>
            </w:pPr>
            <w:r w:rsidRPr="007D15C3">
              <w:rPr>
                <w:rFonts w:cs="Calibri"/>
              </w:rPr>
              <w:t xml:space="preserve">               160,801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A5F10E" w14:textId="77777777">
            <w:pPr>
              <w:jc w:val="right"/>
              <w:rPr>
                <w:rFonts w:cs="Calibri"/>
              </w:rPr>
            </w:pPr>
            <w:r w:rsidRPr="007D15C3">
              <w:rPr>
                <w:rFonts w:cs="Calibri"/>
              </w:rPr>
              <w:t>$1,260</w:t>
            </w:r>
          </w:p>
        </w:tc>
      </w:tr>
      <w:tr w14:paraId="76F2527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1B42CE" w14:textId="77777777">
            <w:pPr>
              <w:jc w:val="center"/>
              <w:rPr>
                <w:rFonts w:cs="Calibri"/>
              </w:rPr>
            </w:pPr>
            <w:r w:rsidRPr="007D15C3">
              <w:rPr>
                <w:rFonts w:cs="Calibri"/>
              </w:rPr>
              <w:t>66258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DE887F" w14:textId="77777777">
            <w:pPr>
              <w:jc w:val="center"/>
              <w:rPr>
                <w:rFonts w:cs="Calibri"/>
              </w:rPr>
            </w:pPr>
            <w:r w:rsidRPr="007D15C3">
              <w:rPr>
                <w:rFonts w:cs="Calibri"/>
              </w:rPr>
              <w:t>KIFI-TV*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272855" w14:textId="77777777">
            <w:pPr>
              <w:rPr>
                <w:rFonts w:cs="Calibri"/>
              </w:rPr>
            </w:pPr>
            <w:r w:rsidRPr="007D15C3">
              <w:rPr>
                <w:rFonts w:cs="Calibri"/>
              </w:rPr>
              <w:t xml:space="preserve">             324,422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43278F" w14:textId="77777777">
            <w:pPr>
              <w:rPr>
                <w:rFonts w:cs="Calibri"/>
              </w:rPr>
            </w:pPr>
            <w:r w:rsidRPr="007D15C3">
              <w:rPr>
                <w:rFonts w:cs="Calibri"/>
              </w:rPr>
              <w:t xml:space="preserve">               320,118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517B41" w14:textId="77777777">
            <w:pPr>
              <w:jc w:val="right"/>
              <w:rPr>
                <w:rFonts w:cs="Calibri"/>
              </w:rPr>
            </w:pPr>
            <w:r w:rsidRPr="007D15C3">
              <w:rPr>
                <w:rFonts w:cs="Calibri"/>
              </w:rPr>
              <w:t>$2,509</w:t>
            </w:r>
          </w:p>
        </w:tc>
      </w:tr>
      <w:tr w14:paraId="2737FC8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518D1F" w14:textId="77777777">
            <w:pPr>
              <w:jc w:val="center"/>
              <w:rPr>
                <w:rFonts w:cs="Calibri"/>
              </w:rPr>
            </w:pPr>
            <w:r w:rsidRPr="007D15C3">
              <w:rPr>
                <w:rFonts w:cs="Calibri"/>
              </w:rPr>
              <w:t>10188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9FB09B" w14:textId="77777777">
            <w:pPr>
              <w:jc w:val="center"/>
              <w:rPr>
                <w:rFonts w:cs="Calibri"/>
              </w:rPr>
            </w:pPr>
            <w:r w:rsidRPr="007D15C3">
              <w:rPr>
                <w:rFonts w:cs="Calibri"/>
              </w:rPr>
              <w:t>KIII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471C0E" w14:textId="77777777">
            <w:pPr>
              <w:rPr>
                <w:rFonts w:cs="Calibri"/>
              </w:rPr>
            </w:pPr>
            <w:r w:rsidRPr="007D15C3">
              <w:rPr>
                <w:rFonts w:cs="Calibri"/>
              </w:rPr>
              <w:t xml:space="preserve">             569,864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0BEE39" w14:textId="77777777">
            <w:pPr>
              <w:rPr>
                <w:rFonts w:cs="Calibri"/>
              </w:rPr>
            </w:pPr>
            <w:r w:rsidRPr="007D15C3">
              <w:rPr>
                <w:rFonts w:cs="Calibri"/>
              </w:rPr>
              <w:t xml:space="preserve">               566,796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BECFD6" w14:textId="77777777">
            <w:pPr>
              <w:jc w:val="right"/>
              <w:rPr>
                <w:rFonts w:cs="Calibri"/>
              </w:rPr>
            </w:pPr>
            <w:r w:rsidRPr="007D15C3">
              <w:rPr>
                <w:rFonts w:cs="Calibri"/>
              </w:rPr>
              <w:t>$4,442</w:t>
            </w:r>
          </w:p>
        </w:tc>
      </w:tr>
      <w:tr w14:paraId="35F22AB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DF9695" w14:textId="77777777">
            <w:pPr>
              <w:jc w:val="center"/>
              <w:rPr>
                <w:rFonts w:cs="Calibri"/>
              </w:rPr>
            </w:pPr>
            <w:r w:rsidRPr="007D15C3">
              <w:rPr>
                <w:rFonts w:cs="Calibri"/>
              </w:rPr>
              <w:t>29095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A0918F" w14:textId="77777777">
            <w:pPr>
              <w:jc w:val="center"/>
              <w:rPr>
                <w:rFonts w:cs="Calibri"/>
              </w:rPr>
            </w:pPr>
            <w:r w:rsidRPr="007D15C3">
              <w:rPr>
                <w:rFonts w:cs="Calibri"/>
              </w:rPr>
              <w:t>KIIN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FCD85B" w14:textId="77777777">
            <w:pPr>
              <w:rPr>
                <w:rFonts w:cs="Calibri"/>
              </w:rPr>
            </w:pPr>
            <w:r w:rsidRPr="007D15C3">
              <w:rPr>
                <w:rFonts w:cs="Calibri"/>
              </w:rPr>
              <w:t xml:space="preserve">          1,365,215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4DC23" w14:textId="77777777">
            <w:pPr>
              <w:rPr>
                <w:rFonts w:cs="Calibri"/>
              </w:rPr>
            </w:pPr>
            <w:r w:rsidRPr="007D15C3">
              <w:rPr>
                <w:rFonts w:cs="Calibri"/>
              </w:rPr>
              <w:t xml:space="preserve">            1,335,707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7DF378" w14:textId="77777777">
            <w:pPr>
              <w:jc w:val="right"/>
              <w:rPr>
                <w:rFonts w:cs="Calibri"/>
              </w:rPr>
            </w:pPr>
            <w:r w:rsidRPr="007D15C3">
              <w:rPr>
                <w:rFonts w:cs="Calibri"/>
              </w:rPr>
              <w:t>$10,468</w:t>
            </w:r>
          </w:p>
        </w:tc>
      </w:tr>
      <w:tr w14:paraId="4684F0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5EA772" w14:textId="77777777">
            <w:pPr>
              <w:jc w:val="center"/>
              <w:rPr>
                <w:rFonts w:cs="Calibri"/>
              </w:rPr>
            </w:pPr>
            <w:r w:rsidRPr="007D15C3">
              <w:rPr>
                <w:rFonts w:cs="Calibri"/>
              </w:rPr>
              <w:t>34527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4A93E3" w14:textId="77777777">
            <w:pPr>
              <w:jc w:val="center"/>
              <w:rPr>
                <w:rFonts w:cs="Calibri"/>
              </w:rPr>
            </w:pPr>
            <w:r w:rsidRPr="007D15C3">
              <w:rPr>
                <w:rFonts w:cs="Calibri"/>
              </w:rPr>
              <w:t>KIKU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182C48" w14:textId="77777777">
            <w:pPr>
              <w:rPr>
                <w:rFonts w:cs="Calibri"/>
              </w:rPr>
            </w:pPr>
            <w:r w:rsidRPr="007D15C3">
              <w:rPr>
                <w:rFonts w:cs="Calibri"/>
              </w:rPr>
              <w:t xml:space="preserve">             953,896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677E34" w14:textId="77777777">
            <w:pPr>
              <w:rPr>
                <w:rFonts w:cs="Calibri"/>
              </w:rPr>
            </w:pPr>
            <w:r w:rsidRPr="007D15C3">
              <w:rPr>
                <w:rFonts w:cs="Calibri"/>
              </w:rPr>
              <w:t xml:space="preserve">               850,963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6165A3" w14:textId="77777777">
            <w:pPr>
              <w:jc w:val="right"/>
              <w:rPr>
                <w:rFonts w:cs="Calibri"/>
              </w:rPr>
            </w:pPr>
            <w:r w:rsidRPr="007D15C3">
              <w:rPr>
                <w:rFonts w:cs="Calibri"/>
              </w:rPr>
              <w:t>$6,669</w:t>
            </w:r>
          </w:p>
        </w:tc>
      </w:tr>
      <w:tr w14:paraId="348CF1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F97098" w14:textId="77777777">
            <w:pPr>
              <w:jc w:val="center"/>
              <w:rPr>
                <w:rFonts w:cs="Calibri"/>
              </w:rPr>
            </w:pPr>
            <w:r w:rsidRPr="007D15C3">
              <w:rPr>
                <w:rFonts w:cs="Calibri"/>
              </w:rPr>
              <w:t>63865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616391" w14:textId="77777777">
            <w:pPr>
              <w:jc w:val="center"/>
              <w:rPr>
                <w:rFonts w:cs="Calibri"/>
              </w:rPr>
            </w:pPr>
            <w:r w:rsidRPr="007D15C3">
              <w:rPr>
                <w:rFonts w:cs="Calibri"/>
              </w:rPr>
              <w:t>KILM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357E54" w14:textId="77777777">
            <w:pPr>
              <w:rPr>
                <w:rFonts w:cs="Calibri"/>
              </w:rPr>
            </w:pPr>
            <w:r w:rsidRPr="007D15C3">
              <w:rPr>
                <w:rFonts w:cs="Calibri"/>
              </w:rPr>
              <w:t xml:space="preserve">        17,256,205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3C2F63" w14:textId="77777777">
            <w:pPr>
              <w:rPr>
                <w:rFonts w:cs="Calibri"/>
              </w:rPr>
            </w:pPr>
            <w:r w:rsidRPr="007D15C3">
              <w:rPr>
                <w:rFonts w:cs="Calibri"/>
              </w:rPr>
              <w:t xml:space="preserve">          15,804,489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F2BEC3" w14:textId="77777777">
            <w:pPr>
              <w:jc w:val="right"/>
              <w:rPr>
                <w:rFonts w:cs="Calibri"/>
              </w:rPr>
            </w:pPr>
            <w:r w:rsidRPr="007D15C3">
              <w:rPr>
                <w:rFonts w:cs="Calibri"/>
              </w:rPr>
              <w:t>$123,860</w:t>
            </w:r>
          </w:p>
        </w:tc>
      </w:tr>
      <w:tr w14:paraId="78A9408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194086" w14:textId="77777777">
            <w:pPr>
              <w:jc w:val="center"/>
              <w:rPr>
                <w:rFonts w:cs="Calibri"/>
              </w:rPr>
            </w:pPr>
            <w:r w:rsidRPr="007D15C3">
              <w:rPr>
                <w:rFonts w:cs="Calibri"/>
              </w:rPr>
              <w:t>56033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CD0EAD" w14:textId="77777777">
            <w:pPr>
              <w:jc w:val="center"/>
              <w:rPr>
                <w:rFonts w:cs="Calibri"/>
              </w:rPr>
            </w:pPr>
            <w:r w:rsidRPr="007D15C3">
              <w:rPr>
                <w:rFonts w:cs="Calibri"/>
              </w:rPr>
              <w:t>KIMA-TV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B8CCF3" w14:textId="77777777">
            <w:pPr>
              <w:rPr>
                <w:rFonts w:cs="Calibri"/>
              </w:rPr>
            </w:pPr>
            <w:r w:rsidRPr="007D15C3">
              <w:rPr>
                <w:rFonts w:cs="Calibri"/>
              </w:rPr>
              <w:t xml:space="preserve">             308,604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9B78C4" w14:textId="77777777">
            <w:pPr>
              <w:rPr>
                <w:rFonts w:cs="Calibri"/>
              </w:rPr>
            </w:pPr>
            <w:r w:rsidRPr="007D15C3">
              <w:rPr>
                <w:rFonts w:cs="Calibri"/>
              </w:rPr>
              <w:t xml:space="preserve">               260,593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74E606" w14:textId="77777777">
            <w:pPr>
              <w:jc w:val="right"/>
              <w:rPr>
                <w:rFonts w:cs="Calibri"/>
              </w:rPr>
            </w:pPr>
            <w:r w:rsidRPr="007D15C3">
              <w:rPr>
                <w:rFonts w:cs="Calibri"/>
              </w:rPr>
              <w:t>$2,042</w:t>
            </w:r>
          </w:p>
        </w:tc>
      </w:tr>
      <w:tr w14:paraId="0B0349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1D7EC5" w14:textId="77777777">
            <w:pPr>
              <w:jc w:val="center"/>
              <w:rPr>
                <w:rFonts w:cs="Calibri"/>
              </w:rPr>
            </w:pPr>
            <w:r w:rsidRPr="007D15C3">
              <w:rPr>
                <w:rFonts w:cs="Calibri"/>
              </w:rPr>
              <w:t>66402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950BA1" w14:textId="77777777">
            <w:pPr>
              <w:jc w:val="center"/>
              <w:rPr>
                <w:rFonts w:cs="Calibri"/>
              </w:rPr>
            </w:pPr>
            <w:r w:rsidRPr="007D15C3">
              <w:rPr>
                <w:rFonts w:cs="Calibri"/>
              </w:rPr>
              <w:t>KIMT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EC04F1" w14:textId="77777777">
            <w:pPr>
              <w:rPr>
                <w:rFonts w:cs="Calibri"/>
              </w:rPr>
            </w:pPr>
            <w:r w:rsidRPr="007D15C3">
              <w:rPr>
                <w:rFonts w:cs="Calibri"/>
              </w:rPr>
              <w:t xml:space="preserve">             654,083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866925" w14:textId="77777777">
            <w:pPr>
              <w:rPr>
                <w:rFonts w:cs="Calibri"/>
              </w:rPr>
            </w:pPr>
            <w:r w:rsidRPr="007D15C3">
              <w:rPr>
                <w:rFonts w:cs="Calibri"/>
              </w:rPr>
              <w:t xml:space="preserve">               643,384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7C70E1" w14:textId="77777777">
            <w:pPr>
              <w:jc w:val="right"/>
              <w:rPr>
                <w:rFonts w:cs="Calibri"/>
              </w:rPr>
            </w:pPr>
            <w:r w:rsidRPr="007D15C3">
              <w:rPr>
                <w:rFonts w:cs="Calibri"/>
              </w:rPr>
              <w:t>$5,042</w:t>
            </w:r>
          </w:p>
        </w:tc>
      </w:tr>
      <w:tr w14:paraId="5314A04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2E0E79" w14:textId="77777777">
            <w:pPr>
              <w:jc w:val="center"/>
              <w:rPr>
                <w:rFonts w:cs="Calibri"/>
              </w:rPr>
            </w:pPr>
            <w:r w:rsidRPr="007D15C3">
              <w:rPr>
                <w:rFonts w:cs="Calibri"/>
              </w:rPr>
              <w:t>67089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EDFA45" w14:textId="77777777">
            <w:pPr>
              <w:jc w:val="center"/>
              <w:rPr>
                <w:rFonts w:cs="Calibri"/>
              </w:rPr>
            </w:pPr>
            <w:r w:rsidRPr="007D15C3">
              <w:rPr>
                <w:rFonts w:cs="Calibri"/>
              </w:rPr>
              <w:t>KINC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A6F963" w14:textId="77777777">
            <w:pPr>
              <w:rPr>
                <w:rFonts w:cs="Calibri"/>
              </w:rPr>
            </w:pPr>
            <w:r w:rsidRPr="007D15C3">
              <w:rPr>
                <w:rFonts w:cs="Calibri"/>
              </w:rPr>
              <w:t xml:space="preserve">          2,002,066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BA4061" w14:textId="77777777">
            <w:pPr>
              <w:rPr>
                <w:rFonts w:cs="Calibri"/>
              </w:rPr>
            </w:pPr>
            <w:r w:rsidRPr="007D15C3">
              <w:rPr>
                <w:rFonts w:cs="Calibri"/>
              </w:rPr>
              <w:t xml:space="preserve">            1,920,903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4494FE" w14:textId="77777777">
            <w:pPr>
              <w:jc w:val="right"/>
              <w:rPr>
                <w:rFonts w:cs="Calibri"/>
              </w:rPr>
            </w:pPr>
            <w:r w:rsidRPr="007D15C3">
              <w:rPr>
                <w:rFonts w:cs="Calibri"/>
              </w:rPr>
              <w:t>$15,054</w:t>
            </w:r>
          </w:p>
        </w:tc>
      </w:tr>
      <w:tr w14:paraId="3561BC8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549822" w14:textId="77777777">
            <w:pPr>
              <w:jc w:val="center"/>
              <w:rPr>
                <w:rFonts w:cs="Calibri"/>
              </w:rPr>
            </w:pPr>
            <w:r w:rsidRPr="007D15C3">
              <w:rPr>
                <w:rFonts w:cs="Calibri"/>
              </w:rPr>
              <w:t>34847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5D24E0" w14:textId="77777777">
            <w:pPr>
              <w:jc w:val="center"/>
              <w:rPr>
                <w:rFonts w:cs="Calibri"/>
              </w:rPr>
            </w:pPr>
            <w:r w:rsidRPr="007D15C3">
              <w:rPr>
                <w:rFonts w:cs="Calibri"/>
              </w:rPr>
              <w:t>KING-TV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5C54A8" w14:textId="77777777">
            <w:pPr>
              <w:rPr>
                <w:rFonts w:cs="Calibri"/>
              </w:rPr>
            </w:pPr>
            <w:r w:rsidRPr="007D15C3">
              <w:rPr>
                <w:rFonts w:cs="Calibri"/>
              </w:rPr>
              <w:t xml:space="preserve">          4,063,674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287C1D" w14:textId="77777777">
            <w:pPr>
              <w:rPr>
                <w:rFonts w:cs="Calibri"/>
              </w:rPr>
            </w:pPr>
            <w:r w:rsidRPr="007D15C3">
              <w:rPr>
                <w:rFonts w:cs="Calibri"/>
              </w:rPr>
              <w:t xml:space="preserve">            4,018,832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2E1829" w14:textId="77777777">
            <w:pPr>
              <w:jc w:val="right"/>
              <w:rPr>
                <w:rFonts w:cs="Calibri"/>
              </w:rPr>
            </w:pPr>
            <w:r w:rsidRPr="007D15C3">
              <w:rPr>
                <w:rFonts w:cs="Calibri"/>
              </w:rPr>
              <w:t>$31,496</w:t>
            </w:r>
          </w:p>
        </w:tc>
      </w:tr>
      <w:tr w14:paraId="2AF8EAC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897204" w14:textId="77777777">
            <w:pPr>
              <w:jc w:val="center"/>
              <w:rPr>
                <w:rFonts w:cs="Calibri"/>
              </w:rPr>
            </w:pPr>
            <w:r w:rsidRPr="007D15C3">
              <w:rPr>
                <w:rFonts w:cs="Calibri"/>
              </w:rPr>
              <w:t>51708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E7AC11" w14:textId="77777777">
            <w:pPr>
              <w:jc w:val="center"/>
              <w:rPr>
                <w:rFonts w:cs="Calibri"/>
              </w:rPr>
            </w:pPr>
            <w:r w:rsidRPr="007D15C3">
              <w:rPr>
                <w:rFonts w:cs="Calibri"/>
              </w:rPr>
              <w:t>KINT-TV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C0CCE3" w14:textId="77777777">
            <w:pPr>
              <w:rPr>
                <w:rFonts w:cs="Calibri"/>
              </w:rPr>
            </w:pPr>
            <w:r w:rsidRPr="007D15C3">
              <w:rPr>
                <w:rFonts w:cs="Calibri"/>
              </w:rPr>
              <w:t xml:space="preserve">          1,015,582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80F518" w14:textId="77777777">
            <w:pPr>
              <w:rPr>
                <w:rFonts w:cs="Calibri"/>
              </w:rPr>
            </w:pPr>
            <w:r w:rsidRPr="007D15C3">
              <w:rPr>
                <w:rFonts w:cs="Calibri"/>
              </w:rPr>
              <w:t xml:space="preserve">            1,015,274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478CFF" w14:textId="77777777">
            <w:pPr>
              <w:jc w:val="right"/>
              <w:rPr>
                <w:rFonts w:cs="Calibri"/>
              </w:rPr>
            </w:pPr>
            <w:r w:rsidRPr="007D15C3">
              <w:rPr>
                <w:rFonts w:cs="Calibri"/>
              </w:rPr>
              <w:t>$7,957</w:t>
            </w:r>
          </w:p>
        </w:tc>
      </w:tr>
      <w:tr w14:paraId="22C9FC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52B8F8" w14:textId="77777777">
            <w:pPr>
              <w:jc w:val="center"/>
              <w:rPr>
                <w:rFonts w:cs="Calibri"/>
              </w:rPr>
            </w:pPr>
            <w:r w:rsidRPr="007D15C3">
              <w:rPr>
                <w:rFonts w:cs="Calibri"/>
              </w:rPr>
              <w:t>26249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8EC72E" w14:textId="77777777">
            <w:pPr>
              <w:jc w:val="center"/>
              <w:rPr>
                <w:rFonts w:cs="Calibri"/>
              </w:rPr>
            </w:pPr>
            <w:r w:rsidRPr="007D15C3">
              <w:rPr>
                <w:rFonts w:cs="Calibri"/>
              </w:rPr>
              <w:t>KION-TV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7BF551" w14:textId="77777777">
            <w:pPr>
              <w:rPr>
                <w:rFonts w:cs="Calibri"/>
              </w:rPr>
            </w:pPr>
            <w:r w:rsidRPr="007D15C3">
              <w:rPr>
                <w:rFonts w:cs="Calibri"/>
              </w:rPr>
              <w:t xml:space="preserve">          2,400,317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7F1AD1" w14:textId="77777777">
            <w:pPr>
              <w:rPr>
                <w:rFonts w:cs="Calibri"/>
              </w:rPr>
            </w:pPr>
            <w:r w:rsidRPr="007D15C3">
              <w:rPr>
                <w:rFonts w:cs="Calibri"/>
              </w:rPr>
              <w:t xml:space="preserve">               855,808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34771B" w14:textId="77777777">
            <w:pPr>
              <w:jc w:val="right"/>
              <w:rPr>
                <w:rFonts w:cs="Calibri"/>
              </w:rPr>
            </w:pPr>
            <w:r w:rsidRPr="007D15C3">
              <w:rPr>
                <w:rFonts w:cs="Calibri"/>
              </w:rPr>
              <w:t>$6,707</w:t>
            </w:r>
          </w:p>
        </w:tc>
      </w:tr>
      <w:tr w14:paraId="700304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ECBBAF" w14:textId="77777777">
            <w:pPr>
              <w:jc w:val="center"/>
              <w:rPr>
                <w:rFonts w:cs="Calibri"/>
              </w:rPr>
            </w:pPr>
            <w:r w:rsidRPr="007D15C3">
              <w:rPr>
                <w:rFonts w:cs="Calibri"/>
              </w:rPr>
              <w:t>62427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E903F3" w14:textId="77777777">
            <w:pPr>
              <w:jc w:val="center"/>
              <w:rPr>
                <w:rFonts w:cs="Calibri"/>
              </w:rPr>
            </w:pPr>
            <w:r w:rsidRPr="007D15C3">
              <w:rPr>
                <w:rFonts w:cs="Calibri"/>
              </w:rPr>
              <w:t>KIPT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495B7F" w14:textId="77777777">
            <w:pPr>
              <w:rPr>
                <w:rFonts w:cs="Calibri"/>
              </w:rPr>
            </w:pPr>
            <w:r w:rsidRPr="007D15C3">
              <w:rPr>
                <w:rFonts w:cs="Calibri"/>
              </w:rPr>
              <w:t xml:space="preserve">             171,405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47BEED" w14:textId="77777777">
            <w:pPr>
              <w:rPr>
                <w:rFonts w:cs="Calibri"/>
              </w:rPr>
            </w:pPr>
            <w:r w:rsidRPr="007D15C3">
              <w:rPr>
                <w:rFonts w:cs="Calibri"/>
              </w:rPr>
              <w:t xml:space="preserve">               170,455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744EE3" w14:textId="77777777">
            <w:pPr>
              <w:jc w:val="right"/>
              <w:rPr>
                <w:rFonts w:cs="Calibri"/>
              </w:rPr>
            </w:pPr>
            <w:r w:rsidRPr="007D15C3">
              <w:rPr>
                <w:rFonts w:cs="Calibri"/>
              </w:rPr>
              <w:t>$1,336</w:t>
            </w:r>
          </w:p>
        </w:tc>
      </w:tr>
      <w:tr w14:paraId="611EA0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C4F909" w14:textId="77777777">
            <w:pPr>
              <w:jc w:val="center"/>
              <w:rPr>
                <w:rFonts w:cs="Calibri"/>
              </w:rPr>
            </w:pPr>
            <w:r w:rsidRPr="007D15C3">
              <w:rPr>
                <w:rFonts w:cs="Calibri"/>
              </w:rPr>
              <w:t>66781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92A650" w14:textId="77777777">
            <w:pPr>
              <w:jc w:val="center"/>
              <w:rPr>
                <w:rFonts w:cs="Calibri"/>
              </w:rPr>
            </w:pPr>
            <w:r w:rsidRPr="007D15C3">
              <w:rPr>
                <w:rFonts w:cs="Calibri"/>
              </w:rPr>
              <w:t>KIRO-TV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030EF4" w14:textId="77777777">
            <w:pPr>
              <w:rPr>
                <w:rFonts w:cs="Calibri"/>
              </w:rPr>
            </w:pPr>
            <w:r w:rsidRPr="007D15C3">
              <w:rPr>
                <w:rFonts w:cs="Calibri"/>
              </w:rPr>
              <w:t xml:space="preserve">          4,058,846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61497C" w14:textId="77777777">
            <w:pPr>
              <w:rPr>
                <w:rFonts w:cs="Calibri"/>
              </w:rPr>
            </w:pPr>
            <w:r w:rsidRPr="007D15C3">
              <w:rPr>
                <w:rFonts w:cs="Calibri"/>
              </w:rPr>
              <w:t xml:space="preserve">            4,027,262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4CDF48" w14:textId="77777777">
            <w:pPr>
              <w:jc w:val="right"/>
              <w:rPr>
                <w:rFonts w:cs="Calibri"/>
              </w:rPr>
            </w:pPr>
            <w:r w:rsidRPr="007D15C3">
              <w:rPr>
                <w:rFonts w:cs="Calibri"/>
              </w:rPr>
              <w:t>$31,562</w:t>
            </w:r>
          </w:p>
        </w:tc>
      </w:tr>
      <w:tr w14:paraId="2678CA6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07E12B" w14:textId="77777777">
            <w:pPr>
              <w:jc w:val="center"/>
              <w:rPr>
                <w:rFonts w:cs="Calibri"/>
              </w:rPr>
            </w:pPr>
            <w:r w:rsidRPr="007D15C3">
              <w:rPr>
                <w:rFonts w:cs="Calibri"/>
              </w:rPr>
              <w:t>62430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562F47" w14:textId="77777777">
            <w:pPr>
              <w:jc w:val="center"/>
              <w:rPr>
                <w:rFonts w:cs="Calibri"/>
              </w:rPr>
            </w:pPr>
            <w:r w:rsidRPr="007D15C3">
              <w:rPr>
                <w:rFonts w:cs="Calibri"/>
              </w:rPr>
              <w:t>KISU-TV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6065A0" w14:textId="77777777">
            <w:pPr>
              <w:rPr>
                <w:rFonts w:cs="Calibri"/>
              </w:rPr>
            </w:pPr>
            <w:r w:rsidRPr="007D15C3">
              <w:rPr>
                <w:rFonts w:cs="Calibri"/>
              </w:rPr>
              <w:t xml:space="preserve">             311,827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2772C1" w14:textId="77777777">
            <w:pPr>
              <w:rPr>
                <w:rFonts w:cs="Calibri"/>
              </w:rPr>
            </w:pPr>
            <w:r w:rsidRPr="007D15C3">
              <w:rPr>
                <w:rFonts w:cs="Calibri"/>
              </w:rPr>
              <w:t xml:space="preserve">               307,651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6A48D4" w14:textId="77777777">
            <w:pPr>
              <w:jc w:val="right"/>
              <w:rPr>
                <w:rFonts w:cs="Calibri"/>
              </w:rPr>
            </w:pPr>
            <w:r w:rsidRPr="007D15C3">
              <w:rPr>
                <w:rFonts w:cs="Calibri"/>
              </w:rPr>
              <w:t>$2,411</w:t>
            </w:r>
          </w:p>
        </w:tc>
      </w:tr>
      <w:tr w14:paraId="3A37A75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F8AB28" w14:textId="77777777">
            <w:pPr>
              <w:jc w:val="center"/>
              <w:rPr>
                <w:rFonts w:cs="Calibri"/>
              </w:rPr>
            </w:pPr>
            <w:r w:rsidRPr="007D15C3">
              <w:rPr>
                <w:rFonts w:cs="Calibri"/>
              </w:rPr>
              <w:t>12896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CACEB0" w14:textId="77777777">
            <w:pPr>
              <w:jc w:val="center"/>
              <w:rPr>
                <w:rFonts w:cs="Calibri"/>
              </w:rPr>
            </w:pPr>
            <w:r w:rsidRPr="007D15C3">
              <w:rPr>
                <w:rFonts w:cs="Calibri"/>
              </w:rPr>
              <w:t>KITU-TV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67EF69" w14:textId="77777777">
            <w:pPr>
              <w:rPr>
                <w:rFonts w:cs="Calibri"/>
              </w:rPr>
            </w:pPr>
            <w:r w:rsidRPr="007D15C3">
              <w:rPr>
                <w:rFonts w:cs="Calibri"/>
              </w:rPr>
              <w:t xml:space="preserve">             712,362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5865D7" w14:textId="77777777">
            <w:pPr>
              <w:rPr>
                <w:rFonts w:cs="Calibri"/>
              </w:rPr>
            </w:pPr>
            <w:r w:rsidRPr="007D15C3">
              <w:rPr>
                <w:rFonts w:cs="Calibri"/>
              </w:rPr>
              <w:t xml:space="preserve">               712,362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47A2A7" w14:textId="77777777">
            <w:pPr>
              <w:jc w:val="right"/>
              <w:rPr>
                <w:rFonts w:cs="Calibri"/>
              </w:rPr>
            </w:pPr>
            <w:r w:rsidRPr="007D15C3">
              <w:rPr>
                <w:rFonts w:cs="Calibri"/>
              </w:rPr>
              <w:t>$5,583</w:t>
            </w:r>
          </w:p>
        </w:tc>
      </w:tr>
      <w:tr w14:paraId="0B97B7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1B0003" w14:textId="77777777">
            <w:pPr>
              <w:jc w:val="center"/>
              <w:rPr>
                <w:rFonts w:cs="Calibri"/>
              </w:rPr>
            </w:pPr>
            <w:r w:rsidRPr="007D15C3">
              <w:rPr>
                <w:rFonts w:cs="Calibri"/>
              </w:rPr>
              <w:t>64548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DC12F0" w14:textId="77777777">
            <w:pPr>
              <w:jc w:val="center"/>
              <w:rPr>
                <w:rFonts w:cs="Calibri"/>
              </w:rPr>
            </w:pPr>
            <w:r w:rsidRPr="007D15C3">
              <w:rPr>
                <w:rFonts w:cs="Calibri"/>
              </w:rPr>
              <w:t>KITV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CF3C3C" w14:textId="77777777">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46825E" w14:textId="77777777">
            <w:pPr>
              <w:rPr>
                <w:rFonts w:cs="Calibri"/>
              </w:rPr>
            </w:pPr>
            <w:r w:rsidRPr="007D15C3">
              <w:rPr>
                <w:rFonts w:cs="Calibri"/>
              </w:rPr>
              <w:t xml:space="preserve">               839,906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042F50" w14:textId="77777777">
            <w:pPr>
              <w:jc w:val="right"/>
              <w:rPr>
                <w:rFonts w:cs="Calibri"/>
              </w:rPr>
            </w:pPr>
            <w:r w:rsidRPr="007D15C3">
              <w:rPr>
                <w:rFonts w:cs="Calibri"/>
              </w:rPr>
              <w:t>$6,582</w:t>
            </w:r>
          </w:p>
        </w:tc>
      </w:tr>
      <w:tr w14:paraId="4815A7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63ABC1" w14:textId="77777777">
            <w:pPr>
              <w:jc w:val="center"/>
              <w:rPr>
                <w:rFonts w:cs="Calibri"/>
              </w:rPr>
            </w:pPr>
            <w:r w:rsidRPr="007D15C3">
              <w:rPr>
                <w:rFonts w:cs="Calibri"/>
              </w:rPr>
              <w:t>59255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C0F3F0" w14:textId="77777777">
            <w:pPr>
              <w:jc w:val="center"/>
              <w:rPr>
                <w:rFonts w:cs="Calibri"/>
              </w:rPr>
            </w:pPr>
            <w:r w:rsidRPr="007D15C3">
              <w:rPr>
                <w:rFonts w:cs="Calibri"/>
              </w:rPr>
              <w:t>KIVI-TV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5B1C73" w14:textId="77777777">
            <w:pPr>
              <w:rPr>
                <w:rFonts w:cs="Calibri"/>
              </w:rPr>
            </w:pPr>
            <w:r w:rsidRPr="007D15C3">
              <w:rPr>
                <w:rFonts w:cs="Calibri"/>
              </w:rPr>
              <w:t xml:space="preserve">             710,819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5F2E96" w14:textId="77777777">
            <w:pPr>
              <w:rPr>
                <w:rFonts w:cs="Calibri"/>
              </w:rPr>
            </w:pPr>
            <w:r w:rsidRPr="007D15C3">
              <w:rPr>
                <w:rFonts w:cs="Calibri"/>
              </w:rPr>
              <w:t xml:space="preserve">               702,619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8AFCEC" w14:textId="77777777">
            <w:pPr>
              <w:jc w:val="right"/>
              <w:rPr>
                <w:rFonts w:cs="Calibri"/>
              </w:rPr>
            </w:pPr>
            <w:r w:rsidRPr="007D15C3">
              <w:rPr>
                <w:rFonts w:cs="Calibri"/>
              </w:rPr>
              <w:t>$5,506</w:t>
            </w:r>
          </w:p>
        </w:tc>
      </w:tr>
      <w:tr w14:paraId="7ABA875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CF6030" w14:textId="77777777">
            <w:pPr>
              <w:jc w:val="center"/>
              <w:rPr>
                <w:rFonts w:cs="Calibri"/>
              </w:rPr>
            </w:pPr>
            <w:r w:rsidRPr="007D15C3">
              <w:rPr>
                <w:rFonts w:cs="Calibri"/>
              </w:rPr>
              <w:t>47285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A9C2F8" w14:textId="77777777">
            <w:pPr>
              <w:jc w:val="center"/>
              <w:rPr>
                <w:rFonts w:cs="Calibri"/>
              </w:rPr>
            </w:pPr>
            <w:r w:rsidRPr="007D15C3">
              <w:rPr>
                <w:rFonts w:cs="Calibri"/>
              </w:rPr>
              <w:t>KIXE-TV*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A95A0C" w14:textId="77777777">
            <w:pPr>
              <w:rPr>
                <w:rFonts w:cs="Calibri"/>
              </w:rPr>
            </w:pPr>
            <w:r w:rsidRPr="007D15C3">
              <w:rPr>
                <w:rFonts w:cs="Calibri"/>
              </w:rPr>
              <w:t xml:space="preserve">             467,518</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F04070" w14:textId="77777777">
            <w:pPr>
              <w:rPr>
                <w:rFonts w:cs="Calibri"/>
              </w:rPr>
            </w:pPr>
            <w:r w:rsidRPr="007D15C3">
              <w:rPr>
                <w:rFonts w:cs="Calibri"/>
              </w:rPr>
              <w:t xml:space="preserve">               428,118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E4DB37" w14:textId="77777777">
            <w:pPr>
              <w:jc w:val="right"/>
              <w:rPr>
                <w:rFonts w:cs="Calibri"/>
              </w:rPr>
            </w:pPr>
            <w:r w:rsidRPr="007D15C3">
              <w:rPr>
                <w:rFonts w:cs="Calibri"/>
              </w:rPr>
              <w:t>$3,355</w:t>
            </w:r>
          </w:p>
        </w:tc>
      </w:tr>
      <w:tr w14:paraId="71EB40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E74E47" w14:textId="77777777">
            <w:pPr>
              <w:jc w:val="center"/>
              <w:rPr>
                <w:rFonts w:cs="Calibri"/>
              </w:rPr>
            </w:pPr>
            <w:r w:rsidRPr="007D15C3">
              <w:rPr>
                <w:rFonts w:cs="Calibri"/>
              </w:rPr>
              <w:t>13792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B2D7D4" w14:textId="77777777">
            <w:pPr>
              <w:jc w:val="center"/>
              <w:rPr>
                <w:rFonts w:cs="Calibri"/>
              </w:rPr>
            </w:pPr>
            <w:r w:rsidRPr="007D15C3">
              <w:rPr>
                <w:rFonts w:cs="Calibri"/>
              </w:rPr>
              <w:t>KJJC-TV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0EB847" w14:textId="77777777">
            <w:pPr>
              <w:rPr>
                <w:rFonts w:cs="Calibri"/>
              </w:rPr>
            </w:pPr>
            <w:r w:rsidRPr="007D15C3">
              <w:rPr>
                <w:rFonts w:cs="Calibri"/>
              </w:rPr>
              <w:t xml:space="preserve">               82,749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C07AF2" w14:textId="77777777">
            <w:pPr>
              <w:rPr>
                <w:rFonts w:cs="Calibri"/>
              </w:rPr>
            </w:pPr>
            <w:r w:rsidRPr="007D15C3">
              <w:rPr>
                <w:rFonts w:cs="Calibri"/>
              </w:rPr>
              <w:t xml:space="preserve">                 81,865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397933" w14:textId="77777777">
            <w:pPr>
              <w:jc w:val="right"/>
              <w:rPr>
                <w:rFonts w:cs="Calibri"/>
              </w:rPr>
            </w:pPr>
            <w:r w:rsidRPr="007D15C3">
              <w:rPr>
                <w:rFonts w:cs="Calibri"/>
              </w:rPr>
              <w:t>$642</w:t>
            </w:r>
          </w:p>
        </w:tc>
      </w:tr>
      <w:tr w14:paraId="703C49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15E6A2" w14:textId="77777777">
            <w:pPr>
              <w:jc w:val="center"/>
              <w:rPr>
                <w:rFonts w:cs="Calibri"/>
              </w:rPr>
            </w:pPr>
            <w:r w:rsidRPr="007D15C3">
              <w:rPr>
                <w:rFonts w:cs="Calibri"/>
              </w:rPr>
              <w:t>14000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3DC2ED" w14:textId="77777777">
            <w:pPr>
              <w:jc w:val="center"/>
              <w:rPr>
                <w:rFonts w:cs="Calibri"/>
              </w:rPr>
            </w:pPr>
            <w:r w:rsidRPr="007D15C3">
              <w:rPr>
                <w:rFonts w:cs="Calibri"/>
              </w:rPr>
              <w:t>KJLA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6BAB0E" w14:textId="77777777">
            <w:pPr>
              <w:rPr>
                <w:rFonts w:cs="Calibri"/>
              </w:rPr>
            </w:pPr>
            <w:r w:rsidRPr="007D15C3">
              <w:rPr>
                <w:rFonts w:cs="Calibri"/>
              </w:rPr>
              <w:t xml:space="preserve">        17,929,100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8E1153" w14:textId="77777777">
            <w:pPr>
              <w:rPr>
                <w:rFonts w:cs="Calibri"/>
              </w:rPr>
            </w:pPr>
            <w:r w:rsidRPr="007D15C3">
              <w:rPr>
                <w:rFonts w:cs="Calibri"/>
              </w:rPr>
              <w:t xml:space="preserve">          16,794,896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3B83CD" w14:textId="77777777">
            <w:pPr>
              <w:jc w:val="right"/>
              <w:rPr>
                <w:rFonts w:cs="Calibri"/>
              </w:rPr>
            </w:pPr>
            <w:r w:rsidRPr="007D15C3">
              <w:rPr>
                <w:rFonts w:cs="Calibri"/>
              </w:rPr>
              <w:t>$131,622</w:t>
            </w:r>
          </w:p>
        </w:tc>
      </w:tr>
      <w:tr w14:paraId="28326EA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EEFB6C" w14:textId="77777777">
            <w:pPr>
              <w:jc w:val="center"/>
              <w:rPr>
                <w:rFonts w:cs="Calibri"/>
              </w:rPr>
            </w:pPr>
            <w:r w:rsidRPr="007D15C3">
              <w:rPr>
                <w:rFonts w:cs="Calibri"/>
              </w:rPr>
              <w:t>20015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3044F7" w14:textId="77777777">
            <w:pPr>
              <w:jc w:val="center"/>
              <w:rPr>
                <w:rFonts w:cs="Calibri"/>
              </w:rPr>
            </w:pPr>
            <w:r w:rsidRPr="007D15C3">
              <w:rPr>
                <w:rFonts w:cs="Calibri"/>
              </w:rPr>
              <w:t>KJNP-TV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D26C54" w14:textId="77777777">
            <w:pPr>
              <w:rPr>
                <w:rFonts w:cs="Calibri"/>
              </w:rPr>
            </w:pPr>
            <w:r w:rsidRPr="007D15C3">
              <w:rPr>
                <w:rFonts w:cs="Calibri"/>
              </w:rPr>
              <w:t xml:space="preserve">               98,403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92BFFD" w14:textId="77777777">
            <w:pPr>
              <w:rPr>
                <w:rFonts w:cs="Calibri"/>
              </w:rPr>
            </w:pPr>
            <w:r w:rsidRPr="007D15C3">
              <w:rPr>
                <w:rFonts w:cs="Calibri"/>
              </w:rPr>
              <w:t xml:space="preserve">                 98,097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DC0ED9" w14:textId="77777777">
            <w:pPr>
              <w:jc w:val="right"/>
              <w:rPr>
                <w:rFonts w:cs="Calibri"/>
              </w:rPr>
            </w:pPr>
            <w:r w:rsidRPr="007D15C3">
              <w:rPr>
                <w:rFonts w:cs="Calibri"/>
              </w:rPr>
              <w:t>$769</w:t>
            </w:r>
          </w:p>
        </w:tc>
      </w:tr>
      <w:tr w14:paraId="4E6C20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CCC681" w14:textId="77777777">
            <w:pPr>
              <w:jc w:val="center"/>
              <w:rPr>
                <w:rFonts w:cs="Calibri"/>
              </w:rPr>
            </w:pPr>
            <w:r w:rsidRPr="007D15C3">
              <w:rPr>
                <w:rFonts w:cs="Calibri"/>
              </w:rPr>
              <w:t>53315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E80CAC" w14:textId="77777777">
            <w:pPr>
              <w:jc w:val="center"/>
              <w:rPr>
                <w:rFonts w:cs="Calibri"/>
              </w:rPr>
            </w:pPr>
            <w:r w:rsidRPr="007D15C3">
              <w:rPr>
                <w:rFonts w:cs="Calibri"/>
              </w:rPr>
              <w:t>KJRE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3AD2BD" w14:textId="77777777">
            <w:pPr>
              <w:rPr>
                <w:rFonts w:cs="Calibri"/>
              </w:rPr>
            </w:pPr>
            <w:r w:rsidRPr="007D15C3">
              <w:rPr>
                <w:rFonts w:cs="Calibri"/>
              </w:rPr>
              <w:t xml:space="preserve">               16,187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B3759A" w14:textId="77777777">
            <w:pPr>
              <w:rPr>
                <w:rFonts w:cs="Calibri"/>
              </w:rPr>
            </w:pPr>
            <w:r w:rsidRPr="007D15C3">
              <w:rPr>
                <w:rFonts w:cs="Calibri"/>
              </w:rPr>
              <w:t xml:space="preserve">                 16,170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B35FB8" w14:textId="77777777">
            <w:pPr>
              <w:jc w:val="right"/>
              <w:rPr>
                <w:rFonts w:cs="Calibri"/>
              </w:rPr>
            </w:pPr>
            <w:r w:rsidRPr="007D15C3">
              <w:rPr>
                <w:rFonts w:cs="Calibri"/>
              </w:rPr>
              <w:t>$127</w:t>
            </w:r>
          </w:p>
        </w:tc>
      </w:tr>
      <w:tr w14:paraId="386FC84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2EC9BE" w14:textId="77777777">
            <w:pPr>
              <w:jc w:val="center"/>
              <w:rPr>
                <w:rFonts w:cs="Calibri"/>
              </w:rPr>
            </w:pPr>
            <w:r w:rsidRPr="007D15C3">
              <w:rPr>
                <w:rFonts w:cs="Calibri"/>
              </w:rPr>
              <w:t>59439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FE54A5" w14:textId="77777777">
            <w:pPr>
              <w:jc w:val="center"/>
              <w:rPr>
                <w:rFonts w:cs="Calibri"/>
              </w:rPr>
            </w:pPr>
            <w:r w:rsidRPr="007D15C3">
              <w:rPr>
                <w:rFonts w:cs="Calibri"/>
              </w:rPr>
              <w:t>KJRH-TV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01F084" w14:textId="77777777">
            <w:pPr>
              <w:rPr>
                <w:rFonts w:cs="Calibri"/>
              </w:rPr>
            </w:pPr>
            <w:r w:rsidRPr="007D15C3">
              <w:rPr>
                <w:rFonts w:cs="Calibri"/>
              </w:rPr>
              <w:t xml:space="preserve">          1,416,108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74E918" w14:textId="77777777">
            <w:pPr>
              <w:rPr>
                <w:rFonts w:cs="Calibri"/>
              </w:rPr>
            </w:pPr>
            <w:r w:rsidRPr="007D15C3">
              <w:rPr>
                <w:rFonts w:cs="Calibri"/>
              </w:rPr>
              <w:t xml:space="preserve">            1,397,311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1F2233" w14:textId="77777777">
            <w:pPr>
              <w:jc w:val="right"/>
              <w:rPr>
                <w:rFonts w:cs="Calibri"/>
              </w:rPr>
            </w:pPr>
            <w:r w:rsidRPr="007D15C3">
              <w:rPr>
                <w:rFonts w:cs="Calibri"/>
              </w:rPr>
              <w:t>$10,951</w:t>
            </w:r>
          </w:p>
        </w:tc>
      </w:tr>
      <w:tr w14:paraId="00F428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625BA0" w14:textId="77777777">
            <w:pPr>
              <w:jc w:val="center"/>
              <w:rPr>
                <w:rFonts w:cs="Calibri"/>
              </w:rPr>
            </w:pPr>
            <w:r w:rsidRPr="007D15C3">
              <w:rPr>
                <w:rFonts w:cs="Calibri"/>
              </w:rPr>
              <w:t>55364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61E62F" w14:textId="77777777">
            <w:pPr>
              <w:jc w:val="center"/>
              <w:rPr>
                <w:rFonts w:cs="Calibri"/>
              </w:rPr>
            </w:pPr>
            <w:r w:rsidRPr="007D15C3">
              <w:rPr>
                <w:rFonts w:cs="Calibri"/>
              </w:rPr>
              <w:t>KJRR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C889D7" w14:textId="77777777">
            <w:pPr>
              <w:rPr>
                <w:rFonts w:cs="Calibri"/>
              </w:rPr>
            </w:pPr>
            <w:r w:rsidRPr="007D15C3">
              <w:rPr>
                <w:rFonts w:cs="Calibri"/>
              </w:rPr>
              <w:t xml:space="preserve">               45,515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5CE51B" w14:textId="77777777">
            <w:pPr>
              <w:rPr>
                <w:rFonts w:cs="Calibri"/>
              </w:rPr>
            </w:pPr>
            <w:r w:rsidRPr="007D15C3">
              <w:rPr>
                <w:rFonts w:cs="Calibri"/>
              </w:rPr>
              <w:t xml:space="preserve">                 44,098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CE1B24" w14:textId="77777777">
            <w:pPr>
              <w:jc w:val="right"/>
              <w:rPr>
                <w:rFonts w:cs="Calibri"/>
              </w:rPr>
            </w:pPr>
            <w:r w:rsidRPr="007D15C3">
              <w:rPr>
                <w:rFonts w:cs="Calibri"/>
              </w:rPr>
              <w:t>$346</w:t>
            </w:r>
          </w:p>
        </w:tc>
      </w:tr>
      <w:tr w14:paraId="2F2D80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B7B4A7" w14:textId="77777777">
            <w:pPr>
              <w:jc w:val="center"/>
              <w:rPr>
                <w:rFonts w:cs="Calibri"/>
              </w:rPr>
            </w:pPr>
            <w:r w:rsidRPr="007D15C3">
              <w:rPr>
                <w:rFonts w:cs="Calibri"/>
              </w:rPr>
              <w:t>42640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9A2902" w14:textId="77777777">
            <w:pPr>
              <w:jc w:val="center"/>
              <w:rPr>
                <w:rFonts w:cs="Calibri"/>
              </w:rPr>
            </w:pPr>
            <w:r w:rsidRPr="007D15C3">
              <w:rPr>
                <w:rFonts w:cs="Calibri"/>
              </w:rPr>
              <w:t>KJRW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241BDE" w14:textId="77777777">
            <w:pPr>
              <w:rPr>
                <w:rFonts w:cs="Calibri"/>
              </w:rPr>
            </w:pPr>
            <w:r w:rsidRPr="007D15C3">
              <w:rPr>
                <w:rFonts w:cs="Calibri"/>
              </w:rPr>
              <w:t xml:space="preserve">             137,375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4DBF54" w14:textId="77777777">
            <w:pPr>
              <w:rPr>
                <w:rFonts w:cs="Calibri"/>
              </w:rPr>
            </w:pPr>
            <w:r w:rsidRPr="007D15C3">
              <w:rPr>
                <w:rFonts w:cs="Calibri"/>
              </w:rPr>
              <w:t xml:space="preserve">               126,743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B1F5BE" w14:textId="77777777">
            <w:pPr>
              <w:jc w:val="right"/>
              <w:rPr>
                <w:rFonts w:cs="Calibri"/>
              </w:rPr>
            </w:pPr>
            <w:r w:rsidRPr="007D15C3">
              <w:rPr>
                <w:rFonts w:cs="Calibri"/>
              </w:rPr>
              <w:t>$993</w:t>
            </w:r>
          </w:p>
        </w:tc>
      </w:tr>
      <w:tr w14:paraId="12C9723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A849F3" w14:textId="77777777">
            <w:pPr>
              <w:jc w:val="center"/>
              <w:rPr>
                <w:rFonts w:cs="Calibri"/>
              </w:rPr>
            </w:pPr>
            <w:r w:rsidRPr="007D15C3">
              <w:rPr>
                <w:rFonts w:cs="Calibri"/>
              </w:rPr>
              <w:t>7675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629F519" w14:textId="77777777">
            <w:pPr>
              <w:jc w:val="center"/>
              <w:rPr>
                <w:rFonts w:cs="Calibri"/>
              </w:rPr>
            </w:pPr>
            <w:r w:rsidRPr="007D15C3">
              <w:rPr>
                <w:rFonts w:cs="Calibri"/>
              </w:rPr>
              <w:t>KJTL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ACA9CE" w14:textId="77777777">
            <w:pPr>
              <w:rPr>
                <w:rFonts w:cs="Calibri"/>
              </w:rPr>
            </w:pPr>
            <w:r w:rsidRPr="007D15C3">
              <w:rPr>
                <w:rFonts w:cs="Calibri"/>
              </w:rPr>
              <w:t xml:space="preserve">             379,594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FB2910" w14:textId="77777777">
            <w:pPr>
              <w:rPr>
                <w:rFonts w:cs="Calibri"/>
              </w:rPr>
            </w:pPr>
            <w:r w:rsidRPr="007D15C3">
              <w:rPr>
                <w:rFonts w:cs="Calibri"/>
              </w:rPr>
              <w:t xml:space="preserve">               379,263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6333DC" w14:textId="77777777">
            <w:pPr>
              <w:jc w:val="right"/>
              <w:rPr>
                <w:rFonts w:cs="Calibri"/>
              </w:rPr>
            </w:pPr>
            <w:r w:rsidRPr="007D15C3">
              <w:rPr>
                <w:rFonts w:cs="Calibri"/>
              </w:rPr>
              <w:t>$2,972</w:t>
            </w:r>
          </w:p>
        </w:tc>
      </w:tr>
      <w:tr w14:paraId="127957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30568A" w14:textId="77777777">
            <w:pPr>
              <w:jc w:val="center"/>
              <w:rPr>
                <w:rFonts w:cs="Calibri"/>
              </w:rPr>
            </w:pPr>
            <w:r w:rsidRPr="007D15C3">
              <w:rPr>
                <w:rFonts w:cs="Calibri"/>
              </w:rPr>
              <w:t>55031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74D7CE" w14:textId="77777777">
            <w:pPr>
              <w:jc w:val="center"/>
              <w:rPr>
                <w:rFonts w:cs="Calibri"/>
              </w:rPr>
            </w:pPr>
            <w:r w:rsidRPr="007D15C3">
              <w:rPr>
                <w:rFonts w:cs="Calibri"/>
              </w:rPr>
              <w:t>KJTV-TV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87D45A" w14:textId="77777777">
            <w:pPr>
              <w:rPr>
                <w:rFonts w:cs="Calibri"/>
              </w:rPr>
            </w:pPr>
            <w:r w:rsidRPr="007D15C3">
              <w:rPr>
                <w:rFonts w:cs="Calibri"/>
              </w:rPr>
              <w:t xml:space="preserve">             406,283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EA445C" w14:textId="77777777">
            <w:pPr>
              <w:rPr>
                <w:rFonts w:cs="Calibri"/>
              </w:rPr>
            </w:pPr>
            <w:r w:rsidRPr="007D15C3">
              <w:rPr>
                <w:rFonts w:cs="Calibri"/>
              </w:rPr>
              <w:t xml:space="preserve">               406,260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4D31B9" w14:textId="77777777">
            <w:pPr>
              <w:jc w:val="right"/>
              <w:rPr>
                <w:rFonts w:cs="Calibri"/>
              </w:rPr>
            </w:pPr>
            <w:r w:rsidRPr="007D15C3">
              <w:rPr>
                <w:rFonts w:cs="Calibri"/>
              </w:rPr>
              <w:t>$3,184</w:t>
            </w:r>
          </w:p>
        </w:tc>
      </w:tr>
      <w:tr w14:paraId="07956C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2A4C42" w14:textId="77777777">
            <w:pPr>
              <w:jc w:val="center"/>
              <w:rPr>
                <w:rFonts w:cs="Calibri"/>
              </w:rPr>
            </w:pPr>
            <w:r w:rsidRPr="007D15C3">
              <w:rPr>
                <w:rFonts w:cs="Calibri"/>
              </w:rPr>
              <w:t>13814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BC5252" w14:textId="77777777">
            <w:pPr>
              <w:jc w:val="center"/>
              <w:rPr>
                <w:rFonts w:cs="Calibri"/>
              </w:rPr>
            </w:pPr>
            <w:r w:rsidRPr="007D15C3">
              <w:rPr>
                <w:rFonts w:cs="Calibri"/>
              </w:rPr>
              <w:t>KJUD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AF0587" w14:textId="77777777">
            <w:pPr>
              <w:rPr>
                <w:rFonts w:cs="Calibri"/>
              </w:rPr>
            </w:pPr>
            <w:r w:rsidRPr="007D15C3">
              <w:rPr>
                <w:rFonts w:cs="Calibri"/>
              </w:rPr>
              <w:t xml:space="preserve">               31,229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74020E" w14:textId="77777777">
            <w:pPr>
              <w:rPr>
                <w:rFonts w:cs="Calibri"/>
              </w:rPr>
            </w:pPr>
            <w:r w:rsidRPr="007D15C3">
              <w:rPr>
                <w:rFonts w:cs="Calibri"/>
              </w:rPr>
              <w:t xml:space="preserve">                 30,106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7FB025" w14:textId="77777777">
            <w:pPr>
              <w:jc w:val="right"/>
              <w:rPr>
                <w:rFonts w:cs="Calibri"/>
              </w:rPr>
            </w:pPr>
            <w:r w:rsidRPr="007D15C3">
              <w:rPr>
                <w:rFonts w:cs="Calibri"/>
              </w:rPr>
              <w:t>$236</w:t>
            </w:r>
          </w:p>
        </w:tc>
      </w:tr>
      <w:tr w14:paraId="0BE88B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651542" w14:textId="77777777">
            <w:pPr>
              <w:jc w:val="center"/>
              <w:rPr>
                <w:rFonts w:cs="Calibri"/>
              </w:rPr>
            </w:pPr>
            <w:r w:rsidRPr="007D15C3">
              <w:rPr>
                <w:rFonts w:cs="Calibri"/>
              </w:rPr>
              <w:t>36607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ED3CF2" w14:textId="77777777">
            <w:pPr>
              <w:jc w:val="center"/>
              <w:rPr>
                <w:rFonts w:cs="Calibri"/>
              </w:rPr>
            </w:pPr>
            <w:r w:rsidRPr="007D15C3">
              <w:rPr>
                <w:rFonts w:cs="Calibri"/>
              </w:rPr>
              <w:t>KJZZ-TV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48040E" w14:textId="77777777">
            <w:pPr>
              <w:rPr>
                <w:rFonts w:cs="Calibri"/>
              </w:rPr>
            </w:pPr>
            <w:r w:rsidRPr="007D15C3">
              <w:rPr>
                <w:rFonts w:cs="Calibri"/>
              </w:rPr>
              <w:t xml:space="preserve">          2,388,054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D05564" w14:textId="77777777">
            <w:pPr>
              <w:rPr>
                <w:rFonts w:cs="Calibri"/>
              </w:rPr>
            </w:pPr>
            <w:r w:rsidRPr="007D15C3">
              <w:rPr>
                <w:rFonts w:cs="Calibri"/>
              </w:rPr>
              <w:t xml:space="preserve">            2,204,525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68C208" w14:textId="77777777">
            <w:pPr>
              <w:jc w:val="right"/>
              <w:rPr>
                <w:rFonts w:cs="Calibri"/>
              </w:rPr>
            </w:pPr>
            <w:r w:rsidRPr="007D15C3">
              <w:rPr>
                <w:rFonts w:cs="Calibri"/>
              </w:rPr>
              <w:t>$17,277</w:t>
            </w:r>
          </w:p>
        </w:tc>
      </w:tr>
      <w:tr w14:paraId="40BABA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3E16C7" w14:textId="77777777">
            <w:pPr>
              <w:jc w:val="center"/>
              <w:rPr>
                <w:rFonts w:cs="Calibri"/>
              </w:rPr>
            </w:pPr>
            <w:r w:rsidRPr="007D15C3">
              <w:rPr>
                <w:rFonts w:cs="Calibri"/>
              </w:rPr>
              <w:t>83180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FCD4D8" w14:textId="77777777">
            <w:pPr>
              <w:jc w:val="center"/>
              <w:rPr>
                <w:rFonts w:cs="Calibri"/>
              </w:rPr>
            </w:pPr>
            <w:r w:rsidRPr="007D15C3">
              <w:rPr>
                <w:rFonts w:cs="Calibri"/>
              </w:rPr>
              <w:t>KKAI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7E2263" w14:textId="77777777">
            <w:pPr>
              <w:rPr>
                <w:rFonts w:cs="Calibri"/>
              </w:rPr>
            </w:pPr>
            <w:r w:rsidRPr="007D15C3">
              <w:rPr>
                <w:rFonts w:cs="Calibri"/>
              </w:rPr>
              <w:t xml:space="preserve">             955,203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F9E11F" w14:textId="77777777">
            <w:pPr>
              <w:rPr>
                <w:rFonts w:cs="Calibri"/>
              </w:rPr>
            </w:pPr>
            <w:r w:rsidRPr="007D15C3">
              <w:rPr>
                <w:rFonts w:cs="Calibri"/>
              </w:rPr>
              <w:t xml:space="preserve">               941,214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3E1BBB" w14:textId="77777777">
            <w:pPr>
              <w:jc w:val="right"/>
              <w:rPr>
                <w:rFonts w:cs="Calibri"/>
              </w:rPr>
            </w:pPr>
            <w:r w:rsidRPr="007D15C3">
              <w:rPr>
                <w:rFonts w:cs="Calibri"/>
              </w:rPr>
              <w:t>$7,376</w:t>
            </w:r>
          </w:p>
        </w:tc>
      </w:tr>
      <w:tr w14:paraId="0D69BCA7"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A43E85" w14:textId="77777777">
            <w:pPr>
              <w:jc w:val="center"/>
              <w:rPr>
                <w:rFonts w:cs="Calibri"/>
              </w:rPr>
            </w:pPr>
            <w:r w:rsidRPr="007D15C3">
              <w:rPr>
                <w:rFonts w:cs="Calibri"/>
              </w:rPr>
              <w:t>58267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5FF6083" w14:textId="77777777">
            <w:pPr>
              <w:jc w:val="center"/>
              <w:rPr>
                <w:rFonts w:cs="Calibri"/>
              </w:rPr>
            </w:pPr>
            <w:r w:rsidRPr="007D15C3">
              <w:rPr>
                <w:rFonts w:cs="Calibri"/>
              </w:rPr>
              <w:t>KKAP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1266684" w14:textId="77777777">
            <w:pPr>
              <w:rPr>
                <w:rFonts w:cs="Calibri"/>
              </w:rPr>
            </w:pPr>
            <w:r w:rsidRPr="007D15C3">
              <w:rPr>
                <w:rFonts w:cs="Calibri"/>
              </w:rPr>
              <w:t xml:space="preserve">             957,786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937C992" w14:textId="77777777">
            <w:pPr>
              <w:rPr>
                <w:rFonts w:cs="Calibri"/>
              </w:rPr>
            </w:pPr>
            <w:r w:rsidRPr="007D15C3">
              <w:rPr>
                <w:rFonts w:cs="Calibri"/>
              </w:rPr>
              <w:t xml:space="preserve">               923,172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C3CA3EF" w14:textId="77777777">
            <w:pPr>
              <w:jc w:val="right"/>
              <w:rPr>
                <w:rFonts w:cs="Calibri"/>
              </w:rPr>
            </w:pPr>
            <w:r w:rsidRPr="007D15C3">
              <w:rPr>
                <w:rFonts w:cs="Calibri"/>
              </w:rPr>
              <w:t>$7,235</w:t>
            </w:r>
          </w:p>
        </w:tc>
      </w:tr>
      <w:tr w14:paraId="125B19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770851" w14:textId="77777777">
            <w:pPr>
              <w:jc w:val="center"/>
              <w:rPr>
                <w:rFonts w:cs="Calibri"/>
              </w:rPr>
            </w:pPr>
            <w:r w:rsidRPr="007D15C3">
              <w:rPr>
                <w:rFonts w:cs="Calibri"/>
              </w:rPr>
              <w:t>24766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86E75C" w14:textId="77777777">
            <w:pPr>
              <w:jc w:val="center"/>
              <w:rPr>
                <w:rFonts w:cs="Calibri"/>
              </w:rPr>
            </w:pPr>
            <w:r w:rsidRPr="007D15C3">
              <w:rPr>
                <w:rFonts w:cs="Calibri"/>
              </w:rPr>
              <w:t>KKCO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66AFC0" w14:textId="77777777">
            <w:pPr>
              <w:rPr>
                <w:rFonts w:cs="Calibri"/>
              </w:rPr>
            </w:pPr>
            <w:r w:rsidRPr="007D15C3">
              <w:rPr>
                <w:rFonts w:cs="Calibri"/>
              </w:rPr>
              <w:t xml:space="preserve">             206,018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71585A" w14:textId="77777777">
            <w:pPr>
              <w:rPr>
                <w:rFonts w:cs="Calibri"/>
              </w:rPr>
            </w:pPr>
            <w:r w:rsidRPr="007D15C3">
              <w:rPr>
                <w:rFonts w:cs="Calibri"/>
              </w:rPr>
              <w:t xml:space="preserve">               172,628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575B6C" w14:textId="77777777">
            <w:pPr>
              <w:jc w:val="right"/>
              <w:rPr>
                <w:rFonts w:cs="Calibri"/>
              </w:rPr>
            </w:pPr>
            <w:r w:rsidRPr="007D15C3">
              <w:rPr>
                <w:rFonts w:cs="Calibri"/>
              </w:rPr>
              <w:t>$1,353</w:t>
            </w:r>
          </w:p>
        </w:tc>
      </w:tr>
      <w:tr w14:paraId="565E14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E280A2" w14:textId="77777777">
            <w:pPr>
              <w:jc w:val="center"/>
              <w:rPr>
                <w:rFonts w:cs="Calibri"/>
              </w:rPr>
            </w:pPr>
            <w:r w:rsidRPr="007D15C3">
              <w:rPr>
                <w:rFonts w:cs="Calibri"/>
              </w:rPr>
              <w:t>35097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6DAF27" w14:textId="77777777">
            <w:pPr>
              <w:jc w:val="center"/>
              <w:rPr>
                <w:rFonts w:cs="Calibri"/>
              </w:rPr>
            </w:pPr>
            <w:r w:rsidRPr="007D15C3">
              <w:rPr>
                <w:rFonts w:cs="Calibri"/>
              </w:rPr>
              <w:t>KKJB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E53F03" w14:textId="77777777">
            <w:pPr>
              <w:rPr>
                <w:rFonts w:cs="Calibri"/>
              </w:rPr>
            </w:pPr>
            <w:r w:rsidRPr="007D15C3">
              <w:rPr>
                <w:rFonts w:cs="Calibri"/>
              </w:rPr>
              <w:t xml:space="preserve">             629,939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AF39BE" w14:textId="77777777">
            <w:pPr>
              <w:rPr>
                <w:rFonts w:cs="Calibri"/>
              </w:rPr>
            </w:pPr>
            <w:r w:rsidRPr="007D15C3">
              <w:rPr>
                <w:rFonts w:cs="Calibri"/>
              </w:rPr>
              <w:t xml:space="preserve">               624,784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471E31" w14:textId="77777777">
            <w:pPr>
              <w:jc w:val="right"/>
              <w:rPr>
                <w:rFonts w:cs="Calibri"/>
              </w:rPr>
            </w:pPr>
            <w:r w:rsidRPr="007D15C3">
              <w:rPr>
                <w:rFonts w:cs="Calibri"/>
              </w:rPr>
              <w:t>$4,896</w:t>
            </w:r>
          </w:p>
        </w:tc>
      </w:tr>
      <w:tr w14:paraId="585160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4505AE" w14:textId="77777777">
            <w:pPr>
              <w:jc w:val="center"/>
              <w:rPr>
                <w:rFonts w:cs="Calibri"/>
              </w:rPr>
            </w:pPr>
            <w:r w:rsidRPr="007D15C3">
              <w:rPr>
                <w:rFonts w:cs="Calibri"/>
              </w:rPr>
              <w:t>22644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F7D13B" w14:textId="77777777">
            <w:pPr>
              <w:jc w:val="center"/>
              <w:rPr>
                <w:rFonts w:cs="Calibri"/>
              </w:rPr>
            </w:pPr>
            <w:r w:rsidRPr="007D15C3">
              <w:rPr>
                <w:rFonts w:cs="Calibri"/>
              </w:rPr>
              <w:t>KKPX-TV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22A95D" w14:textId="77777777">
            <w:pPr>
              <w:rPr>
                <w:rFonts w:cs="Calibri"/>
              </w:rPr>
            </w:pPr>
            <w:r w:rsidRPr="007D15C3">
              <w:rPr>
                <w:rFonts w:cs="Calibri"/>
              </w:rPr>
              <w:t xml:space="preserve">          7,902,064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C821F7" w14:textId="77777777">
            <w:pPr>
              <w:rPr>
                <w:rFonts w:cs="Calibri"/>
              </w:rPr>
            </w:pPr>
            <w:r w:rsidRPr="007D15C3">
              <w:rPr>
                <w:rFonts w:cs="Calibri"/>
              </w:rPr>
              <w:t xml:space="preserve">            6,849,907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CBB7A7" w14:textId="77777777">
            <w:pPr>
              <w:jc w:val="right"/>
              <w:rPr>
                <w:rFonts w:cs="Calibri"/>
              </w:rPr>
            </w:pPr>
            <w:r w:rsidRPr="007D15C3">
              <w:rPr>
                <w:rFonts w:cs="Calibri"/>
              </w:rPr>
              <w:t>$53,683</w:t>
            </w:r>
          </w:p>
        </w:tc>
      </w:tr>
      <w:tr w14:paraId="23BA927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023275" w14:textId="77777777">
            <w:pPr>
              <w:jc w:val="center"/>
              <w:rPr>
                <w:rFonts w:cs="Calibri"/>
              </w:rPr>
            </w:pPr>
            <w:r w:rsidRPr="007D15C3">
              <w:rPr>
                <w:rFonts w:cs="Calibri"/>
              </w:rPr>
              <w:t>35037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5691F7" w14:textId="77777777">
            <w:pPr>
              <w:jc w:val="center"/>
              <w:rPr>
                <w:rFonts w:cs="Calibri"/>
              </w:rPr>
            </w:pPr>
            <w:r w:rsidRPr="007D15C3">
              <w:rPr>
                <w:rFonts w:cs="Calibri"/>
              </w:rPr>
              <w:t>KKTV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2A73F2" w14:textId="77777777">
            <w:pPr>
              <w:rPr>
                <w:rFonts w:cs="Calibri"/>
              </w:rPr>
            </w:pPr>
            <w:r w:rsidRPr="007D15C3">
              <w:rPr>
                <w:rFonts w:cs="Calibri"/>
              </w:rPr>
              <w:t xml:space="preserve">          2,795,275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AEBBC5" w14:textId="77777777">
            <w:pPr>
              <w:rPr>
                <w:rFonts w:cs="Calibri"/>
              </w:rPr>
            </w:pPr>
            <w:r w:rsidRPr="007D15C3">
              <w:rPr>
                <w:rFonts w:cs="Calibri"/>
              </w:rPr>
              <w:t xml:space="preserve">            2,293,502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6646E5" w14:textId="77777777">
            <w:pPr>
              <w:jc w:val="right"/>
              <w:rPr>
                <w:rFonts w:cs="Calibri"/>
              </w:rPr>
            </w:pPr>
            <w:r w:rsidRPr="007D15C3">
              <w:rPr>
                <w:rFonts w:cs="Calibri"/>
              </w:rPr>
              <w:t>$17,974</w:t>
            </w:r>
          </w:p>
        </w:tc>
      </w:tr>
      <w:tr w14:paraId="57686C9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90A4F5" w14:textId="77777777">
            <w:pPr>
              <w:jc w:val="center"/>
              <w:rPr>
                <w:rFonts w:cs="Calibri"/>
              </w:rPr>
            </w:pPr>
            <w:r w:rsidRPr="007D15C3">
              <w:rPr>
                <w:rFonts w:cs="Calibri"/>
              </w:rPr>
              <w:t>35042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1535C8" w14:textId="77777777">
            <w:pPr>
              <w:jc w:val="center"/>
              <w:rPr>
                <w:rFonts w:cs="Calibri"/>
              </w:rPr>
            </w:pPr>
            <w:r w:rsidRPr="007D15C3">
              <w:rPr>
                <w:rFonts w:cs="Calibri"/>
              </w:rPr>
              <w:t>KLAS-TV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BCE6EA" w14:textId="77777777">
            <w:pPr>
              <w:rPr>
                <w:rFonts w:cs="Calibri"/>
              </w:rPr>
            </w:pPr>
            <w:r w:rsidRPr="007D15C3">
              <w:rPr>
                <w:rFonts w:cs="Calibri"/>
              </w:rPr>
              <w:t xml:space="preserve">          2,094,297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F36DC1" w14:textId="77777777">
            <w:pPr>
              <w:rPr>
                <w:rFonts w:cs="Calibri"/>
              </w:rPr>
            </w:pPr>
            <w:r w:rsidRPr="007D15C3">
              <w:rPr>
                <w:rFonts w:cs="Calibri"/>
              </w:rPr>
              <w:t xml:space="preserve">            1,940,030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C681A5" w14:textId="77777777">
            <w:pPr>
              <w:jc w:val="right"/>
              <w:rPr>
                <w:rFonts w:cs="Calibri"/>
              </w:rPr>
            </w:pPr>
            <w:r w:rsidRPr="007D15C3">
              <w:rPr>
                <w:rFonts w:cs="Calibri"/>
              </w:rPr>
              <w:t>$15,204</w:t>
            </w:r>
          </w:p>
        </w:tc>
      </w:tr>
      <w:tr w14:paraId="1C0683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1A8192" w14:textId="77777777">
            <w:pPr>
              <w:jc w:val="center"/>
              <w:rPr>
                <w:rFonts w:cs="Calibri"/>
              </w:rPr>
            </w:pPr>
            <w:r w:rsidRPr="007D15C3">
              <w:rPr>
                <w:rFonts w:cs="Calibri"/>
              </w:rPr>
              <w:t>52907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E99806" w14:textId="77777777">
            <w:pPr>
              <w:jc w:val="center"/>
              <w:rPr>
                <w:rFonts w:cs="Calibri"/>
              </w:rPr>
            </w:pPr>
            <w:r w:rsidRPr="007D15C3">
              <w:rPr>
                <w:rFonts w:cs="Calibri"/>
              </w:rPr>
              <w:t>KLAX-TV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7A2427" w14:textId="77777777">
            <w:pPr>
              <w:rPr>
                <w:rFonts w:cs="Calibri"/>
              </w:rPr>
            </w:pPr>
            <w:r w:rsidRPr="007D15C3">
              <w:rPr>
                <w:rFonts w:cs="Calibri"/>
              </w:rPr>
              <w:t xml:space="preserve">             367,212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C9BD51" w14:textId="77777777">
            <w:pPr>
              <w:rPr>
                <w:rFonts w:cs="Calibri"/>
              </w:rPr>
            </w:pPr>
            <w:r w:rsidRPr="007D15C3">
              <w:rPr>
                <w:rFonts w:cs="Calibri"/>
              </w:rPr>
              <w:t xml:space="preserve">               366,839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709B67" w14:textId="77777777">
            <w:pPr>
              <w:jc w:val="right"/>
              <w:rPr>
                <w:rFonts w:cs="Calibri"/>
              </w:rPr>
            </w:pPr>
            <w:r w:rsidRPr="007D15C3">
              <w:rPr>
                <w:rFonts w:cs="Calibri"/>
              </w:rPr>
              <w:t>$2,875</w:t>
            </w:r>
          </w:p>
        </w:tc>
      </w:tr>
      <w:tr w14:paraId="619EBB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E1521E" w14:textId="77777777">
            <w:pPr>
              <w:jc w:val="center"/>
              <w:rPr>
                <w:rFonts w:cs="Calibri"/>
              </w:rPr>
            </w:pPr>
            <w:r w:rsidRPr="007D15C3">
              <w:rPr>
                <w:rFonts w:cs="Calibri"/>
              </w:rPr>
              <w:t>3660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182D88" w14:textId="77777777">
            <w:pPr>
              <w:jc w:val="center"/>
              <w:rPr>
                <w:rFonts w:cs="Calibri"/>
              </w:rPr>
            </w:pPr>
            <w:r w:rsidRPr="007D15C3">
              <w:rPr>
                <w:rFonts w:cs="Calibri"/>
              </w:rPr>
              <w:t>KLBK-TV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976BB5" w14:textId="77777777">
            <w:pPr>
              <w:rPr>
                <w:rFonts w:cs="Calibri"/>
              </w:rPr>
            </w:pPr>
            <w:r w:rsidRPr="007D15C3">
              <w:rPr>
                <w:rFonts w:cs="Calibri"/>
              </w:rPr>
              <w:t xml:space="preserve">             387,783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0BEC86" w14:textId="77777777">
            <w:pPr>
              <w:rPr>
                <w:rFonts w:cs="Calibri"/>
              </w:rPr>
            </w:pPr>
            <w:r w:rsidRPr="007D15C3">
              <w:rPr>
                <w:rFonts w:cs="Calibri"/>
              </w:rPr>
              <w:t xml:space="preserve">               387,743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7DAE91" w14:textId="77777777">
            <w:pPr>
              <w:jc w:val="right"/>
              <w:rPr>
                <w:rFonts w:cs="Calibri"/>
              </w:rPr>
            </w:pPr>
            <w:r w:rsidRPr="007D15C3">
              <w:rPr>
                <w:rFonts w:cs="Calibri"/>
              </w:rPr>
              <w:t>$3,039</w:t>
            </w:r>
          </w:p>
        </w:tc>
      </w:tr>
      <w:tr w14:paraId="19ACAF2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78F666" w14:textId="77777777">
            <w:pPr>
              <w:jc w:val="center"/>
              <w:rPr>
                <w:rFonts w:cs="Calibri"/>
              </w:rPr>
            </w:pPr>
            <w:r w:rsidRPr="007D15C3">
              <w:rPr>
                <w:rFonts w:cs="Calibri"/>
              </w:rPr>
              <w:t>65523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916326" w14:textId="77777777">
            <w:pPr>
              <w:jc w:val="center"/>
              <w:rPr>
                <w:rFonts w:cs="Calibri"/>
              </w:rPr>
            </w:pPr>
            <w:r w:rsidRPr="007D15C3">
              <w:rPr>
                <w:rFonts w:cs="Calibri"/>
              </w:rPr>
              <w:t>KLBY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957635" w14:textId="77777777">
            <w:pPr>
              <w:rPr>
                <w:rFonts w:cs="Calibri"/>
              </w:rPr>
            </w:pPr>
            <w:r w:rsidRPr="007D15C3">
              <w:rPr>
                <w:rFonts w:cs="Calibri"/>
              </w:rPr>
              <w:t xml:space="preserve">               34,288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E49B15" w14:textId="77777777">
            <w:pPr>
              <w:rPr>
                <w:rFonts w:cs="Calibri"/>
              </w:rPr>
            </w:pPr>
            <w:r w:rsidRPr="007D15C3">
              <w:rPr>
                <w:rFonts w:cs="Calibri"/>
              </w:rPr>
              <w:t xml:space="preserve">                 34,279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1E4792" w14:textId="77777777">
            <w:pPr>
              <w:jc w:val="right"/>
              <w:rPr>
                <w:rFonts w:cs="Calibri"/>
              </w:rPr>
            </w:pPr>
            <w:r w:rsidRPr="007D15C3">
              <w:rPr>
                <w:rFonts w:cs="Calibri"/>
              </w:rPr>
              <w:t>$269</w:t>
            </w:r>
          </w:p>
        </w:tc>
      </w:tr>
      <w:tr w14:paraId="1D174FE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C8B34E" w14:textId="77777777">
            <w:pPr>
              <w:jc w:val="center"/>
              <w:rPr>
                <w:rFonts w:cs="Calibri"/>
              </w:rPr>
            </w:pPr>
            <w:r w:rsidRPr="007D15C3">
              <w:rPr>
                <w:rFonts w:cs="Calibri"/>
              </w:rPr>
              <w:t>38430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937107" w14:textId="77777777">
            <w:pPr>
              <w:jc w:val="center"/>
              <w:rPr>
                <w:rFonts w:cs="Calibri"/>
              </w:rPr>
            </w:pPr>
            <w:r w:rsidRPr="007D15C3">
              <w:rPr>
                <w:rFonts w:cs="Calibri"/>
              </w:rPr>
              <w:t>KLCS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64147F" w14:textId="77777777">
            <w:pPr>
              <w:rPr>
                <w:rFonts w:cs="Calibri"/>
              </w:rPr>
            </w:pPr>
            <w:r w:rsidRPr="007D15C3">
              <w:rPr>
                <w:rFonts w:cs="Calibri"/>
              </w:rPr>
              <w:t xml:space="preserve">        16,875,019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734F31" w14:textId="77777777">
            <w:pPr>
              <w:rPr>
                <w:rFonts w:cs="Calibri"/>
              </w:rPr>
            </w:pPr>
            <w:r w:rsidRPr="007D15C3">
              <w:rPr>
                <w:rFonts w:cs="Calibri"/>
              </w:rPr>
              <w:t xml:space="preserve">          15,402,588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B1B270" w14:textId="77777777">
            <w:pPr>
              <w:jc w:val="right"/>
              <w:rPr>
                <w:rFonts w:cs="Calibri"/>
              </w:rPr>
            </w:pPr>
            <w:r w:rsidRPr="007D15C3">
              <w:rPr>
                <w:rFonts w:cs="Calibri"/>
              </w:rPr>
              <w:t>$120,710</w:t>
            </w:r>
          </w:p>
        </w:tc>
      </w:tr>
      <w:tr w14:paraId="585662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6102E6" w14:textId="77777777">
            <w:pPr>
              <w:jc w:val="center"/>
              <w:rPr>
                <w:rFonts w:cs="Calibri"/>
              </w:rPr>
            </w:pPr>
            <w:r w:rsidRPr="007D15C3">
              <w:rPr>
                <w:rFonts w:cs="Calibri"/>
              </w:rPr>
              <w:t>77719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B8EAF2" w14:textId="77777777">
            <w:pPr>
              <w:jc w:val="center"/>
              <w:rPr>
                <w:rFonts w:cs="Calibri"/>
              </w:rPr>
            </w:pPr>
            <w:r w:rsidRPr="007D15C3">
              <w:rPr>
                <w:rFonts w:cs="Calibri"/>
              </w:rPr>
              <w:t>KLCW-TV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1A4B5D" w14:textId="77777777">
            <w:pPr>
              <w:rPr>
                <w:rFonts w:cs="Calibri"/>
              </w:rPr>
            </w:pPr>
            <w:r w:rsidRPr="007D15C3">
              <w:rPr>
                <w:rFonts w:cs="Calibri"/>
              </w:rPr>
              <w:t xml:space="preserve">             381,889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C9F597" w14:textId="77777777">
            <w:pPr>
              <w:rPr>
                <w:rFonts w:cs="Calibri"/>
              </w:rPr>
            </w:pPr>
            <w:r w:rsidRPr="007D15C3">
              <w:rPr>
                <w:rFonts w:cs="Calibri"/>
              </w:rPr>
              <w:t xml:space="preserve">               381,816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DF94A5" w14:textId="77777777">
            <w:pPr>
              <w:jc w:val="right"/>
              <w:rPr>
                <w:rFonts w:cs="Calibri"/>
              </w:rPr>
            </w:pPr>
            <w:r w:rsidRPr="007D15C3">
              <w:rPr>
                <w:rFonts w:cs="Calibri"/>
              </w:rPr>
              <w:t>$2,992</w:t>
            </w:r>
          </w:p>
        </w:tc>
      </w:tr>
      <w:tr w14:paraId="063B735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04D34D" w14:textId="77777777">
            <w:pPr>
              <w:jc w:val="center"/>
              <w:rPr>
                <w:rFonts w:cs="Calibri"/>
              </w:rPr>
            </w:pPr>
            <w:r w:rsidRPr="007D15C3">
              <w:rPr>
                <w:rFonts w:cs="Calibri"/>
              </w:rPr>
              <w:t>51479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2AE978" w14:textId="77777777">
            <w:pPr>
              <w:jc w:val="center"/>
              <w:rPr>
                <w:rFonts w:cs="Calibri"/>
              </w:rPr>
            </w:pPr>
            <w:r w:rsidRPr="007D15C3">
              <w:rPr>
                <w:rFonts w:cs="Calibri"/>
              </w:rPr>
              <w:t>KLDO-TV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4B78C8" w14:textId="77777777">
            <w:pPr>
              <w:rPr>
                <w:rFonts w:cs="Calibri"/>
              </w:rPr>
            </w:pPr>
            <w:r w:rsidRPr="007D15C3">
              <w:rPr>
                <w:rFonts w:cs="Calibri"/>
              </w:rPr>
              <w:t xml:space="preserve">             250,832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6588D7" w14:textId="77777777">
            <w:pPr>
              <w:rPr>
                <w:rFonts w:cs="Calibri"/>
              </w:rPr>
            </w:pPr>
            <w:r w:rsidRPr="007D15C3">
              <w:rPr>
                <w:rFonts w:cs="Calibri"/>
              </w:rPr>
              <w:t xml:space="preserve">               250,832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3F876F" w14:textId="77777777">
            <w:pPr>
              <w:jc w:val="right"/>
              <w:rPr>
                <w:rFonts w:cs="Calibri"/>
              </w:rPr>
            </w:pPr>
            <w:r w:rsidRPr="007D15C3">
              <w:rPr>
                <w:rFonts w:cs="Calibri"/>
              </w:rPr>
              <w:t>$1,966</w:t>
            </w:r>
          </w:p>
        </w:tc>
      </w:tr>
      <w:tr w14:paraId="6DD232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C36A34" w14:textId="77777777">
            <w:pPr>
              <w:jc w:val="center"/>
              <w:rPr>
                <w:rFonts w:cs="Calibri"/>
              </w:rPr>
            </w:pPr>
            <w:r w:rsidRPr="007D15C3">
              <w:rPr>
                <w:rFonts w:cs="Calibri"/>
              </w:rPr>
              <w:t>37105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CE11D3" w14:textId="77777777">
            <w:pPr>
              <w:jc w:val="center"/>
              <w:rPr>
                <w:rFonts w:cs="Calibri"/>
              </w:rPr>
            </w:pPr>
            <w:r w:rsidRPr="007D15C3">
              <w:rPr>
                <w:rFonts w:cs="Calibri"/>
              </w:rPr>
              <w:t>KLEI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8EA9AF" w14:textId="77777777">
            <w:pPr>
              <w:rPr>
                <w:rFonts w:cs="Calibri"/>
              </w:rPr>
            </w:pPr>
            <w:r w:rsidRPr="007D15C3">
              <w:rPr>
                <w:rFonts w:cs="Calibri"/>
              </w:rPr>
              <w:t xml:space="preserve">             175,045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109D34" w14:textId="77777777">
            <w:pPr>
              <w:rPr>
                <w:rFonts w:cs="Calibri"/>
              </w:rPr>
            </w:pPr>
            <w:r w:rsidRPr="007D15C3">
              <w:rPr>
                <w:rFonts w:cs="Calibri"/>
              </w:rPr>
              <w:t xml:space="preserve">               138,087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6BACD4" w14:textId="77777777">
            <w:pPr>
              <w:jc w:val="right"/>
              <w:rPr>
                <w:rFonts w:cs="Calibri"/>
              </w:rPr>
            </w:pPr>
            <w:r w:rsidRPr="007D15C3">
              <w:rPr>
                <w:rFonts w:cs="Calibri"/>
              </w:rPr>
              <w:t>$1,082</w:t>
            </w:r>
          </w:p>
        </w:tc>
      </w:tr>
      <w:tr w14:paraId="0D2038A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DB0D29" w14:textId="77777777">
            <w:pPr>
              <w:jc w:val="center"/>
              <w:rPr>
                <w:rFonts w:cs="Calibri"/>
              </w:rPr>
            </w:pPr>
            <w:r w:rsidRPr="007D15C3">
              <w:rPr>
                <w:rFonts w:cs="Calibri"/>
              </w:rPr>
              <w:t>56032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94B5A2" w14:textId="77777777">
            <w:pPr>
              <w:jc w:val="center"/>
              <w:rPr>
                <w:rFonts w:cs="Calibri"/>
              </w:rPr>
            </w:pPr>
            <w:r w:rsidRPr="007D15C3">
              <w:rPr>
                <w:rFonts w:cs="Calibri"/>
              </w:rPr>
              <w:t>KLEW-TV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08FC97" w14:textId="77777777">
            <w:pPr>
              <w:rPr>
                <w:rFonts w:cs="Calibri"/>
              </w:rPr>
            </w:pPr>
            <w:r w:rsidRPr="007D15C3">
              <w:rPr>
                <w:rFonts w:cs="Calibri"/>
              </w:rPr>
              <w:t xml:space="preserve">             164,908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CF06B2" w14:textId="77777777">
            <w:pPr>
              <w:rPr>
                <w:rFonts w:cs="Calibri"/>
              </w:rPr>
            </w:pPr>
            <w:r w:rsidRPr="007D15C3">
              <w:rPr>
                <w:rFonts w:cs="Calibri"/>
              </w:rPr>
              <w:t xml:space="preserve">               148,256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40AC56" w14:textId="77777777">
            <w:pPr>
              <w:jc w:val="right"/>
              <w:rPr>
                <w:rFonts w:cs="Calibri"/>
              </w:rPr>
            </w:pPr>
            <w:r w:rsidRPr="007D15C3">
              <w:rPr>
                <w:rFonts w:cs="Calibri"/>
              </w:rPr>
              <w:t>$1,162</w:t>
            </w:r>
          </w:p>
        </w:tc>
      </w:tr>
      <w:tr w14:paraId="23C62A5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296D14" w14:textId="77777777">
            <w:pPr>
              <w:jc w:val="center"/>
              <w:rPr>
                <w:rFonts w:cs="Calibri"/>
              </w:rPr>
            </w:pPr>
            <w:r w:rsidRPr="007D15C3">
              <w:rPr>
                <w:rFonts w:cs="Calibri"/>
              </w:rPr>
              <w:t>35059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4A6404" w14:textId="77777777">
            <w:pPr>
              <w:jc w:val="center"/>
              <w:rPr>
                <w:rFonts w:cs="Calibri"/>
              </w:rPr>
            </w:pPr>
            <w:r w:rsidRPr="007D15C3">
              <w:rPr>
                <w:rFonts w:cs="Calibri"/>
              </w:rPr>
              <w:t>KLFY-TV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EBDFCB" w14:textId="77777777">
            <w:pPr>
              <w:rPr>
                <w:rFonts w:cs="Calibri"/>
              </w:rPr>
            </w:pPr>
            <w:r w:rsidRPr="007D15C3">
              <w:rPr>
                <w:rFonts w:cs="Calibri"/>
              </w:rPr>
              <w:t xml:space="preserve">          1,355,890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F54FA1" w14:textId="77777777">
            <w:pPr>
              <w:rPr>
                <w:rFonts w:cs="Calibri"/>
              </w:rPr>
            </w:pPr>
            <w:r w:rsidRPr="007D15C3">
              <w:rPr>
                <w:rFonts w:cs="Calibri"/>
              </w:rPr>
              <w:t xml:space="preserve">            1,355,409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FCA803" w14:textId="77777777">
            <w:pPr>
              <w:jc w:val="right"/>
              <w:rPr>
                <w:rFonts w:cs="Calibri"/>
              </w:rPr>
            </w:pPr>
            <w:r w:rsidRPr="007D15C3">
              <w:rPr>
                <w:rFonts w:cs="Calibri"/>
              </w:rPr>
              <w:t>$10,622</w:t>
            </w:r>
          </w:p>
        </w:tc>
      </w:tr>
      <w:tr w14:paraId="00CE5B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544998" w14:textId="77777777">
            <w:pPr>
              <w:jc w:val="center"/>
              <w:rPr>
                <w:rFonts w:cs="Calibri"/>
              </w:rPr>
            </w:pPr>
            <w:r w:rsidRPr="007D15C3">
              <w:rPr>
                <w:rFonts w:cs="Calibri"/>
              </w:rPr>
              <w:t>54011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97FFD8" w14:textId="77777777">
            <w:pPr>
              <w:jc w:val="center"/>
              <w:rPr>
                <w:rFonts w:cs="Calibri"/>
              </w:rPr>
            </w:pPr>
            <w:r w:rsidRPr="007D15C3">
              <w:rPr>
                <w:rFonts w:cs="Calibri"/>
              </w:rPr>
              <w:t>KLJB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3EE114" w14:textId="77777777">
            <w:pPr>
              <w:rPr>
                <w:rFonts w:cs="Calibri"/>
              </w:rPr>
            </w:pPr>
            <w:r w:rsidRPr="007D15C3">
              <w:rPr>
                <w:rFonts w:cs="Calibri"/>
              </w:rPr>
              <w:t xml:space="preserve">             960,055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4D8D6A" w14:textId="77777777">
            <w:pPr>
              <w:rPr>
                <w:rFonts w:cs="Calibri"/>
              </w:rPr>
            </w:pPr>
            <w:r w:rsidRPr="007D15C3">
              <w:rPr>
                <w:rFonts w:cs="Calibri"/>
              </w:rPr>
              <w:t xml:space="preserve">               947,716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36EA7C" w14:textId="77777777">
            <w:pPr>
              <w:jc w:val="right"/>
              <w:rPr>
                <w:rFonts w:cs="Calibri"/>
              </w:rPr>
            </w:pPr>
            <w:r w:rsidRPr="007D15C3">
              <w:rPr>
                <w:rFonts w:cs="Calibri"/>
              </w:rPr>
              <w:t>$7,427</w:t>
            </w:r>
          </w:p>
        </w:tc>
      </w:tr>
      <w:tr w14:paraId="2B09E9F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A2EA9C" w14:textId="77777777">
            <w:pPr>
              <w:jc w:val="center"/>
              <w:rPr>
                <w:rFonts w:cs="Calibri"/>
              </w:rPr>
            </w:pPr>
            <w:r w:rsidRPr="007D15C3">
              <w:rPr>
                <w:rFonts w:cs="Calibri"/>
              </w:rPr>
              <w:t>11264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0F20F1" w14:textId="77777777">
            <w:pPr>
              <w:jc w:val="center"/>
              <w:rPr>
                <w:rFonts w:cs="Calibri"/>
              </w:rPr>
            </w:pPr>
            <w:r w:rsidRPr="007D15C3">
              <w:rPr>
                <w:rFonts w:cs="Calibri"/>
              </w:rPr>
              <w:t>KLKN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6F7A5B" w14:textId="77777777">
            <w:pPr>
              <w:rPr>
                <w:rFonts w:cs="Calibri"/>
              </w:rPr>
            </w:pPr>
            <w:r w:rsidRPr="007D15C3">
              <w:rPr>
                <w:rFonts w:cs="Calibri"/>
              </w:rPr>
              <w:t xml:space="preserve">             932,757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B5CB1D" w14:textId="77777777">
            <w:pPr>
              <w:rPr>
                <w:rFonts w:cs="Calibri"/>
              </w:rPr>
            </w:pPr>
            <w:r w:rsidRPr="007D15C3">
              <w:rPr>
                <w:rFonts w:cs="Calibri"/>
              </w:rPr>
              <w:t xml:space="preserve">               895,101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3DF5C1" w14:textId="77777777">
            <w:pPr>
              <w:jc w:val="right"/>
              <w:rPr>
                <w:rFonts w:cs="Calibri"/>
              </w:rPr>
            </w:pPr>
            <w:r w:rsidRPr="007D15C3">
              <w:rPr>
                <w:rFonts w:cs="Calibri"/>
              </w:rPr>
              <w:t>$7,015</w:t>
            </w:r>
          </w:p>
        </w:tc>
      </w:tr>
      <w:tr w14:paraId="35D8C40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60B411" w14:textId="77777777">
            <w:pPr>
              <w:jc w:val="center"/>
              <w:rPr>
                <w:rFonts w:cs="Calibri"/>
              </w:rPr>
            </w:pPr>
            <w:r w:rsidRPr="007D15C3">
              <w:rPr>
                <w:rFonts w:cs="Calibri"/>
              </w:rPr>
              <w:t>47975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E8D122" w14:textId="77777777">
            <w:pPr>
              <w:jc w:val="center"/>
              <w:rPr>
                <w:rFonts w:cs="Calibri"/>
              </w:rPr>
            </w:pPr>
            <w:r w:rsidRPr="007D15C3">
              <w:rPr>
                <w:rFonts w:cs="Calibri"/>
              </w:rPr>
              <w:t>KLNE-TV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ABE0D7" w14:textId="77777777">
            <w:pPr>
              <w:rPr>
                <w:rFonts w:cs="Calibri"/>
              </w:rPr>
            </w:pPr>
            <w:r w:rsidRPr="007D15C3">
              <w:rPr>
                <w:rFonts w:cs="Calibri"/>
              </w:rPr>
              <w:t xml:space="preserve">             120,338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DD69A2" w14:textId="77777777">
            <w:pPr>
              <w:rPr>
                <w:rFonts w:cs="Calibri"/>
              </w:rPr>
            </w:pPr>
            <w:r w:rsidRPr="007D15C3">
              <w:rPr>
                <w:rFonts w:cs="Calibri"/>
              </w:rPr>
              <w:t xml:space="preserve">               120,277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2A10F1" w14:textId="77777777">
            <w:pPr>
              <w:jc w:val="right"/>
              <w:rPr>
                <w:rFonts w:cs="Calibri"/>
              </w:rPr>
            </w:pPr>
            <w:r w:rsidRPr="007D15C3">
              <w:rPr>
                <w:rFonts w:cs="Calibri"/>
              </w:rPr>
              <w:t>$943</w:t>
            </w:r>
          </w:p>
        </w:tc>
      </w:tr>
      <w:tr w14:paraId="229463F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E4BED2" w14:textId="77777777">
            <w:pPr>
              <w:jc w:val="center"/>
              <w:rPr>
                <w:rFonts w:cs="Calibri"/>
              </w:rPr>
            </w:pPr>
            <w:r w:rsidRPr="007D15C3">
              <w:rPr>
                <w:rFonts w:cs="Calibri"/>
              </w:rPr>
              <w:t>38590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79514E" w14:textId="77777777">
            <w:pPr>
              <w:jc w:val="center"/>
              <w:rPr>
                <w:rFonts w:cs="Calibri"/>
              </w:rPr>
            </w:pPr>
            <w:r w:rsidRPr="007D15C3">
              <w:rPr>
                <w:rFonts w:cs="Calibri"/>
              </w:rPr>
              <w:t>KLPA-TV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31276E" w14:textId="77777777">
            <w:pPr>
              <w:rPr>
                <w:rFonts w:cs="Calibri"/>
              </w:rPr>
            </w:pPr>
            <w:r w:rsidRPr="007D15C3">
              <w:rPr>
                <w:rFonts w:cs="Calibri"/>
              </w:rPr>
              <w:t xml:space="preserve">             414,699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C277D0" w14:textId="77777777">
            <w:pPr>
              <w:rPr>
                <w:rFonts w:cs="Calibri"/>
              </w:rPr>
            </w:pPr>
            <w:r w:rsidRPr="007D15C3">
              <w:rPr>
                <w:rFonts w:cs="Calibri"/>
              </w:rPr>
              <w:t xml:space="preserve">               414,447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7B19AB" w14:textId="77777777">
            <w:pPr>
              <w:jc w:val="right"/>
              <w:rPr>
                <w:rFonts w:cs="Calibri"/>
              </w:rPr>
            </w:pPr>
            <w:r w:rsidRPr="007D15C3">
              <w:rPr>
                <w:rFonts w:cs="Calibri"/>
              </w:rPr>
              <w:t>$3,248</w:t>
            </w:r>
          </w:p>
        </w:tc>
      </w:tr>
      <w:tr w14:paraId="15C405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CB4F46" w14:textId="77777777">
            <w:pPr>
              <w:jc w:val="center"/>
              <w:rPr>
                <w:rFonts w:cs="Calibri"/>
              </w:rPr>
            </w:pPr>
            <w:r w:rsidRPr="007D15C3">
              <w:rPr>
                <w:rFonts w:cs="Calibri"/>
              </w:rPr>
              <w:t>38588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ACFCC8" w14:textId="77777777">
            <w:pPr>
              <w:jc w:val="center"/>
              <w:rPr>
                <w:rFonts w:cs="Calibri"/>
              </w:rPr>
            </w:pPr>
            <w:r w:rsidRPr="007D15C3">
              <w:rPr>
                <w:rFonts w:cs="Calibri"/>
              </w:rPr>
              <w:t>KLPB-TV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A6205" w14:textId="77777777">
            <w:pPr>
              <w:rPr>
                <w:rFonts w:cs="Calibri"/>
              </w:rPr>
            </w:pPr>
            <w:r w:rsidRPr="007D15C3">
              <w:rPr>
                <w:rFonts w:cs="Calibri"/>
              </w:rPr>
              <w:t xml:space="preserve">             749,053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3F19BB" w14:textId="77777777">
            <w:pPr>
              <w:rPr>
                <w:rFonts w:cs="Calibri"/>
              </w:rPr>
            </w:pPr>
            <w:r w:rsidRPr="007D15C3">
              <w:rPr>
                <w:rFonts w:cs="Calibri"/>
              </w:rPr>
              <w:t xml:space="preserve">               749,053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CAF273" w14:textId="77777777">
            <w:pPr>
              <w:jc w:val="right"/>
              <w:rPr>
                <w:rFonts w:cs="Calibri"/>
              </w:rPr>
            </w:pPr>
            <w:r w:rsidRPr="007D15C3">
              <w:rPr>
                <w:rFonts w:cs="Calibri"/>
              </w:rPr>
              <w:t>$5,870</w:t>
            </w:r>
          </w:p>
        </w:tc>
      </w:tr>
      <w:tr w14:paraId="373982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1817BA" w14:textId="77777777">
            <w:pPr>
              <w:jc w:val="center"/>
              <w:rPr>
                <w:rFonts w:cs="Calibri"/>
              </w:rPr>
            </w:pPr>
            <w:r w:rsidRPr="007D15C3">
              <w:rPr>
                <w:rFonts w:cs="Calibri"/>
              </w:rPr>
              <w:t>749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52FD2E" w14:textId="77777777">
            <w:pPr>
              <w:jc w:val="center"/>
              <w:rPr>
                <w:rFonts w:cs="Calibri"/>
              </w:rPr>
            </w:pPr>
            <w:r w:rsidRPr="007D15C3">
              <w:rPr>
                <w:rFonts w:cs="Calibri"/>
              </w:rPr>
              <w:t>KLRN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C7B9E9" w14:textId="77777777">
            <w:pPr>
              <w:rPr>
                <w:rFonts w:cs="Calibri"/>
              </w:rPr>
            </w:pPr>
            <w:r w:rsidRPr="007D15C3">
              <w:rPr>
                <w:rFonts w:cs="Calibri"/>
              </w:rPr>
              <w:t xml:space="preserve">          2,374,472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33DE35" w14:textId="77777777">
            <w:pPr>
              <w:rPr>
                <w:rFonts w:cs="Calibri"/>
              </w:rPr>
            </w:pPr>
            <w:r w:rsidRPr="007D15C3">
              <w:rPr>
                <w:rFonts w:cs="Calibri"/>
              </w:rPr>
              <w:t xml:space="preserve">            2,353,440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E08ACB" w14:textId="77777777">
            <w:pPr>
              <w:jc w:val="right"/>
              <w:rPr>
                <w:rFonts w:cs="Calibri"/>
              </w:rPr>
            </w:pPr>
            <w:r w:rsidRPr="007D15C3">
              <w:rPr>
                <w:rFonts w:cs="Calibri"/>
              </w:rPr>
              <w:t>$18,444</w:t>
            </w:r>
          </w:p>
        </w:tc>
      </w:tr>
      <w:tr w14:paraId="4522FC6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3E6983" w14:textId="77777777">
            <w:pPr>
              <w:jc w:val="center"/>
              <w:rPr>
                <w:rFonts w:cs="Calibri"/>
              </w:rPr>
            </w:pPr>
            <w:r w:rsidRPr="007D15C3">
              <w:rPr>
                <w:rFonts w:cs="Calibri"/>
              </w:rPr>
              <w:t>11951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62A30D" w14:textId="77777777">
            <w:pPr>
              <w:jc w:val="center"/>
              <w:rPr>
                <w:rFonts w:cs="Calibri"/>
              </w:rPr>
            </w:pPr>
            <w:r w:rsidRPr="007D15C3">
              <w:rPr>
                <w:rFonts w:cs="Calibri"/>
              </w:rPr>
              <w:t>KLRT-TV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16091B" w14:textId="77777777">
            <w:pPr>
              <w:rPr>
                <w:rFonts w:cs="Calibri"/>
              </w:rPr>
            </w:pPr>
            <w:r w:rsidRPr="007D15C3">
              <w:rPr>
                <w:rFonts w:cs="Calibri"/>
              </w:rPr>
              <w:t xml:space="preserve">          1,171,678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68336A" w14:textId="77777777">
            <w:pPr>
              <w:rPr>
                <w:rFonts w:cs="Calibri"/>
              </w:rPr>
            </w:pPr>
            <w:r w:rsidRPr="007D15C3">
              <w:rPr>
                <w:rFonts w:cs="Calibri"/>
              </w:rPr>
              <w:t xml:space="preserve">            1,152,541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8944D8" w14:textId="77777777">
            <w:pPr>
              <w:jc w:val="right"/>
              <w:rPr>
                <w:rFonts w:cs="Calibri"/>
              </w:rPr>
            </w:pPr>
            <w:r w:rsidRPr="007D15C3">
              <w:rPr>
                <w:rFonts w:cs="Calibri"/>
              </w:rPr>
              <w:t>$9,032</w:t>
            </w:r>
          </w:p>
        </w:tc>
      </w:tr>
      <w:tr w14:paraId="748132F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3A68B7" w14:textId="77777777">
            <w:pPr>
              <w:jc w:val="center"/>
              <w:rPr>
                <w:rFonts w:cs="Calibri"/>
              </w:rPr>
            </w:pPr>
            <w:r w:rsidRPr="007D15C3">
              <w:rPr>
                <w:rFonts w:cs="Calibri"/>
              </w:rPr>
              <w:t>8564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D01822" w14:textId="77777777">
            <w:pPr>
              <w:jc w:val="center"/>
              <w:rPr>
                <w:rFonts w:cs="Calibri"/>
              </w:rPr>
            </w:pPr>
            <w:r w:rsidRPr="007D15C3">
              <w:rPr>
                <w:rFonts w:cs="Calibri"/>
              </w:rPr>
              <w:t>KLRU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3AC086" w14:textId="77777777">
            <w:pPr>
              <w:rPr>
                <w:rFonts w:cs="Calibri"/>
              </w:rPr>
            </w:pPr>
            <w:r w:rsidRPr="007D15C3">
              <w:rPr>
                <w:rFonts w:cs="Calibri"/>
              </w:rPr>
              <w:t xml:space="preserve">          2,614,658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F884EF" w14:textId="77777777">
            <w:pPr>
              <w:rPr>
                <w:rFonts w:cs="Calibri"/>
              </w:rPr>
            </w:pPr>
            <w:r w:rsidRPr="007D15C3">
              <w:rPr>
                <w:rFonts w:cs="Calibri"/>
              </w:rPr>
              <w:t xml:space="preserve">            2,575,518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109DC5" w14:textId="77777777">
            <w:pPr>
              <w:jc w:val="right"/>
              <w:rPr>
                <w:rFonts w:cs="Calibri"/>
              </w:rPr>
            </w:pPr>
            <w:r w:rsidRPr="007D15C3">
              <w:rPr>
                <w:rFonts w:cs="Calibri"/>
              </w:rPr>
              <w:t>$20,184</w:t>
            </w:r>
          </w:p>
        </w:tc>
      </w:tr>
      <w:tr w14:paraId="092B438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8DABAA" w14:textId="77777777">
            <w:pPr>
              <w:jc w:val="center"/>
              <w:rPr>
                <w:rFonts w:cs="Calibri"/>
              </w:rPr>
            </w:pPr>
            <w:r w:rsidRPr="007D15C3">
              <w:rPr>
                <w:rFonts w:cs="Calibri"/>
              </w:rPr>
              <w:t>8322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FF6290" w14:textId="77777777">
            <w:pPr>
              <w:jc w:val="center"/>
              <w:rPr>
                <w:rFonts w:cs="Calibri"/>
              </w:rPr>
            </w:pPr>
            <w:r w:rsidRPr="007D15C3">
              <w:rPr>
                <w:rFonts w:cs="Calibri"/>
              </w:rPr>
              <w:t>KLSR-TV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7504ED" w14:textId="77777777">
            <w:pPr>
              <w:rPr>
                <w:rFonts w:cs="Calibri"/>
              </w:rPr>
            </w:pPr>
            <w:r w:rsidRPr="007D15C3">
              <w:rPr>
                <w:rFonts w:cs="Calibri"/>
              </w:rPr>
              <w:t xml:space="preserve">             564,415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4AF767" w14:textId="77777777">
            <w:pPr>
              <w:rPr>
                <w:rFonts w:cs="Calibri"/>
              </w:rPr>
            </w:pPr>
            <w:r w:rsidRPr="007D15C3">
              <w:rPr>
                <w:rFonts w:cs="Calibri"/>
              </w:rPr>
              <w:t xml:space="preserve">               508,157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01F545" w14:textId="77777777">
            <w:pPr>
              <w:jc w:val="right"/>
              <w:rPr>
                <w:rFonts w:cs="Calibri"/>
              </w:rPr>
            </w:pPr>
            <w:r w:rsidRPr="007D15C3">
              <w:rPr>
                <w:rFonts w:cs="Calibri"/>
              </w:rPr>
              <w:t>$3,982</w:t>
            </w:r>
          </w:p>
        </w:tc>
      </w:tr>
      <w:tr w14:paraId="723EBBE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C9E4B6" w14:textId="77777777">
            <w:pPr>
              <w:jc w:val="center"/>
              <w:rPr>
                <w:rFonts w:cs="Calibri"/>
              </w:rPr>
            </w:pPr>
            <w:r w:rsidRPr="007D15C3">
              <w:rPr>
                <w:rFonts w:cs="Calibri"/>
              </w:rPr>
              <w:t>31114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57F813" w14:textId="77777777">
            <w:pPr>
              <w:jc w:val="center"/>
              <w:rPr>
                <w:rFonts w:cs="Calibri"/>
              </w:rPr>
            </w:pPr>
            <w:r w:rsidRPr="007D15C3">
              <w:rPr>
                <w:rFonts w:cs="Calibri"/>
              </w:rPr>
              <w:t>KLST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D4E891" w14:textId="77777777">
            <w:pPr>
              <w:rPr>
                <w:rFonts w:cs="Calibri"/>
              </w:rPr>
            </w:pPr>
            <w:r w:rsidRPr="007D15C3">
              <w:rPr>
                <w:rFonts w:cs="Calibri"/>
              </w:rPr>
              <w:t xml:space="preserve">             199,067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EAB94D" w14:textId="77777777">
            <w:pPr>
              <w:rPr>
                <w:rFonts w:cs="Calibri"/>
              </w:rPr>
            </w:pPr>
            <w:r w:rsidRPr="007D15C3">
              <w:rPr>
                <w:rFonts w:cs="Calibri"/>
              </w:rPr>
              <w:t xml:space="preserve">               169,551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D38268" w14:textId="77777777">
            <w:pPr>
              <w:jc w:val="right"/>
              <w:rPr>
                <w:rFonts w:cs="Calibri"/>
              </w:rPr>
            </w:pPr>
            <w:r w:rsidRPr="007D15C3">
              <w:rPr>
                <w:rFonts w:cs="Calibri"/>
              </w:rPr>
              <w:t>$1,329</w:t>
            </w:r>
          </w:p>
        </w:tc>
      </w:tr>
      <w:tr w14:paraId="71B8AD2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BB6AE0" w14:textId="77777777">
            <w:pPr>
              <w:jc w:val="center"/>
              <w:rPr>
                <w:rFonts w:cs="Calibri"/>
              </w:rPr>
            </w:pPr>
            <w:r w:rsidRPr="007D15C3">
              <w:rPr>
                <w:rFonts w:cs="Calibri"/>
              </w:rPr>
              <w:t>24436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000B30" w14:textId="77777777">
            <w:pPr>
              <w:jc w:val="center"/>
              <w:rPr>
                <w:rFonts w:cs="Calibri"/>
              </w:rPr>
            </w:pPr>
            <w:r w:rsidRPr="007D15C3">
              <w:rPr>
                <w:rFonts w:cs="Calibri"/>
              </w:rPr>
              <w:t>KLTJ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B9F4FF" w14:textId="77777777">
            <w:pPr>
              <w:rPr>
                <w:rFonts w:cs="Calibri"/>
              </w:rPr>
            </w:pPr>
            <w:r w:rsidRPr="007D15C3">
              <w:rPr>
                <w:rFonts w:cs="Calibri"/>
              </w:rPr>
              <w:t xml:space="preserve">          6,034,131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F8BC32" w14:textId="77777777">
            <w:pPr>
              <w:rPr>
                <w:rFonts w:cs="Calibri"/>
              </w:rPr>
            </w:pPr>
            <w:r w:rsidRPr="007D15C3">
              <w:rPr>
                <w:rFonts w:cs="Calibri"/>
              </w:rPr>
              <w:t xml:space="preserve">            6,033,867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5890D2" w14:textId="77777777">
            <w:pPr>
              <w:jc w:val="right"/>
              <w:rPr>
                <w:rFonts w:cs="Calibri"/>
              </w:rPr>
            </w:pPr>
            <w:r w:rsidRPr="007D15C3">
              <w:rPr>
                <w:rFonts w:cs="Calibri"/>
              </w:rPr>
              <w:t>$47,287</w:t>
            </w:r>
          </w:p>
        </w:tc>
      </w:tr>
      <w:tr w14:paraId="0545DB8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D72AA6" w14:textId="77777777">
            <w:pPr>
              <w:jc w:val="center"/>
              <w:rPr>
                <w:rFonts w:cs="Calibri"/>
              </w:rPr>
            </w:pPr>
            <w:r w:rsidRPr="007D15C3">
              <w:rPr>
                <w:rFonts w:cs="Calibri"/>
              </w:rPr>
              <w:t>38587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8C03C9" w14:textId="77777777">
            <w:pPr>
              <w:jc w:val="center"/>
              <w:rPr>
                <w:rFonts w:cs="Calibri"/>
              </w:rPr>
            </w:pPr>
            <w:r w:rsidRPr="007D15C3">
              <w:rPr>
                <w:rFonts w:cs="Calibri"/>
              </w:rPr>
              <w:t>KLTL-TV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7A1BEC" w14:textId="77777777">
            <w:pPr>
              <w:rPr>
                <w:rFonts w:cs="Calibri"/>
              </w:rPr>
            </w:pPr>
            <w:r w:rsidRPr="007D15C3">
              <w:rPr>
                <w:rFonts w:cs="Calibri"/>
              </w:rPr>
              <w:t xml:space="preserve">             423,574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8E07C5" w14:textId="77777777">
            <w:pPr>
              <w:rPr>
                <w:rFonts w:cs="Calibri"/>
              </w:rPr>
            </w:pPr>
            <w:r w:rsidRPr="007D15C3">
              <w:rPr>
                <w:rFonts w:cs="Calibri"/>
              </w:rPr>
              <w:t xml:space="preserve">               423,574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CD0501" w14:textId="77777777">
            <w:pPr>
              <w:jc w:val="right"/>
              <w:rPr>
                <w:rFonts w:cs="Calibri"/>
              </w:rPr>
            </w:pPr>
            <w:r w:rsidRPr="007D15C3">
              <w:rPr>
                <w:rFonts w:cs="Calibri"/>
              </w:rPr>
              <w:t>$3,320</w:t>
            </w:r>
          </w:p>
        </w:tc>
      </w:tr>
      <w:tr w14:paraId="62D24BA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0437B7" w14:textId="77777777">
            <w:pPr>
              <w:jc w:val="center"/>
              <w:rPr>
                <w:rFonts w:cs="Calibri"/>
              </w:rPr>
            </w:pPr>
            <w:r w:rsidRPr="007D15C3">
              <w:rPr>
                <w:rFonts w:cs="Calibri"/>
              </w:rPr>
              <w:t>38589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DA479E" w14:textId="77777777">
            <w:pPr>
              <w:jc w:val="center"/>
              <w:rPr>
                <w:rFonts w:cs="Calibri"/>
              </w:rPr>
            </w:pPr>
            <w:r w:rsidRPr="007D15C3">
              <w:rPr>
                <w:rFonts w:cs="Calibri"/>
              </w:rPr>
              <w:t>KLTM-TV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FA2D9A" w14:textId="77777777">
            <w:pPr>
              <w:rPr>
                <w:rFonts w:cs="Calibri"/>
              </w:rPr>
            </w:pPr>
            <w:r w:rsidRPr="007D15C3">
              <w:rPr>
                <w:rFonts w:cs="Calibri"/>
              </w:rPr>
              <w:t xml:space="preserve">             694,280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B41F13" w14:textId="77777777">
            <w:pPr>
              <w:rPr>
                <w:rFonts w:cs="Calibri"/>
              </w:rPr>
            </w:pPr>
            <w:r w:rsidRPr="007D15C3">
              <w:rPr>
                <w:rFonts w:cs="Calibri"/>
              </w:rPr>
              <w:t xml:space="preserve">               688,915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18E33B" w14:textId="77777777">
            <w:pPr>
              <w:jc w:val="right"/>
              <w:rPr>
                <w:rFonts w:cs="Calibri"/>
              </w:rPr>
            </w:pPr>
            <w:r w:rsidRPr="007D15C3">
              <w:rPr>
                <w:rFonts w:cs="Calibri"/>
              </w:rPr>
              <w:t>$5,399</w:t>
            </w:r>
          </w:p>
        </w:tc>
      </w:tr>
      <w:tr w14:paraId="7E1862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AC9A23" w14:textId="77777777">
            <w:pPr>
              <w:jc w:val="center"/>
              <w:rPr>
                <w:rFonts w:cs="Calibri"/>
              </w:rPr>
            </w:pPr>
            <w:r w:rsidRPr="007D15C3">
              <w:rPr>
                <w:rFonts w:cs="Calibri"/>
              </w:rPr>
              <w:t>38591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A1F619" w14:textId="77777777">
            <w:pPr>
              <w:jc w:val="center"/>
              <w:rPr>
                <w:rFonts w:cs="Calibri"/>
              </w:rPr>
            </w:pPr>
            <w:r w:rsidRPr="007D15C3">
              <w:rPr>
                <w:rFonts w:cs="Calibri"/>
              </w:rPr>
              <w:t>KLTS-TV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6AFE90" w14:textId="77777777">
            <w:pPr>
              <w:rPr>
                <w:rFonts w:cs="Calibri"/>
              </w:rPr>
            </w:pPr>
            <w:r w:rsidRPr="007D15C3">
              <w:rPr>
                <w:rFonts w:cs="Calibri"/>
              </w:rPr>
              <w:t xml:space="preserve">             883,661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4C037" w14:textId="77777777">
            <w:pPr>
              <w:rPr>
                <w:rFonts w:cs="Calibri"/>
              </w:rPr>
            </w:pPr>
            <w:r w:rsidRPr="007D15C3">
              <w:rPr>
                <w:rFonts w:cs="Calibri"/>
              </w:rPr>
              <w:t xml:space="preserve">               882,589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3ED904" w14:textId="77777777">
            <w:pPr>
              <w:jc w:val="right"/>
              <w:rPr>
                <w:rFonts w:cs="Calibri"/>
              </w:rPr>
            </w:pPr>
            <w:r w:rsidRPr="007D15C3">
              <w:rPr>
                <w:rFonts w:cs="Calibri"/>
              </w:rPr>
              <w:t>$6,917</w:t>
            </w:r>
          </w:p>
        </w:tc>
      </w:tr>
      <w:tr w14:paraId="3E5035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96A903" w14:textId="77777777">
            <w:pPr>
              <w:jc w:val="center"/>
              <w:rPr>
                <w:rFonts w:cs="Calibri"/>
              </w:rPr>
            </w:pPr>
            <w:r w:rsidRPr="007D15C3">
              <w:rPr>
                <w:rFonts w:cs="Calibri"/>
              </w:rPr>
              <w:t>68540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DE8606" w14:textId="77777777">
            <w:pPr>
              <w:jc w:val="center"/>
              <w:rPr>
                <w:rFonts w:cs="Calibri"/>
              </w:rPr>
            </w:pPr>
            <w:r w:rsidRPr="007D15C3">
              <w:rPr>
                <w:rFonts w:cs="Calibri"/>
              </w:rPr>
              <w:t>KLTV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C854EA" w14:textId="77777777">
            <w:pPr>
              <w:rPr>
                <w:rFonts w:cs="Calibri"/>
              </w:rPr>
            </w:pPr>
            <w:r w:rsidRPr="007D15C3">
              <w:rPr>
                <w:rFonts w:cs="Calibri"/>
              </w:rPr>
              <w:t xml:space="preserve">          1,069,690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6E92D0" w14:textId="77777777">
            <w:pPr>
              <w:rPr>
                <w:rFonts w:cs="Calibri"/>
              </w:rPr>
            </w:pPr>
            <w:r w:rsidRPr="007D15C3">
              <w:rPr>
                <w:rFonts w:cs="Calibri"/>
              </w:rPr>
              <w:t xml:space="preserve">            1,051,361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030E82" w14:textId="77777777">
            <w:pPr>
              <w:jc w:val="right"/>
              <w:rPr>
                <w:rFonts w:cs="Calibri"/>
              </w:rPr>
            </w:pPr>
            <w:r w:rsidRPr="007D15C3">
              <w:rPr>
                <w:rFonts w:cs="Calibri"/>
              </w:rPr>
              <w:t>$8,240</w:t>
            </w:r>
          </w:p>
        </w:tc>
      </w:tr>
      <w:tr w14:paraId="77B51EC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26B90F" w14:textId="77777777">
            <w:pPr>
              <w:jc w:val="center"/>
              <w:rPr>
                <w:rFonts w:cs="Calibri"/>
              </w:rPr>
            </w:pPr>
            <w:r w:rsidRPr="007D15C3">
              <w:rPr>
                <w:rFonts w:cs="Calibri"/>
              </w:rPr>
              <w:t>12913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963E2E" w14:textId="77777777">
            <w:pPr>
              <w:jc w:val="center"/>
              <w:rPr>
                <w:rFonts w:cs="Calibri"/>
              </w:rPr>
            </w:pPr>
            <w:r w:rsidRPr="007D15C3">
              <w:rPr>
                <w:rFonts w:cs="Calibri"/>
              </w:rPr>
              <w:t>KLUJ-TV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DC3A5C" w14:textId="77777777">
            <w:pPr>
              <w:rPr>
                <w:rFonts w:cs="Calibri"/>
              </w:rPr>
            </w:pPr>
            <w:r w:rsidRPr="007D15C3">
              <w:rPr>
                <w:rFonts w:cs="Calibri"/>
              </w:rPr>
              <w:t xml:space="preserve">          1,195,751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B7B87B" w14:textId="77777777">
            <w:pPr>
              <w:rPr>
                <w:rFonts w:cs="Calibri"/>
              </w:rPr>
            </w:pPr>
            <w:r w:rsidRPr="007D15C3">
              <w:rPr>
                <w:rFonts w:cs="Calibri"/>
              </w:rPr>
              <w:t xml:space="preserve">            1,195,751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2D3774" w14:textId="77777777">
            <w:pPr>
              <w:jc w:val="right"/>
              <w:rPr>
                <w:rFonts w:cs="Calibri"/>
              </w:rPr>
            </w:pPr>
            <w:r w:rsidRPr="007D15C3">
              <w:rPr>
                <w:rFonts w:cs="Calibri"/>
              </w:rPr>
              <w:t>$9,371</w:t>
            </w:r>
          </w:p>
        </w:tc>
      </w:tr>
      <w:tr w14:paraId="6C570C7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6A96A0" w14:textId="77777777">
            <w:pPr>
              <w:jc w:val="center"/>
              <w:rPr>
                <w:rFonts w:cs="Calibri"/>
              </w:rPr>
            </w:pPr>
            <w:r w:rsidRPr="007D15C3">
              <w:rPr>
                <w:rFonts w:cs="Calibri"/>
              </w:rPr>
              <w:t>57220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216C56" w14:textId="77777777">
            <w:pPr>
              <w:jc w:val="center"/>
              <w:rPr>
                <w:rFonts w:cs="Calibri"/>
              </w:rPr>
            </w:pPr>
            <w:r w:rsidRPr="007D15C3">
              <w:rPr>
                <w:rFonts w:cs="Calibri"/>
              </w:rPr>
              <w:t>KLUZ-TV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4614F5" w14:textId="77777777">
            <w:pPr>
              <w:rPr>
                <w:rFonts w:cs="Calibri"/>
              </w:rPr>
            </w:pPr>
            <w:r w:rsidRPr="007D15C3">
              <w:rPr>
                <w:rFonts w:cs="Calibri"/>
              </w:rPr>
              <w:t xml:space="preserve">          1,079,718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9EBC31" w14:textId="77777777">
            <w:pPr>
              <w:rPr>
                <w:rFonts w:cs="Calibri"/>
              </w:rPr>
            </w:pPr>
            <w:r w:rsidRPr="007D15C3">
              <w:rPr>
                <w:rFonts w:cs="Calibri"/>
              </w:rPr>
              <w:t xml:space="preserve">            1,019,302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A67EB0" w14:textId="77777777">
            <w:pPr>
              <w:jc w:val="right"/>
              <w:rPr>
                <w:rFonts w:cs="Calibri"/>
              </w:rPr>
            </w:pPr>
            <w:r w:rsidRPr="007D15C3">
              <w:rPr>
                <w:rFonts w:cs="Calibri"/>
              </w:rPr>
              <w:t>$7,988</w:t>
            </w:r>
          </w:p>
        </w:tc>
      </w:tr>
      <w:tr w14:paraId="2DDA64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85111B" w14:textId="77777777">
            <w:pPr>
              <w:jc w:val="center"/>
              <w:rPr>
                <w:rFonts w:cs="Calibri"/>
              </w:rPr>
            </w:pPr>
            <w:r w:rsidRPr="007D15C3">
              <w:rPr>
                <w:rFonts w:cs="Calibri"/>
              </w:rPr>
              <w:t>11683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EE32B8" w14:textId="77777777">
            <w:pPr>
              <w:jc w:val="center"/>
              <w:rPr>
                <w:rFonts w:cs="Calibri"/>
              </w:rPr>
            </w:pPr>
            <w:r w:rsidRPr="007D15C3">
              <w:rPr>
                <w:rFonts w:cs="Calibri"/>
              </w:rPr>
              <w:t>KLVX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1C84A0" w14:textId="77777777">
            <w:pPr>
              <w:rPr>
                <w:rFonts w:cs="Calibri"/>
              </w:rPr>
            </w:pPr>
            <w:r w:rsidRPr="007D15C3">
              <w:rPr>
                <w:rFonts w:cs="Calibri"/>
              </w:rPr>
              <w:t xml:space="preserve">          2,044,150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18C869" w14:textId="77777777">
            <w:pPr>
              <w:rPr>
                <w:rFonts w:cs="Calibri"/>
              </w:rPr>
            </w:pPr>
            <w:r w:rsidRPr="007D15C3">
              <w:rPr>
                <w:rFonts w:cs="Calibri"/>
              </w:rPr>
              <w:t xml:space="preserve">            1,936,083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CD5FA0" w14:textId="77777777">
            <w:pPr>
              <w:jc w:val="right"/>
              <w:rPr>
                <w:rFonts w:cs="Calibri"/>
              </w:rPr>
            </w:pPr>
            <w:r w:rsidRPr="007D15C3">
              <w:rPr>
                <w:rFonts w:cs="Calibri"/>
              </w:rPr>
              <w:t>$15,173</w:t>
            </w:r>
          </w:p>
        </w:tc>
      </w:tr>
      <w:tr w14:paraId="2D6551B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40FCA4" w14:textId="77777777">
            <w:pPr>
              <w:jc w:val="center"/>
              <w:rPr>
                <w:rFonts w:cs="Calibri"/>
              </w:rPr>
            </w:pPr>
            <w:r w:rsidRPr="007D15C3">
              <w:rPr>
                <w:rFonts w:cs="Calibri"/>
              </w:rPr>
              <w:t>82476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28FC91" w14:textId="77777777">
            <w:pPr>
              <w:jc w:val="center"/>
              <w:rPr>
                <w:rFonts w:cs="Calibri"/>
              </w:rPr>
            </w:pPr>
            <w:r w:rsidRPr="007D15C3">
              <w:rPr>
                <w:rFonts w:cs="Calibri"/>
              </w:rPr>
              <w:t>KLWB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6E0A1C" w14:textId="77777777">
            <w:pPr>
              <w:rPr>
                <w:rFonts w:cs="Calibri"/>
              </w:rPr>
            </w:pPr>
            <w:r w:rsidRPr="007D15C3">
              <w:rPr>
                <w:rFonts w:cs="Calibri"/>
              </w:rPr>
              <w:t xml:space="preserve">          1,065,748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86C04A" w14:textId="77777777">
            <w:pPr>
              <w:rPr>
                <w:rFonts w:cs="Calibri"/>
              </w:rPr>
            </w:pPr>
            <w:r w:rsidRPr="007D15C3">
              <w:rPr>
                <w:rFonts w:cs="Calibri"/>
              </w:rPr>
              <w:t xml:space="preserve">            1,065,748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8BDB35" w14:textId="77777777">
            <w:pPr>
              <w:jc w:val="right"/>
              <w:rPr>
                <w:rFonts w:cs="Calibri"/>
              </w:rPr>
            </w:pPr>
            <w:r w:rsidRPr="007D15C3">
              <w:rPr>
                <w:rFonts w:cs="Calibri"/>
              </w:rPr>
              <w:t>$8,352</w:t>
            </w:r>
          </w:p>
        </w:tc>
      </w:tr>
      <w:tr w14:paraId="095043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FC2AE1" w14:textId="77777777">
            <w:pPr>
              <w:jc w:val="center"/>
              <w:rPr>
                <w:rFonts w:cs="Calibri"/>
              </w:rPr>
            </w:pPr>
            <w:r w:rsidRPr="007D15C3">
              <w:rPr>
                <w:rFonts w:cs="Calibri"/>
              </w:rPr>
              <w:t>40250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05ADF7" w14:textId="77777777">
            <w:pPr>
              <w:jc w:val="center"/>
              <w:rPr>
                <w:rFonts w:cs="Calibri"/>
              </w:rPr>
            </w:pPr>
            <w:r w:rsidRPr="007D15C3">
              <w:rPr>
                <w:rFonts w:cs="Calibri"/>
              </w:rPr>
              <w:t>KLWY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EFA75C" w14:textId="77777777">
            <w:pPr>
              <w:rPr>
                <w:rFonts w:cs="Calibri"/>
              </w:rPr>
            </w:pPr>
            <w:r w:rsidRPr="007D15C3">
              <w:rPr>
                <w:rFonts w:cs="Calibri"/>
              </w:rPr>
              <w:t xml:space="preserve">             541,043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F44AF7" w14:textId="77777777">
            <w:pPr>
              <w:rPr>
                <w:rFonts w:cs="Calibri"/>
              </w:rPr>
            </w:pPr>
            <w:r w:rsidRPr="007D15C3">
              <w:rPr>
                <w:rFonts w:cs="Calibri"/>
              </w:rPr>
              <w:t xml:space="preserve">               538,231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ECB7B3" w14:textId="77777777">
            <w:pPr>
              <w:jc w:val="right"/>
              <w:rPr>
                <w:rFonts w:cs="Calibri"/>
              </w:rPr>
            </w:pPr>
            <w:r w:rsidRPr="007D15C3">
              <w:rPr>
                <w:rFonts w:cs="Calibri"/>
              </w:rPr>
              <w:t>$4,218</w:t>
            </w:r>
          </w:p>
        </w:tc>
      </w:tr>
      <w:tr w14:paraId="137248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32520F" w14:textId="77777777">
            <w:pPr>
              <w:jc w:val="center"/>
              <w:rPr>
                <w:rFonts w:cs="Calibri"/>
              </w:rPr>
            </w:pPr>
            <w:r w:rsidRPr="007D15C3">
              <w:rPr>
                <w:rFonts w:cs="Calibri"/>
              </w:rPr>
              <w:t>64551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830409" w14:textId="77777777">
            <w:pPr>
              <w:jc w:val="center"/>
              <w:rPr>
                <w:rFonts w:cs="Calibri"/>
              </w:rPr>
            </w:pPr>
            <w:r w:rsidRPr="007D15C3">
              <w:rPr>
                <w:rFonts w:cs="Calibri"/>
              </w:rPr>
              <w:t>KMAU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3E870B" w14:textId="77777777">
            <w:pPr>
              <w:rPr>
                <w:rFonts w:cs="Calibri"/>
              </w:rPr>
            </w:pPr>
            <w:r w:rsidRPr="007D15C3">
              <w:rPr>
                <w:rFonts w:cs="Calibri"/>
              </w:rPr>
              <w:t xml:space="preserve">             213,060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CF6632" w14:textId="77777777">
            <w:pPr>
              <w:rPr>
                <w:rFonts w:cs="Calibri"/>
              </w:rPr>
            </w:pPr>
            <w:r w:rsidRPr="007D15C3">
              <w:rPr>
                <w:rFonts w:cs="Calibri"/>
              </w:rPr>
              <w:t xml:space="preserve">               188,953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9064A7" w14:textId="77777777">
            <w:pPr>
              <w:jc w:val="right"/>
              <w:rPr>
                <w:rFonts w:cs="Calibri"/>
              </w:rPr>
            </w:pPr>
            <w:r w:rsidRPr="007D15C3">
              <w:rPr>
                <w:rFonts w:cs="Calibri"/>
              </w:rPr>
              <w:t>$1,481</w:t>
            </w:r>
          </w:p>
        </w:tc>
      </w:tr>
      <w:tr w14:paraId="24A8B1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4EEEA1" w14:textId="77777777">
            <w:pPr>
              <w:jc w:val="center"/>
              <w:rPr>
                <w:rFonts w:cs="Calibri"/>
              </w:rPr>
            </w:pPr>
            <w:r w:rsidRPr="007D15C3">
              <w:rPr>
                <w:rFonts w:cs="Calibri"/>
              </w:rPr>
              <w:t>51499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255DF8" w14:textId="77777777">
            <w:pPr>
              <w:jc w:val="center"/>
              <w:rPr>
                <w:rFonts w:cs="Calibri"/>
              </w:rPr>
            </w:pPr>
            <w:r w:rsidRPr="007D15C3">
              <w:rPr>
                <w:rFonts w:cs="Calibri"/>
              </w:rPr>
              <w:t>KMAX-TV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92D7DF" w14:textId="77777777">
            <w:pPr>
              <w:rPr>
                <w:rFonts w:cs="Calibri"/>
              </w:rPr>
            </w:pPr>
            <w:r w:rsidRPr="007D15C3">
              <w:rPr>
                <w:rFonts w:cs="Calibri"/>
              </w:rPr>
              <w:t xml:space="preserve">        10,644,556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706B9D" w14:textId="77777777">
            <w:pPr>
              <w:rPr>
                <w:rFonts w:cs="Calibri"/>
              </w:rPr>
            </w:pPr>
            <w:r w:rsidRPr="007D15C3">
              <w:rPr>
                <w:rFonts w:cs="Calibri"/>
              </w:rPr>
              <w:t xml:space="preserve">            6,974,200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DD4B90" w14:textId="77777777">
            <w:pPr>
              <w:jc w:val="right"/>
              <w:rPr>
                <w:rFonts w:cs="Calibri"/>
              </w:rPr>
            </w:pPr>
            <w:r w:rsidRPr="007D15C3">
              <w:rPr>
                <w:rFonts w:cs="Calibri"/>
              </w:rPr>
              <w:t>$54,657</w:t>
            </w:r>
          </w:p>
        </w:tc>
      </w:tr>
      <w:tr w14:paraId="2059EADD"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BC9AB0" w14:textId="77777777">
            <w:pPr>
              <w:jc w:val="center"/>
              <w:rPr>
                <w:rFonts w:cs="Calibri"/>
              </w:rPr>
            </w:pPr>
            <w:r w:rsidRPr="007D15C3">
              <w:rPr>
                <w:rFonts w:cs="Calibri"/>
              </w:rPr>
              <w:t>65686</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3C875A9B" w14:textId="77777777">
            <w:pPr>
              <w:jc w:val="center"/>
              <w:rPr>
                <w:rFonts w:cs="Calibri"/>
              </w:rPr>
            </w:pPr>
            <w:r w:rsidRPr="007D15C3">
              <w:rPr>
                <w:rFonts w:cs="Calibri"/>
              </w:rPr>
              <w:t>KMBC-TV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FABD223" w14:textId="77777777">
            <w:pPr>
              <w:rPr>
                <w:rFonts w:cs="Calibri"/>
              </w:rPr>
            </w:pPr>
            <w:r w:rsidRPr="007D15C3">
              <w:rPr>
                <w:rFonts w:cs="Calibri"/>
              </w:rPr>
              <w:t xml:space="preserve">          2,507,895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DA95CC8" w14:textId="77777777">
            <w:pPr>
              <w:rPr>
                <w:rFonts w:cs="Calibri"/>
              </w:rPr>
            </w:pPr>
            <w:r w:rsidRPr="007D15C3">
              <w:rPr>
                <w:rFonts w:cs="Calibri"/>
              </w:rPr>
              <w:t xml:space="preserve">            2,506,661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5595D38" w14:textId="77777777">
            <w:pPr>
              <w:jc w:val="right"/>
              <w:rPr>
                <w:rFonts w:cs="Calibri"/>
              </w:rPr>
            </w:pPr>
            <w:r w:rsidRPr="007D15C3">
              <w:rPr>
                <w:rFonts w:cs="Calibri"/>
              </w:rPr>
              <w:t>$19,645</w:t>
            </w:r>
          </w:p>
        </w:tc>
      </w:tr>
      <w:tr w14:paraId="6D3B31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93D8A2" w14:textId="77777777">
            <w:pPr>
              <w:jc w:val="center"/>
              <w:rPr>
                <w:rFonts w:cs="Calibri"/>
              </w:rPr>
            </w:pPr>
            <w:r w:rsidRPr="007D15C3">
              <w:rPr>
                <w:rFonts w:cs="Calibri"/>
              </w:rPr>
              <w:t>56079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EA891B" w14:textId="77777777">
            <w:pPr>
              <w:jc w:val="center"/>
              <w:rPr>
                <w:rFonts w:cs="Calibri"/>
              </w:rPr>
            </w:pPr>
            <w:r w:rsidRPr="007D15C3">
              <w:rPr>
                <w:rFonts w:cs="Calibri"/>
              </w:rPr>
              <w:t>KMBH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9AAAE0" w14:textId="77777777">
            <w:pPr>
              <w:rPr>
                <w:rFonts w:cs="Calibri"/>
              </w:rPr>
            </w:pPr>
            <w:r w:rsidRPr="007D15C3">
              <w:rPr>
                <w:rFonts w:cs="Calibri"/>
              </w:rPr>
              <w:t xml:space="preserve">          1,225,732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9A1396" w14:textId="77777777">
            <w:pPr>
              <w:rPr>
                <w:rFonts w:cs="Calibri"/>
              </w:rPr>
            </w:pPr>
            <w:r w:rsidRPr="007D15C3">
              <w:rPr>
                <w:rFonts w:cs="Calibri"/>
              </w:rPr>
              <w:t xml:space="preserve">            1,225,732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EE54E1" w14:textId="77777777">
            <w:pPr>
              <w:jc w:val="right"/>
              <w:rPr>
                <w:rFonts w:cs="Calibri"/>
              </w:rPr>
            </w:pPr>
            <w:r w:rsidRPr="007D15C3">
              <w:rPr>
                <w:rFonts w:cs="Calibri"/>
              </w:rPr>
              <w:t>$9,606</w:t>
            </w:r>
          </w:p>
        </w:tc>
      </w:tr>
      <w:tr w14:paraId="41FA1FD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E4F055" w14:textId="77777777">
            <w:pPr>
              <w:jc w:val="center"/>
              <w:rPr>
                <w:rFonts w:cs="Calibri"/>
              </w:rPr>
            </w:pPr>
            <w:r w:rsidRPr="007D15C3">
              <w:rPr>
                <w:rFonts w:cs="Calibri"/>
              </w:rPr>
              <w:t>35183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E4A18D" w14:textId="77777777">
            <w:pPr>
              <w:jc w:val="center"/>
              <w:rPr>
                <w:rFonts w:cs="Calibri"/>
              </w:rPr>
            </w:pPr>
            <w:r w:rsidRPr="007D15C3">
              <w:rPr>
                <w:rFonts w:cs="Calibri"/>
              </w:rPr>
              <w:t>KMCB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1692AA" w14:textId="77777777">
            <w:pPr>
              <w:rPr>
                <w:rFonts w:cs="Calibri"/>
              </w:rPr>
            </w:pPr>
            <w:r w:rsidRPr="007D15C3">
              <w:rPr>
                <w:rFonts w:cs="Calibri"/>
              </w:rPr>
              <w:t xml:space="preserve">               69,357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0541B9" w14:textId="77777777">
            <w:pPr>
              <w:rPr>
                <w:rFonts w:cs="Calibri"/>
              </w:rPr>
            </w:pPr>
            <w:r w:rsidRPr="007D15C3">
              <w:rPr>
                <w:rFonts w:cs="Calibri"/>
              </w:rPr>
              <w:t xml:space="preserve">                 66,203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B7385D" w14:textId="77777777">
            <w:pPr>
              <w:jc w:val="right"/>
              <w:rPr>
                <w:rFonts w:cs="Calibri"/>
              </w:rPr>
            </w:pPr>
            <w:r w:rsidRPr="007D15C3">
              <w:rPr>
                <w:rFonts w:cs="Calibri"/>
              </w:rPr>
              <w:t>$519</w:t>
            </w:r>
          </w:p>
        </w:tc>
      </w:tr>
      <w:tr w14:paraId="46C32D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A3CBE7" w14:textId="77777777">
            <w:pPr>
              <w:jc w:val="center"/>
              <w:rPr>
                <w:rFonts w:cs="Calibri"/>
              </w:rPr>
            </w:pPr>
            <w:r w:rsidRPr="007D15C3">
              <w:rPr>
                <w:rFonts w:cs="Calibri"/>
              </w:rPr>
              <w:t>41237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DD22620" w14:textId="77777777">
            <w:pPr>
              <w:jc w:val="center"/>
              <w:rPr>
                <w:rFonts w:cs="Calibri"/>
              </w:rPr>
            </w:pPr>
            <w:r w:rsidRPr="007D15C3">
              <w:rPr>
                <w:rFonts w:cs="Calibri"/>
              </w:rPr>
              <w:t>KMCC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0D5EDB" w14:textId="77777777">
            <w:pPr>
              <w:rPr>
                <w:rFonts w:cs="Calibri"/>
              </w:rPr>
            </w:pPr>
            <w:r w:rsidRPr="007D15C3">
              <w:rPr>
                <w:rFonts w:cs="Calibri"/>
              </w:rPr>
              <w:t xml:space="preserve">          2,064,592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FCF179" w14:textId="77777777">
            <w:pPr>
              <w:rPr>
                <w:rFonts w:cs="Calibri"/>
              </w:rPr>
            </w:pPr>
            <w:r w:rsidRPr="007D15C3">
              <w:rPr>
                <w:rFonts w:cs="Calibri"/>
              </w:rPr>
              <w:t xml:space="preserve">            2,010,262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C85073" w14:textId="77777777">
            <w:pPr>
              <w:jc w:val="right"/>
              <w:rPr>
                <w:rFonts w:cs="Calibri"/>
              </w:rPr>
            </w:pPr>
            <w:r w:rsidRPr="007D15C3">
              <w:rPr>
                <w:rFonts w:cs="Calibri"/>
              </w:rPr>
              <w:t>$15,754</w:t>
            </w:r>
          </w:p>
        </w:tc>
      </w:tr>
      <w:tr w14:paraId="2F8E63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A38344" w14:textId="77777777">
            <w:pPr>
              <w:jc w:val="center"/>
              <w:rPr>
                <w:rFonts w:cs="Calibri"/>
              </w:rPr>
            </w:pPr>
            <w:r w:rsidRPr="007D15C3">
              <w:rPr>
                <w:rFonts w:cs="Calibri"/>
              </w:rPr>
              <w:t>42636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EFAF1B" w14:textId="77777777">
            <w:pPr>
              <w:jc w:val="center"/>
              <w:rPr>
                <w:rFonts w:cs="Calibri"/>
              </w:rPr>
            </w:pPr>
            <w:r w:rsidRPr="007D15C3">
              <w:rPr>
                <w:rFonts w:cs="Calibri"/>
              </w:rPr>
              <w:t>KMCI-TV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1D6BC2" w14:textId="77777777">
            <w:pPr>
              <w:rPr>
                <w:rFonts w:cs="Calibri"/>
              </w:rPr>
            </w:pPr>
            <w:r w:rsidRPr="007D15C3">
              <w:rPr>
                <w:rFonts w:cs="Calibri"/>
              </w:rPr>
              <w:t xml:space="preserve">          2,429,392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BBE038" w14:textId="77777777">
            <w:pPr>
              <w:rPr>
                <w:rFonts w:cs="Calibri"/>
              </w:rPr>
            </w:pPr>
            <w:r w:rsidRPr="007D15C3">
              <w:rPr>
                <w:rFonts w:cs="Calibri"/>
              </w:rPr>
              <w:t xml:space="preserve">            2,428,626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95B004" w14:textId="77777777">
            <w:pPr>
              <w:jc w:val="right"/>
              <w:rPr>
                <w:rFonts w:cs="Calibri"/>
              </w:rPr>
            </w:pPr>
            <w:r w:rsidRPr="007D15C3">
              <w:rPr>
                <w:rFonts w:cs="Calibri"/>
              </w:rPr>
              <w:t>$19,033</w:t>
            </w:r>
          </w:p>
        </w:tc>
      </w:tr>
      <w:tr w14:paraId="2F196BF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9DE4C2" w14:textId="77777777">
            <w:pPr>
              <w:jc w:val="center"/>
              <w:rPr>
                <w:rFonts w:cs="Calibri"/>
              </w:rPr>
            </w:pPr>
            <w:r w:rsidRPr="007D15C3">
              <w:rPr>
                <w:rFonts w:cs="Calibri"/>
              </w:rPr>
              <w:t>38584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5D9AC7" w14:textId="77777777">
            <w:pPr>
              <w:jc w:val="center"/>
              <w:rPr>
                <w:rFonts w:cs="Calibri"/>
              </w:rPr>
            </w:pPr>
            <w:r w:rsidRPr="007D15C3">
              <w:rPr>
                <w:rFonts w:cs="Calibri"/>
              </w:rPr>
              <w:t>KMCT-TV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0795E3" w14:textId="77777777">
            <w:pPr>
              <w:rPr>
                <w:rFonts w:cs="Calibri"/>
              </w:rPr>
            </w:pPr>
            <w:r w:rsidRPr="007D15C3">
              <w:rPr>
                <w:rFonts w:cs="Calibri"/>
              </w:rPr>
              <w:t xml:space="preserve">             267,004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0E1E41" w14:textId="77777777">
            <w:pPr>
              <w:rPr>
                <w:rFonts w:cs="Calibri"/>
              </w:rPr>
            </w:pPr>
            <w:r w:rsidRPr="007D15C3">
              <w:rPr>
                <w:rFonts w:cs="Calibri"/>
              </w:rPr>
              <w:t xml:space="preserve">               266,880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AB4F9A" w14:textId="77777777">
            <w:pPr>
              <w:jc w:val="right"/>
              <w:rPr>
                <w:rFonts w:cs="Calibri"/>
              </w:rPr>
            </w:pPr>
            <w:r w:rsidRPr="007D15C3">
              <w:rPr>
                <w:rFonts w:cs="Calibri"/>
              </w:rPr>
              <w:t>$2,092</w:t>
            </w:r>
          </w:p>
        </w:tc>
      </w:tr>
      <w:tr w14:paraId="468549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4F8BDD" w14:textId="77777777">
            <w:pPr>
              <w:jc w:val="center"/>
              <w:rPr>
                <w:rFonts w:cs="Calibri"/>
              </w:rPr>
            </w:pPr>
            <w:r w:rsidRPr="007D15C3">
              <w:rPr>
                <w:rFonts w:cs="Calibri"/>
              </w:rPr>
              <w:t>22127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B592C5" w14:textId="77777777">
            <w:pPr>
              <w:jc w:val="center"/>
              <w:rPr>
                <w:rFonts w:cs="Calibri"/>
              </w:rPr>
            </w:pPr>
            <w:r w:rsidRPr="007D15C3">
              <w:rPr>
                <w:rFonts w:cs="Calibri"/>
              </w:rPr>
              <w:t>KMCY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CC8894" w14:textId="77777777">
            <w:pPr>
              <w:rPr>
                <w:rFonts w:cs="Calibri"/>
              </w:rPr>
            </w:pPr>
            <w:r w:rsidRPr="007D15C3">
              <w:rPr>
                <w:rFonts w:cs="Calibri"/>
              </w:rPr>
              <w:t xml:space="preserve">               71,797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A056BA" w14:textId="77777777">
            <w:pPr>
              <w:rPr>
                <w:rFonts w:cs="Calibri"/>
              </w:rPr>
            </w:pPr>
            <w:r w:rsidRPr="007D15C3">
              <w:rPr>
                <w:rFonts w:cs="Calibri"/>
              </w:rPr>
              <w:t xml:space="preserve">                 71,793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2C09EB" w14:textId="77777777">
            <w:pPr>
              <w:jc w:val="right"/>
              <w:rPr>
                <w:rFonts w:cs="Calibri"/>
              </w:rPr>
            </w:pPr>
            <w:r w:rsidRPr="007D15C3">
              <w:rPr>
                <w:rFonts w:cs="Calibri"/>
              </w:rPr>
              <w:t>$563</w:t>
            </w:r>
          </w:p>
        </w:tc>
      </w:tr>
      <w:tr w14:paraId="571F34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4F3E0E" w14:textId="77777777">
            <w:pPr>
              <w:jc w:val="center"/>
              <w:rPr>
                <w:rFonts w:cs="Calibri"/>
              </w:rPr>
            </w:pPr>
            <w:r w:rsidRPr="007D15C3">
              <w:rPr>
                <w:rFonts w:cs="Calibri"/>
              </w:rPr>
              <w:t>162016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0C4E84" w14:textId="77777777">
            <w:pPr>
              <w:jc w:val="center"/>
              <w:rPr>
                <w:rFonts w:cs="Calibri"/>
              </w:rPr>
            </w:pPr>
            <w:r w:rsidRPr="007D15C3">
              <w:rPr>
                <w:rFonts w:cs="Calibri"/>
              </w:rPr>
              <w:t>KMDE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2CF6F9" w14:textId="77777777">
            <w:pPr>
              <w:rPr>
                <w:rFonts w:cs="Calibri"/>
              </w:rPr>
            </w:pPr>
            <w:r w:rsidRPr="007D15C3">
              <w:rPr>
                <w:rFonts w:cs="Calibri"/>
              </w:rPr>
              <w:t xml:space="preserve">               35,409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0B70D8" w14:textId="77777777">
            <w:pPr>
              <w:rPr>
                <w:rFonts w:cs="Calibri"/>
              </w:rPr>
            </w:pPr>
            <w:r w:rsidRPr="007D15C3">
              <w:rPr>
                <w:rFonts w:cs="Calibri"/>
              </w:rPr>
              <w:t xml:space="preserve">                 35,401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F4E5C3" w14:textId="77777777">
            <w:pPr>
              <w:jc w:val="right"/>
              <w:rPr>
                <w:rFonts w:cs="Calibri"/>
              </w:rPr>
            </w:pPr>
            <w:r w:rsidRPr="007D15C3">
              <w:rPr>
                <w:rFonts w:cs="Calibri"/>
              </w:rPr>
              <w:t>$277</w:t>
            </w:r>
          </w:p>
        </w:tc>
      </w:tr>
      <w:tr w14:paraId="27690F6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38359E" w14:textId="77777777">
            <w:pPr>
              <w:jc w:val="center"/>
              <w:rPr>
                <w:rFonts w:cs="Calibri"/>
              </w:rPr>
            </w:pPr>
            <w:r w:rsidRPr="007D15C3">
              <w:rPr>
                <w:rFonts w:cs="Calibri"/>
              </w:rPr>
              <w:t>26428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6DD63F" w14:textId="77777777">
            <w:pPr>
              <w:jc w:val="center"/>
              <w:rPr>
                <w:rFonts w:cs="Calibri"/>
              </w:rPr>
            </w:pPr>
            <w:r w:rsidRPr="007D15C3">
              <w:rPr>
                <w:rFonts w:cs="Calibri"/>
              </w:rPr>
              <w:t>KMEB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C125A6" w14:textId="77777777">
            <w:pPr>
              <w:rPr>
                <w:rFonts w:cs="Calibri"/>
              </w:rPr>
            </w:pPr>
            <w:r w:rsidRPr="007D15C3">
              <w:rPr>
                <w:rFonts w:cs="Calibri"/>
              </w:rPr>
              <w:t xml:space="preserve">             221,810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CE2766" w14:textId="77777777">
            <w:pPr>
              <w:rPr>
                <w:rFonts w:cs="Calibri"/>
              </w:rPr>
            </w:pPr>
            <w:r w:rsidRPr="007D15C3">
              <w:rPr>
                <w:rFonts w:cs="Calibri"/>
              </w:rPr>
              <w:t xml:space="preserve">               203,470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CA4294" w14:textId="77777777">
            <w:pPr>
              <w:jc w:val="right"/>
              <w:rPr>
                <w:rFonts w:cs="Calibri"/>
              </w:rPr>
            </w:pPr>
            <w:r w:rsidRPr="007D15C3">
              <w:rPr>
                <w:rFonts w:cs="Calibri"/>
              </w:rPr>
              <w:t>$1,595</w:t>
            </w:r>
          </w:p>
        </w:tc>
      </w:tr>
      <w:tr w14:paraId="26D33CC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805130" w14:textId="77777777">
            <w:pPr>
              <w:jc w:val="center"/>
              <w:rPr>
                <w:rFonts w:cs="Calibri"/>
              </w:rPr>
            </w:pPr>
            <w:r w:rsidRPr="007D15C3">
              <w:rPr>
                <w:rFonts w:cs="Calibri"/>
              </w:rPr>
              <w:t>39665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B75A74" w14:textId="77777777">
            <w:pPr>
              <w:jc w:val="center"/>
              <w:rPr>
                <w:rFonts w:cs="Calibri"/>
              </w:rPr>
            </w:pPr>
            <w:r w:rsidRPr="007D15C3">
              <w:rPr>
                <w:rFonts w:cs="Calibri"/>
              </w:rPr>
              <w:t>KMEG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1600F0" w14:textId="77777777">
            <w:pPr>
              <w:rPr>
                <w:rFonts w:cs="Calibri"/>
              </w:rPr>
            </w:pPr>
            <w:r w:rsidRPr="007D15C3">
              <w:rPr>
                <w:rFonts w:cs="Calibri"/>
              </w:rPr>
              <w:t xml:space="preserve">             708,748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2EC723" w14:textId="77777777">
            <w:pPr>
              <w:rPr>
                <w:rFonts w:cs="Calibri"/>
              </w:rPr>
            </w:pPr>
            <w:r w:rsidRPr="007D15C3">
              <w:rPr>
                <w:rFonts w:cs="Calibri"/>
              </w:rPr>
              <w:t xml:space="preserve">               704,130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9A5C48" w14:textId="77777777">
            <w:pPr>
              <w:jc w:val="right"/>
              <w:rPr>
                <w:rFonts w:cs="Calibri"/>
              </w:rPr>
            </w:pPr>
            <w:r w:rsidRPr="007D15C3">
              <w:rPr>
                <w:rFonts w:cs="Calibri"/>
              </w:rPr>
              <w:t>$5,518</w:t>
            </w:r>
          </w:p>
        </w:tc>
      </w:tr>
      <w:tr w14:paraId="41C8E76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D06E0D" w14:textId="77777777">
            <w:pPr>
              <w:jc w:val="center"/>
              <w:rPr>
                <w:rFonts w:cs="Calibri"/>
              </w:rPr>
            </w:pPr>
            <w:r w:rsidRPr="007D15C3">
              <w:rPr>
                <w:rFonts w:cs="Calibri"/>
              </w:rPr>
              <w:t>35123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1A9994" w14:textId="77777777">
            <w:pPr>
              <w:jc w:val="center"/>
              <w:rPr>
                <w:rFonts w:cs="Calibri"/>
              </w:rPr>
            </w:pPr>
            <w:r w:rsidRPr="007D15C3">
              <w:rPr>
                <w:rFonts w:cs="Calibri"/>
              </w:rPr>
              <w:t>KMEX-DT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8286BA" w14:textId="77777777">
            <w:pPr>
              <w:rPr>
                <w:rFonts w:cs="Calibri"/>
              </w:rPr>
            </w:pPr>
            <w:r w:rsidRPr="007D15C3">
              <w:rPr>
                <w:rFonts w:cs="Calibri"/>
              </w:rPr>
              <w:t xml:space="preserve">        17,628,354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775DBF" w14:textId="77777777">
            <w:pPr>
              <w:rPr>
                <w:rFonts w:cs="Calibri"/>
              </w:rPr>
            </w:pPr>
            <w:r w:rsidRPr="007D15C3">
              <w:rPr>
                <w:rFonts w:cs="Calibri"/>
              </w:rPr>
              <w:t xml:space="preserve">          16,318,720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542981" w14:textId="77777777">
            <w:pPr>
              <w:jc w:val="right"/>
              <w:rPr>
                <w:rFonts w:cs="Calibri"/>
              </w:rPr>
            </w:pPr>
            <w:r w:rsidRPr="007D15C3">
              <w:rPr>
                <w:rFonts w:cs="Calibri"/>
              </w:rPr>
              <w:t>$127,890</w:t>
            </w:r>
          </w:p>
        </w:tc>
      </w:tr>
      <w:tr w14:paraId="001499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62DE7E" w14:textId="77777777">
            <w:pPr>
              <w:jc w:val="center"/>
              <w:rPr>
                <w:rFonts w:cs="Calibri"/>
              </w:rPr>
            </w:pPr>
            <w:r w:rsidRPr="007D15C3">
              <w:rPr>
                <w:rFonts w:cs="Calibri"/>
              </w:rPr>
              <w:t>40875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FE73D3" w14:textId="77777777">
            <w:pPr>
              <w:jc w:val="center"/>
              <w:rPr>
                <w:rFonts w:cs="Calibri"/>
              </w:rPr>
            </w:pPr>
            <w:r w:rsidRPr="007D15C3">
              <w:rPr>
                <w:rFonts w:cs="Calibri"/>
              </w:rPr>
              <w:t>KMGH-TV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AE1648" w14:textId="77777777">
            <w:pPr>
              <w:rPr>
                <w:rFonts w:cs="Calibri"/>
              </w:rPr>
            </w:pPr>
            <w:r w:rsidRPr="007D15C3">
              <w:rPr>
                <w:rFonts w:cs="Calibri"/>
              </w:rPr>
              <w:t xml:space="preserve">          3,815,253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999D94" w14:textId="77777777">
            <w:pPr>
              <w:rPr>
                <w:rFonts w:cs="Calibri"/>
              </w:rPr>
            </w:pPr>
            <w:r w:rsidRPr="007D15C3">
              <w:rPr>
                <w:rFonts w:cs="Calibri"/>
              </w:rPr>
              <w:t xml:space="preserve">            3,574,365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3EECF0" w14:textId="77777777">
            <w:pPr>
              <w:jc w:val="right"/>
              <w:rPr>
                <w:rFonts w:cs="Calibri"/>
              </w:rPr>
            </w:pPr>
            <w:r w:rsidRPr="007D15C3">
              <w:rPr>
                <w:rFonts w:cs="Calibri"/>
              </w:rPr>
              <w:t>$28,012</w:t>
            </w:r>
          </w:p>
        </w:tc>
      </w:tr>
      <w:tr w14:paraId="5BD7DC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53219E" w14:textId="77777777">
            <w:pPr>
              <w:jc w:val="center"/>
              <w:rPr>
                <w:rFonts w:cs="Calibri"/>
              </w:rPr>
            </w:pPr>
            <w:r w:rsidRPr="007D15C3">
              <w:rPr>
                <w:rFonts w:cs="Calibri"/>
              </w:rPr>
              <w:t>35131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3D861C" w14:textId="77777777">
            <w:pPr>
              <w:jc w:val="center"/>
              <w:rPr>
                <w:rFonts w:cs="Calibri"/>
              </w:rPr>
            </w:pPr>
            <w:r w:rsidRPr="007D15C3">
              <w:rPr>
                <w:rFonts w:cs="Calibri"/>
              </w:rPr>
              <w:t>KMID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4ED43D" w14:textId="77777777">
            <w:pPr>
              <w:rPr>
                <w:rFonts w:cs="Calibri"/>
              </w:rPr>
            </w:pPr>
            <w:r w:rsidRPr="007D15C3">
              <w:rPr>
                <w:rFonts w:cs="Calibri"/>
              </w:rPr>
              <w:t xml:space="preserve">             383,449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30E980" w14:textId="77777777">
            <w:pPr>
              <w:rPr>
                <w:rFonts w:cs="Calibri"/>
              </w:rPr>
            </w:pPr>
            <w:r w:rsidRPr="007D15C3">
              <w:rPr>
                <w:rFonts w:cs="Calibri"/>
              </w:rPr>
              <w:t xml:space="preserve">               383,439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7A95F6" w14:textId="77777777">
            <w:pPr>
              <w:jc w:val="right"/>
              <w:rPr>
                <w:rFonts w:cs="Calibri"/>
              </w:rPr>
            </w:pPr>
            <w:r w:rsidRPr="007D15C3">
              <w:rPr>
                <w:rFonts w:cs="Calibri"/>
              </w:rPr>
              <w:t>$3,005</w:t>
            </w:r>
          </w:p>
        </w:tc>
      </w:tr>
      <w:tr w14:paraId="2F547A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37D34D" w14:textId="77777777">
            <w:pPr>
              <w:jc w:val="center"/>
              <w:rPr>
                <w:rFonts w:cs="Calibri"/>
              </w:rPr>
            </w:pPr>
            <w:r w:rsidRPr="007D15C3">
              <w:rPr>
                <w:rFonts w:cs="Calibri"/>
              </w:rPr>
              <w:t>16749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B1D70A" w14:textId="77777777">
            <w:pPr>
              <w:jc w:val="center"/>
              <w:rPr>
                <w:rFonts w:cs="Calibri"/>
              </w:rPr>
            </w:pPr>
            <w:r w:rsidRPr="007D15C3">
              <w:rPr>
                <w:rFonts w:cs="Calibri"/>
              </w:rPr>
              <w:t>KMIR-TV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93589A" w14:textId="77777777">
            <w:pPr>
              <w:rPr>
                <w:rFonts w:cs="Calibri"/>
              </w:rPr>
            </w:pPr>
            <w:r w:rsidRPr="007D15C3">
              <w:rPr>
                <w:rFonts w:cs="Calibri"/>
              </w:rPr>
              <w:t xml:space="preserve">          2,760,914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BADEBE" w14:textId="77777777">
            <w:pPr>
              <w:rPr>
                <w:rFonts w:cs="Calibri"/>
              </w:rPr>
            </w:pPr>
            <w:r w:rsidRPr="007D15C3">
              <w:rPr>
                <w:rFonts w:cs="Calibri"/>
              </w:rPr>
              <w:t xml:space="preserve">               730,764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FFEDDA" w14:textId="77777777">
            <w:pPr>
              <w:jc w:val="right"/>
              <w:rPr>
                <w:rFonts w:cs="Calibri"/>
              </w:rPr>
            </w:pPr>
            <w:r w:rsidRPr="007D15C3">
              <w:rPr>
                <w:rFonts w:cs="Calibri"/>
              </w:rPr>
              <w:t>$5,727</w:t>
            </w:r>
          </w:p>
        </w:tc>
      </w:tr>
      <w:tr w14:paraId="31642F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FE4D78" w14:textId="77777777">
            <w:pPr>
              <w:jc w:val="center"/>
              <w:rPr>
                <w:rFonts w:cs="Calibri"/>
              </w:rPr>
            </w:pPr>
            <w:r w:rsidRPr="007D15C3">
              <w:rPr>
                <w:rFonts w:cs="Calibri"/>
              </w:rPr>
              <w:t>63164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EEC91C" w14:textId="77777777">
            <w:pPr>
              <w:jc w:val="center"/>
              <w:rPr>
                <w:rFonts w:cs="Calibri"/>
              </w:rPr>
            </w:pPr>
            <w:r w:rsidRPr="007D15C3">
              <w:rPr>
                <w:rFonts w:cs="Calibri"/>
              </w:rPr>
              <w:t>KMIZ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A6332F" w14:textId="77777777">
            <w:pPr>
              <w:rPr>
                <w:rFonts w:cs="Calibri"/>
              </w:rPr>
            </w:pPr>
            <w:r w:rsidRPr="007D15C3">
              <w:rPr>
                <w:rFonts w:cs="Calibri"/>
              </w:rPr>
              <w:t xml:space="preserve">             550,860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0636DE" w14:textId="77777777">
            <w:pPr>
              <w:rPr>
                <w:rFonts w:cs="Calibri"/>
              </w:rPr>
            </w:pPr>
            <w:r w:rsidRPr="007D15C3">
              <w:rPr>
                <w:rFonts w:cs="Calibri"/>
              </w:rPr>
              <w:t xml:space="preserve">               548,402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739D3F" w14:textId="77777777">
            <w:pPr>
              <w:jc w:val="right"/>
              <w:rPr>
                <w:rFonts w:cs="Calibri"/>
              </w:rPr>
            </w:pPr>
            <w:r w:rsidRPr="007D15C3">
              <w:rPr>
                <w:rFonts w:cs="Calibri"/>
              </w:rPr>
              <w:t>$4,298</w:t>
            </w:r>
          </w:p>
        </w:tc>
      </w:tr>
      <w:tr w14:paraId="27DCD9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6C579C" w14:textId="77777777">
            <w:pPr>
              <w:jc w:val="center"/>
              <w:rPr>
                <w:rFonts w:cs="Calibri"/>
              </w:rPr>
            </w:pPr>
            <w:r w:rsidRPr="007D15C3">
              <w:rPr>
                <w:rFonts w:cs="Calibri"/>
              </w:rPr>
              <w:t>53541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69ED7D" w14:textId="77777777">
            <w:pPr>
              <w:jc w:val="center"/>
              <w:rPr>
                <w:rFonts w:cs="Calibri"/>
              </w:rPr>
            </w:pPr>
            <w:r w:rsidRPr="007D15C3">
              <w:rPr>
                <w:rFonts w:cs="Calibri"/>
              </w:rPr>
              <w:t>KMLM-DT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C8AAF4" w14:textId="77777777">
            <w:pPr>
              <w:rPr>
                <w:rFonts w:cs="Calibri"/>
              </w:rPr>
            </w:pPr>
            <w:r w:rsidRPr="007D15C3">
              <w:rPr>
                <w:rFonts w:cs="Calibri"/>
              </w:rPr>
              <w:t xml:space="preserve">             293,290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53249C" w14:textId="77777777">
            <w:pPr>
              <w:rPr>
                <w:rFonts w:cs="Calibri"/>
              </w:rPr>
            </w:pPr>
            <w:r w:rsidRPr="007D15C3">
              <w:rPr>
                <w:rFonts w:cs="Calibri"/>
              </w:rPr>
              <w:t xml:space="preserve">               293,290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B069EF" w14:textId="77777777">
            <w:pPr>
              <w:jc w:val="right"/>
              <w:rPr>
                <w:rFonts w:cs="Calibri"/>
              </w:rPr>
            </w:pPr>
            <w:r w:rsidRPr="007D15C3">
              <w:rPr>
                <w:rFonts w:cs="Calibri"/>
              </w:rPr>
              <w:t>$2,299</w:t>
            </w:r>
          </w:p>
        </w:tc>
      </w:tr>
      <w:tr w14:paraId="20D0AEE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A14CB6" w14:textId="77777777">
            <w:pPr>
              <w:jc w:val="center"/>
              <w:rPr>
                <w:rFonts w:cs="Calibri"/>
              </w:rPr>
            </w:pPr>
            <w:r w:rsidRPr="007D15C3">
              <w:rPr>
                <w:rFonts w:cs="Calibri"/>
              </w:rPr>
              <w:t>52046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08C65E" w14:textId="77777777">
            <w:pPr>
              <w:jc w:val="center"/>
              <w:rPr>
                <w:rFonts w:cs="Calibri"/>
              </w:rPr>
            </w:pPr>
            <w:r w:rsidRPr="007D15C3">
              <w:rPr>
                <w:rFonts w:cs="Calibri"/>
              </w:rPr>
              <w:t>KMLU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AF05B4" w14:textId="77777777">
            <w:pPr>
              <w:rPr>
                <w:rFonts w:cs="Calibri"/>
              </w:rPr>
            </w:pPr>
            <w:r w:rsidRPr="007D15C3">
              <w:rPr>
                <w:rFonts w:cs="Calibri"/>
              </w:rPr>
              <w:t xml:space="preserve">             711,951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7A801D" w14:textId="77777777">
            <w:pPr>
              <w:rPr>
                <w:rFonts w:cs="Calibri"/>
              </w:rPr>
            </w:pPr>
            <w:r w:rsidRPr="007D15C3">
              <w:rPr>
                <w:rFonts w:cs="Calibri"/>
              </w:rPr>
              <w:t xml:space="preserve">               708,107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91BB70" w14:textId="77777777">
            <w:pPr>
              <w:jc w:val="right"/>
              <w:rPr>
                <w:rFonts w:cs="Calibri"/>
              </w:rPr>
            </w:pPr>
            <w:r w:rsidRPr="007D15C3">
              <w:rPr>
                <w:rFonts w:cs="Calibri"/>
              </w:rPr>
              <w:t>$5,549</w:t>
            </w:r>
          </w:p>
        </w:tc>
      </w:tr>
      <w:tr w14:paraId="64F6EC1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D28719" w14:textId="77777777">
            <w:pPr>
              <w:jc w:val="center"/>
              <w:rPr>
                <w:rFonts w:cs="Calibri"/>
              </w:rPr>
            </w:pPr>
            <w:r w:rsidRPr="007D15C3">
              <w:rPr>
                <w:rFonts w:cs="Calibri"/>
              </w:rPr>
              <w:t>47981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957FE2" w14:textId="77777777">
            <w:pPr>
              <w:jc w:val="center"/>
              <w:rPr>
                <w:rFonts w:cs="Calibri"/>
              </w:rPr>
            </w:pPr>
            <w:r w:rsidRPr="007D15C3">
              <w:rPr>
                <w:rFonts w:cs="Calibri"/>
              </w:rPr>
              <w:t>KMNE-TV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57C49D" w14:textId="77777777">
            <w:pPr>
              <w:rPr>
                <w:rFonts w:cs="Calibri"/>
              </w:rPr>
            </w:pPr>
            <w:r w:rsidRPr="007D15C3">
              <w:rPr>
                <w:rFonts w:cs="Calibri"/>
              </w:rPr>
              <w:t xml:space="preserve">               47,232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1E9344" w14:textId="77777777">
            <w:pPr>
              <w:rPr>
                <w:rFonts w:cs="Calibri"/>
              </w:rPr>
            </w:pPr>
            <w:r w:rsidRPr="007D15C3">
              <w:rPr>
                <w:rFonts w:cs="Calibri"/>
              </w:rPr>
              <w:t xml:space="preserve">                 44,189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0459D3" w14:textId="77777777">
            <w:pPr>
              <w:jc w:val="right"/>
              <w:rPr>
                <w:rFonts w:cs="Calibri"/>
              </w:rPr>
            </w:pPr>
            <w:r w:rsidRPr="007D15C3">
              <w:rPr>
                <w:rFonts w:cs="Calibri"/>
              </w:rPr>
              <w:t>$346</w:t>
            </w:r>
          </w:p>
        </w:tc>
      </w:tr>
      <w:tr w14:paraId="44293A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CC67A7" w14:textId="77777777">
            <w:pPr>
              <w:jc w:val="center"/>
              <w:rPr>
                <w:rFonts w:cs="Calibri"/>
              </w:rPr>
            </w:pPr>
            <w:r w:rsidRPr="007D15C3">
              <w:rPr>
                <w:rFonts w:cs="Calibri"/>
              </w:rPr>
              <w:t>24753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B15314" w14:textId="77777777">
            <w:pPr>
              <w:jc w:val="center"/>
              <w:rPr>
                <w:rFonts w:cs="Calibri"/>
              </w:rPr>
            </w:pPr>
            <w:r w:rsidRPr="007D15C3">
              <w:rPr>
                <w:rFonts w:cs="Calibri"/>
              </w:rPr>
              <w:t>KMOH-TV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CCDED7" w14:textId="77777777">
            <w:pPr>
              <w:rPr>
                <w:rFonts w:cs="Calibri"/>
              </w:rPr>
            </w:pPr>
            <w:r w:rsidRPr="007D15C3">
              <w:rPr>
                <w:rFonts w:cs="Calibri"/>
              </w:rPr>
              <w:t xml:space="preserve">             199,885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8D96E6" w14:textId="77777777">
            <w:pPr>
              <w:rPr>
                <w:rFonts w:cs="Calibri"/>
              </w:rPr>
            </w:pPr>
            <w:r w:rsidRPr="007D15C3">
              <w:rPr>
                <w:rFonts w:cs="Calibri"/>
              </w:rPr>
              <w:t xml:space="preserve">               184,283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E2E99E" w14:textId="77777777">
            <w:pPr>
              <w:jc w:val="right"/>
              <w:rPr>
                <w:rFonts w:cs="Calibri"/>
              </w:rPr>
            </w:pPr>
            <w:r w:rsidRPr="007D15C3">
              <w:rPr>
                <w:rFonts w:cs="Calibri"/>
              </w:rPr>
              <w:t>$1,444</w:t>
            </w:r>
          </w:p>
        </w:tc>
      </w:tr>
      <w:tr w14:paraId="4FDAD7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A999C6" w14:textId="77777777">
            <w:pPr>
              <w:jc w:val="center"/>
              <w:rPr>
                <w:rFonts w:cs="Calibri"/>
              </w:rPr>
            </w:pPr>
            <w:r w:rsidRPr="007D15C3">
              <w:rPr>
                <w:rFonts w:cs="Calibri"/>
              </w:rPr>
              <w:t>4326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7D416F" w14:textId="77777777">
            <w:pPr>
              <w:jc w:val="center"/>
              <w:rPr>
                <w:rFonts w:cs="Calibri"/>
              </w:rPr>
            </w:pPr>
            <w:r w:rsidRPr="007D15C3">
              <w:rPr>
                <w:rFonts w:cs="Calibri"/>
              </w:rPr>
              <w:t>KMOS-TV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440696" w14:textId="77777777">
            <w:pPr>
              <w:rPr>
                <w:rFonts w:cs="Calibri"/>
              </w:rPr>
            </w:pPr>
            <w:r w:rsidRPr="007D15C3">
              <w:rPr>
                <w:rFonts w:cs="Calibri"/>
              </w:rPr>
              <w:t xml:space="preserve">             804,745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BD5202" w14:textId="77777777">
            <w:pPr>
              <w:rPr>
                <w:rFonts w:cs="Calibri"/>
              </w:rPr>
            </w:pPr>
            <w:r w:rsidRPr="007D15C3">
              <w:rPr>
                <w:rFonts w:cs="Calibri"/>
              </w:rPr>
              <w:t xml:space="preserve">               803,129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FFBBF7" w14:textId="77777777">
            <w:pPr>
              <w:jc w:val="right"/>
              <w:rPr>
                <w:rFonts w:cs="Calibri"/>
              </w:rPr>
            </w:pPr>
            <w:r w:rsidRPr="007D15C3">
              <w:rPr>
                <w:rFonts w:cs="Calibri"/>
              </w:rPr>
              <w:t>$6,294</w:t>
            </w:r>
          </w:p>
        </w:tc>
      </w:tr>
      <w:tr w14:paraId="28AF78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7C1C7B" w14:textId="77777777">
            <w:pPr>
              <w:jc w:val="center"/>
              <w:rPr>
                <w:rFonts w:cs="Calibri"/>
              </w:rPr>
            </w:pPr>
            <w:r w:rsidRPr="007D15C3">
              <w:rPr>
                <w:rFonts w:cs="Calibri"/>
              </w:rPr>
              <w:t>41425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5D4817" w14:textId="77777777">
            <w:pPr>
              <w:jc w:val="center"/>
              <w:rPr>
                <w:rFonts w:cs="Calibri"/>
              </w:rPr>
            </w:pPr>
            <w:r w:rsidRPr="007D15C3">
              <w:rPr>
                <w:rFonts w:cs="Calibri"/>
              </w:rPr>
              <w:t>KMOT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A3770B" w14:textId="77777777">
            <w:pPr>
              <w:rPr>
                <w:rFonts w:cs="Calibri"/>
              </w:rPr>
            </w:pPr>
            <w:r w:rsidRPr="007D15C3">
              <w:rPr>
                <w:rFonts w:cs="Calibri"/>
              </w:rPr>
              <w:t xml:space="preserve">               81,517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1AAEED" w14:textId="77777777">
            <w:pPr>
              <w:rPr>
                <w:rFonts w:cs="Calibri"/>
              </w:rPr>
            </w:pPr>
            <w:r w:rsidRPr="007D15C3">
              <w:rPr>
                <w:rFonts w:cs="Calibri"/>
              </w:rPr>
              <w:t xml:space="preserve">                 79,504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B569F9" w14:textId="77777777">
            <w:pPr>
              <w:jc w:val="right"/>
              <w:rPr>
                <w:rFonts w:cs="Calibri"/>
              </w:rPr>
            </w:pPr>
            <w:r w:rsidRPr="007D15C3">
              <w:rPr>
                <w:rFonts w:cs="Calibri"/>
              </w:rPr>
              <w:t>$623</w:t>
            </w:r>
          </w:p>
        </w:tc>
      </w:tr>
      <w:tr w14:paraId="5AE08B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A641B0" w14:textId="77777777">
            <w:pPr>
              <w:jc w:val="center"/>
              <w:rPr>
                <w:rFonts w:cs="Calibri"/>
              </w:rPr>
            </w:pPr>
            <w:r w:rsidRPr="007D15C3">
              <w:rPr>
                <w:rFonts w:cs="Calibri"/>
              </w:rPr>
              <w:t>70034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32ED7A" w14:textId="77777777">
            <w:pPr>
              <w:jc w:val="center"/>
              <w:rPr>
                <w:rFonts w:cs="Calibri"/>
              </w:rPr>
            </w:pPr>
            <w:r w:rsidRPr="007D15C3">
              <w:rPr>
                <w:rFonts w:cs="Calibri"/>
              </w:rPr>
              <w:t>KMOV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CD5AED" w14:textId="77777777">
            <w:pPr>
              <w:rPr>
                <w:rFonts w:cs="Calibri"/>
              </w:rPr>
            </w:pPr>
            <w:r w:rsidRPr="007D15C3">
              <w:rPr>
                <w:rFonts w:cs="Calibri"/>
              </w:rPr>
              <w:t xml:space="preserve">          3,035,077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262ECF" w14:textId="77777777">
            <w:pPr>
              <w:rPr>
                <w:rFonts w:cs="Calibri"/>
              </w:rPr>
            </w:pPr>
            <w:r w:rsidRPr="007D15C3">
              <w:rPr>
                <w:rFonts w:cs="Calibri"/>
              </w:rPr>
              <w:t xml:space="preserve">            3,029,405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DE86A8" w14:textId="77777777">
            <w:pPr>
              <w:jc w:val="right"/>
              <w:rPr>
                <w:rFonts w:cs="Calibri"/>
              </w:rPr>
            </w:pPr>
            <w:r w:rsidRPr="007D15C3">
              <w:rPr>
                <w:rFonts w:cs="Calibri"/>
              </w:rPr>
              <w:t>$23,741</w:t>
            </w:r>
          </w:p>
        </w:tc>
      </w:tr>
      <w:tr w14:paraId="6CB535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4688B7" w14:textId="77777777">
            <w:pPr>
              <w:jc w:val="center"/>
              <w:rPr>
                <w:rFonts w:cs="Calibri"/>
              </w:rPr>
            </w:pPr>
            <w:r w:rsidRPr="007D15C3">
              <w:rPr>
                <w:rFonts w:cs="Calibri"/>
              </w:rPr>
              <w:t>51488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F7CDDD" w14:textId="77777777">
            <w:pPr>
              <w:jc w:val="center"/>
              <w:rPr>
                <w:rFonts w:cs="Calibri"/>
              </w:rPr>
            </w:pPr>
            <w:r w:rsidRPr="007D15C3">
              <w:rPr>
                <w:rFonts w:cs="Calibri"/>
              </w:rPr>
              <w:t>KMPH-TV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A17B05" w14:textId="77777777">
            <w:pPr>
              <w:rPr>
                <w:rFonts w:cs="Calibri"/>
              </w:rPr>
            </w:pPr>
            <w:r w:rsidRPr="007D15C3">
              <w:rPr>
                <w:rFonts w:cs="Calibri"/>
              </w:rPr>
              <w:t xml:space="preserve">          1,725,397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F9194D" w14:textId="77777777">
            <w:pPr>
              <w:rPr>
                <w:rFonts w:cs="Calibri"/>
              </w:rPr>
            </w:pPr>
            <w:r w:rsidRPr="007D15C3">
              <w:rPr>
                <w:rFonts w:cs="Calibri"/>
              </w:rPr>
              <w:t xml:space="preserve">            1,697,871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4C7871" w14:textId="77777777">
            <w:pPr>
              <w:jc w:val="right"/>
              <w:rPr>
                <w:rFonts w:cs="Calibri"/>
              </w:rPr>
            </w:pPr>
            <w:r w:rsidRPr="007D15C3">
              <w:rPr>
                <w:rFonts w:cs="Calibri"/>
              </w:rPr>
              <w:t>$13,306</w:t>
            </w:r>
          </w:p>
        </w:tc>
      </w:tr>
      <w:tr w14:paraId="397C36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E0E6BB" w14:textId="77777777">
            <w:pPr>
              <w:jc w:val="center"/>
              <w:rPr>
                <w:rFonts w:cs="Calibri"/>
              </w:rPr>
            </w:pPr>
            <w:r w:rsidRPr="007D15C3">
              <w:rPr>
                <w:rFonts w:cs="Calibri"/>
              </w:rPr>
              <w:t>73701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0086A7" w14:textId="77777777">
            <w:pPr>
              <w:jc w:val="center"/>
              <w:rPr>
                <w:rFonts w:cs="Calibri"/>
              </w:rPr>
            </w:pPr>
            <w:r w:rsidRPr="007D15C3">
              <w:rPr>
                <w:rFonts w:cs="Calibri"/>
              </w:rPr>
              <w:t>KMPX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3A6BBD" w14:textId="77777777">
            <w:pPr>
              <w:rPr>
                <w:rFonts w:cs="Calibri"/>
              </w:rPr>
            </w:pPr>
            <w:r w:rsidRPr="007D15C3">
              <w:rPr>
                <w:rFonts w:cs="Calibri"/>
              </w:rPr>
              <w:t xml:space="preserve">          6,678,829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441EE7" w14:textId="77777777">
            <w:pPr>
              <w:rPr>
                <w:rFonts w:cs="Calibri"/>
              </w:rPr>
            </w:pPr>
            <w:r w:rsidRPr="007D15C3">
              <w:rPr>
                <w:rFonts w:cs="Calibri"/>
              </w:rPr>
              <w:t xml:space="preserve">            6,674,706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627DAE" w14:textId="77777777">
            <w:pPr>
              <w:jc w:val="right"/>
              <w:rPr>
                <w:rFonts w:cs="Calibri"/>
              </w:rPr>
            </w:pPr>
            <w:r w:rsidRPr="007D15C3">
              <w:rPr>
                <w:rFonts w:cs="Calibri"/>
              </w:rPr>
              <w:t>$52,310</w:t>
            </w:r>
          </w:p>
        </w:tc>
      </w:tr>
      <w:tr w14:paraId="12678DE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35797C" w14:textId="77777777">
            <w:pPr>
              <w:jc w:val="center"/>
              <w:rPr>
                <w:rFonts w:cs="Calibri"/>
              </w:rPr>
            </w:pPr>
            <w:r w:rsidRPr="007D15C3">
              <w:rPr>
                <w:rFonts w:cs="Calibri"/>
              </w:rPr>
              <w:t>44052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8280A9" w14:textId="77777777">
            <w:pPr>
              <w:jc w:val="center"/>
              <w:rPr>
                <w:rFonts w:cs="Calibri"/>
              </w:rPr>
            </w:pPr>
            <w:r w:rsidRPr="007D15C3">
              <w:rPr>
                <w:rFonts w:cs="Calibri"/>
              </w:rPr>
              <w:t>KMSB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8E9B8D" w14:textId="77777777">
            <w:pPr>
              <w:rPr>
                <w:rFonts w:cs="Calibri"/>
              </w:rPr>
            </w:pPr>
            <w:r w:rsidRPr="007D15C3">
              <w:rPr>
                <w:rFonts w:cs="Calibri"/>
              </w:rPr>
              <w:t xml:space="preserve">          1,321,614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F246FE" w14:textId="77777777">
            <w:pPr>
              <w:rPr>
                <w:rFonts w:cs="Calibri"/>
              </w:rPr>
            </w:pPr>
            <w:r w:rsidRPr="007D15C3">
              <w:rPr>
                <w:rFonts w:cs="Calibri"/>
              </w:rPr>
              <w:t xml:space="preserve">            1,039,442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9A3ECA" w14:textId="77777777">
            <w:pPr>
              <w:jc w:val="right"/>
              <w:rPr>
                <w:rFonts w:cs="Calibri"/>
              </w:rPr>
            </w:pPr>
            <w:r w:rsidRPr="007D15C3">
              <w:rPr>
                <w:rFonts w:cs="Calibri"/>
              </w:rPr>
              <w:t>$8,146</w:t>
            </w:r>
          </w:p>
        </w:tc>
      </w:tr>
      <w:tr w14:paraId="6A980AC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BC559A" w14:textId="77777777">
            <w:pPr>
              <w:jc w:val="center"/>
              <w:rPr>
                <w:rFonts w:cs="Calibri"/>
              </w:rPr>
            </w:pPr>
            <w:r w:rsidRPr="007D15C3">
              <w:rPr>
                <w:rFonts w:cs="Calibri"/>
              </w:rPr>
              <w:t>68883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2CB7A2" w14:textId="77777777">
            <w:pPr>
              <w:jc w:val="center"/>
              <w:rPr>
                <w:rFonts w:cs="Calibri"/>
              </w:rPr>
            </w:pPr>
            <w:r w:rsidRPr="007D15C3">
              <w:rPr>
                <w:rFonts w:cs="Calibri"/>
              </w:rPr>
              <w:t>KMSP-TV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8D8EA8" w14:textId="77777777">
            <w:pPr>
              <w:rPr>
                <w:rFonts w:cs="Calibri"/>
              </w:rPr>
            </w:pPr>
            <w:r w:rsidRPr="007D15C3">
              <w:rPr>
                <w:rFonts w:cs="Calibri"/>
              </w:rPr>
              <w:t xml:space="preserve">          3,832,040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A67D79" w14:textId="77777777">
            <w:pPr>
              <w:rPr>
                <w:rFonts w:cs="Calibri"/>
              </w:rPr>
            </w:pPr>
            <w:r w:rsidRPr="007D15C3">
              <w:rPr>
                <w:rFonts w:cs="Calibri"/>
              </w:rPr>
              <w:t xml:space="preserve">            3,805,141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287EDF" w14:textId="77777777">
            <w:pPr>
              <w:jc w:val="right"/>
              <w:rPr>
                <w:rFonts w:cs="Calibri"/>
              </w:rPr>
            </w:pPr>
            <w:r w:rsidRPr="007D15C3">
              <w:rPr>
                <w:rFonts w:cs="Calibri"/>
              </w:rPr>
              <w:t>$29,821</w:t>
            </w:r>
          </w:p>
        </w:tc>
      </w:tr>
      <w:tr w14:paraId="7DAA77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E23EFF" w14:textId="77777777">
            <w:pPr>
              <w:jc w:val="center"/>
              <w:rPr>
                <w:rFonts w:cs="Calibri"/>
              </w:rPr>
            </w:pPr>
            <w:r w:rsidRPr="007D15C3">
              <w:rPr>
                <w:rFonts w:cs="Calibri"/>
              </w:rPr>
              <w:t>12525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979A26" w14:textId="77777777">
            <w:pPr>
              <w:jc w:val="center"/>
              <w:rPr>
                <w:rFonts w:cs="Calibri"/>
              </w:rPr>
            </w:pPr>
            <w:r w:rsidRPr="007D15C3">
              <w:rPr>
                <w:rFonts w:cs="Calibri"/>
              </w:rPr>
              <w:t>KMSS-TV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0171A7" w14:textId="77777777">
            <w:pPr>
              <w:rPr>
                <w:rFonts w:cs="Calibri"/>
              </w:rPr>
            </w:pPr>
            <w:r w:rsidRPr="007D15C3">
              <w:rPr>
                <w:rFonts w:cs="Calibri"/>
              </w:rPr>
              <w:t xml:space="preserve">          1,068,120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72094F" w14:textId="77777777">
            <w:pPr>
              <w:rPr>
                <w:rFonts w:cs="Calibri"/>
              </w:rPr>
            </w:pPr>
            <w:r w:rsidRPr="007D15C3">
              <w:rPr>
                <w:rFonts w:cs="Calibri"/>
              </w:rPr>
              <w:t xml:space="preserve">            1,066,388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DBD5EC" w14:textId="77777777">
            <w:pPr>
              <w:jc w:val="right"/>
              <w:rPr>
                <w:rFonts w:cs="Calibri"/>
              </w:rPr>
            </w:pPr>
            <w:r w:rsidRPr="007D15C3">
              <w:rPr>
                <w:rFonts w:cs="Calibri"/>
              </w:rPr>
              <w:t>$8,357</w:t>
            </w:r>
          </w:p>
        </w:tc>
      </w:tr>
      <w:tr w14:paraId="7F8AC8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B2AA5E" w14:textId="77777777">
            <w:pPr>
              <w:jc w:val="center"/>
              <w:rPr>
                <w:rFonts w:cs="Calibri"/>
              </w:rPr>
            </w:pPr>
            <w:r w:rsidRPr="007D15C3">
              <w:rPr>
                <w:rFonts w:cs="Calibri"/>
              </w:rPr>
              <w:t>43095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3EA1CD" w14:textId="77777777">
            <w:pPr>
              <w:jc w:val="center"/>
              <w:rPr>
                <w:rFonts w:cs="Calibri"/>
              </w:rPr>
            </w:pPr>
            <w:r w:rsidRPr="007D15C3">
              <w:rPr>
                <w:rFonts w:cs="Calibri"/>
              </w:rPr>
              <w:t>KMTP-TV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D22485" w14:textId="77777777">
            <w:pPr>
              <w:rPr>
                <w:rFonts w:cs="Calibri"/>
              </w:rPr>
            </w:pPr>
            <w:r w:rsidRPr="007D15C3">
              <w:rPr>
                <w:rFonts w:cs="Calibri"/>
              </w:rPr>
              <w:t xml:space="preserve">          5,097,701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CFBD22" w14:textId="77777777">
            <w:pPr>
              <w:rPr>
                <w:rFonts w:cs="Calibri"/>
              </w:rPr>
            </w:pPr>
            <w:r w:rsidRPr="007D15C3">
              <w:rPr>
                <w:rFonts w:cs="Calibri"/>
              </w:rPr>
              <w:t xml:space="preserve">            4,378,276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97B1BF" w14:textId="77777777">
            <w:pPr>
              <w:jc w:val="right"/>
              <w:rPr>
                <w:rFonts w:cs="Calibri"/>
              </w:rPr>
            </w:pPr>
            <w:r w:rsidRPr="007D15C3">
              <w:rPr>
                <w:rFonts w:cs="Calibri"/>
              </w:rPr>
              <w:t>$34,313</w:t>
            </w:r>
          </w:p>
        </w:tc>
      </w:tr>
      <w:tr w14:paraId="056B37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3F6C9B" w14:textId="77777777">
            <w:pPr>
              <w:jc w:val="center"/>
              <w:rPr>
                <w:rFonts w:cs="Calibri"/>
              </w:rPr>
            </w:pPr>
            <w:r w:rsidRPr="007D15C3">
              <w:rPr>
                <w:rFonts w:cs="Calibri"/>
              </w:rPr>
              <w:t>35189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363F10" w14:textId="77777777">
            <w:pPr>
              <w:jc w:val="center"/>
              <w:rPr>
                <w:rFonts w:cs="Calibri"/>
              </w:rPr>
            </w:pPr>
            <w:r w:rsidRPr="007D15C3">
              <w:rPr>
                <w:rFonts w:cs="Calibri"/>
              </w:rPr>
              <w:t>KMTR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1E30F7" w14:textId="77777777">
            <w:pPr>
              <w:rPr>
                <w:rFonts w:cs="Calibri"/>
              </w:rPr>
            </w:pPr>
            <w:r w:rsidRPr="007D15C3">
              <w:rPr>
                <w:rFonts w:cs="Calibri"/>
              </w:rPr>
              <w:t xml:space="preserve">             589,948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4939A4" w14:textId="77777777">
            <w:pPr>
              <w:rPr>
                <w:rFonts w:cs="Calibri"/>
              </w:rPr>
            </w:pPr>
            <w:r w:rsidRPr="007D15C3">
              <w:rPr>
                <w:rFonts w:cs="Calibri"/>
              </w:rPr>
              <w:t xml:space="preserve">               520,666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350E1C" w14:textId="77777777">
            <w:pPr>
              <w:jc w:val="right"/>
              <w:rPr>
                <w:rFonts w:cs="Calibri"/>
              </w:rPr>
            </w:pPr>
            <w:r w:rsidRPr="007D15C3">
              <w:rPr>
                <w:rFonts w:cs="Calibri"/>
              </w:rPr>
              <w:t>$4,080</w:t>
            </w:r>
          </w:p>
        </w:tc>
      </w:tr>
      <w:tr w14:paraId="491F473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407983" w14:textId="77777777">
            <w:pPr>
              <w:jc w:val="center"/>
              <w:rPr>
                <w:rFonts w:cs="Calibri"/>
              </w:rPr>
            </w:pPr>
            <w:r w:rsidRPr="007D15C3">
              <w:rPr>
                <w:rFonts w:cs="Calibri"/>
              </w:rPr>
              <w:t>35190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D8298BE" w14:textId="77777777">
            <w:pPr>
              <w:jc w:val="center"/>
              <w:rPr>
                <w:rFonts w:cs="Calibri"/>
              </w:rPr>
            </w:pPr>
            <w:r w:rsidRPr="007D15C3">
              <w:rPr>
                <w:rFonts w:cs="Calibri"/>
              </w:rPr>
              <w:t>KMTV-TV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2A7822" w14:textId="77777777">
            <w:pPr>
              <w:rPr>
                <w:rFonts w:cs="Calibri"/>
              </w:rPr>
            </w:pPr>
            <w:r w:rsidRPr="007D15C3">
              <w:rPr>
                <w:rFonts w:cs="Calibri"/>
              </w:rPr>
              <w:t xml:space="preserve">          1,346,549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F724A" w14:textId="77777777">
            <w:pPr>
              <w:rPr>
                <w:rFonts w:cs="Calibri"/>
              </w:rPr>
            </w:pPr>
            <w:r w:rsidRPr="007D15C3">
              <w:rPr>
                <w:rFonts w:cs="Calibri"/>
              </w:rPr>
              <w:t xml:space="preserve">            1,344,796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E054BA" w14:textId="77777777">
            <w:pPr>
              <w:jc w:val="right"/>
              <w:rPr>
                <w:rFonts w:cs="Calibri"/>
              </w:rPr>
            </w:pPr>
            <w:r w:rsidRPr="007D15C3">
              <w:rPr>
                <w:rFonts w:cs="Calibri"/>
              </w:rPr>
              <w:t>$10,539</w:t>
            </w:r>
          </w:p>
        </w:tc>
      </w:tr>
      <w:tr w14:paraId="40F0AB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FC45E0" w14:textId="77777777">
            <w:pPr>
              <w:jc w:val="center"/>
              <w:rPr>
                <w:rFonts w:cs="Calibri"/>
              </w:rPr>
            </w:pPr>
            <w:r w:rsidRPr="007D15C3">
              <w:rPr>
                <w:rFonts w:cs="Calibri"/>
              </w:rPr>
              <w:t>77063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1178FF" w14:textId="77777777">
            <w:pPr>
              <w:jc w:val="center"/>
              <w:rPr>
                <w:rFonts w:cs="Calibri"/>
              </w:rPr>
            </w:pPr>
            <w:r w:rsidRPr="007D15C3">
              <w:rPr>
                <w:rFonts w:cs="Calibri"/>
              </w:rPr>
              <w:t>KMTW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5B8136" w14:textId="77777777">
            <w:pPr>
              <w:rPr>
                <w:rFonts w:cs="Calibri"/>
              </w:rPr>
            </w:pPr>
            <w:r w:rsidRPr="007D15C3">
              <w:rPr>
                <w:rFonts w:cs="Calibri"/>
              </w:rPr>
              <w:t xml:space="preserve">             761,521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78E5C3" w14:textId="77777777">
            <w:pPr>
              <w:rPr>
                <w:rFonts w:cs="Calibri"/>
              </w:rPr>
            </w:pPr>
            <w:r w:rsidRPr="007D15C3">
              <w:rPr>
                <w:rFonts w:cs="Calibri"/>
              </w:rPr>
              <w:t xml:space="preserve">               761,516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1327F4" w14:textId="77777777">
            <w:pPr>
              <w:jc w:val="right"/>
              <w:rPr>
                <w:rFonts w:cs="Calibri"/>
              </w:rPr>
            </w:pPr>
            <w:r w:rsidRPr="007D15C3">
              <w:rPr>
                <w:rFonts w:cs="Calibri"/>
              </w:rPr>
              <w:t>$5,968</w:t>
            </w:r>
          </w:p>
        </w:tc>
      </w:tr>
      <w:tr w14:paraId="16609EB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F93205" w14:textId="77777777">
            <w:pPr>
              <w:jc w:val="center"/>
              <w:rPr>
                <w:rFonts w:cs="Calibri"/>
              </w:rPr>
            </w:pPr>
            <w:r w:rsidRPr="007D15C3">
              <w:rPr>
                <w:rFonts w:cs="Calibri"/>
              </w:rPr>
              <w:t>35200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00EB24" w14:textId="77777777">
            <w:pPr>
              <w:jc w:val="center"/>
              <w:rPr>
                <w:rFonts w:cs="Calibri"/>
              </w:rPr>
            </w:pPr>
            <w:r w:rsidRPr="007D15C3">
              <w:rPr>
                <w:rFonts w:cs="Calibri"/>
              </w:rPr>
              <w:t>KMVT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49B1B4" w14:textId="77777777">
            <w:pPr>
              <w:rPr>
                <w:rFonts w:cs="Calibri"/>
              </w:rPr>
            </w:pPr>
            <w:r w:rsidRPr="007D15C3">
              <w:rPr>
                <w:rFonts w:cs="Calibri"/>
              </w:rPr>
              <w:t xml:space="preserve">             184,647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32EFE7" w14:textId="77777777">
            <w:pPr>
              <w:rPr>
                <w:rFonts w:cs="Calibri"/>
              </w:rPr>
            </w:pPr>
            <w:r w:rsidRPr="007D15C3">
              <w:rPr>
                <w:rFonts w:cs="Calibri"/>
              </w:rPr>
              <w:t xml:space="preserve">               176,351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2A3C85" w14:textId="77777777">
            <w:pPr>
              <w:jc w:val="right"/>
              <w:rPr>
                <w:rFonts w:cs="Calibri"/>
              </w:rPr>
            </w:pPr>
            <w:r w:rsidRPr="007D15C3">
              <w:rPr>
                <w:rFonts w:cs="Calibri"/>
              </w:rPr>
              <w:t>$1,382</w:t>
            </w:r>
          </w:p>
        </w:tc>
      </w:tr>
      <w:tr w14:paraId="76D7D5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B5E1F9" w14:textId="77777777">
            <w:pPr>
              <w:jc w:val="center"/>
              <w:rPr>
                <w:rFonts w:cs="Calibri"/>
              </w:rPr>
            </w:pPr>
            <w:r w:rsidRPr="007D15C3">
              <w:rPr>
                <w:rFonts w:cs="Calibri"/>
              </w:rPr>
              <w:t>32958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AABADD" w14:textId="77777777">
            <w:pPr>
              <w:jc w:val="center"/>
              <w:rPr>
                <w:rFonts w:cs="Calibri"/>
              </w:rPr>
            </w:pPr>
            <w:r w:rsidRPr="007D15C3">
              <w:rPr>
                <w:rFonts w:cs="Calibri"/>
              </w:rPr>
              <w:t>KMVU-DT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CF8CFA" w14:textId="77777777">
            <w:pPr>
              <w:rPr>
                <w:rFonts w:cs="Calibri"/>
              </w:rPr>
            </w:pPr>
            <w:r w:rsidRPr="007D15C3">
              <w:rPr>
                <w:rFonts w:cs="Calibri"/>
              </w:rPr>
              <w:t xml:space="preserve">             308,150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5FFA62" w14:textId="77777777">
            <w:pPr>
              <w:rPr>
                <w:rFonts w:cs="Calibri"/>
              </w:rPr>
            </w:pPr>
            <w:r w:rsidRPr="007D15C3">
              <w:rPr>
                <w:rFonts w:cs="Calibri"/>
              </w:rPr>
              <w:t xml:space="preserve">               231,506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1557D8" w14:textId="77777777">
            <w:pPr>
              <w:jc w:val="right"/>
              <w:rPr>
                <w:rFonts w:cs="Calibri"/>
              </w:rPr>
            </w:pPr>
            <w:r w:rsidRPr="007D15C3">
              <w:rPr>
                <w:rFonts w:cs="Calibri"/>
              </w:rPr>
              <w:t>$1,814</w:t>
            </w:r>
          </w:p>
        </w:tc>
      </w:tr>
      <w:tr w14:paraId="3918F7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36EAD8" w14:textId="77777777">
            <w:pPr>
              <w:jc w:val="center"/>
              <w:rPr>
                <w:rFonts w:cs="Calibri"/>
              </w:rPr>
            </w:pPr>
            <w:r w:rsidRPr="007D15C3">
              <w:rPr>
                <w:rFonts w:cs="Calibri"/>
              </w:rPr>
              <w:t>86534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DC4326" w14:textId="77777777">
            <w:pPr>
              <w:jc w:val="center"/>
              <w:rPr>
                <w:rFonts w:cs="Calibri"/>
              </w:rPr>
            </w:pPr>
            <w:r w:rsidRPr="007D15C3">
              <w:rPr>
                <w:rFonts w:cs="Calibri"/>
              </w:rPr>
              <w:t>KMYA-DT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08EB1D" w14:textId="77777777">
            <w:pPr>
              <w:rPr>
                <w:rFonts w:cs="Calibri"/>
              </w:rPr>
            </w:pPr>
            <w:r w:rsidRPr="007D15C3">
              <w:rPr>
                <w:rFonts w:cs="Calibri"/>
              </w:rPr>
              <w:t xml:space="preserve">             200,764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307700" w14:textId="77777777">
            <w:pPr>
              <w:rPr>
                <w:rFonts w:cs="Calibri"/>
              </w:rPr>
            </w:pPr>
            <w:r w:rsidRPr="007D15C3">
              <w:rPr>
                <w:rFonts w:cs="Calibri"/>
              </w:rPr>
              <w:t xml:space="preserve">               200,719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520F11" w14:textId="77777777">
            <w:pPr>
              <w:jc w:val="right"/>
              <w:rPr>
                <w:rFonts w:cs="Calibri"/>
              </w:rPr>
            </w:pPr>
            <w:r w:rsidRPr="007D15C3">
              <w:rPr>
                <w:rFonts w:cs="Calibri"/>
              </w:rPr>
              <w:t>$1,573</w:t>
            </w:r>
          </w:p>
        </w:tc>
      </w:tr>
      <w:tr w14:paraId="46497BD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E4CB2E" w14:textId="77777777">
            <w:pPr>
              <w:jc w:val="center"/>
              <w:rPr>
                <w:rFonts w:cs="Calibri"/>
              </w:rPr>
            </w:pPr>
            <w:r w:rsidRPr="007D15C3">
              <w:rPr>
                <w:rFonts w:cs="Calibri"/>
              </w:rPr>
              <w:t>51518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535C0F" w14:textId="77777777">
            <w:pPr>
              <w:jc w:val="center"/>
              <w:rPr>
                <w:rFonts w:cs="Calibri"/>
              </w:rPr>
            </w:pPr>
            <w:r w:rsidRPr="007D15C3">
              <w:rPr>
                <w:rFonts w:cs="Calibri"/>
              </w:rPr>
              <w:t>KMYS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FF75B5" w14:textId="77777777">
            <w:pPr>
              <w:rPr>
                <w:rFonts w:cs="Calibri"/>
              </w:rPr>
            </w:pPr>
            <w:r w:rsidRPr="007D15C3">
              <w:rPr>
                <w:rFonts w:cs="Calibri"/>
              </w:rPr>
              <w:t xml:space="preserve">          2,273,888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535474" w14:textId="77777777">
            <w:pPr>
              <w:rPr>
                <w:rFonts w:cs="Calibri"/>
              </w:rPr>
            </w:pPr>
            <w:r w:rsidRPr="007D15C3">
              <w:rPr>
                <w:rFonts w:cs="Calibri"/>
              </w:rPr>
              <w:t xml:space="preserve">            2,267,913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DBCCB7" w14:textId="77777777">
            <w:pPr>
              <w:jc w:val="right"/>
              <w:rPr>
                <w:rFonts w:cs="Calibri"/>
              </w:rPr>
            </w:pPr>
            <w:r w:rsidRPr="007D15C3">
              <w:rPr>
                <w:rFonts w:cs="Calibri"/>
              </w:rPr>
              <w:t>$17,774</w:t>
            </w:r>
          </w:p>
        </w:tc>
      </w:tr>
      <w:tr w14:paraId="081E36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21E95D" w14:textId="77777777">
            <w:pPr>
              <w:jc w:val="center"/>
              <w:rPr>
                <w:rFonts w:cs="Calibri"/>
              </w:rPr>
            </w:pPr>
            <w:r w:rsidRPr="007D15C3">
              <w:rPr>
                <w:rFonts w:cs="Calibri"/>
              </w:rPr>
              <w:t>54420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0255FA" w14:textId="77777777">
            <w:pPr>
              <w:jc w:val="center"/>
              <w:rPr>
                <w:rFonts w:cs="Calibri"/>
              </w:rPr>
            </w:pPr>
            <w:r w:rsidRPr="007D15C3">
              <w:rPr>
                <w:rFonts w:cs="Calibri"/>
              </w:rPr>
              <w:t>KMYT-TV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A90C58" w14:textId="77777777">
            <w:pPr>
              <w:rPr>
                <w:rFonts w:cs="Calibri"/>
              </w:rPr>
            </w:pPr>
            <w:r w:rsidRPr="007D15C3">
              <w:rPr>
                <w:rFonts w:cs="Calibri"/>
              </w:rPr>
              <w:t xml:space="preserve">          1,314,197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4B727A" w14:textId="77777777">
            <w:pPr>
              <w:rPr>
                <w:rFonts w:cs="Calibri"/>
              </w:rPr>
            </w:pPr>
            <w:r w:rsidRPr="007D15C3">
              <w:rPr>
                <w:rFonts w:cs="Calibri"/>
              </w:rPr>
              <w:t xml:space="preserve">            1,302,378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735203" w14:textId="77777777">
            <w:pPr>
              <w:jc w:val="right"/>
              <w:rPr>
                <w:rFonts w:cs="Calibri"/>
              </w:rPr>
            </w:pPr>
            <w:r w:rsidRPr="007D15C3">
              <w:rPr>
                <w:rFonts w:cs="Calibri"/>
              </w:rPr>
              <w:t>$10,207</w:t>
            </w:r>
          </w:p>
        </w:tc>
      </w:tr>
      <w:tr w14:paraId="135955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2DF14D" w14:textId="77777777">
            <w:pPr>
              <w:jc w:val="center"/>
              <w:rPr>
                <w:rFonts w:cs="Calibri"/>
              </w:rPr>
            </w:pPr>
            <w:r w:rsidRPr="007D15C3">
              <w:rPr>
                <w:rFonts w:cs="Calibri"/>
              </w:rPr>
              <w:t>35822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8ECA3A" w14:textId="77777777">
            <w:pPr>
              <w:jc w:val="center"/>
              <w:rPr>
                <w:rFonts w:cs="Calibri"/>
              </w:rPr>
            </w:pPr>
            <w:r w:rsidRPr="007D15C3">
              <w:rPr>
                <w:rFonts w:cs="Calibri"/>
              </w:rPr>
              <w:t>KMYU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F0CFD6" w14:textId="77777777">
            <w:pPr>
              <w:rPr>
                <w:rFonts w:cs="Calibri"/>
              </w:rPr>
            </w:pPr>
            <w:r w:rsidRPr="007D15C3">
              <w:rPr>
                <w:rFonts w:cs="Calibri"/>
              </w:rPr>
              <w:t xml:space="preserve">             133,563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622A80" w14:textId="77777777">
            <w:pPr>
              <w:rPr>
                <w:rFonts w:cs="Calibri"/>
              </w:rPr>
            </w:pPr>
            <w:r w:rsidRPr="007D15C3">
              <w:rPr>
                <w:rFonts w:cs="Calibri"/>
              </w:rPr>
              <w:t xml:space="preserve">               130,198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05173D" w14:textId="77777777">
            <w:pPr>
              <w:jc w:val="right"/>
              <w:rPr>
                <w:rFonts w:cs="Calibri"/>
              </w:rPr>
            </w:pPr>
            <w:r w:rsidRPr="007D15C3">
              <w:rPr>
                <w:rFonts w:cs="Calibri"/>
              </w:rPr>
              <w:t>$1,020</w:t>
            </w:r>
          </w:p>
        </w:tc>
      </w:tr>
      <w:tr w14:paraId="4C0D71FC"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310CC0" w14:textId="77777777">
            <w:pPr>
              <w:jc w:val="center"/>
              <w:rPr>
                <w:rFonts w:cs="Calibri"/>
              </w:rPr>
            </w:pPr>
            <w:r w:rsidRPr="007D15C3">
              <w:rPr>
                <w:rFonts w:cs="Calibri"/>
              </w:rPr>
              <w:t>993</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25C2FD04" w14:textId="77777777">
            <w:pPr>
              <w:jc w:val="center"/>
              <w:rPr>
                <w:rFonts w:cs="Calibri"/>
              </w:rPr>
            </w:pPr>
            <w:r w:rsidRPr="007D15C3">
              <w:rPr>
                <w:rFonts w:cs="Calibri"/>
              </w:rPr>
              <w:t>KNAT-TV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4713F12" w14:textId="77777777">
            <w:pPr>
              <w:rPr>
                <w:rFonts w:cs="Calibri"/>
              </w:rPr>
            </w:pPr>
            <w:r w:rsidRPr="007D15C3">
              <w:rPr>
                <w:rFonts w:cs="Calibri"/>
              </w:rPr>
              <w:t xml:space="preserve">          1,157,630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78D6D5B" w14:textId="77777777">
            <w:pPr>
              <w:rPr>
                <w:rFonts w:cs="Calibri"/>
              </w:rPr>
            </w:pPr>
            <w:r w:rsidRPr="007D15C3">
              <w:rPr>
                <w:rFonts w:cs="Calibri"/>
              </w:rPr>
              <w:t xml:space="preserve">            1,124,619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7A91168" w14:textId="77777777">
            <w:pPr>
              <w:jc w:val="right"/>
              <w:rPr>
                <w:rFonts w:cs="Calibri"/>
              </w:rPr>
            </w:pPr>
            <w:r w:rsidRPr="007D15C3">
              <w:rPr>
                <w:rFonts w:cs="Calibri"/>
              </w:rPr>
              <w:t>$8,814</w:t>
            </w:r>
          </w:p>
        </w:tc>
      </w:tr>
      <w:tr w14:paraId="182AD5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DABB05" w14:textId="77777777">
            <w:pPr>
              <w:jc w:val="center"/>
              <w:rPr>
                <w:rFonts w:cs="Calibri"/>
              </w:rPr>
            </w:pPr>
            <w:r w:rsidRPr="007D15C3">
              <w:rPr>
                <w:rFonts w:cs="Calibri"/>
              </w:rPr>
              <w:t>24749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458CEC" w14:textId="77777777">
            <w:pPr>
              <w:jc w:val="center"/>
              <w:rPr>
                <w:rFonts w:cs="Calibri"/>
              </w:rPr>
            </w:pPr>
            <w:r w:rsidRPr="007D15C3">
              <w:rPr>
                <w:rFonts w:cs="Calibri"/>
              </w:rPr>
              <w:t>KNAZ-TV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3C3F55" w14:textId="77777777">
            <w:pPr>
              <w:rPr>
                <w:rFonts w:cs="Calibri"/>
              </w:rPr>
            </w:pPr>
            <w:r w:rsidRPr="007D15C3">
              <w:rPr>
                <w:rFonts w:cs="Calibri"/>
              </w:rPr>
              <w:t xml:space="preserve">             332,321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5674A0" w14:textId="77777777">
            <w:pPr>
              <w:rPr>
                <w:rFonts w:cs="Calibri"/>
              </w:rPr>
            </w:pPr>
            <w:r w:rsidRPr="007D15C3">
              <w:rPr>
                <w:rFonts w:cs="Calibri"/>
              </w:rPr>
              <w:t xml:space="preserve">               227,658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C4E250" w14:textId="77777777">
            <w:pPr>
              <w:jc w:val="right"/>
              <w:rPr>
                <w:rFonts w:cs="Calibri"/>
              </w:rPr>
            </w:pPr>
            <w:r w:rsidRPr="007D15C3">
              <w:rPr>
                <w:rFonts w:cs="Calibri"/>
              </w:rPr>
              <w:t>$1,784</w:t>
            </w:r>
          </w:p>
        </w:tc>
      </w:tr>
      <w:tr w14:paraId="1C6B86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580E68" w14:textId="77777777">
            <w:pPr>
              <w:jc w:val="center"/>
              <w:rPr>
                <w:rFonts w:cs="Calibri"/>
              </w:rPr>
            </w:pPr>
            <w:r w:rsidRPr="007D15C3">
              <w:rPr>
                <w:rFonts w:cs="Calibri"/>
              </w:rPr>
              <w:t>47906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2D80D3" w14:textId="77777777">
            <w:pPr>
              <w:jc w:val="center"/>
              <w:rPr>
                <w:rFonts w:cs="Calibri"/>
              </w:rPr>
            </w:pPr>
            <w:r w:rsidRPr="007D15C3">
              <w:rPr>
                <w:rFonts w:cs="Calibri"/>
              </w:rPr>
              <w:t>KNBC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B3FEB7" w14:textId="77777777">
            <w:pPr>
              <w:rPr>
                <w:rFonts w:cs="Calibri"/>
              </w:rPr>
            </w:pPr>
            <w:r w:rsidRPr="007D15C3">
              <w:rPr>
                <w:rFonts w:cs="Calibri"/>
              </w:rPr>
              <w:t xml:space="preserve">        17,859,647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3F60B5" w14:textId="77777777">
            <w:pPr>
              <w:rPr>
                <w:rFonts w:cs="Calibri"/>
              </w:rPr>
            </w:pPr>
            <w:r w:rsidRPr="007D15C3">
              <w:rPr>
                <w:rFonts w:cs="Calibri"/>
              </w:rPr>
              <w:t xml:space="preserve">          16,555,232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6E02BA" w14:textId="77777777">
            <w:pPr>
              <w:jc w:val="right"/>
              <w:rPr>
                <w:rFonts w:cs="Calibri"/>
              </w:rPr>
            </w:pPr>
            <w:r w:rsidRPr="007D15C3">
              <w:rPr>
                <w:rFonts w:cs="Calibri"/>
              </w:rPr>
              <w:t>$129,743</w:t>
            </w:r>
          </w:p>
        </w:tc>
      </w:tr>
      <w:tr w14:paraId="62B6C5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22B331" w14:textId="77777777">
            <w:pPr>
              <w:jc w:val="center"/>
              <w:rPr>
                <w:rFonts w:cs="Calibri"/>
              </w:rPr>
            </w:pPr>
            <w:r w:rsidRPr="007D15C3">
              <w:rPr>
                <w:rFonts w:cs="Calibri"/>
              </w:rPr>
              <w:t>81464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413AE4" w14:textId="77777777">
            <w:pPr>
              <w:jc w:val="center"/>
              <w:rPr>
                <w:rFonts w:cs="Calibri"/>
              </w:rPr>
            </w:pPr>
            <w:r w:rsidRPr="007D15C3">
              <w:rPr>
                <w:rFonts w:cs="Calibri"/>
              </w:rPr>
              <w:t>KNBN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7CF95F" w14:textId="77777777">
            <w:pPr>
              <w:rPr>
                <w:rFonts w:cs="Calibri"/>
              </w:rPr>
            </w:pPr>
            <w:r w:rsidRPr="007D15C3">
              <w:rPr>
                <w:rFonts w:cs="Calibri"/>
              </w:rPr>
              <w:t xml:space="preserve">             145,493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77825C" w14:textId="77777777">
            <w:pPr>
              <w:rPr>
                <w:rFonts w:cs="Calibri"/>
              </w:rPr>
            </w:pPr>
            <w:r w:rsidRPr="007D15C3">
              <w:rPr>
                <w:rFonts w:cs="Calibri"/>
              </w:rPr>
              <w:t xml:space="preserve">               136,995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D0DCE3" w14:textId="77777777">
            <w:pPr>
              <w:jc w:val="right"/>
              <w:rPr>
                <w:rFonts w:cs="Calibri"/>
              </w:rPr>
            </w:pPr>
            <w:r w:rsidRPr="007D15C3">
              <w:rPr>
                <w:rFonts w:cs="Calibri"/>
              </w:rPr>
              <w:t>$1,074</w:t>
            </w:r>
          </w:p>
        </w:tc>
      </w:tr>
      <w:tr w14:paraId="478BA0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C9AC07" w14:textId="77777777">
            <w:pPr>
              <w:jc w:val="center"/>
              <w:rPr>
                <w:rFonts w:cs="Calibri"/>
              </w:rPr>
            </w:pPr>
            <w:r w:rsidRPr="007D15C3">
              <w:rPr>
                <w:rFonts w:cs="Calibri"/>
              </w:rPr>
              <w:t>9754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D954E6" w14:textId="77777777">
            <w:pPr>
              <w:jc w:val="center"/>
              <w:rPr>
                <w:rFonts w:cs="Calibri"/>
              </w:rPr>
            </w:pPr>
            <w:r w:rsidRPr="007D15C3">
              <w:rPr>
                <w:rFonts w:cs="Calibri"/>
              </w:rPr>
              <w:t>KNCT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9AB28E" w14:textId="77777777">
            <w:pPr>
              <w:rPr>
                <w:rFonts w:cs="Calibri"/>
              </w:rPr>
            </w:pPr>
            <w:r w:rsidRPr="007D15C3">
              <w:rPr>
                <w:rFonts w:cs="Calibri"/>
              </w:rPr>
              <w:t xml:space="preserve">          2,247,724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C0B17F" w14:textId="77777777">
            <w:pPr>
              <w:rPr>
                <w:rFonts w:cs="Calibri"/>
              </w:rPr>
            </w:pPr>
            <w:r w:rsidRPr="007D15C3">
              <w:rPr>
                <w:rFonts w:cs="Calibri"/>
              </w:rPr>
              <w:t xml:space="preserve">            2,233,513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65304" w14:textId="77777777">
            <w:pPr>
              <w:jc w:val="right"/>
              <w:rPr>
                <w:rFonts w:cs="Calibri"/>
              </w:rPr>
            </w:pPr>
            <w:r w:rsidRPr="007D15C3">
              <w:rPr>
                <w:rFonts w:cs="Calibri"/>
              </w:rPr>
              <w:t>$17,504</w:t>
            </w:r>
          </w:p>
        </w:tc>
      </w:tr>
      <w:tr w14:paraId="794515E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90F692" w14:textId="77777777">
            <w:pPr>
              <w:jc w:val="center"/>
              <w:rPr>
                <w:rFonts w:cs="Calibri"/>
              </w:rPr>
            </w:pPr>
            <w:r w:rsidRPr="007D15C3">
              <w:rPr>
                <w:rFonts w:cs="Calibri"/>
              </w:rPr>
              <w:t>82611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502804" w14:textId="77777777">
            <w:pPr>
              <w:jc w:val="center"/>
              <w:rPr>
                <w:rFonts w:cs="Calibri"/>
              </w:rPr>
            </w:pPr>
            <w:r w:rsidRPr="007D15C3">
              <w:rPr>
                <w:rFonts w:cs="Calibri"/>
              </w:rPr>
              <w:t>KNDB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1BE74A" w14:textId="77777777">
            <w:pPr>
              <w:rPr>
                <w:rFonts w:cs="Calibri"/>
              </w:rPr>
            </w:pPr>
            <w:r w:rsidRPr="007D15C3">
              <w:rPr>
                <w:rFonts w:cs="Calibri"/>
              </w:rPr>
              <w:t xml:space="preserve">             118,154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84C073" w14:textId="77777777">
            <w:pPr>
              <w:rPr>
                <w:rFonts w:cs="Calibri"/>
              </w:rPr>
            </w:pPr>
            <w:r w:rsidRPr="007D15C3">
              <w:rPr>
                <w:rFonts w:cs="Calibri"/>
              </w:rPr>
              <w:t xml:space="preserve">               118,122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D7C8F5" w14:textId="77777777">
            <w:pPr>
              <w:jc w:val="right"/>
              <w:rPr>
                <w:rFonts w:cs="Calibri"/>
              </w:rPr>
            </w:pPr>
            <w:r w:rsidRPr="007D15C3">
              <w:rPr>
                <w:rFonts w:cs="Calibri"/>
              </w:rPr>
              <w:t>$926</w:t>
            </w:r>
          </w:p>
        </w:tc>
      </w:tr>
      <w:tr w14:paraId="5E374D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670467" w14:textId="77777777">
            <w:pPr>
              <w:jc w:val="center"/>
              <w:rPr>
                <w:rFonts w:cs="Calibri"/>
              </w:rPr>
            </w:pPr>
            <w:r w:rsidRPr="007D15C3">
              <w:rPr>
                <w:rFonts w:cs="Calibri"/>
              </w:rPr>
              <w:t>82615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20E56C" w14:textId="77777777">
            <w:pPr>
              <w:jc w:val="center"/>
              <w:rPr>
                <w:rFonts w:cs="Calibri"/>
              </w:rPr>
            </w:pPr>
            <w:r w:rsidRPr="007D15C3">
              <w:rPr>
                <w:rFonts w:cs="Calibri"/>
              </w:rPr>
              <w:t>KNDM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0E1954" w14:textId="77777777">
            <w:pPr>
              <w:rPr>
                <w:rFonts w:cs="Calibri"/>
              </w:rPr>
            </w:pPr>
            <w:r w:rsidRPr="007D15C3">
              <w:rPr>
                <w:rFonts w:cs="Calibri"/>
              </w:rPr>
              <w:t xml:space="preserve">               72,216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EE9517" w14:textId="77777777">
            <w:pPr>
              <w:rPr>
                <w:rFonts w:cs="Calibri"/>
              </w:rPr>
            </w:pPr>
            <w:r w:rsidRPr="007D15C3">
              <w:rPr>
                <w:rFonts w:cs="Calibri"/>
              </w:rPr>
              <w:t xml:space="preserve">                 72,209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DA6A93" w14:textId="77777777">
            <w:pPr>
              <w:jc w:val="right"/>
              <w:rPr>
                <w:rFonts w:cs="Calibri"/>
              </w:rPr>
            </w:pPr>
            <w:r w:rsidRPr="007D15C3">
              <w:rPr>
                <w:rFonts w:cs="Calibri"/>
              </w:rPr>
              <w:t>$566</w:t>
            </w:r>
          </w:p>
        </w:tc>
      </w:tr>
      <w:tr w14:paraId="7368EC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9FB8F6" w14:textId="77777777">
            <w:pPr>
              <w:jc w:val="center"/>
              <w:rPr>
                <w:rFonts w:cs="Calibri"/>
              </w:rPr>
            </w:pPr>
            <w:r w:rsidRPr="007D15C3">
              <w:rPr>
                <w:rFonts w:cs="Calibri"/>
              </w:rPr>
              <w:t>12395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87767B" w14:textId="77777777">
            <w:pPr>
              <w:jc w:val="center"/>
              <w:rPr>
                <w:rFonts w:cs="Calibri"/>
              </w:rPr>
            </w:pPr>
            <w:r w:rsidRPr="007D15C3">
              <w:rPr>
                <w:rFonts w:cs="Calibri"/>
              </w:rPr>
              <w:t>KNDO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D9209A" w14:textId="77777777">
            <w:pPr>
              <w:rPr>
                <w:rFonts w:cs="Calibri"/>
              </w:rPr>
            </w:pPr>
            <w:r w:rsidRPr="007D15C3">
              <w:rPr>
                <w:rFonts w:cs="Calibri"/>
              </w:rPr>
              <w:t xml:space="preserve">             314,875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C49E92" w14:textId="77777777">
            <w:pPr>
              <w:rPr>
                <w:rFonts w:cs="Calibri"/>
              </w:rPr>
            </w:pPr>
            <w:r w:rsidRPr="007D15C3">
              <w:rPr>
                <w:rFonts w:cs="Calibri"/>
              </w:rPr>
              <w:t xml:space="preserve">               270,892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040CB8" w14:textId="77777777">
            <w:pPr>
              <w:jc w:val="right"/>
              <w:rPr>
                <w:rFonts w:cs="Calibri"/>
              </w:rPr>
            </w:pPr>
            <w:r w:rsidRPr="007D15C3">
              <w:rPr>
                <w:rFonts w:cs="Calibri"/>
              </w:rPr>
              <w:t>$2,123</w:t>
            </w:r>
          </w:p>
        </w:tc>
      </w:tr>
      <w:tr w14:paraId="2F739A8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3A35F3" w14:textId="77777777">
            <w:pPr>
              <w:jc w:val="center"/>
              <w:rPr>
                <w:rFonts w:cs="Calibri"/>
              </w:rPr>
            </w:pPr>
            <w:r w:rsidRPr="007D15C3">
              <w:rPr>
                <w:rFonts w:cs="Calibri"/>
              </w:rPr>
              <w:t>12427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346174" w14:textId="77777777">
            <w:pPr>
              <w:jc w:val="center"/>
              <w:rPr>
                <w:rFonts w:cs="Calibri"/>
              </w:rPr>
            </w:pPr>
            <w:r w:rsidRPr="007D15C3">
              <w:rPr>
                <w:rFonts w:cs="Calibri"/>
              </w:rPr>
              <w:t>KNDU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8B5F22" w14:textId="77777777">
            <w:pPr>
              <w:rPr>
                <w:rFonts w:cs="Calibri"/>
              </w:rPr>
            </w:pPr>
            <w:r w:rsidRPr="007D15C3">
              <w:rPr>
                <w:rFonts w:cs="Calibri"/>
              </w:rPr>
              <w:t xml:space="preserve">             475,612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CD537A" w14:textId="77777777">
            <w:pPr>
              <w:rPr>
                <w:rFonts w:cs="Calibri"/>
              </w:rPr>
            </w:pPr>
            <w:r w:rsidRPr="007D15C3">
              <w:rPr>
                <w:rFonts w:cs="Calibri"/>
              </w:rPr>
              <w:t xml:space="preserve">               462,556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0824AC" w14:textId="77777777">
            <w:pPr>
              <w:jc w:val="right"/>
              <w:rPr>
                <w:rFonts w:cs="Calibri"/>
              </w:rPr>
            </w:pPr>
            <w:r w:rsidRPr="007D15C3">
              <w:rPr>
                <w:rFonts w:cs="Calibri"/>
              </w:rPr>
              <w:t>$3,625</w:t>
            </w:r>
          </w:p>
        </w:tc>
      </w:tr>
      <w:tr w14:paraId="163B92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FCD251" w14:textId="77777777">
            <w:pPr>
              <w:jc w:val="center"/>
              <w:rPr>
                <w:rFonts w:cs="Calibri"/>
              </w:rPr>
            </w:pPr>
            <w:r w:rsidRPr="007D15C3">
              <w:rPr>
                <w:rFonts w:cs="Calibri"/>
              </w:rPr>
              <w:t>17683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1D1EA6" w14:textId="77777777">
            <w:pPr>
              <w:jc w:val="center"/>
              <w:rPr>
                <w:rFonts w:cs="Calibri"/>
              </w:rPr>
            </w:pPr>
            <w:r w:rsidRPr="007D15C3">
              <w:rPr>
                <w:rFonts w:cs="Calibri"/>
              </w:rPr>
              <w:t>KNEP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2DD379" w14:textId="77777777">
            <w:pPr>
              <w:rPr>
                <w:rFonts w:cs="Calibri"/>
              </w:rPr>
            </w:pPr>
            <w:r w:rsidRPr="007D15C3">
              <w:rPr>
                <w:rFonts w:cs="Calibri"/>
              </w:rPr>
              <w:t xml:space="preserve">             101,389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16900F" w14:textId="77777777">
            <w:pPr>
              <w:rPr>
                <w:rFonts w:cs="Calibri"/>
              </w:rPr>
            </w:pPr>
            <w:r w:rsidRPr="007D15C3">
              <w:rPr>
                <w:rFonts w:cs="Calibri"/>
              </w:rPr>
              <w:t xml:space="preserve">                 95,890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A19E1D" w14:textId="77777777">
            <w:pPr>
              <w:jc w:val="right"/>
              <w:rPr>
                <w:rFonts w:cs="Calibri"/>
              </w:rPr>
            </w:pPr>
            <w:r w:rsidRPr="007D15C3">
              <w:rPr>
                <w:rFonts w:cs="Calibri"/>
              </w:rPr>
              <w:t>$751</w:t>
            </w:r>
          </w:p>
        </w:tc>
      </w:tr>
      <w:tr w14:paraId="76D6DD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6B76E6" w14:textId="77777777">
            <w:pPr>
              <w:jc w:val="center"/>
              <w:rPr>
                <w:rFonts w:cs="Calibri"/>
              </w:rPr>
            </w:pPr>
            <w:r w:rsidRPr="007D15C3">
              <w:rPr>
                <w:rFonts w:cs="Calibri"/>
              </w:rPr>
              <w:t>48003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BCF8FE" w14:textId="77777777">
            <w:pPr>
              <w:jc w:val="center"/>
              <w:rPr>
                <w:rFonts w:cs="Calibri"/>
              </w:rPr>
            </w:pPr>
            <w:r w:rsidRPr="007D15C3">
              <w:rPr>
                <w:rFonts w:cs="Calibri"/>
              </w:rPr>
              <w:t>KNHL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A92541" w14:textId="77777777">
            <w:pPr>
              <w:rPr>
                <w:rFonts w:cs="Calibri"/>
              </w:rPr>
            </w:pPr>
            <w:r w:rsidRPr="007D15C3">
              <w:rPr>
                <w:rFonts w:cs="Calibri"/>
              </w:rPr>
              <w:t xml:space="preserve">             277,777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07078D" w14:textId="77777777">
            <w:pPr>
              <w:rPr>
                <w:rFonts w:cs="Calibri"/>
              </w:rPr>
            </w:pPr>
            <w:r w:rsidRPr="007D15C3">
              <w:rPr>
                <w:rFonts w:cs="Calibri"/>
              </w:rPr>
              <w:t xml:space="preserve">               277,308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B99D5E" w14:textId="77777777">
            <w:pPr>
              <w:jc w:val="right"/>
              <w:rPr>
                <w:rFonts w:cs="Calibri"/>
              </w:rPr>
            </w:pPr>
            <w:r w:rsidRPr="007D15C3">
              <w:rPr>
                <w:rFonts w:cs="Calibri"/>
              </w:rPr>
              <w:t>$2,173</w:t>
            </w:r>
          </w:p>
        </w:tc>
      </w:tr>
      <w:tr w14:paraId="08003EB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F9032D" w14:textId="77777777">
            <w:pPr>
              <w:jc w:val="center"/>
              <w:rPr>
                <w:rFonts w:cs="Calibri"/>
              </w:rPr>
            </w:pPr>
            <w:r w:rsidRPr="007D15C3">
              <w:rPr>
                <w:rFonts w:cs="Calibri"/>
              </w:rPr>
              <w:t>125710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FB9CE8" w14:textId="77777777">
            <w:pPr>
              <w:jc w:val="center"/>
              <w:rPr>
                <w:rFonts w:cs="Calibri"/>
              </w:rPr>
            </w:pPr>
            <w:r w:rsidRPr="007D15C3">
              <w:rPr>
                <w:rFonts w:cs="Calibri"/>
              </w:rPr>
              <w:t>KNIC-DT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BF35AA" w14:textId="77777777">
            <w:pPr>
              <w:rPr>
                <w:rFonts w:cs="Calibri"/>
              </w:rPr>
            </w:pPr>
            <w:r w:rsidRPr="007D15C3">
              <w:rPr>
                <w:rFonts w:cs="Calibri"/>
              </w:rPr>
              <w:t xml:space="preserve">          2,398,296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7A9C3D" w14:textId="77777777">
            <w:pPr>
              <w:rPr>
                <w:rFonts w:cs="Calibri"/>
              </w:rPr>
            </w:pPr>
            <w:r w:rsidRPr="007D15C3">
              <w:rPr>
                <w:rFonts w:cs="Calibri"/>
              </w:rPr>
              <w:t xml:space="preserve">            2,383,294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C8B624" w14:textId="77777777">
            <w:pPr>
              <w:jc w:val="right"/>
              <w:rPr>
                <w:rFonts w:cs="Calibri"/>
              </w:rPr>
            </w:pPr>
            <w:r w:rsidRPr="007D15C3">
              <w:rPr>
                <w:rFonts w:cs="Calibri"/>
              </w:rPr>
              <w:t>$18,678</w:t>
            </w:r>
          </w:p>
        </w:tc>
      </w:tr>
      <w:tr w14:paraId="07C78D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73092A" w14:textId="77777777">
            <w:pPr>
              <w:jc w:val="center"/>
              <w:rPr>
                <w:rFonts w:cs="Calibri"/>
              </w:rPr>
            </w:pPr>
            <w:r w:rsidRPr="007D15C3">
              <w:rPr>
                <w:rFonts w:cs="Calibri"/>
              </w:rPr>
              <w:t>59363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334E73" w14:textId="77777777">
            <w:pPr>
              <w:jc w:val="center"/>
              <w:rPr>
                <w:rFonts w:cs="Calibri"/>
              </w:rPr>
            </w:pPr>
            <w:r w:rsidRPr="007D15C3">
              <w:rPr>
                <w:rFonts w:cs="Calibri"/>
              </w:rPr>
              <w:t>KNIN-TV*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55627A" w14:textId="77777777">
            <w:pPr>
              <w:rPr>
                <w:rFonts w:cs="Calibri"/>
              </w:rPr>
            </w:pPr>
            <w:r w:rsidRPr="007D15C3">
              <w:rPr>
                <w:rFonts w:cs="Calibri"/>
              </w:rPr>
              <w:t xml:space="preserve">             708,289</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AFADD8" w14:textId="77777777">
            <w:pPr>
              <w:rPr>
                <w:rFonts w:cs="Calibri"/>
              </w:rPr>
            </w:pPr>
            <w:r w:rsidRPr="007D15C3">
              <w:rPr>
                <w:rFonts w:cs="Calibri"/>
              </w:rPr>
              <w:t xml:space="preserve">               703,838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AD3B44" w14:textId="77777777">
            <w:pPr>
              <w:jc w:val="right"/>
              <w:rPr>
                <w:rFonts w:cs="Calibri"/>
              </w:rPr>
            </w:pPr>
            <w:r w:rsidRPr="007D15C3">
              <w:rPr>
                <w:rFonts w:cs="Calibri"/>
              </w:rPr>
              <w:t>$5,516</w:t>
            </w:r>
          </w:p>
        </w:tc>
      </w:tr>
      <w:tr w14:paraId="6B58FF2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79F98C" w14:textId="77777777">
            <w:pPr>
              <w:jc w:val="center"/>
              <w:rPr>
                <w:rFonts w:cs="Calibri"/>
              </w:rPr>
            </w:pPr>
            <w:r w:rsidRPr="007D15C3">
              <w:rPr>
                <w:rFonts w:cs="Calibri"/>
              </w:rPr>
              <w:t>48525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672596" w14:textId="77777777">
            <w:pPr>
              <w:jc w:val="center"/>
              <w:rPr>
                <w:rFonts w:cs="Calibri"/>
              </w:rPr>
            </w:pPr>
            <w:r w:rsidRPr="007D15C3">
              <w:rPr>
                <w:rFonts w:cs="Calibri"/>
              </w:rPr>
              <w:t>KNLC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19A808" w14:textId="77777777">
            <w:pPr>
              <w:rPr>
                <w:rFonts w:cs="Calibri"/>
              </w:rPr>
            </w:pPr>
            <w:r w:rsidRPr="007D15C3">
              <w:rPr>
                <w:rFonts w:cs="Calibri"/>
              </w:rPr>
              <w:t xml:space="preserve">          2,944,530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50321D" w14:textId="77777777">
            <w:pPr>
              <w:rPr>
                <w:rFonts w:cs="Calibri"/>
              </w:rPr>
            </w:pPr>
            <w:r w:rsidRPr="007D15C3">
              <w:rPr>
                <w:rFonts w:cs="Calibri"/>
              </w:rPr>
              <w:t xml:space="preserve">            2,939,956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9F825C" w14:textId="77777777">
            <w:pPr>
              <w:jc w:val="right"/>
              <w:rPr>
                <w:rFonts w:cs="Calibri"/>
              </w:rPr>
            </w:pPr>
            <w:r w:rsidRPr="007D15C3">
              <w:rPr>
                <w:rFonts w:cs="Calibri"/>
              </w:rPr>
              <w:t>$23,040</w:t>
            </w:r>
          </w:p>
        </w:tc>
      </w:tr>
      <w:tr w14:paraId="52C073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406AA1" w14:textId="77777777">
            <w:pPr>
              <w:jc w:val="center"/>
              <w:rPr>
                <w:rFonts w:cs="Calibri"/>
              </w:rPr>
            </w:pPr>
            <w:r w:rsidRPr="007D15C3">
              <w:rPr>
                <w:rFonts w:cs="Calibri"/>
              </w:rPr>
              <w:t>48521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479401" w14:textId="77777777">
            <w:pPr>
              <w:jc w:val="center"/>
              <w:rPr>
                <w:rFonts w:cs="Calibri"/>
              </w:rPr>
            </w:pPr>
            <w:r w:rsidRPr="007D15C3">
              <w:rPr>
                <w:rFonts w:cs="Calibri"/>
              </w:rPr>
              <w:t>KNLJ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05CB53" w14:textId="77777777">
            <w:pPr>
              <w:rPr>
                <w:rFonts w:cs="Calibri"/>
              </w:rPr>
            </w:pPr>
            <w:r w:rsidRPr="007D15C3">
              <w:rPr>
                <w:rFonts w:cs="Calibri"/>
              </w:rPr>
              <w:t xml:space="preserve">             655,000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55E447" w14:textId="77777777">
            <w:pPr>
              <w:rPr>
                <w:rFonts w:cs="Calibri"/>
              </w:rPr>
            </w:pPr>
            <w:r w:rsidRPr="007D15C3">
              <w:rPr>
                <w:rFonts w:cs="Calibri"/>
              </w:rPr>
              <w:t xml:space="preserve">               642,705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234951" w14:textId="77777777">
            <w:pPr>
              <w:jc w:val="right"/>
              <w:rPr>
                <w:rFonts w:cs="Calibri"/>
              </w:rPr>
            </w:pPr>
            <w:r w:rsidRPr="007D15C3">
              <w:rPr>
                <w:rFonts w:cs="Calibri"/>
              </w:rPr>
              <w:t>$5,037</w:t>
            </w:r>
          </w:p>
        </w:tc>
      </w:tr>
      <w:tr w14:paraId="383DC3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2A5535" w14:textId="77777777">
            <w:pPr>
              <w:jc w:val="center"/>
              <w:rPr>
                <w:rFonts w:cs="Calibri"/>
              </w:rPr>
            </w:pPr>
            <w:r w:rsidRPr="007D15C3">
              <w:rPr>
                <w:rFonts w:cs="Calibri"/>
              </w:rPr>
              <w:t>84215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139D42" w14:textId="77777777">
            <w:pPr>
              <w:jc w:val="center"/>
              <w:rPr>
                <w:rFonts w:cs="Calibri"/>
              </w:rPr>
            </w:pPr>
            <w:r w:rsidRPr="007D15C3">
              <w:rPr>
                <w:rFonts w:cs="Calibri"/>
              </w:rPr>
              <w:t>KNMD-TV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84BFFF" w14:textId="77777777">
            <w:pPr>
              <w:rPr>
                <w:rFonts w:cs="Calibri"/>
              </w:rPr>
            </w:pPr>
            <w:r w:rsidRPr="007D15C3">
              <w:rPr>
                <w:rFonts w:cs="Calibri"/>
              </w:rPr>
              <w:t xml:space="preserve">          1,120,286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C67D5D" w14:textId="77777777">
            <w:pPr>
              <w:rPr>
                <w:rFonts w:cs="Calibri"/>
              </w:rPr>
            </w:pPr>
            <w:r w:rsidRPr="007D15C3">
              <w:rPr>
                <w:rFonts w:cs="Calibri"/>
              </w:rPr>
              <w:t xml:space="preserve">            1,100,869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C44FFF" w14:textId="77777777">
            <w:pPr>
              <w:jc w:val="right"/>
              <w:rPr>
                <w:rFonts w:cs="Calibri"/>
              </w:rPr>
            </w:pPr>
            <w:r w:rsidRPr="007D15C3">
              <w:rPr>
                <w:rFonts w:cs="Calibri"/>
              </w:rPr>
              <w:t>$8,628</w:t>
            </w:r>
          </w:p>
        </w:tc>
      </w:tr>
      <w:tr w14:paraId="32C01E6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757183" w14:textId="77777777">
            <w:pPr>
              <w:jc w:val="center"/>
              <w:rPr>
                <w:rFonts w:cs="Calibri"/>
              </w:rPr>
            </w:pPr>
            <w:r w:rsidRPr="007D15C3">
              <w:rPr>
                <w:rFonts w:cs="Calibri"/>
              </w:rPr>
              <w:t>55528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90721A" w14:textId="77777777">
            <w:pPr>
              <w:jc w:val="center"/>
              <w:rPr>
                <w:rFonts w:cs="Calibri"/>
              </w:rPr>
            </w:pPr>
            <w:r w:rsidRPr="007D15C3">
              <w:rPr>
                <w:rFonts w:cs="Calibri"/>
              </w:rPr>
              <w:t>KNME-TV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761C2B" w14:textId="77777777">
            <w:pPr>
              <w:rPr>
                <w:rFonts w:cs="Calibri"/>
              </w:rPr>
            </w:pPr>
            <w:r w:rsidRPr="007D15C3">
              <w:rPr>
                <w:rFonts w:cs="Calibri"/>
              </w:rPr>
              <w:t xml:space="preserve">          1,149,036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239DD2" w14:textId="77777777">
            <w:pPr>
              <w:rPr>
                <w:rFonts w:cs="Calibri"/>
              </w:rPr>
            </w:pPr>
            <w:r w:rsidRPr="007D15C3">
              <w:rPr>
                <w:rFonts w:cs="Calibri"/>
              </w:rPr>
              <w:t xml:space="preserve">            1,103,695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6A7965" w14:textId="77777777">
            <w:pPr>
              <w:jc w:val="right"/>
              <w:rPr>
                <w:rFonts w:cs="Calibri"/>
              </w:rPr>
            </w:pPr>
            <w:r w:rsidRPr="007D15C3">
              <w:rPr>
                <w:rFonts w:cs="Calibri"/>
              </w:rPr>
              <w:t>$8,650</w:t>
            </w:r>
          </w:p>
        </w:tc>
      </w:tr>
      <w:tr w14:paraId="7ED240D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5B92C4" w14:textId="77777777">
            <w:pPr>
              <w:jc w:val="center"/>
              <w:rPr>
                <w:rFonts w:cs="Calibri"/>
              </w:rPr>
            </w:pPr>
            <w:r w:rsidRPr="007D15C3">
              <w:rPr>
                <w:rFonts w:cs="Calibri"/>
              </w:rPr>
              <w:t>47707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1A1CE7" w14:textId="77777777">
            <w:pPr>
              <w:jc w:val="center"/>
              <w:rPr>
                <w:rFonts w:cs="Calibri"/>
              </w:rPr>
            </w:pPr>
            <w:r w:rsidRPr="007D15C3">
              <w:rPr>
                <w:rFonts w:cs="Calibri"/>
              </w:rPr>
              <w:t>KNMT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3B07F" w14:textId="77777777">
            <w:pPr>
              <w:rPr>
                <w:rFonts w:cs="Calibri"/>
              </w:rPr>
            </w:pPr>
            <w:r w:rsidRPr="007D15C3">
              <w:rPr>
                <w:rFonts w:cs="Calibri"/>
              </w:rPr>
              <w:t xml:space="preserve">          2,887,142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26C52B" w14:textId="77777777">
            <w:pPr>
              <w:rPr>
                <w:rFonts w:cs="Calibri"/>
              </w:rPr>
            </w:pPr>
            <w:r w:rsidRPr="007D15C3">
              <w:rPr>
                <w:rFonts w:cs="Calibri"/>
              </w:rPr>
              <w:t xml:space="preserve">            2,794,995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66AB9B" w14:textId="77777777">
            <w:pPr>
              <w:jc w:val="right"/>
              <w:rPr>
                <w:rFonts w:cs="Calibri"/>
              </w:rPr>
            </w:pPr>
            <w:r w:rsidRPr="007D15C3">
              <w:rPr>
                <w:rFonts w:cs="Calibri"/>
              </w:rPr>
              <w:t>$21,904</w:t>
            </w:r>
          </w:p>
        </w:tc>
      </w:tr>
      <w:tr w14:paraId="45E9A0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0F12F5" w14:textId="77777777">
            <w:pPr>
              <w:jc w:val="center"/>
              <w:rPr>
                <w:rFonts w:cs="Calibri"/>
              </w:rPr>
            </w:pPr>
            <w:r w:rsidRPr="007D15C3">
              <w:rPr>
                <w:rFonts w:cs="Calibri"/>
              </w:rPr>
              <w:t>48975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573584" w14:textId="77777777">
            <w:pPr>
              <w:jc w:val="center"/>
              <w:rPr>
                <w:rFonts w:cs="Calibri"/>
              </w:rPr>
            </w:pPr>
            <w:r w:rsidRPr="007D15C3">
              <w:rPr>
                <w:rFonts w:cs="Calibri"/>
              </w:rPr>
              <w:t>KNOE-TV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ACF41A" w14:textId="77777777">
            <w:pPr>
              <w:rPr>
                <w:rFonts w:cs="Calibri"/>
              </w:rPr>
            </w:pPr>
            <w:r w:rsidRPr="007D15C3">
              <w:rPr>
                <w:rFonts w:cs="Calibri"/>
              </w:rPr>
              <w:t xml:space="preserve">             733,097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1D598A" w14:textId="77777777">
            <w:pPr>
              <w:rPr>
                <w:rFonts w:cs="Calibri"/>
              </w:rPr>
            </w:pPr>
            <w:r w:rsidRPr="007D15C3">
              <w:rPr>
                <w:rFonts w:cs="Calibri"/>
              </w:rPr>
              <w:t xml:space="preserve">               729,703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010A01" w14:textId="77777777">
            <w:pPr>
              <w:jc w:val="right"/>
              <w:rPr>
                <w:rFonts w:cs="Calibri"/>
              </w:rPr>
            </w:pPr>
            <w:r w:rsidRPr="007D15C3">
              <w:rPr>
                <w:rFonts w:cs="Calibri"/>
              </w:rPr>
              <w:t>$5,719</w:t>
            </w:r>
          </w:p>
        </w:tc>
      </w:tr>
      <w:tr w14:paraId="7E801B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BB79AB" w14:textId="77777777">
            <w:pPr>
              <w:jc w:val="center"/>
              <w:rPr>
                <w:rFonts w:cs="Calibri"/>
              </w:rPr>
            </w:pPr>
            <w:r w:rsidRPr="007D15C3">
              <w:rPr>
                <w:rFonts w:cs="Calibri"/>
              </w:rPr>
              <w:t>49273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375E53" w14:textId="77777777">
            <w:pPr>
              <w:jc w:val="center"/>
              <w:rPr>
                <w:rFonts w:cs="Calibri"/>
              </w:rPr>
            </w:pPr>
            <w:r w:rsidRPr="007D15C3">
              <w:rPr>
                <w:rFonts w:cs="Calibri"/>
              </w:rPr>
              <w:t>KNOP-TV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2A81C1" w14:textId="77777777">
            <w:pPr>
              <w:rPr>
                <w:rFonts w:cs="Calibri"/>
              </w:rPr>
            </w:pPr>
            <w:r w:rsidRPr="007D15C3">
              <w:rPr>
                <w:rFonts w:cs="Calibri"/>
              </w:rPr>
              <w:t xml:space="preserve">               87,904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C0764B" w14:textId="77777777">
            <w:pPr>
              <w:rPr>
                <w:rFonts w:cs="Calibri"/>
              </w:rPr>
            </w:pPr>
            <w:r w:rsidRPr="007D15C3">
              <w:rPr>
                <w:rFonts w:cs="Calibri"/>
              </w:rPr>
              <w:t xml:space="preserve">                 85,423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870964" w14:textId="77777777">
            <w:pPr>
              <w:jc w:val="right"/>
              <w:rPr>
                <w:rFonts w:cs="Calibri"/>
              </w:rPr>
            </w:pPr>
            <w:r w:rsidRPr="007D15C3">
              <w:rPr>
                <w:rFonts w:cs="Calibri"/>
              </w:rPr>
              <w:t>$669</w:t>
            </w:r>
          </w:p>
        </w:tc>
      </w:tr>
      <w:tr w14:paraId="3CC8F4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B05185" w14:textId="77777777">
            <w:pPr>
              <w:jc w:val="center"/>
              <w:rPr>
                <w:rFonts w:cs="Calibri"/>
              </w:rPr>
            </w:pPr>
            <w:r w:rsidRPr="007D15C3">
              <w:rPr>
                <w:rFonts w:cs="Calibri"/>
              </w:rPr>
              <w:t>10228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341BFA" w14:textId="77777777">
            <w:pPr>
              <w:jc w:val="center"/>
              <w:rPr>
                <w:rFonts w:cs="Calibri"/>
              </w:rPr>
            </w:pPr>
            <w:r w:rsidRPr="007D15C3">
              <w:rPr>
                <w:rFonts w:cs="Calibri"/>
              </w:rPr>
              <w:t>KNPB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223CA8" w14:textId="77777777">
            <w:pPr>
              <w:rPr>
                <w:rFonts w:cs="Calibri"/>
              </w:rPr>
            </w:pPr>
            <w:r w:rsidRPr="007D15C3">
              <w:rPr>
                <w:rFonts w:cs="Calibri"/>
              </w:rPr>
              <w:t xml:space="preserve">             604,614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7DD62B" w14:textId="77777777">
            <w:pPr>
              <w:rPr>
                <w:rFonts w:cs="Calibri"/>
              </w:rPr>
            </w:pPr>
            <w:r w:rsidRPr="007D15C3">
              <w:rPr>
                <w:rFonts w:cs="Calibri"/>
              </w:rPr>
              <w:t xml:space="preserve">               462,732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8E00FF" w14:textId="77777777">
            <w:pPr>
              <w:jc w:val="right"/>
              <w:rPr>
                <w:rFonts w:cs="Calibri"/>
              </w:rPr>
            </w:pPr>
            <w:r w:rsidRPr="007D15C3">
              <w:rPr>
                <w:rFonts w:cs="Calibri"/>
              </w:rPr>
              <w:t>$3,626</w:t>
            </w:r>
          </w:p>
        </w:tc>
      </w:tr>
      <w:tr w14:paraId="039709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4B5AE2" w14:textId="77777777">
            <w:pPr>
              <w:jc w:val="center"/>
              <w:rPr>
                <w:rFonts w:cs="Calibri"/>
              </w:rPr>
            </w:pPr>
            <w:r w:rsidRPr="007D15C3">
              <w:rPr>
                <w:rFonts w:cs="Calibri"/>
              </w:rPr>
              <w:t>55362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EA33FE" w14:textId="77777777">
            <w:pPr>
              <w:jc w:val="center"/>
              <w:rPr>
                <w:rFonts w:cs="Calibri"/>
              </w:rPr>
            </w:pPr>
            <w:r w:rsidRPr="007D15C3">
              <w:rPr>
                <w:rFonts w:cs="Calibri"/>
              </w:rPr>
              <w:t>KNRR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D97157" w14:textId="77777777">
            <w:pPr>
              <w:rPr>
                <w:rFonts w:cs="Calibri"/>
              </w:rPr>
            </w:pPr>
            <w:r w:rsidRPr="007D15C3">
              <w:rPr>
                <w:rFonts w:cs="Calibri"/>
              </w:rPr>
              <w:t xml:space="preserve">               25,957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DDD6D2" w14:textId="77777777">
            <w:pPr>
              <w:rPr>
                <w:rFonts w:cs="Calibri"/>
              </w:rPr>
            </w:pPr>
            <w:r w:rsidRPr="007D15C3">
              <w:rPr>
                <w:rFonts w:cs="Calibri"/>
              </w:rPr>
              <w:t xml:space="preserve">                 25,931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870352" w14:textId="77777777">
            <w:pPr>
              <w:jc w:val="right"/>
              <w:rPr>
                <w:rFonts w:cs="Calibri"/>
              </w:rPr>
            </w:pPr>
            <w:r w:rsidRPr="007D15C3">
              <w:rPr>
                <w:rFonts w:cs="Calibri"/>
              </w:rPr>
              <w:t>$203</w:t>
            </w:r>
          </w:p>
        </w:tc>
      </w:tr>
      <w:tr w14:paraId="2E062D4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5ED87B" w14:textId="77777777">
            <w:pPr>
              <w:jc w:val="center"/>
              <w:rPr>
                <w:rFonts w:cs="Calibri"/>
              </w:rPr>
            </w:pPr>
            <w:r w:rsidRPr="007D15C3">
              <w:rPr>
                <w:rFonts w:cs="Calibri"/>
              </w:rPr>
              <w:t>35277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A3C192" w14:textId="77777777">
            <w:pPr>
              <w:jc w:val="center"/>
              <w:rPr>
                <w:rFonts w:cs="Calibri"/>
              </w:rPr>
            </w:pPr>
            <w:r w:rsidRPr="007D15C3">
              <w:rPr>
                <w:rFonts w:cs="Calibri"/>
              </w:rPr>
              <w:t>KNSD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45E48B" w14:textId="77777777">
            <w:pPr>
              <w:rPr>
                <w:rFonts w:cs="Calibri"/>
              </w:rPr>
            </w:pPr>
            <w:r w:rsidRPr="007D15C3">
              <w:rPr>
                <w:rFonts w:cs="Calibri"/>
              </w:rPr>
              <w:t xml:space="preserve">          3,861,660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5D6E8E" w14:textId="77777777">
            <w:pPr>
              <w:rPr>
                <w:rFonts w:cs="Calibri"/>
              </w:rPr>
            </w:pPr>
            <w:r w:rsidRPr="007D15C3">
              <w:rPr>
                <w:rFonts w:cs="Calibri"/>
              </w:rPr>
              <w:t xml:space="preserve">            3,618,321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67110F" w14:textId="77777777">
            <w:pPr>
              <w:jc w:val="right"/>
              <w:rPr>
                <w:rFonts w:cs="Calibri"/>
              </w:rPr>
            </w:pPr>
            <w:r w:rsidRPr="007D15C3">
              <w:rPr>
                <w:rFonts w:cs="Calibri"/>
              </w:rPr>
              <w:t>$28,357</w:t>
            </w:r>
          </w:p>
        </w:tc>
      </w:tr>
      <w:tr w14:paraId="2AEB51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0341C0" w14:textId="77777777">
            <w:pPr>
              <w:jc w:val="center"/>
              <w:rPr>
                <w:rFonts w:cs="Calibri"/>
              </w:rPr>
            </w:pPr>
            <w:r w:rsidRPr="007D15C3">
              <w:rPr>
                <w:rFonts w:cs="Calibri"/>
              </w:rPr>
              <w:t>19191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FE377F" w14:textId="77777777">
            <w:pPr>
              <w:jc w:val="center"/>
              <w:rPr>
                <w:rFonts w:cs="Calibri"/>
              </w:rPr>
            </w:pPr>
            <w:r w:rsidRPr="007D15C3">
              <w:rPr>
                <w:rFonts w:cs="Calibri"/>
              </w:rPr>
              <w:t>KNSN-TV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A3C752" w14:textId="77777777">
            <w:pPr>
              <w:rPr>
                <w:rFonts w:cs="Calibri"/>
              </w:rPr>
            </w:pPr>
            <w:r w:rsidRPr="007D15C3">
              <w:rPr>
                <w:rFonts w:cs="Calibri"/>
              </w:rPr>
              <w:t xml:space="preserve">             611,981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2279DD" w14:textId="77777777">
            <w:pPr>
              <w:rPr>
                <w:rFonts w:cs="Calibri"/>
              </w:rPr>
            </w:pPr>
            <w:r w:rsidRPr="007D15C3">
              <w:rPr>
                <w:rFonts w:cs="Calibri"/>
              </w:rPr>
              <w:t xml:space="preserve">               459,485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AA14C3" w14:textId="77777777">
            <w:pPr>
              <w:jc w:val="right"/>
              <w:rPr>
                <w:rFonts w:cs="Calibri"/>
              </w:rPr>
            </w:pPr>
            <w:r w:rsidRPr="007D15C3">
              <w:rPr>
                <w:rFonts w:cs="Calibri"/>
              </w:rPr>
              <w:t>$3,601</w:t>
            </w:r>
          </w:p>
        </w:tc>
      </w:tr>
      <w:tr w14:paraId="7E71D55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B12B29" w14:textId="77777777">
            <w:pPr>
              <w:jc w:val="center"/>
              <w:rPr>
                <w:rFonts w:cs="Calibri"/>
              </w:rPr>
            </w:pPr>
            <w:r w:rsidRPr="007D15C3">
              <w:rPr>
                <w:rFonts w:cs="Calibri"/>
              </w:rPr>
              <w:t>58608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D1987D" w14:textId="77777777">
            <w:pPr>
              <w:jc w:val="center"/>
              <w:rPr>
                <w:rFonts w:cs="Calibri"/>
              </w:rPr>
            </w:pPr>
            <w:r w:rsidRPr="007D15C3">
              <w:rPr>
                <w:rFonts w:cs="Calibri"/>
              </w:rPr>
              <w:t>KNSO*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D3D005" w14:textId="77777777">
            <w:pPr>
              <w:rPr>
                <w:rFonts w:cs="Calibri"/>
              </w:rPr>
            </w:pPr>
            <w:r w:rsidRPr="007D15C3">
              <w:rPr>
                <w:rFonts w:cs="Calibri"/>
              </w:rPr>
              <w:t xml:space="preserve">          1,976,317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E03D23" w14:textId="77777777">
            <w:pPr>
              <w:rPr>
                <w:rFonts w:cs="Calibri"/>
              </w:rPr>
            </w:pPr>
            <w:r w:rsidRPr="007D15C3">
              <w:rPr>
                <w:rFonts w:cs="Calibri"/>
              </w:rPr>
              <w:t xml:space="preserve">            1,931,825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964213" w14:textId="77777777">
            <w:pPr>
              <w:jc w:val="right"/>
              <w:rPr>
                <w:rFonts w:cs="Calibri"/>
              </w:rPr>
            </w:pPr>
            <w:r w:rsidRPr="007D15C3">
              <w:rPr>
                <w:rFonts w:cs="Calibri"/>
              </w:rPr>
              <w:t>$15,140</w:t>
            </w:r>
          </w:p>
        </w:tc>
      </w:tr>
      <w:tr w14:paraId="703F84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12C0AC" w14:textId="77777777">
            <w:pPr>
              <w:jc w:val="center"/>
              <w:rPr>
                <w:rFonts w:cs="Calibri"/>
              </w:rPr>
            </w:pPr>
            <w:r w:rsidRPr="007D15C3">
              <w:rPr>
                <w:rFonts w:cs="Calibri"/>
              </w:rPr>
              <w:t>35280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7684BE" w14:textId="77777777">
            <w:pPr>
              <w:jc w:val="center"/>
              <w:rPr>
                <w:rFonts w:cs="Calibri"/>
              </w:rPr>
            </w:pPr>
            <w:r w:rsidRPr="007D15C3">
              <w:rPr>
                <w:rFonts w:cs="Calibri"/>
              </w:rPr>
              <w:t>KNTV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CF230C" w14:textId="77777777">
            <w:pPr>
              <w:rPr>
                <w:rFonts w:cs="Calibri"/>
              </w:rPr>
            </w:pPr>
            <w:r w:rsidRPr="007D15C3">
              <w:rPr>
                <w:rFonts w:cs="Calibri"/>
              </w:rPr>
              <w:t xml:space="preserve">          8,022,662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805BC6" w14:textId="77777777">
            <w:pPr>
              <w:rPr>
                <w:rFonts w:cs="Calibri"/>
              </w:rPr>
            </w:pPr>
            <w:r w:rsidRPr="007D15C3">
              <w:rPr>
                <w:rFonts w:cs="Calibri"/>
              </w:rPr>
              <w:t xml:space="preserve">            7,168,995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4DA1A8" w14:textId="77777777">
            <w:pPr>
              <w:jc w:val="right"/>
              <w:rPr>
                <w:rFonts w:cs="Calibri"/>
              </w:rPr>
            </w:pPr>
            <w:r w:rsidRPr="007D15C3">
              <w:rPr>
                <w:rFonts w:cs="Calibri"/>
              </w:rPr>
              <w:t>$56,183</w:t>
            </w:r>
          </w:p>
        </w:tc>
      </w:tr>
      <w:tr w14:paraId="30E212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DDF1BE" w14:textId="77777777">
            <w:pPr>
              <w:jc w:val="center"/>
              <w:rPr>
                <w:rFonts w:cs="Calibri"/>
              </w:rPr>
            </w:pPr>
            <w:r w:rsidRPr="007D15C3">
              <w:rPr>
                <w:rFonts w:cs="Calibri"/>
              </w:rPr>
              <w:t>144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8FEE67" w14:textId="77777777">
            <w:pPr>
              <w:jc w:val="center"/>
              <w:rPr>
                <w:rFonts w:cs="Calibri"/>
              </w:rPr>
            </w:pPr>
            <w:r w:rsidRPr="007D15C3">
              <w:rPr>
                <w:rFonts w:cs="Calibri"/>
              </w:rPr>
              <w:t>KNVA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B999DD" w14:textId="77777777">
            <w:pPr>
              <w:rPr>
                <w:rFonts w:cs="Calibri"/>
              </w:rPr>
            </w:pPr>
            <w:r w:rsidRPr="007D15C3">
              <w:rPr>
                <w:rFonts w:cs="Calibri"/>
              </w:rPr>
              <w:t xml:space="preserve">          2,550,225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50B92E" w14:textId="77777777">
            <w:pPr>
              <w:rPr>
                <w:rFonts w:cs="Calibri"/>
              </w:rPr>
            </w:pPr>
            <w:r w:rsidRPr="007D15C3">
              <w:rPr>
                <w:rFonts w:cs="Calibri"/>
              </w:rPr>
              <w:t xml:space="preserve">            2,529,184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DD0A53" w14:textId="77777777">
            <w:pPr>
              <w:jc w:val="right"/>
              <w:rPr>
                <w:rFonts w:cs="Calibri"/>
              </w:rPr>
            </w:pPr>
            <w:r w:rsidRPr="007D15C3">
              <w:rPr>
                <w:rFonts w:cs="Calibri"/>
              </w:rPr>
              <w:t>$19,821</w:t>
            </w:r>
          </w:p>
        </w:tc>
      </w:tr>
      <w:tr w14:paraId="6969A7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F27E49" w14:textId="77777777">
            <w:pPr>
              <w:jc w:val="center"/>
              <w:rPr>
                <w:rFonts w:cs="Calibri"/>
              </w:rPr>
            </w:pPr>
            <w:r w:rsidRPr="007D15C3">
              <w:rPr>
                <w:rFonts w:cs="Calibri"/>
              </w:rPr>
              <w:t>33745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E3ACC1" w14:textId="77777777">
            <w:pPr>
              <w:jc w:val="center"/>
              <w:rPr>
                <w:rFonts w:cs="Calibri"/>
              </w:rPr>
            </w:pPr>
            <w:r w:rsidRPr="007D15C3">
              <w:rPr>
                <w:rFonts w:cs="Calibri"/>
              </w:rPr>
              <w:t>KNVN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675A3B" w14:textId="77777777">
            <w:pPr>
              <w:rPr>
                <w:rFonts w:cs="Calibri"/>
              </w:rPr>
            </w:pPr>
            <w:r w:rsidRPr="007D15C3">
              <w:rPr>
                <w:rFonts w:cs="Calibri"/>
              </w:rPr>
              <w:t xml:space="preserve">             495,403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FD556A" w14:textId="77777777">
            <w:pPr>
              <w:rPr>
                <w:rFonts w:cs="Calibri"/>
              </w:rPr>
            </w:pPr>
            <w:r w:rsidRPr="007D15C3">
              <w:rPr>
                <w:rFonts w:cs="Calibri"/>
              </w:rPr>
              <w:t xml:space="preserve">               464,031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C27E07" w14:textId="77777777">
            <w:pPr>
              <w:jc w:val="right"/>
              <w:rPr>
                <w:rFonts w:cs="Calibri"/>
              </w:rPr>
            </w:pPr>
            <w:r w:rsidRPr="007D15C3">
              <w:rPr>
                <w:rFonts w:cs="Calibri"/>
              </w:rPr>
              <w:t>$3,637</w:t>
            </w:r>
          </w:p>
        </w:tc>
      </w:tr>
      <w:tr w14:paraId="575D32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3AE675" w14:textId="77777777">
            <w:pPr>
              <w:jc w:val="center"/>
              <w:rPr>
                <w:rFonts w:cs="Calibri"/>
              </w:rPr>
            </w:pPr>
            <w:r w:rsidRPr="007D15C3">
              <w:rPr>
                <w:rFonts w:cs="Calibri"/>
              </w:rPr>
              <w:t>69692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A7E196" w14:textId="77777777">
            <w:pPr>
              <w:jc w:val="center"/>
              <w:rPr>
                <w:rFonts w:cs="Calibri"/>
              </w:rPr>
            </w:pPr>
            <w:r w:rsidRPr="007D15C3">
              <w:rPr>
                <w:rFonts w:cs="Calibri"/>
              </w:rPr>
              <w:t>KNVO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85EB1E" w14:textId="77777777">
            <w:pPr>
              <w:rPr>
                <w:rFonts w:cs="Calibri"/>
              </w:rPr>
            </w:pPr>
            <w:r w:rsidRPr="007D15C3">
              <w:rPr>
                <w:rFonts w:cs="Calibri"/>
              </w:rPr>
              <w:t xml:space="preserve">          1,241,165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99BD82" w14:textId="77777777">
            <w:pPr>
              <w:rPr>
                <w:rFonts w:cs="Calibri"/>
              </w:rPr>
            </w:pPr>
            <w:r w:rsidRPr="007D15C3">
              <w:rPr>
                <w:rFonts w:cs="Calibri"/>
              </w:rPr>
              <w:t xml:space="preserve">            1,241,165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07F561" w14:textId="77777777">
            <w:pPr>
              <w:jc w:val="right"/>
              <w:rPr>
                <w:rFonts w:cs="Calibri"/>
              </w:rPr>
            </w:pPr>
            <w:r w:rsidRPr="007D15C3">
              <w:rPr>
                <w:rFonts w:cs="Calibri"/>
              </w:rPr>
              <w:t>$9,727</w:t>
            </w:r>
          </w:p>
        </w:tc>
      </w:tr>
      <w:tr w14:paraId="11AE328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7499E8" w14:textId="77777777">
            <w:pPr>
              <w:jc w:val="center"/>
              <w:rPr>
                <w:rFonts w:cs="Calibri"/>
              </w:rPr>
            </w:pPr>
            <w:r w:rsidRPr="007D15C3">
              <w:rPr>
                <w:rFonts w:cs="Calibri"/>
              </w:rPr>
              <w:t>29557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412269" w14:textId="77777777">
            <w:pPr>
              <w:jc w:val="center"/>
              <w:rPr>
                <w:rFonts w:cs="Calibri"/>
              </w:rPr>
            </w:pPr>
            <w:r w:rsidRPr="007D15C3">
              <w:rPr>
                <w:rFonts w:cs="Calibri"/>
              </w:rPr>
              <w:t>KNWA-TV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D1FAC5" w14:textId="77777777">
            <w:pPr>
              <w:rPr>
                <w:rFonts w:cs="Calibri"/>
              </w:rPr>
            </w:pPr>
            <w:r w:rsidRPr="007D15C3">
              <w:rPr>
                <w:rFonts w:cs="Calibri"/>
              </w:rPr>
              <w:t xml:space="preserve">             815,678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8E55AB" w14:textId="77777777">
            <w:pPr>
              <w:rPr>
                <w:rFonts w:cs="Calibri"/>
              </w:rPr>
            </w:pPr>
            <w:r w:rsidRPr="007D15C3">
              <w:rPr>
                <w:rFonts w:cs="Calibri"/>
              </w:rPr>
              <w:t xml:space="preserve">               796,488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7975F0" w14:textId="77777777">
            <w:pPr>
              <w:jc w:val="right"/>
              <w:rPr>
                <w:rFonts w:cs="Calibri"/>
              </w:rPr>
            </w:pPr>
            <w:r w:rsidRPr="007D15C3">
              <w:rPr>
                <w:rFonts w:cs="Calibri"/>
              </w:rPr>
              <w:t>$6,242</w:t>
            </w:r>
          </w:p>
        </w:tc>
      </w:tr>
      <w:tr w14:paraId="4C167A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D65E88" w14:textId="77777777">
            <w:pPr>
              <w:jc w:val="center"/>
              <w:rPr>
                <w:rFonts w:cs="Calibri"/>
              </w:rPr>
            </w:pPr>
            <w:r w:rsidRPr="007D15C3">
              <w:rPr>
                <w:rFonts w:cs="Calibri"/>
              </w:rPr>
              <w:t>16950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F5654A" w14:textId="77777777">
            <w:pPr>
              <w:jc w:val="center"/>
              <w:rPr>
                <w:rFonts w:cs="Calibri"/>
              </w:rPr>
            </w:pPr>
            <w:r w:rsidRPr="007D15C3">
              <w:rPr>
                <w:rFonts w:cs="Calibri"/>
              </w:rPr>
              <w:t>KNXT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3BB893" w14:textId="77777777">
            <w:pPr>
              <w:rPr>
                <w:rFonts w:cs="Calibri"/>
              </w:rPr>
            </w:pPr>
            <w:r w:rsidRPr="007D15C3">
              <w:rPr>
                <w:rFonts w:cs="Calibri"/>
              </w:rPr>
              <w:t xml:space="preserve">          2,166,688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24C06F" w14:textId="77777777">
            <w:pPr>
              <w:rPr>
                <w:rFonts w:cs="Calibri"/>
              </w:rPr>
            </w:pPr>
            <w:r w:rsidRPr="007D15C3">
              <w:rPr>
                <w:rFonts w:cs="Calibri"/>
              </w:rPr>
              <w:t xml:space="preserve">            2,116,003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F744C7" w14:textId="77777777">
            <w:pPr>
              <w:jc w:val="right"/>
              <w:rPr>
                <w:rFonts w:cs="Calibri"/>
              </w:rPr>
            </w:pPr>
            <w:r w:rsidRPr="007D15C3">
              <w:rPr>
                <w:rFonts w:cs="Calibri"/>
              </w:rPr>
              <w:t>$16,583</w:t>
            </w:r>
          </w:p>
        </w:tc>
      </w:tr>
      <w:tr w14:paraId="743A03F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555D5B" w14:textId="77777777">
            <w:pPr>
              <w:jc w:val="center"/>
              <w:rPr>
                <w:rFonts w:cs="Calibri"/>
              </w:rPr>
            </w:pPr>
            <w:r w:rsidRPr="007D15C3">
              <w:rPr>
                <w:rFonts w:cs="Calibri"/>
              </w:rPr>
              <w:t>59440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EB1F9D" w14:textId="77777777">
            <w:pPr>
              <w:jc w:val="center"/>
              <w:rPr>
                <w:rFonts w:cs="Calibri"/>
              </w:rPr>
            </w:pPr>
            <w:r w:rsidRPr="007D15C3">
              <w:rPr>
                <w:rFonts w:cs="Calibri"/>
              </w:rPr>
              <w:t>KNXV-TV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287C51" w14:textId="77777777">
            <w:pPr>
              <w:rPr>
                <w:rFonts w:cs="Calibri"/>
              </w:rPr>
            </w:pPr>
            <w:r w:rsidRPr="007D15C3">
              <w:rPr>
                <w:rFonts w:cs="Calibri"/>
              </w:rPr>
              <w:t xml:space="preserve">          4,183,943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35DE54" w14:textId="77777777">
            <w:pPr>
              <w:rPr>
                <w:rFonts w:cs="Calibri"/>
              </w:rPr>
            </w:pPr>
            <w:r w:rsidRPr="007D15C3">
              <w:rPr>
                <w:rFonts w:cs="Calibri"/>
              </w:rPr>
              <w:t xml:space="preserve">            4,173,022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9F317B" w14:textId="77777777">
            <w:pPr>
              <w:jc w:val="right"/>
              <w:rPr>
                <w:rFonts w:cs="Calibri"/>
              </w:rPr>
            </w:pPr>
            <w:r w:rsidRPr="007D15C3">
              <w:rPr>
                <w:rFonts w:cs="Calibri"/>
              </w:rPr>
              <w:t>$32,704</w:t>
            </w:r>
          </w:p>
        </w:tc>
      </w:tr>
      <w:tr w14:paraId="2FF46E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B7E59C" w14:textId="77777777">
            <w:pPr>
              <w:jc w:val="center"/>
              <w:rPr>
                <w:rFonts w:cs="Calibri"/>
              </w:rPr>
            </w:pPr>
            <w:r w:rsidRPr="007D15C3">
              <w:rPr>
                <w:rFonts w:cs="Calibri"/>
              </w:rPr>
              <w:t>59014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F096AB" w14:textId="77777777">
            <w:pPr>
              <w:jc w:val="center"/>
              <w:rPr>
                <w:rFonts w:cs="Calibri"/>
              </w:rPr>
            </w:pPr>
            <w:r w:rsidRPr="007D15C3">
              <w:rPr>
                <w:rFonts w:cs="Calibri"/>
              </w:rPr>
              <w:t>KOAA-TV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D107D7" w14:textId="77777777">
            <w:pPr>
              <w:rPr>
                <w:rFonts w:cs="Calibri"/>
              </w:rPr>
            </w:pPr>
            <w:r w:rsidRPr="007D15C3">
              <w:rPr>
                <w:rFonts w:cs="Calibri"/>
              </w:rPr>
              <w:t xml:space="preserve">          1,391,946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26CE9F" w14:textId="77777777">
            <w:pPr>
              <w:rPr>
                <w:rFonts w:cs="Calibri"/>
              </w:rPr>
            </w:pPr>
            <w:r w:rsidRPr="007D15C3">
              <w:rPr>
                <w:rFonts w:cs="Calibri"/>
              </w:rPr>
              <w:t xml:space="preserve">            1,087,809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D18BFF" w14:textId="77777777">
            <w:pPr>
              <w:jc w:val="right"/>
              <w:rPr>
                <w:rFonts w:cs="Calibri"/>
              </w:rPr>
            </w:pPr>
            <w:r w:rsidRPr="007D15C3">
              <w:rPr>
                <w:rFonts w:cs="Calibri"/>
              </w:rPr>
              <w:t>$8,525</w:t>
            </w:r>
          </w:p>
        </w:tc>
      </w:tr>
      <w:tr w14:paraId="5E9826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31E68B" w14:textId="77777777">
            <w:pPr>
              <w:jc w:val="center"/>
              <w:rPr>
                <w:rFonts w:cs="Calibri"/>
              </w:rPr>
            </w:pPr>
            <w:r w:rsidRPr="007D15C3">
              <w:rPr>
                <w:rFonts w:cs="Calibri"/>
              </w:rPr>
              <w:t>50588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663451" w14:textId="77777777">
            <w:pPr>
              <w:jc w:val="center"/>
              <w:rPr>
                <w:rFonts w:cs="Calibri"/>
              </w:rPr>
            </w:pPr>
            <w:r w:rsidRPr="007D15C3">
              <w:rPr>
                <w:rFonts w:cs="Calibri"/>
              </w:rPr>
              <w:t>KOAB-TV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F1EEC1" w14:textId="77777777">
            <w:pPr>
              <w:rPr>
                <w:rFonts w:cs="Calibri"/>
              </w:rPr>
            </w:pPr>
            <w:r w:rsidRPr="007D15C3">
              <w:rPr>
                <w:rFonts w:cs="Calibri"/>
              </w:rPr>
              <w:t xml:space="preserve">             207,070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12819" w14:textId="77777777">
            <w:pPr>
              <w:rPr>
                <w:rFonts w:cs="Calibri"/>
              </w:rPr>
            </w:pPr>
            <w:r w:rsidRPr="007D15C3">
              <w:rPr>
                <w:rFonts w:cs="Calibri"/>
              </w:rPr>
              <w:t xml:space="preserve">               203,371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4C1397" w14:textId="77777777">
            <w:pPr>
              <w:jc w:val="right"/>
              <w:rPr>
                <w:rFonts w:cs="Calibri"/>
              </w:rPr>
            </w:pPr>
            <w:r w:rsidRPr="007D15C3">
              <w:rPr>
                <w:rFonts w:cs="Calibri"/>
              </w:rPr>
              <w:t>$1,594</w:t>
            </w:r>
          </w:p>
        </w:tc>
      </w:tr>
      <w:tr w14:paraId="7A922FE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0701A3" w14:textId="77777777">
            <w:pPr>
              <w:jc w:val="center"/>
              <w:rPr>
                <w:rFonts w:cs="Calibri"/>
              </w:rPr>
            </w:pPr>
            <w:r w:rsidRPr="007D15C3">
              <w:rPr>
                <w:rFonts w:cs="Calibri"/>
              </w:rPr>
              <w:t>50590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D68795" w14:textId="77777777">
            <w:pPr>
              <w:jc w:val="center"/>
              <w:rPr>
                <w:rFonts w:cs="Calibri"/>
              </w:rPr>
            </w:pPr>
            <w:r w:rsidRPr="007D15C3">
              <w:rPr>
                <w:rFonts w:cs="Calibri"/>
              </w:rPr>
              <w:t>KOAC-TV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1C2FE6" w14:textId="77777777">
            <w:pPr>
              <w:rPr>
                <w:rFonts w:cs="Calibri"/>
              </w:rPr>
            </w:pPr>
            <w:r w:rsidRPr="007D15C3">
              <w:rPr>
                <w:rFonts w:cs="Calibri"/>
              </w:rPr>
              <w:t xml:space="preserve">          1,957,282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66836A" w14:textId="77777777">
            <w:pPr>
              <w:rPr>
                <w:rFonts w:cs="Calibri"/>
              </w:rPr>
            </w:pPr>
            <w:r w:rsidRPr="007D15C3">
              <w:rPr>
                <w:rFonts w:cs="Calibri"/>
              </w:rPr>
              <w:t xml:space="preserve">            1,543,401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CC52D3" w14:textId="77777777">
            <w:pPr>
              <w:jc w:val="right"/>
              <w:rPr>
                <w:rFonts w:cs="Calibri"/>
              </w:rPr>
            </w:pPr>
            <w:r w:rsidRPr="007D15C3">
              <w:rPr>
                <w:rFonts w:cs="Calibri"/>
              </w:rPr>
              <w:t>$12,096</w:t>
            </w:r>
          </w:p>
        </w:tc>
      </w:tr>
      <w:tr w14:paraId="3EBF85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44CD84" w14:textId="77777777">
            <w:pPr>
              <w:jc w:val="center"/>
              <w:rPr>
                <w:rFonts w:cs="Calibri"/>
              </w:rPr>
            </w:pPr>
            <w:r w:rsidRPr="007D15C3">
              <w:rPr>
                <w:rFonts w:cs="Calibri"/>
              </w:rPr>
              <w:t>58552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8D3312" w14:textId="77777777">
            <w:pPr>
              <w:jc w:val="center"/>
              <w:rPr>
                <w:rFonts w:cs="Calibri"/>
              </w:rPr>
            </w:pPr>
            <w:r w:rsidRPr="007D15C3">
              <w:rPr>
                <w:rFonts w:cs="Calibri"/>
              </w:rPr>
              <w:t>KOAM-TV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ED0585" w14:textId="77777777">
            <w:pPr>
              <w:rPr>
                <w:rFonts w:cs="Calibri"/>
              </w:rPr>
            </w:pPr>
            <w:r w:rsidRPr="007D15C3">
              <w:rPr>
                <w:rFonts w:cs="Calibri"/>
              </w:rPr>
              <w:t xml:space="preserve">             595,307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F979D6" w14:textId="77777777">
            <w:pPr>
              <w:rPr>
                <w:rFonts w:cs="Calibri"/>
              </w:rPr>
            </w:pPr>
            <w:r w:rsidRPr="007D15C3">
              <w:rPr>
                <w:rFonts w:cs="Calibri"/>
              </w:rPr>
              <w:t xml:space="preserve">               584,921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C3DB43" w14:textId="77777777">
            <w:pPr>
              <w:jc w:val="right"/>
              <w:rPr>
                <w:rFonts w:cs="Calibri"/>
              </w:rPr>
            </w:pPr>
            <w:r w:rsidRPr="007D15C3">
              <w:rPr>
                <w:rFonts w:cs="Calibri"/>
              </w:rPr>
              <w:t>$4,584</w:t>
            </w:r>
          </w:p>
        </w:tc>
      </w:tr>
      <w:tr w14:paraId="065ECE4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83FCEC" w14:textId="77777777">
            <w:pPr>
              <w:jc w:val="center"/>
              <w:rPr>
                <w:rFonts w:cs="Calibri"/>
              </w:rPr>
            </w:pPr>
            <w:r w:rsidRPr="007D15C3">
              <w:rPr>
                <w:rFonts w:cs="Calibri"/>
              </w:rPr>
              <w:t>53928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8AC48C" w14:textId="77777777">
            <w:pPr>
              <w:jc w:val="center"/>
              <w:rPr>
                <w:rFonts w:cs="Calibri"/>
              </w:rPr>
            </w:pPr>
            <w:r w:rsidRPr="007D15C3">
              <w:rPr>
                <w:rFonts w:cs="Calibri"/>
              </w:rPr>
              <w:t>KOAT-TV*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A30E64" w14:textId="77777777">
            <w:pPr>
              <w:rPr>
                <w:rFonts w:cs="Calibri"/>
              </w:rPr>
            </w:pPr>
            <w:r w:rsidRPr="007D15C3">
              <w:rPr>
                <w:rFonts w:cs="Calibri"/>
              </w:rPr>
              <w:t xml:space="preserve">          1,132,372</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6C02DF" w14:textId="77777777">
            <w:pPr>
              <w:rPr>
                <w:rFonts w:cs="Calibri"/>
              </w:rPr>
            </w:pPr>
            <w:r w:rsidRPr="007D15C3">
              <w:rPr>
                <w:rFonts w:cs="Calibri"/>
              </w:rPr>
              <w:t xml:space="preserve">            1,105,116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B6F843" w14:textId="77777777">
            <w:pPr>
              <w:jc w:val="right"/>
              <w:rPr>
                <w:rFonts w:cs="Calibri"/>
              </w:rPr>
            </w:pPr>
            <w:r w:rsidRPr="007D15C3">
              <w:rPr>
                <w:rFonts w:cs="Calibri"/>
              </w:rPr>
              <w:t>$8,661</w:t>
            </w:r>
          </w:p>
        </w:tc>
      </w:tr>
      <w:tr w14:paraId="2B8A42B1"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1B31A8" w14:textId="77777777">
            <w:pPr>
              <w:jc w:val="center"/>
              <w:rPr>
                <w:rFonts w:cs="Calibri"/>
              </w:rPr>
            </w:pPr>
            <w:r w:rsidRPr="007D15C3">
              <w:rPr>
                <w:rFonts w:cs="Calibri"/>
              </w:rPr>
              <w:t>35313</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44CFF82" w14:textId="77777777">
            <w:pPr>
              <w:jc w:val="center"/>
              <w:rPr>
                <w:rFonts w:cs="Calibri"/>
              </w:rPr>
            </w:pPr>
            <w:r w:rsidRPr="007D15C3">
              <w:rPr>
                <w:rFonts w:cs="Calibri"/>
              </w:rPr>
              <w:t>KOB</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8F31A62" w14:textId="77777777">
            <w:pPr>
              <w:rPr>
                <w:rFonts w:cs="Calibri"/>
              </w:rPr>
            </w:pPr>
            <w:r w:rsidRPr="007D15C3">
              <w:rPr>
                <w:rFonts w:cs="Calibri"/>
              </w:rPr>
              <w:t xml:space="preserve">          1,152,841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147FAB1" w14:textId="77777777">
            <w:pPr>
              <w:rPr>
                <w:rFonts w:cs="Calibri"/>
              </w:rPr>
            </w:pPr>
            <w:r w:rsidRPr="007D15C3">
              <w:rPr>
                <w:rFonts w:cs="Calibri"/>
              </w:rPr>
              <w:t xml:space="preserve">            1,113,162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1693104" w14:textId="77777777">
            <w:pPr>
              <w:jc w:val="right"/>
              <w:rPr>
                <w:rFonts w:cs="Calibri"/>
              </w:rPr>
            </w:pPr>
            <w:r w:rsidRPr="007D15C3">
              <w:rPr>
                <w:rFonts w:cs="Calibri"/>
              </w:rPr>
              <w:t>$8,724</w:t>
            </w:r>
          </w:p>
        </w:tc>
      </w:tr>
      <w:tr w14:paraId="516B94B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2D4AC7" w14:textId="77777777">
            <w:pPr>
              <w:jc w:val="center"/>
              <w:rPr>
                <w:rFonts w:cs="Calibri"/>
              </w:rPr>
            </w:pPr>
            <w:r w:rsidRPr="007D15C3">
              <w:rPr>
                <w:rFonts w:cs="Calibri"/>
              </w:rPr>
              <w:t>35321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9AA343" w14:textId="77777777">
            <w:pPr>
              <w:jc w:val="center"/>
              <w:rPr>
                <w:rFonts w:cs="Calibri"/>
              </w:rPr>
            </w:pPr>
            <w:r w:rsidRPr="007D15C3">
              <w:rPr>
                <w:rFonts w:cs="Calibri"/>
              </w:rPr>
              <w:t>KOBF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761BA2" w14:textId="77777777">
            <w:pPr>
              <w:rPr>
                <w:rFonts w:cs="Calibri"/>
              </w:rPr>
            </w:pPr>
            <w:r w:rsidRPr="007D15C3">
              <w:rPr>
                <w:rFonts w:cs="Calibri"/>
              </w:rPr>
              <w:t xml:space="preserve">             201,911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0EC49B" w14:textId="77777777">
            <w:pPr>
              <w:rPr>
                <w:rFonts w:cs="Calibri"/>
              </w:rPr>
            </w:pPr>
            <w:r w:rsidRPr="007D15C3">
              <w:rPr>
                <w:rFonts w:cs="Calibri"/>
              </w:rPr>
              <w:t xml:space="preserve">               166,177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995555" w14:textId="77777777">
            <w:pPr>
              <w:jc w:val="right"/>
              <w:rPr>
                <w:rFonts w:cs="Calibri"/>
              </w:rPr>
            </w:pPr>
            <w:r w:rsidRPr="007D15C3">
              <w:rPr>
                <w:rFonts w:cs="Calibri"/>
              </w:rPr>
              <w:t>$1,302</w:t>
            </w:r>
          </w:p>
        </w:tc>
      </w:tr>
      <w:tr w14:paraId="645A3A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350D9E" w14:textId="77777777">
            <w:pPr>
              <w:jc w:val="center"/>
              <w:rPr>
                <w:rFonts w:cs="Calibri"/>
              </w:rPr>
            </w:pPr>
            <w:r w:rsidRPr="007D15C3">
              <w:rPr>
                <w:rFonts w:cs="Calibri"/>
              </w:rPr>
              <w:t>8260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5837C5" w14:textId="77777777">
            <w:pPr>
              <w:jc w:val="center"/>
              <w:rPr>
                <w:rFonts w:cs="Calibri"/>
              </w:rPr>
            </w:pPr>
            <w:r w:rsidRPr="007D15C3">
              <w:rPr>
                <w:rFonts w:cs="Calibri"/>
              </w:rPr>
              <w:t>KOBI*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606473" w14:textId="77777777">
            <w:pPr>
              <w:rPr>
                <w:rFonts w:cs="Calibri"/>
              </w:rPr>
            </w:pPr>
            <w:r w:rsidRPr="007D15C3">
              <w:rPr>
                <w:rFonts w:cs="Calibri"/>
              </w:rPr>
              <w:t xml:space="preserve">             562,463</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FA481F" w14:textId="77777777">
            <w:pPr>
              <w:rPr>
                <w:rFonts w:cs="Calibri"/>
              </w:rPr>
            </w:pPr>
            <w:r w:rsidRPr="007D15C3">
              <w:rPr>
                <w:rFonts w:cs="Calibri"/>
              </w:rPr>
              <w:t xml:space="preserve">               519,063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ADBDE1" w14:textId="77777777">
            <w:pPr>
              <w:jc w:val="right"/>
              <w:rPr>
                <w:rFonts w:cs="Calibri"/>
              </w:rPr>
            </w:pPr>
            <w:r w:rsidRPr="007D15C3">
              <w:rPr>
                <w:rFonts w:cs="Calibri"/>
              </w:rPr>
              <w:t>$4,068</w:t>
            </w:r>
          </w:p>
        </w:tc>
      </w:tr>
      <w:tr w14:paraId="16BE51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9190EB" w14:textId="77777777">
            <w:pPr>
              <w:jc w:val="center"/>
              <w:rPr>
                <w:rFonts w:cs="Calibri"/>
              </w:rPr>
            </w:pPr>
            <w:r w:rsidRPr="007D15C3">
              <w:rPr>
                <w:rFonts w:cs="Calibri"/>
              </w:rPr>
              <w:t>62272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7176A5" w14:textId="77777777">
            <w:pPr>
              <w:jc w:val="center"/>
              <w:rPr>
                <w:rFonts w:cs="Calibri"/>
              </w:rPr>
            </w:pPr>
            <w:r w:rsidRPr="007D15C3">
              <w:rPr>
                <w:rFonts w:cs="Calibri"/>
              </w:rPr>
              <w:t>KOBR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E14161" w14:textId="77777777">
            <w:pPr>
              <w:rPr>
                <w:rFonts w:cs="Calibri"/>
              </w:rPr>
            </w:pPr>
            <w:r w:rsidRPr="007D15C3">
              <w:rPr>
                <w:rFonts w:cs="Calibri"/>
              </w:rPr>
              <w:t xml:space="preserve">             211,709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95EADF" w14:textId="77777777">
            <w:pPr>
              <w:rPr>
                <w:rFonts w:cs="Calibri"/>
              </w:rPr>
            </w:pPr>
            <w:r w:rsidRPr="007D15C3">
              <w:rPr>
                <w:rFonts w:cs="Calibri"/>
              </w:rPr>
              <w:t xml:space="preserve">               211,551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605589" w14:textId="77777777">
            <w:pPr>
              <w:jc w:val="right"/>
              <w:rPr>
                <w:rFonts w:cs="Calibri"/>
              </w:rPr>
            </w:pPr>
            <w:r w:rsidRPr="007D15C3">
              <w:rPr>
                <w:rFonts w:cs="Calibri"/>
              </w:rPr>
              <w:t>$1,658</w:t>
            </w:r>
          </w:p>
        </w:tc>
      </w:tr>
      <w:tr w14:paraId="562EAB4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4D128E" w14:textId="77777777">
            <w:pPr>
              <w:jc w:val="center"/>
              <w:rPr>
                <w:rFonts w:cs="Calibri"/>
              </w:rPr>
            </w:pPr>
            <w:r w:rsidRPr="007D15C3">
              <w:rPr>
                <w:rFonts w:cs="Calibri"/>
              </w:rPr>
              <w:t>50170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CD9F5D" w14:textId="77777777">
            <w:pPr>
              <w:jc w:val="center"/>
              <w:rPr>
                <w:rFonts w:cs="Calibri"/>
              </w:rPr>
            </w:pPr>
            <w:r w:rsidRPr="007D15C3">
              <w:rPr>
                <w:rFonts w:cs="Calibri"/>
              </w:rPr>
              <w:t>KOCB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677B18" w14:textId="77777777">
            <w:pPr>
              <w:rPr>
                <w:rFonts w:cs="Calibri"/>
              </w:rPr>
            </w:pPr>
            <w:r w:rsidRPr="007D15C3">
              <w:rPr>
                <w:rFonts w:cs="Calibri"/>
              </w:rPr>
              <w:t xml:space="preserve">          1,629,783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EA060F" w14:textId="77777777">
            <w:pPr>
              <w:rPr>
                <w:rFonts w:cs="Calibri"/>
              </w:rPr>
            </w:pPr>
            <w:r w:rsidRPr="007D15C3">
              <w:rPr>
                <w:rFonts w:cs="Calibri"/>
              </w:rPr>
              <w:t xml:space="preserve">            1,629,152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F74C16" w14:textId="77777777">
            <w:pPr>
              <w:jc w:val="right"/>
              <w:rPr>
                <w:rFonts w:cs="Calibri"/>
              </w:rPr>
            </w:pPr>
            <w:r w:rsidRPr="007D15C3">
              <w:rPr>
                <w:rFonts w:cs="Calibri"/>
              </w:rPr>
              <w:t>$12,768</w:t>
            </w:r>
          </w:p>
        </w:tc>
      </w:tr>
      <w:tr w14:paraId="4C24178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6DA0FA" w14:textId="77777777">
            <w:pPr>
              <w:jc w:val="center"/>
              <w:rPr>
                <w:rFonts w:cs="Calibri"/>
              </w:rPr>
            </w:pPr>
            <w:r w:rsidRPr="007D15C3">
              <w:rPr>
                <w:rFonts w:cs="Calibri"/>
              </w:rPr>
              <w:t>4328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C57D06" w14:textId="77777777">
            <w:pPr>
              <w:jc w:val="center"/>
              <w:rPr>
                <w:rFonts w:cs="Calibri"/>
              </w:rPr>
            </w:pPr>
            <w:r w:rsidRPr="007D15C3">
              <w:rPr>
                <w:rFonts w:cs="Calibri"/>
              </w:rPr>
              <w:t>KOCE-TV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5A1FBA" w14:textId="77777777">
            <w:pPr>
              <w:rPr>
                <w:rFonts w:cs="Calibri"/>
              </w:rPr>
            </w:pPr>
            <w:r w:rsidRPr="007D15C3">
              <w:rPr>
                <w:rFonts w:cs="Calibri"/>
              </w:rPr>
              <w:t xml:space="preserve">        17,447,903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800687" w14:textId="77777777">
            <w:pPr>
              <w:rPr>
                <w:rFonts w:cs="Calibri"/>
              </w:rPr>
            </w:pPr>
            <w:r w:rsidRPr="007D15C3">
              <w:rPr>
                <w:rFonts w:cs="Calibri"/>
              </w:rPr>
              <w:t xml:space="preserve">          16,331,792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87285C" w14:textId="77777777">
            <w:pPr>
              <w:jc w:val="right"/>
              <w:rPr>
                <w:rFonts w:cs="Calibri"/>
              </w:rPr>
            </w:pPr>
            <w:r w:rsidRPr="007D15C3">
              <w:rPr>
                <w:rFonts w:cs="Calibri"/>
              </w:rPr>
              <w:t>$127,992</w:t>
            </w:r>
          </w:p>
        </w:tc>
      </w:tr>
      <w:tr w14:paraId="69FF49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A87D07" w14:textId="77777777">
            <w:pPr>
              <w:jc w:val="center"/>
              <w:rPr>
                <w:rFonts w:cs="Calibri"/>
              </w:rPr>
            </w:pPr>
            <w:r w:rsidRPr="007D15C3">
              <w:rPr>
                <w:rFonts w:cs="Calibri"/>
              </w:rPr>
              <w:t>84225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D1323D" w14:textId="77777777">
            <w:pPr>
              <w:jc w:val="center"/>
              <w:rPr>
                <w:rFonts w:cs="Calibri"/>
              </w:rPr>
            </w:pPr>
            <w:r w:rsidRPr="007D15C3">
              <w:rPr>
                <w:rFonts w:cs="Calibri"/>
              </w:rPr>
              <w:t>KOCM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810694" w14:textId="77777777">
            <w:pPr>
              <w:rPr>
                <w:rFonts w:cs="Calibri"/>
              </w:rPr>
            </w:pPr>
            <w:r w:rsidRPr="007D15C3">
              <w:rPr>
                <w:rFonts w:cs="Calibri"/>
              </w:rPr>
              <w:t xml:space="preserve">          1,434,325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E6535A" w14:textId="77777777">
            <w:pPr>
              <w:rPr>
                <w:rFonts w:cs="Calibri"/>
              </w:rPr>
            </w:pPr>
            <w:r w:rsidRPr="007D15C3">
              <w:rPr>
                <w:rFonts w:cs="Calibri"/>
              </w:rPr>
              <w:t xml:space="preserve">            1,433,605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1879A3" w14:textId="77777777">
            <w:pPr>
              <w:jc w:val="right"/>
              <w:rPr>
                <w:rFonts w:cs="Calibri"/>
              </w:rPr>
            </w:pPr>
            <w:r w:rsidRPr="007D15C3">
              <w:rPr>
                <w:rFonts w:cs="Calibri"/>
              </w:rPr>
              <w:t>$11,235</w:t>
            </w:r>
          </w:p>
        </w:tc>
      </w:tr>
      <w:tr w14:paraId="3A6F438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A6C048" w14:textId="77777777">
            <w:pPr>
              <w:jc w:val="center"/>
              <w:rPr>
                <w:rFonts w:cs="Calibri"/>
              </w:rPr>
            </w:pPr>
            <w:r w:rsidRPr="007D15C3">
              <w:rPr>
                <w:rFonts w:cs="Calibri"/>
              </w:rPr>
              <w:t>12508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2B2C78" w14:textId="77777777">
            <w:pPr>
              <w:jc w:val="center"/>
              <w:rPr>
                <w:rFonts w:cs="Calibri"/>
              </w:rPr>
            </w:pPr>
            <w:r w:rsidRPr="007D15C3">
              <w:rPr>
                <w:rFonts w:cs="Calibri"/>
              </w:rPr>
              <w:t>KOCO-TV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55FF25" w14:textId="77777777">
            <w:pPr>
              <w:rPr>
                <w:rFonts w:cs="Calibri"/>
              </w:rPr>
            </w:pPr>
            <w:r w:rsidRPr="007D15C3">
              <w:rPr>
                <w:rFonts w:cs="Calibri"/>
              </w:rPr>
              <w:t xml:space="preserve">          1,716,569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29DDB9" w14:textId="77777777">
            <w:pPr>
              <w:rPr>
                <w:rFonts w:cs="Calibri"/>
              </w:rPr>
            </w:pPr>
            <w:r w:rsidRPr="007D15C3">
              <w:rPr>
                <w:rFonts w:cs="Calibri"/>
              </w:rPr>
              <w:t xml:space="preserve">            1,708,085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2BCD49" w14:textId="77777777">
            <w:pPr>
              <w:jc w:val="right"/>
              <w:rPr>
                <w:rFonts w:cs="Calibri"/>
              </w:rPr>
            </w:pPr>
            <w:r w:rsidRPr="007D15C3">
              <w:rPr>
                <w:rFonts w:cs="Calibri"/>
              </w:rPr>
              <w:t>$13,386</w:t>
            </w:r>
          </w:p>
        </w:tc>
      </w:tr>
      <w:tr w14:paraId="0C60DC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7DB1D5" w14:textId="77777777">
            <w:pPr>
              <w:jc w:val="center"/>
              <w:rPr>
                <w:rFonts w:cs="Calibri"/>
              </w:rPr>
            </w:pPr>
            <w:r w:rsidRPr="007D15C3">
              <w:rPr>
                <w:rFonts w:cs="Calibri"/>
              </w:rPr>
              <w:t>83181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1C2FE4" w14:textId="77777777">
            <w:pPr>
              <w:jc w:val="center"/>
              <w:rPr>
                <w:rFonts w:cs="Calibri"/>
              </w:rPr>
            </w:pPr>
            <w:r w:rsidRPr="007D15C3">
              <w:rPr>
                <w:rFonts w:cs="Calibri"/>
              </w:rPr>
              <w:t>KOCW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660CCD" w14:textId="77777777">
            <w:pPr>
              <w:rPr>
                <w:rFonts w:cs="Calibri"/>
              </w:rPr>
            </w:pPr>
            <w:r w:rsidRPr="007D15C3">
              <w:rPr>
                <w:rFonts w:cs="Calibri"/>
              </w:rPr>
              <w:t xml:space="preserve">               83,807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05FF8B" w14:textId="77777777">
            <w:pPr>
              <w:rPr>
                <w:rFonts w:cs="Calibri"/>
              </w:rPr>
            </w:pPr>
            <w:r w:rsidRPr="007D15C3">
              <w:rPr>
                <w:rFonts w:cs="Calibri"/>
              </w:rPr>
              <w:t xml:space="preserve">                 83,789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2966FD" w14:textId="77777777">
            <w:pPr>
              <w:jc w:val="right"/>
              <w:rPr>
                <w:rFonts w:cs="Calibri"/>
              </w:rPr>
            </w:pPr>
            <w:r w:rsidRPr="007D15C3">
              <w:rPr>
                <w:rFonts w:cs="Calibri"/>
              </w:rPr>
              <w:t>$657</w:t>
            </w:r>
          </w:p>
        </w:tc>
      </w:tr>
      <w:tr w14:paraId="436BEA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F971CC" w14:textId="77777777">
            <w:pPr>
              <w:jc w:val="center"/>
              <w:rPr>
                <w:rFonts w:cs="Calibri"/>
              </w:rPr>
            </w:pPr>
            <w:r w:rsidRPr="007D15C3">
              <w:rPr>
                <w:rFonts w:cs="Calibri"/>
              </w:rPr>
              <w:t>18283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8F8CE1" w14:textId="77777777">
            <w:pPr>
              <w:jc w:val="center"/>
              <w:rPr>
                <w:rFonts w:cs="Calibri"/>
              </w:rPr>
            </w:pPr>
            <w:r w:rsidRPr="007D15C3">
              <w:rPr>
                <w:rFonts w:cs="Calibri"/>
              </w:rPr>
              <w:t>KODE-TV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1C719F" w14:textId="77777777">
            <w:pPr>
              <w:rPr>
                <w:rFonts w:cs="Calibri"/>
              </w:rPr>
            </w:pPr>
            <w:r w:rsidRPr="007D15C3">
              <w:rPr>
                <w:rFonts w:cs="Calibri"/>
              </w:rPr>
              <w:t xml:space="preserve">             740,156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3FD175" w14:textId="77777777">
            <w:pPr>
              <w:rPr>
                <w:rFonts w:cs="Calibri"/>
              </w:rPr>
            </w:pPr>
            <w:r w:rsidRPr="007D15C3">
              <w:rPr>
                <w:rFonts w:cs="Calibri"/>
              </w:rPr>
              <w:t xml:space="preserve">               731,512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53302C" w14:textId="77777777">
            <w:pPr>
              <w:jc w:val="right"/>
              <w:rPr>
                <w:rFonts w:cs="Calibri"/>
              </w:rPr>
            </w:pPr>
            <w:r w:rsidRPr="007D15C3">
              <w:rPr>
                <w:rFonts w:cs="Calibri"/>
              </w:rPr>
              <w:t>$5,733</w:t>
            </w:r>
          </w:p>
        </w:tc>
      </w:tr>
      <w:tr w14:paraId="7C6B13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0DD575" w14:textId="77777777">
            <w:pPr>
              <w:jc w:val="center"/>
              <w:rPr>
                <w:rFonts w:cs="Calibri"/>
              </w:rPr>
            </w:pPr>
            <w:r w:rsidRPr="007D15C3">
              <w:rPr>
                <w:rFonts w:cs="Calibri"/>
              </w:rPr>
              <w:t>66195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C2AC45" w14:textId="77777777">
            <w:pPr>
              <w:jc w:val="center"/>
              <w:rPr>
                <w:rFonts w:cs="Calibri"/>
              </w:rPr>
            </w:pPr>
            <w:r w:rsidRPr="007D15C3">
              <w:rPr>
                <w:rFonts w:cs="Calibri"/>
              </w:rPr>
              <w:t>KOED-TV*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578079" w14:textId="77777777">
            <w:pPr>
              <w:rPr>
                <w:rFonts w:cs="Calibri"/>
              </w:rPr>
            </w:pPr>
            <w:r w:rsidRPr="007D15C3">
              <w:rPr>
                <w:rFonts w:cs="Calibri"/>
              </w:rPr>
              <w:t xml:space="preserve">          1,497,297</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E87EA4" w14:textId="77777777">
            <w:pPr>
              <w:rPr>
                <w:rFonts w:cs="Calibri"/>
              </w:rPr>
            </w:pPr>
            <w:r w:rsidRPr="007D15C3">
              <w:rPr>
                <w:rFonts w:cs="Calibri"/>
              </w:rPr>
              <w:t xml:space="preserve">            1,459,833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4F4DDF" w14:textId="77777777">
            <w:pPr>
              <w:jc w:val="right"/>
              <w:rPr>
                <w:rFonts w:cs="Calibri"/>
              </w:rPr>
            </w:pPr>
            <w:r w:rsidRPr="007D15C3">
              <w:rPr>
                <w:rFonts w:cs="Calibri"/>
              </w:rPr>
              <w:t>$11,441</w:t>
            </w:r>
          </w:p>
        </w:tc>
      </w:tr>
      <w:tr w14:paraId="1EAC8A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E6EE4A" w14:textId="77777777">
            <w:pPr>
              <w:jc w:val="center"/>
              <w:rPr>
                <w:rFonts w:cs="Calibri"/>
              </w:rPr>
            </w:pPr>
            <w:r w:rsidRPr="007D15C3">
              <w:rPr>
                <w:rFonts w:cs="Calibri"/>
              </w:rPr>
              <w:t>50198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506C6A" w14:textId="77777777">
            <w:pPr>
              <w:jc w:val="center"/>
              <w:rPr>
                <w:rFonts w:cs="Calibri"/>
              </w:rPr>
            </w:pPr>
            <w:r w:rsidRPr="007D15C3">
              <w:rPr>
                <w:rFonts w:cs="Calibri"/>
              </w:rPr>
              <w:t>KOET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5C0F0E" w14:textId="77777777">
            <w:pPr>
              <w:rPr>
                <w:rFonts w:cs="Calibri"/>
              </w:rPr>
            </w:pPr>
            <w:r w:rsidRPr="007D15C3">
              <w:rPr>
                <w:rFonts w:cs="Calibri"/>
              </w:rPr>
              <w:t xml:space="preserve">             658,606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BA38D1" w14:textId="77777777">
            <w:pPr>
              <w:rPr>
                <w:rFonts w:cs="Calibri"/>
              </w:rPr>
            </w:pPr>
            <w:r w:rsidRPr="007D15C3">
              <w:rPr>
                <w:rFonts w:cs="Calibri"/>
              </w:rPr>
              <w:t xml:space="preserve">               637,640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22949F" w14:textId="77777777">
            <w:pPr>
              <w:jc w:val="right"/>
              <w:rPr>
                <w:rFonts w:cs="Calibri"/>
              </w:rPr>
            </w:pPr>
            <w:r w:rsidRPr="007D15C3">
              <w:rPr>
                <w:rFonts w:cs="Calibri"/>
              </w:rPr>
              <w:t>$4,997</w:t>
            </w:r>
          </w:p>
        </w:tc>
      </w:tr>
      <w:tr w14:paraId="0F3574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54C72A" w14:textId="77777777">
            <w:pPr>
              <w:jc w:val="center"/>
              <w:rPr>
                <w:rFonts w:cs="Calibri"/>
              </w:rPr>
            </w:pPr>
            <w:r w:rsidRPr="007D15C3">
              <w:rPr>
                <w:rFonts w:cs="Calibri"/>
              </w:rPr>
              <w:t>51189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696C0D" w14:textId="77777777">
            <w:pPr>
              <w:jc w:val="center"/>
              <w:rPr>
                <w:rFonts w:cs="Calibri"/>
              </w:rPr>
            </w:pPr>
            <w:r w:rsidRPr="007D15C3">
              <w:rPr>
                <w:rFonts w:cs="Calibri"/>
              </w:rPr>
              <w:t>KOFY-TV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6307BD" w14:textId="77777777">
            <w:pPr>
              <w:rPr>
                <w:rFonts w:cs="Calibri"/>
              </w:rPr>
            </w:pPr>
            <w:r w:rsidRPr="007D15C3">
              <w:rPr>
                <w:rFonts w:cs="Calibri"/>
              </w:rPr>
              <w:t xml:space="preserve">          5,097,701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2CAF69" w14:textId="77777777">
            <w:pPr>
              <w:rPr>
                <w:rFonts w:cs="Calibri"/>
              </w:rPr>
            </w:pPr>
            <w:r w:rsidRPr="007D15C3">
              <w:rPr>
                <w:rFonts w:cs="Calibri"/>
              </w:rPr>
              <w:t xml:space="preserve">            4,378,276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520924" w14:textId="77777777">
            <w:pPr>
              <w:jc w:val="right"/>
              <w:rPr>
                <w:rFonts w:cs="Calibri"/>
              </w:rPr>
            </w:pPr>
            <w:r w:rsidRPr="007D15C3">
              <w:rPr>
                <w:rFonts w:cs="Calibri"/>
              </w:rPr>
              <w:t>$34,313</w:t>
            </w:r>
          </w:p>
        </w:tc>
      </w:tr>
      <w:tr w14:paraId="795019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B6FB34" w14:textId="77777777">
            <w:pPr>
              <w:jc w:val="center"/>
              <w:rPr>
                <w:rFonts w:cs="Calibri"/>
              </w:rPr>
            </w:pPr>
            <w:r w:rsidRPr="007D15C3">
              <w:rPr>
                <w:rFonts w:cs="Calibri"/>
              </w:rPr>
              <w:t>34859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CFC258" w14:textId="77777777">
            <w:pPr>
              <w:jc w:val="center"/>
              <w:rPr>
                <w:rFonts w:cs="Calibri"/>
              </w:rPr>
            </w:pPr>
            <w:r w:rsidRPr="007D15C3">
              <w:rPr>
                <w:rFonts w:cs="Calibri"/>
              </w:rPr>
              <w:t>KOGG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5F9C9B" w14:textId="77777777">
            <w:pPr>
              <w:rPr>
                <w:rFonts w:cs="Calibri"/>
              </w:rPr>
            </w:pPr>
            <w:r w:rsidRPr="007D15C3">
              <w:rPr>
                <w:rFonts w:cs="Calibri"/>
              </w:rPr>
              <w:t xml:space="preserve">             190,829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07E311" w14:textId="77777777">
            <w:pPr>
              <w:rPr>
                <w:rFonts w:cs="Calibri"/>
              </w:rPr>
            </w:pPr>
            <w:r w:rsidRPr="007D15C3">
              <w:rPr>
                <w:rFonts w:cs="Calibri"/>
              </w:rPr>
              <w:t xml:space="preserve">               161,310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9EC749" w14:textId="77777777">
            <w:pPr>
              <w:jc w:val="right"/>
              <w:rPr>
                <w:rFonts w:cs="Calibri"/>
              </w:rPr>
            </w:pPr>
            <w:r w:rsidRPr="007D15C3">
              <w:rPr>
                <w:rFonts w:cs="Calibri"/>
              </w:rPr>
              <w:t>$1,264</w:t>
            </w:r>
          </w:p>
        </w:tc>
      </w:tr>
      <w:tr w14:paraId="499B32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F414BA" w14:textId="77777777">
            <w:pPr>
              <w:jc w:val="center"/>
              <w:rPr>
                <w:rFonts w:cs="Calibri"/>
              </w:rPr>
            </w:pPr>
            <w:r w:rsidRPr="007D15C3">
              <w:rPr>
                <w:rFonts w:cs="Calibri"/>
              </w:rPr>
              <w:t>166534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CBD1F3" w14:textId="77777777">
            <w:pPr>
              <w:jc w:val="center"/>
              <w:rPr>
                <w:rFonts w:cs="Calibri"/>
              </w:rPr>
            </w:pPr>
            <w:r w:rsidRPr="007D15C3">
              <w:rPr>
                <w:rFonts w:cs="Calibri"/>
              </w:rPr>
              <w:t>KOHD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4241D3" w14:textId="77777777">
            <w:pPr>
              <w:rPr>
                <w:rFonts w:cs="Calibri"/>
              </w:rPr>
            </w:pPr>
            <w:r w:rsidRPr="007D15C3">
              <w:rPr>
                <w:rFonts w:cs="Calibri"/>
              </w:rPr>
              <w:t xml:space="preserve">             201,310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E420E1" w14:textId="77777777">
            <w:pPr>
              <w:rPr>
                <w:rFonts w:cs="Calibri"/>
              </w:rPr>
            </w:pPr>
            <w:r w:rsidRPr="007D15C3">
              <w:rPr>
                <w:rFonts w:cs="Calibri"/>
              </w:rPr>
              <w:t xml:space="preserve">               197,662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CE40DC" w14:textId="77777777">
            <w:pPr>
              <w:jc w:val="right"/>
              <w:rPr>
                <w:rFonts w:cs="Calibri"/>
              </w:rPr>
            </w:pPr>
            <w:r w:rsidRPr="007D15C3">
              <w:rPr>
                <w:rFonts w:cs="Calibri"/>
              </w:rPr>
              <w:t>$1,549</w:t>
            </w:r>
          </w:p>
        </w:tc>
      </w:tr>
      <w:tr w14:paraId="41713C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DC1FEC" w14:textId="77777777">
            <w:pPr>
              <w:jc w:val="center"/>
              <w:rPr>
                <w:rFonts w:cs="Calibri"/>
              </w:rPr>
            </w:pPr>
            <w:r w:rsidRPr="007D15C3">
              <w:rPr>
                <w:rFonts w:cs="Calibri"/>
              </w:rPr>
              <w:t>35380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C17C98" w14:textId="77777777">
            <w:pPr>
              <w:jc w:val="center"/>
              <w:rPr>
                <w:rFonts w:cs="Calibri"/>
              </w:rPr>
            </w:pPr>
            <w:r w:rsidRPr="007D15C3">
              <w:rPr>
                <w:rFonts w:cs="Calibri"/>
              </w:rPr>
              <w:t>KOIN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D5C796" w14:textId="77777777">
            <w:pPr>
              <w:rPr>
                <w:rFonts w:cs="Calibri"/>
              </w:rPr>
            </w:pPr>
            <w:r w:rsidRPr="007D15C3">
              <w:rPr>
                <w:rFonts w:cs="Calibri"/>
              </w:rPr>
              <w:t xml:space="preserve">          2,983,136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567C57" w14:textId="77777777">
            <w:pPr>
              <w:rPr>
                <w:rFonts w:cs="Calibri"/>
              </w:rPr>
            </w:pPr>
            <w:r w:rsidRPr="007D15C3">
              <w:rPr>
                <w:rFonts w:cs="Calibri"/>
              </w:rPr>
              <w:t xml:space="preserve">            2,851,968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ECEDF2" w14:textId="77777777">
            <w:pPr>
              <w:jc w:val="right"/>
              <w:rPr>
                <w:rFonts w:cs="Calibri"/>
              </w:rPr>
            </w:pPr>
            <w:r w:rsidRPr="007D15C3">
              <w:rPr>
                <w:rFonts w:cs="Calibri"/>
              </w:rPr>
              <w:t>$22,351</w:t>
            </w:r>
          </w:p>
        </w:tc>
      </w:tr>
      <w:tr w14:paraId="3450E75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317192" w14:textId="77777777">
            <w:pPr>
              <w:jc w:val="center"/>
              <w:rPr>
                <w:rFonts w:cs="Calibri"/>
              </w:rPr>
            </w:pPr>
            <w:r w:rsidRPr="007D15C3">
              <w:rPr>
                <w:rFonts w:cs="Calibri"/>
              </w:rPr>
              <w:t>35388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DEB4C5" w14:textId="77777777">
            <w:pPr>
              <w:jc w:val="center"/>
              <w:rPr>
                <w:rFonts w:cs="Calibri"/>
              </w:rPr>
            </w:pPr>
            <w:r w:rsidRPr="007D15C3">
              <w:rPr>
                <w:rFonts w:cs="Calibri"/>
              </w:rPr>
              <w:t>KOKH-TV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C9D563" w14:textId="77777777">
            <w:pPr>
              <w:rPr>
                <w:rFonts w:cs="Calibri"/>
              </w:rPr>
            </w:pPr>
            <w:r w:rsidRPr="007D15C3">
              <w:rPr>
                <w:rFonts w:cs="Calibri"/>
              </w:rPr>
              <w:t xml:space="preserve">          1,627,116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0C1F7D" w14:textId="77777777">
            <w:pPr>
              <w:rPr>
                <w:rFonts w:cs="Calibri"/>
              </w:rPr>
            </w:pPr>
            <w:r w:rsidRPr="007D15C3">
              <w:rPr>
                <w:rFonts w:cs="Calibri"/>
              </w:rPr>
              <w:t xml:space="preserve">            1,625,246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20E729" w14:textId="77777777">
            <w:pPr>
              <w:jc w:val="right"/>
              <w:rPr>
                <w:rFonts w:cs="Calibri"/>
              </w:rPr>
            </w:pPr>
            <w:r w:rsidRPr="007D15C3">
              <w:rPr>
                <w:rFonts w:cs="Calibri"/>
              </w:rPr>
              <w:t>$12,737</w:t>
            </w:r>
          </w:p>
        </w:tc>
      </w:tr>
      <w:tr w14:paraId="61B696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C7A71C" w14:textId="77777777">
            <w:pPr>
              <w:jc w:val="center"/>
              <w:rPr>
                <w:rFonts w:cs="Calibri"/>
              </w:rPr>
            </w:pPr>
            <w:r w:rsidRPr="007D15C3">
              <w:rPr>
                <w:rFonts w:cs="Calibri"/>
              </w:rPr>
              <w:t>11910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62A0FB" w14:textId="77777777">
            <w:pPr>
              <w:jc w:val="center"/>
              <w:rPr>
                <w:rFonts w:cs="Calibri"/>
              </w:rPr>
            </w:pPr>
            <w:r w:rsidRPr="007D15C3">
              <w:rPr>
                <w:rFonts w:cs="Calibri"/>
              </w:rPr>
              <w:t>KOKI-TV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C6A5C9" w14:textId="77777777">
            <w:pPr>
              <w:rPr>
                <w:rFonts w:cs="Calibri"/>
              </w:rPr>
            </w:pPr>
            <w:r w:rsidRPr="007D15C3">
              <w:rPr>
                <w:rFonts w:cs="Calibri"/>
              </w:rPr>
              <w:t xml:space="preserve">          1,366,220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D2D960" w14:textId="77777777">
            <w:pPr>
              <w:rPr>
                <w:rFonts w:cs="Calibri"/>
              </w:rPr>
            </w:pPr>
            <w:r w:rsidRPr="007D15C3">
              <w:rPr>
                <w:rFonts w:cs="Calibri"/>
              </w:rPr>
              <w:t xml:space="preserve">            1,352,227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EA0B0C" w14:textId="77777777">
            <w:pPr>
              <w:jc w:val="right"/>
              <w:rPr>
                <w:rFonts w:cs="Calibri"/>
              </w:rPr>
            </w:pPr>
            <w:r w:rsidRPr="007D15C3">
              <w:rPr>
                <w:rFonts w:cs="Calibri"/>
              </w:rPr>
              <w:t>$10,597</w:t>
            </w:r>
          </w:p>
        </w:tc>
      </w:tr>
      <w:tr w14:paraId="4EAADC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BEC04A" w14:textId="77777777">
            <w:pPr>
              <w:jc w:val="center"/>
              <w:rPr>
                <w:rFonts w:cs="Calibri"/>
              </w:rPr>
            </w:pPr>
            <w:r w:rsidRPr="007D15C3">
              <w:rPr>
                <w:rFonts w:cs="Calibri"/>
              </w:rPr>
              <w:t>48663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E3AA22" w14:textId="77777777">
            <w:pPr>
              <w:jc w:val="center"/>
              <w:rPr>
                <w:rFonts w:cs="Calibri"/>
              </w:rPr>
            </w:pPr>
            <w:r w:rsidRPr="007D15C3">
              <w:rPr>
                <w:rFonts w:cs="Calibri"/>
              </w:rPr>
              <w:t>KOLD-TV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028642" w14:textId="77777777">
            <w:pPr>
              <w:rPr>
                <w:rFonts w:cs="Calibri"/>
              </w:rPr>
            </w:pPr>
            <w:r w:rsidRPr="007D15C3">
              <w:rPr>
                <w:rFonts w:cs="Calibri"/>
              </w:rPr>
              <w:t xml:space="preserve">          1,216,228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E57CBF" w14:textId="77777777">
            <w:pPr>
              <w:rPr>
                <w:rFonts w:cs="Calibri"/>
              </w:rPr>
            </w:pPr>
            <w:r w:rsidRPr="007D15C3">
              <w:rPr>
                <w:rFonts w:cs="Calibri"/>
              </w:rPr>
              <w:t xml:space="preserve">               887,754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EFA572" w14:textId="77777777">
            <w:pPr>
              <w:jc w:val="right"/>
              <w:rPr>
                <w:rFonts w:cs="Calibri"/>
              </w:rPr>
            </w:pPr>
            <w:r w:rsidRPr="007D15C3">
              <w:rPr>
                <w:rFonts w:cs="Calibri"/>
              </w:rPr>
              <w:t>$6,957</w:t>
            </w:r>
          </w:p>
        </w:tc>
      </w:tr>
      <w:tr w14:paraId="0D0776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CBD667" w14:textId="77777777">
            <w:pPr>
              <w:jc w:val="center"/>
              <w:rPr>
                <w:rFonts w:cs="Calibri"/>
              </w:rPr>
            </w:pPr>
            <w:r w:rsidRPr="007D15C3">
              <w:rPr>
                <w:rFonts w:cs="Calibri"/>
              </w:rPr>
              <w:t>7890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ECDCED" w14:textId="77777777">
            <w:pPr>
              <w:jc w:val="center"/>
              <w:rPr>
                <w:rFonts w:cs="Calibri"/>
              </w:rPr>
            </w:pPr>
            <w:r w:rsidRPr="007D15C3">
              <w:rPr>
                <w:rFonts w:cs="Calibri"/>
              </w:rPr>
              <w:t>KOLN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E429B9" w14:textId="77777777">
            <w:pPr>
              <w:rPr>
                <w:rFonts w:cs="Calibri"/>
              </w:rPr>
            </w:pPr>
            <w:r w:rsidRPr="007D15C3">
              <w:rPr>
                <w:rFonts w:cs="Calibri"/>
              </w:rPr>
              <w:t xml:space="preserve">          1,225,400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214578" w14:textId="77777777">
            <w:pPr>
              <w:rPr>
                <w:rFonts w:cs="Calibri"/>
              </w:rPr>
            </w:pPr>
            <w:r w:rsidRPr="007D15C3">
              <w:rPr>
                <w:rFonts w:cs="Calibri"/>
              </w:rPr>
              <w:t xml:space="preserve">            1,190,178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72ED54" w14:textId="77777777">
            <w:pPr>
              <w:jc w:val="right"/>
              <w:rPr>
                <w:rFonts w:cs="Calibri"/>
              </w:rPr>
            </w:pPr>
            <w:r w:rsidRPr="007D15C3">
              <w:rPr>
                <w:rFonts w:cs="Calibri"/>
              </w:rPr>
              <w:t>$9,327</w:t>
            </w:r>
          </w:p>
        </w:tc>
      </w:tr>
      <w:tr w14:paraId="5FFC8A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4D5AD6" w14:textId="77777777">
            <w:pPr>
              <w:jc w:val="center"/>
              <w:rPr>
                <w:rFonts w:cs="Calibri"/>
              </w:rPr>
            </w:pPr>
            <w:r w:rsidRPr="007D15C3">
              <w:rPr>
                <w:rFonts w:cs="Calibri"/>
              </w:rPr>
              <w:t>63331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A2B051" w14:textId="77777777">
            <w:pPr>
              <w:jc w:val="center"/>
              <w:rPr>
                <w:rFonts w:cs="Calibri"/>
              </w:rPr>
            </w:pPr>
            <w:r w:rsidRPr="007D15C3">
              <w:rPr>
                <w:rFonts w:cs="Calibri"/>
              </w:rPr>
              <w:t>KOLO-TV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52CE8C" w14:textId="77777777">
            <w:pPr>
              <w:rPr>
                <w:rFonts w:cs="Calibri"/>
              </w:rPr>
            </w:pPr>
            <w:r w:rsidRPr="007D15C3">
              <w:rPr>
                <w:rFonts w:cs="Calibri"/>
              </w:rPr>
              <w:t xml:space="preserve">             959,178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CA9067" w14:textId="77777777">
            <w:pPr>
              <w:rPr>
                <w:rFonts w:cs="Calibri"/>
              </w:rPr>
            </w:pPr>
            <w:r w:rsidRPr="007D15C3">
              <w:rPr>
                <w:rFonts w:cs="Calibri"/>
              </w:rPr>
              <w:t xml:space="preserve">               826,985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127417" w14:textId="77777777">
            <w:pPr>
              <w:jc w:val="right"/>
              <w:rPr>
                <w:rFonts w:cs="Calibri"/>
              </w:rPr>
            </w:pPr>
            <w:r w:rsidRPr="007D15C3">
              <w:rPr>
                <w:rFonts w:cs="Calibri"/>
              </w:rPr>
              <w:t>$6,481</w:t>
            </w:r>
          </w:p>
        </w:tc>
      </w:tr>
      <w:tr w14:paraId="0DC83A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657212" w14:textId="77777777">
            <w:pPr>
              <w:jc w:val="center"/>
              <w:rPr>
                <w:rFonts w:cs="Calibri"/>
              </w:rPr>
            </w:pPr>
            <w:r w:rsidRPr="007D15C3">
              <w:rPr>
                <w:rFonts w:cs="Calibri"/>
              </w:rPr>
              <w:t>28496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D6250F" w14:textId="77777777">
            <w:pPr>
              <w:jc w:val="center"/>
              <w:rPr>
                <w:rFonts w:cs="Calibri"/>
              </w:rPr>
            </w:pPr>
            <w:r w:rsidRPr="007D15C3">
              <w:rPr>
                <w:rFonts w:cs="Calibri"/>
              </w:rPr>
              <w:t>KOLR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58887E" w14:textId="77777777">
            <w:pPr>
              <w:rPr>
                <w:rFonts w:cs="Calibri"/>
              </w:rPr>
            </w:pPr>
            <w:r w:rsidRPr="007D15C3">
              <w:rPr>
                <w:rFonts w:cs="Calibri"/>
              </w:rPr>
              <w:t xml:space="preserve">          1,076,144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790DA9" w14:textId="77777777">
            <w:pPr>
              <w:rPr>
                <w:rFonts w:cs="Calibri"/>
              </w:rPr>
            </w:pPr>
            <w:r w:rsidRPr="007D15C3">
              <w:rPr>
                <w:rFonts w:cs="Calibri"/>
              </w:rPr>
              <w:t xml:space="preserve">            1,038,613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0DD599" w14:textId="77777777">
            <w:pPr>
              <w:jc w:val="right"/>
              <w:rPr>
                <w:rFonts w:cs="Calibri"/>
              </w:rPr>
            </w:pPr>
            <w:r w:rsidRPr="007D15C3">
              <w:rPr>
                <w:rFonts w:cs="Calibri"/>
              </w:rPr>
              <w:t>$8,140</w:t>
            </w:r>
          </w:p>
        </w:tc>
      </w:tr>
      <w:tr w14:paraId="27889F7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6CCA41" w14:textId="77777777">
            <w:pPr>
              <w:jc w:val="center"/>
              <w:rPr>
                <w:rFonts w:cs="Calibri"/>
              </w:rPr>
            </w:pPr>
            <w:r w:rsidRPr="007D15C3">
              <w:rPr>
                <w:rFonts w:cs="Calibri"/>
              </w:rPr>
              <w:t>21656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980DC2" w14:textId="77777777">
            <w:pPr>
              <w:jc w:val="center"/>
              <w:rPr>
                <w:rFonts w:cs="Calibri"/>
              </w:rPr>
            </w:pPr>
            <w:r w:rsidRPr="007D15C3">
              <w:rPr>
                <w:rFonts w:cs="Calibri"/>
              </w:rPr>
              <w:t>KOMO-TV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54A5C3" w14:textId="77777777">
            <w:pPr>
              <w:rPr>
                <w:rFonts w:cs="Calibri"/>
              </w:rPr>
            </w:pPr>
            <w:r w:rsidRPr="007D15C3">
              <w:rPr>
                <w:rFonts w:cs="Calibri"/>
              </w:rPr>
              <w:t xml:space="preserve">          4,123,984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682552" w14:textId="77777777">
            <w:pPr>
              <w:rPr>
                <w:rFonts w:cs="Calibri"/>
              </w:rPr>
            </w:pPr>
            <w:r w:rsidRPr="007D15C3">
              <w:rPr>
                <w:rFonts w:cs="Calibri"/>
              </w:rPr>
              <w:t xml:space="preserve">            4,078,485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6CA1D2" w14:textId="77777777">
            <w:pPr>
              <w:jc w:val="right"/>
              <w:rPr>
                <w:rFonts w:cs="Calibri"/>
              </w:rPr>
            </w:pPr>
            <w:r w:rsidRPr="007D15C3">
              <w:rPr>
                <w:rFonts w:cs="Calibri"/>
              </w:rPr>
              <w:t>$31,963</w:t>
            </w:r>
          </w:p>
        </w:tc>
      </w:tr>
      <w:tr w14:paraId="5111B0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5AC8E9" w14:textId="77777777">
            <w:pPr>
              <w:jc w:val="center"/>
              <w:rPr>
                <w:rFonts w:cs="Calibri"/>
              </w:rPr>
            </w:pPr>
            <w:r w:rsidRPr="007D15C3">
              <w:rPr>
                <w:rFonts w:cs="Calibri"/>
              </w:rPr>
              <w:t>65583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DA7853" w14:textId="77777777">
            <w:pPr>
              <w:jc w:val="center"/>
              <w:rPr>
                <w:rFonts w:cs="Calibri"/>
              </w:rPr>
            </w:pPr>
            <w:r w:rsidRPr="007D15C3">
              <w:rPr>
                <w:rFonts w:cs="Calibri"/>
              </w:rPr>
              <w:t>KOMU-TV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46CE4A" w14:textId="77777777">
            <w:pPr>
              <w:rPr>
                <w:rFonts w:cs="Calibri"/>
              </w:rPr>
            </w:pPr>
            <w:r w:rsidRPr="007D15C3">
              <w:rPr>
                <w:rFonts w:cs="Calibri"/>
              </w:rPr>
              <w:t xml:space="preserve">             551,658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64A0F6" w14:textId="77777777">
            <w:pPr>
              <w:rPr>
                <w:rFonts w:cs="Calibri"/>
              </w:rPr>
            </w:pPr>
            <w:r w:rsidRPr="007D15C3">
              <w:rPr>
                <w:rFonts w:cs="Calibri"/>
              </w:rPr>
              <w:t xml:space="preserve">               542,544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7FBA0F" w14:textId="77777777">
            <w:pPr>
              <w:jc w:val="right"/>
              <w:rPr>
                <w:rFonts w:cs="Calibri"/>
              </w:rPr>
            </w:pPr>
            <w:r w:rsidRPr="007D15C3">
              <w:rPr>
                <w:rFonts w:cs="Calibri"/>
              </w:rPr>
              <w:t>$4,252</w:t>
            </w:r>
          </w:p>
        </w:tc>
      </w:tr>
      <w:tr w14:paraId="22846CA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A2BF05" w14:textId="77777777">
            <w:pPr>
              <w:jc w:val="center"/>
              <w:rPr>
                <w:rFonts w:cs="Calibri"/>
              </w:rPr>
            </w:pPr>
            <w:r w:rsidRPr="007D15C3">
              <w:rPr>
                <w:rFonts w:cs="Calibri"/>
              </w:rPr>
              <w:t>35396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86F8C3" w14:textId="77777777">
            <w:pPr>
              <w:jc w:val="center"/>
              <w:rPr>
                <w:rFonts w:cs="Calibri"/>
              </w:rPr>
            </w:pPr>
            <w:r w:rsidRPr="007D15C3">
              <w:rPr>
                <w:rFonts w:cs="Calibri"/>
              </w:rPr>
              <w:t>KONG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02116E" w14:textId="77777777">
            <w:pPr>
              <w:rPr>
                <w:rFonts w:cs="Calibri"/>
              </w:rPr>
            </w:pPr>
            <w:r w:rsidRPr="007D15C3">
              <w:rPr>
                <w:rFonts w:cs="Calibri"/>
              </w:rPr>
              <w:t xml:space="preserve">          4,006,008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637278" w14:textId="77777777">
            <w:pPr>
              <w:rPr>
                <w:rFonts w:cs="Calibri"/>
              </w:rPr>
            </w:pPr>
            <w:r w:rsidRPr="007D15C3">
              <w:rPr>
                <w:rFonts w:cs="Calibri"/>
              </w:rPr>
              <w:t xml:space="preserve">            3,985,271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2B2056" w14:textId="77777777">
            <w:pPr>
              <w:jc w:val="right"/>
              <w:rPr>
                <w:rFonts w:cs="Calibri"/>
              </w:rPr>
            </w:pPr>
            <w:r w:rsidRPr="007D15C3">
              <w:rPr>
                <w:rFonts w:cs="Calibri"/>
              </w:rPr>
              <w:t>$31,233</w:t>
            </w:r>
          </w:p>
        </w:tc>
      </w:tr>
      <w:tr w14:paraId="2F264F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49A567" w14:textId="77777777">
            <w:pPr>
              <w:jc w:val="center"/>
              <w:rPr>
                <w:rFonts w:cs="Calibri"/>
              </w:rPr>
            </w:pPr>
            <w:r w:rsidRPr="007D15C3">
              <w:rPr>
                <w:rFonts w:cs="Calibri"/>
              </w:rPr>
              <w:t>60675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5B2C9F" w14:textId="77777777">
            <w:pPr>
              <w:jc w:val="center"/>
              <w:rPr>
                <w:rFonts w:cs="Calibri"/>
              </w:rPr>
            </w:pPr>
            <w:r w:rsidRPr="007D15C3">
              <w:rPr>
                <w:rFonts w:cs="Calibri"/>
              </w:rPr>
              <w:t>KOOD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CB9F2F" w14:textId="77777777">
            <w:pPr>
              <w:rPr>
                <w:rFonts w:cs="Calibri"/>
              </w:rPr>
            </w:pPr>
            <w:r w:rsidRPr="007D15C3">
              <w:rPr>
                <w:rFonts w:cs="Calibri"/>
              </w:rPr>
              <w:t xml:space="preserve">             113,416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A6BC99" w14:textId="77777777">
            <w:pPr>
              <w:rPr>
                <w:rFonts w:cs="Calibri"/>
              </w:rPr>
            </w:pPr>
            <w:r w:rsidRPr="007D15C3">
              <w:rPr>
                <w:rFonts w:cs="Calibri"/>
              </w:rPr>
              <w:t xml:space="preserve">               113,285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9DE9FC" w14:textId="77777777">
            <w:pPr>
              <w:jc w:val="right"/>
              <w:rPr>
                <w:rFonts w:cs="Calibri"/>
              </w:rPr>
            </w:pPr>
            <w:r w:rsidRPr="007D15C3">
              <w:rPr>
                <w:rFonts w:cs="Calibri"/>
              </w:rPr>
              <w:t>$888</w:t>
            </w:r>
          </w:p>
        </w:tc>
      </w:tr>
      <w:tr w14:paraId="2E6FD1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C1CB35" w14:textId="77777777">
            <w:pPr>
              <w:jc w:val="center"/>
              <w:rPr>
                <w:rFonts w:cs="Calibri"/>
              </w:rPr>
            </w:pPr>
            <w:r w:rsidRPr="007D15C3">
              <w:rPr>
                <w:rFonts w:cs="Calibri"/>
              </w:rPr>
              <w:t>50589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9D9C74" w14:textId="77777777">
            <w:pPr>
              <w:jc w:val="center"/>
              <w:rPr>
                <w:rFonts w:cs="Calibri"/>
              </w:rPr>
            </w:pPr>
            <w:r w:rsidRPr="007D15C3">
              <w:rPr>
                <w:rFonts w:cs="Calibri"/>
              </w:rPr>
              <w:t>KOPB-TV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87CCB5" w14:textId="77777777">
            <w:pPr>
              <w:rPr>
                <w:rFonts w:cs="Calibri"/>
              </w:rPr>
            </w:pPr>
            <w:r w:rsidRPr="007D15C3">
              <w:rPr>
                <w:rFonts w:cs="Calibri"/>
              </w:rPr>
              <w:t xml:space="preserve">          3,059,231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C508EE" w14:textId="77777777">
            <w:pPr>
              <w:rPr>
                <w:rFonts w:cs="Calibri"/>
              </w:rPr>
            </w:pPr>
            <w:r w:rsidRPr="007D15C3">
              <w:rPr>
                <w:rFonts w:cs="Calibri"/>
              </w:rPr>
              <w:t xml:space="preserve">            2,875,815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F46FC0" w14:textId="77777777">
            <w:pPr>
              <w:jc w:val="right"/>
              <w:rPr>
                <w:rFonts w:cs="Calibri"/>
              </w:rPr>
            </w:pPr>
            <w:r w:rsidRPr="007D15C3">
              <w:rPr>
                <w:rFonts w:cs="Calibri"/>
              </w:rPr>
              <w:t>$22,538</w:t>
            </w:r>
          </w:p>
        </w:tc>
      </w:tr>
      <w:tr w14:paraId="75B9E54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CC754E" w14:textId="77777777">
            <w:pPr>
              <w:jc w:val="center"/>
              <w:rPr>
                <w:rFonts w:cs="Calibri"/>
              </w:rPr>
            </w:pPr>
            <w:r w:rsidRPr="007D15C3">
              <w:rPr>
                <w:rFonts w:cs="Calibri"/>
              </w:rPr>
              <w:t>2566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BCEA6E" w14:textId="77777777">
            <w:pPr>
              <w:jc w:val="center"/>
              <w:rPr>
                <w:rFonts w:cs="Calibri"/>
              </w:rPr>
            </w:pPr>
            <w:r w:rsidRPr="007D15C3">
              <w:rPr>
                <w:rFonts w:cs="Calibri"/>
              </w:rPr>
              <w:t>KOPX-TV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7A678A" w14:textId="77777777">
            <w:pPr>
              <w:rPr>
                <w:rFonts w:cs="Calibri"/>
              </w:rPr>
            </w:pPr>
            <w:r w:rsidRPr="007D15C3">
              <w:rPr>
                <w:rFonts w:cs="Calibri"/>
              </w:rPr>
              <w:t xml:space="preserve">          1,501,110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E2C9FC" w14:textId="77777777">
            <w:pPr>
              <w:rPr>
                <w:rFonts w:cs="Calibri"/>
              </w:rPr>
            </w:pPr>
            <w:r w:rsidRPr="007D15C3">
              <w:rPr>
                <w:rFonts w:cs="Calibri"/>
              </w:rPr>
              <w:t xml:space="preserve">            1,500,883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6BB2DF" w14:textId="77777777">
            <w:pPr>
              <w:jc w:val="right"/>
              <w:rPr>
                <w:rFonts w:cs="Calibri"/>
              </w:rPr>
            </w:pPr>
            <w:r w:rsidRPr="007D15C3">
              <w:rPr>
                <w:rFonts w:cs="Calibri"/>
              </w:rPr>
              <w:t>$11,762</w:t>
            </w:r>
          </w:p>
        </w:tc>
      </w:tr>
      <w:tr w14:paraId="127C66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9D036B" w14:textId="77777777">
            <w:pPr>
              <w:jc w:val="center"/>
              <w:rPr>
                <w:rFonts w:cs="Calibri"/>
              </w:rPr>
            </w:pPr>
            <w:r w:rsidRPr="007D15C3">
              <w:rPr>
                <w:rFonts w:cs="Calibri"/>
              </w:rPr>
              <w:t>64877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99162E" w14:textId="77777777">
            <w:pPr>
              <w:jc w:val="center"/>
              <w:rPr>
                <w:rFonts w:cs="Calibri"/>
              </w:rPr>
            </w:pPr>
            <w:r w:rsidRPr="007D15C3">
              <w:rPr>
                <w:rFonts w:cs="Calibri"/>
              </w:rPr>
              <w:t>KORO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F4DBB8" w14:textId="77777777">
            <w:pPr>
              <w:rPr>
                <w:rFonts w:cs="Calibri"/>
              </w:rPr>
            </w:pPr>
            <w:r w:rsidRPr="007D15C3">
              <w:rPr>
                <w:rFonts w:cs="Calibri"/>
              </w:rPr>
              <w:t xml:space="preserve">             560,983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9E0918" w14:textId="77777777">
            <w:pPr>
              <w:rPr>
                <w:rFonts w:cs="Calibri"/>
              </w:rPr>
            </w:pPr>
            <w:r w:rsidRPr="007D15C3">
              <w:rPr>
                <w:rFonts w:cs="Calibri"/>
              </w:rPr>
              <w:t xml:space="preserve">               560,983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CFC318" w14:textId="77777777">
            <w:pPr>
              <w:jc w:val="right"/>
              <w:rPr>
                <w:rFonts w:cs="Calibri"/>
              </w:rPr>
            </w:pPr>
            <w:r w:rsidRPr="007D15C3">
              <w:rPr>
                <w:rFonts w:cs="Calibri"/>
              </w:rPr>
              <w:t>$4,396</w:t>
            </w:r>
          </w:p>
        </w:tc>
      </w:tr>
      <w:tr w14:paraId="278D634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7CF250" w14:textId="77777777">
            <w:pPr>
              <w:jc w:val="center"/>
              <w:rPr>
                <w:rFonts w:cs="Calibri"/>
              </w:rPr>
            </w:pPr>
            <w:r w:rsidRPr="007D15C3">
              <w:rPr>
                <w:rFonts w:cs="Calibri"/>
              </w:rPr>
              <w:t>6865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68C89E" w14:textId="77777777">
            <w:pPr>
              <w:jc w:val="center"/>
              <w:rPr>
                <w:rFonts w:cs="Calibri"/>
              </w:rPr>
            </w:pPr>
            <w:r w:rsidRPr="007D15C3">
              <w:rPr>
                <w:rFonts w:cs="Calibri"/>
              </w:rPr>
              <w:t>KOSA-TV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E54245" w14:textId="77777777">
            <w:pPr>
              <w:rPr>
                <w:rFonts w:cs="Calibri"/>
              </w:rPr>
            </w:pPr>
            <w:r w:rsidRPr="007D15C3">
              <w:rPr>
                <w:rFonts w:cs="Calibri"/>
              </w:rPr>
              <w:t xml:space="preserve">             340,978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2C27FC" w14:textId="77777777">
            <w:pPr>
              <w:rPr>
                <w:rFonts w:cs="Calibri"/>
              </w:rPr>
            </w:pPr>
            <w:r w:rsidRPr="007D15C3">
              <w:rPr>
                <w:rFonts w:cs="Calibri"/>
              </w:rPr>
              <w:t xml:space="preserve">               338,070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06BD00" w14:textId="77777777">
            <w:pPr>
              <w:jc w:val="right"/>
              <w:rPr>
                <w:rFonts w:cs="Calibri"/>
              </w:rPr>
            </w:pPr>
            <w:r w:rsidRPr="007D15C3">
              <w:rPr>
                <w:rFonts w:cs="Calibri"/>
              </w:rPr>
              <w:t>$2,649</w:t>
            </w:r>
          </w:p>
        </w:tc>
      </w:tr>
      <w:tr w14:paraId="67867E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271A38" w14:textId="77777777">
            <w:pPr>
              <w:jc w:val="center"/>
              <w:rPr>
                <w:rFonts w:cs="Calibri"/>
              </w:rPr>
            </w:pPr>
            <w:r w:rsidRPr="007D15C3">
              <w:rPr>
                <w:rFonts w:cs="Calibri"/>
              </w:rPr>
              <w:t>34347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25DEB6" w14:textId="77777777">
            <w:pPr>
              <w:jc w:val="center"/>
              <w:rPr>
                <w:rFonts w:cs="Calibri"/>
              </w:rPr>
            </w:pPr>
            <w:r w:rsidRPr="007D15C3">
              <w:rPr>
                <w:rFonts w:cs="Calibri"/>
              </w:rPr>
              <w:t>KOTA-TV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DDDC70" w14:textId="77777777">
            <w:pPr>
              <w:rPr>
                <w:rFonts w:cs="Calibri"/>
              </w:rPr>
            </w:pPr>
            <w:r w:rsidRPr="007D15C3">
              <w:rPr>
                <w:rFonts w:cs="Calibri"/>
              </w:rPr>
              <w:t xml:space="preserve">             174,876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5E72E0" w14:textId="77777777">
            <w:pPr>
              <w:rPr>
                <w:rFonts w:cs="Calibri"/>
              </w:rPr>
            </w:pPr>
            <w:r w:rsidRPr="007D15C3">
              <w:rPr>
                <w:rFonts w:cs="Calibri"/>
              </w:rPr>
              <w:t xml:space="preserve">               152,861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69F26F" w14:textId="77777777">
            <w:pPr>
              <w:jc w:val="right"/>
              <w:rPr>
                <w:rFonts w:cs="Calibri"/>
              </w:rPr>
            </w:pPr>
            <w:r w:rsidRPr="007D15C3">
              <w:rPr>
                <w:rFonts w:cs="Calibri"/>
              </w:rPr>
              <w:t>$1,198</w:t>
            </w:r>
          </w:p>
        </w:tc>
      </w:tr>
      <w:tr w14:paraId="5BCC13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A4E16B" w14:textId="77777777">
            <w:pPr>
              <w:jc w:val="center"/>
              <w:rPr>
                <w:rFonts w:cs="Calibri"/>
              </w:rPr>
            </w:pPr>
            <w:r w:rsidRPr="007D15C3">
              <w:rPr>
                <w:rFonts w:cs="Calibri"/>
              </w:rPr>
              <w:t>8284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688CC1" w14:textId="77777777">
            <w:pPr>
              <w:jc w:val="center"/>
              <w:rPr>
                <w:rFonts w:cs="Calibri"/>
              </w:rPr>
            </w:pPr>
            <w:r w:rsidRPr="007D15C3">
              <w:rPr>
                <w:rFonts w:cs="Calibri"/>
              </w:rPr>
              <w:t>KOTI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EC9B83" w14:textId="77777777">
            <w:pPr>
              <w:rPr>
                <w:rFonts w:cs="Calibri"/>
              </w:rPr>
            </w:pPr>
            <w:r w:rsidRPr="007D15C3">
              <w:rPr>
                <w:rFonts w:cs="Calibri"/>
              </w:rPr>
              <w:t xml:space="preserve">             298,175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16AA6F" w14:textId="77777777">
            <w:pPr>
              <w:rPr>
                <w:rFonts w:cs="Calibri"/>
              </w:rPr>
            </w:pPr>
            <w:r w:rsidRPr="007D15C3">
              <w:rPr>
                <w:rFonts w:cs="Calibri"/>
              </w:rPr>
              <w:t xml:space="preserve">                 97,132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9546DB" w14:textId="77777777">
            <w:pPr>
              <w:jc w:val="right"/>
              <w:rPr>
                <w:rFonts w:cs="Calibri"/>
              </w:rPr>
            </w:pPr>
            <w:r w:rsidRPr="007D15C3">
              <w:rPr>
                <w:rFonts w:cs="Calibri"/>
              </w:rPr>
              <w:t>$761</w:t>
            </w:r>
          </w:p>
        </w:tc>
      </w:tr>
      <w:tr w14:paraId="587797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25592B" w14:textId="77777777">
            <w:pPr>
              <w:jc w:val="center"/>
              <w:rPr>
                <w:rFonts w:cs="Calibri"/>
              </w:rPr>
            </w:pPr>
            <w:r w:rsidRPr="007D15C3">
              <w:rPr>
                <w:rFonts w:cs="Calibri"/>
              </w:rPr>
              <w:t>35434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DA99F2" w14:textId="77777777">
            <w:pPr>
              <w:jc w:val="center"/>
              <w:rPr>
                <w:rFonts w:cs="Calibri"/>
              </w:rPr>
            </w:pPr>
            <w:r w:rsidRPr="007D15C3">
              <w:rPr>
                <w:rFonts w:cs="Calibri"/>
              </w:rPr>
              <w:t>KOTV-DT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508BCA" w14:textId="77777777">
            <w:pPr>
              <w:rPr>
                <w:rFonts w:cs="Calibri"/>
              </w:rPr>
            </w:pPr>
            <w:r w:rsidRPr="007D15C3">
              <w:rPr>
                <w:rFonts w:cs="Calibri"/>
              </w:rPr>
              <w:t xml:space="preserve">          1,417,675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0FAB09" w14:textId="77777777">
            <w:pPr>
              <w:rPr>
                <w:rFonts w:cs="Calibri"/>
              </w:rPr>
            </w:pPr>
            <w:r w:rsidRPr="007D15C3">
              <w:rPr>
                <w:rFonts w:cs="Calibri"/>
              </w:rPr>
              <w:t xml:space="preserve">            1,403,021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214C44" w14:textId="77777777">
            <w:pPr>
              <w:jc w:val="right"/>
              <w:rPr>
                <w:rFonts w:cs="Calibri"/>
              </w:rPr>
            </w:pPr>
            <w:r w:rsidRPr="007D15C3">
              <w:rPr>
                <w:rFonts w:cs="Calibri"/>
              </w:rPr>
              <w:t>$10,995</w:t>
            </w:r>
          </w:p>
        </w:tc>
      </w:tr>
      <w:tr w14:paraId="16D47E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0C6D62" w14:textId="77777777">
            <w:pPr>
              <w:jc w:val="center"/>
              <w:rPr>
                <w:rFonts w:cs="Calibri"/>
              </w:rPr>
            </w:pPr>
            <w:r w:rsidRPr="007D15C3">
              <w:rPr>
                <w:rFonts w:cs="Calibri"/>
              </w:rPr>
              <w:t>56550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CD4655" w14:textId="77777777">
            <w:pPr>
              <w:jc w:val="center"/>
              <w:rPr>
                <w:rFonts w:cs="Calibri"/>
              </w:rPr>
            </w:pPr>
            <w:r w:rsidRPr="007D15C3">
              <w:rPr>
                <w:rFonts w:cs="Calibri"/>
              </w:rPr>
              <w:t>KOVR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0FFCED" w14:textId="77777777">
            <w:pPr>
              <w:rPr>
                <w:rFonts w:cs="Calibri"/>
              </w:rPr>
            </w:pPr>
            <w:r w:rsidRPr="007D15C3">
              <w:rPr>
                <w:rFonts w:cs="Calibri"/>
              </w:rPr>
              <w:t xml:space="preserve">        10,759,811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66E5F8" w14:textId="77777777">
            <w:pPr>
              <w:rPr>
                <w:rFonts w:cs="Calibri"/>
              </w:rPr>
            </w:pPr>
            <w:r w:rsidRPr="007D15C3">
              <w:rPr>
                <w:rFonts w:cs="Calibri"/>
              </w:rPr>
              <w:t xml:space="preserve">            7,100,710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9114B6" w14:textId="77777777">
            <w:pPr>
              <w:jc w:val="right"/>
              <w:rPr>
                <w:rFonts w:cs="Calibri"/>
              </w:rPr>
            </w:pPr>
            <w:r w:rsidRPr="007D15C3">
              <w:rPr>
                <w:rFonts w:cs="Calibri"/>
              </w:rPr>
              <w:t>$55,648</w:t>
            </w:r>
          </w:p>
        </w:tc>
      </w:tr>
      <w:tr w14:paraId="73F371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F6B28A" w14:textId="77777777">
            <w:pPr>
              <w:jc w:val="center"/>
              <w:rPr>
                <w:rFonts w:cs="Calibri"/>
              </w:rPr>
            </w:pPr>
            <w:r w:rsidRPr="007D15C3">
              <w:rPr>
                <w:rFonts w:cs="Calibri"/>
              </w:rPr>
              <w:t>51101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2C4514" w14:textId="77777777">
            <w:pPr>
              <w:jc w:val="center"/>
              <w:rPr>
                <w:rFonts w:cs="Calibri"/>
              </w:rPr>
            </w:pPr>
            <w:r w:rsidRPr="007D15C3">
              <w:rPr>
                <w:rFonts w:cs="Calibri"/>
              </w:rPr>
              <w:t>KOZJ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62EE4E" w14:textId="77777777">
            <w:pPr>
              <w:rPr>
                <w:rFonts w:cs="Calibri"/>
              </w:rPr>
            </w:pPr>
            <w:r w:rsidRPr="007D15C3">
              <w:rPr>
                <w:rFonts w:cs="Calibri"/>
              </w:rPr>
              <w:t xml:space="preserve">             429,982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5CD83D" w14:textId="77777777">
            <w:pPr>
              <w:rPr>
                <w:rFonts w:cs="Calibri"/>
              </w:rPr>
            </w:pPr>
            <w:r w:rsidRPr="007D15C3">
              <w:rPr>
                <w:rFonts w:cs="Calibri"/>
              </w:rPr>
              <w:t xml:space="preserve">               427,991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E074F4" w14:textId="77777777">
            <w:pPr>
              <w:jc w:val="right"/>
              <w:rPr>
                <w:rFonts w:cs="Calibri"/>
              </w:rPr>
            </w:pPr>
            <w:r w:rsidRPr="007D15C3">
              <w:rPr>
                <w:rFonts w:cs="Calibri"/>
              </w:rPr>
              <w:t>$3,354</w:t>
            </w:r>
          </w:p>
        </w:tc>
      </w:tr>
      <w:tr w14:paraId="62893D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556867" w14:textId="77777777">
            <w:pPr>
              <w:jc w:val="center"/>
              <w:rPr>
                <w:rFonts w:cs="Calibri"/>
              </w:rPr>
            </w:pPr>
            <w:r w:rsidRPr="007D15C3">
              <w:rPr>
                <w:rFonts w:cs="Calibri"/>
              </w:rPr>
              <w:t>51102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9326D6" w14:textId="77777777">
            <w:pPr>
              <w:jc w:val="center"/>
              <w:rPr>
                <w:rFonts w:cs="Calibri"/>
              </w:rPr>
            </w:pPr>
            <w:r w:rsidRPr="007D15C3">
              <w:rPr>
                <w:rFonts w:cs="Calibri"/>
              </w:rPr>
              <w:t>KOZK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45BD68" w14:textId="77777777">
            <w:pPr>
              <w:rPr>
                <w:rFonts w:cs="Calibri"/>
              </w:rPr>
            </w:pPr>
            <w:r w:rsidRPr="007D15C3">
              <w:rPr>
                <w:rFonts w:cs="Calibri"/>
              </w:rPr>
              <w:t xml:space="preserve">             836,532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7FF434" w14:textId="77777777">
            <w:pPr>
              <w:rPr>
                <w:rFonts w:cs="Calibri"/>
              </w:rPr>
            </w:pPr>
            <w:r w:rsidRPr="007D15C3">
              <w:rPr>
                <w:rFonts w:cs="Calibri"/>
              </w:rPr>
              <w:t xml:space="preserve">               825,077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C85C49" w14:textId="77777777">
            <w:pPr>
              <w:jc w:val="right"/>
              <w:rPr>
                <w:rFonts w:cs="Calibri"/>
              </w:rPr>
            </w:pPr>
            <w:r w:rsidRPr="007D15C3">
              <w:rPr>
                <w:rFonts w:cs="Calibri"/>
              </w:rPr>
              <w:t>$6,466</w:t>
            </w:r>
          </w:p>
        </w:tc>
      </w:tr>
      <w:tr w14:paraId="694B26D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16AC29" w14:textId="77777777">
            <w:pPr>
              <w:jc w:val="center"/>
              <w:rPr>
                <w:rFonts w:cs="Calibri"/>
              </w:rPr>
            </w:pPr>
            <w:r w:rsidRPr="007D15C3">
              <w:rPr>
                <w:rFonts w:cs="Calibri"/>
              </w:rPr>
              <w:t>3659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D7842C" w14:textId="77777777">
            <w:pPr>
              <w:jc w:val="center"/>
              <w:rPr>
                <w:rFonts w:cs="Calibri"/>
              </w:rPr>
            </w:pPr>
            <w:r w:rsidRPr="007D15C3">
              <w:rPr>
                <w:rFonts w:cs="Calibri"/>
              </w:rPr>
              <w:t>KOZL-TV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F67FAC" w14:textId="77777777">
            <w:pPr>
              <w:rPr>
                <w:rFonts w:cs="Calibri"/>
              </w:rPr>
            </w:pPr>
            <w:r w:rsidRPr="007D15C3">
              <w:rPr>
                <w:rFonts w:cs="Calibri"/>
              </w:rPr>
              <w:t xml:space="preserve">             992,495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8CD4B4" w14:textId="77777777">
            <w:pPr>
              <w:rPr>
                <w:rFonts w:cs="Calibri"/>
              </w:rPr>
            </w:pPr>
            <w:r w:rsidRPr="007D15C3">
              <w:rPr>
                <w:rFonts w:cs="Calibri"/>
              </w:rPr>
              <w:t xml:space="preserve">               963,281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C8FAD1" w14:textId="77777777">
            <w:pPr>
              <w:jc w:val="right"/>
              <w:rPr>
                <w:rFonts w:cs="Calibri"/>
              </w:rPr>
            </w:pPr>
            <w:r w:rsidRPr="007D15C3">
              <w:rPr>
                <w:rFonts w:cs="Calibri"/>
              </w:rPr>
              <w:t>$7,549</w:t>
            </w:r>
          </w:p>
        </w:tc>
      </w:tr>
      <w:tr w14:paraId="686BA484"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1D5315" w14:textId="77777777">
            <w:pPr>
              <w:jc w:val="center"/>
              <w:rPr>
                <w:rFonts w:cs="Calibri"/>
              </w:rPr>
            </w:pPr>
            <w:r w:rsidRPr="007D15C3">
              <w:rPr>
                <w:rFonts w:cs="Calibri"/>
              </w:rPr>
              <w:t>35455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17090BB9" w14:textId="77777777">
            <w:pPr>
              <w:jc w:val="center"/>
              <w:rPr>
                <w:rFonts w:cs="Calibri"/>
              </w:rPr>
            </w:pPr>
            <w:r w:rsidRPr="007D15C3">
              <w:rPr>
                <w:rFonts w:cs="Calibri"/>
              </w:rPr>
              <w:t>KPAX-TV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1136970" w14:textId="77777777">
            <w:pPr>
              <w:rPr>
                <w:rFonts w:cs="Calibri"/>
              </w:rPr>
            </w:pPr>
            <w:r w:rsidRPr="007D15C3">
              <w:rPr>
                <w:rFonts w:cs="Calibri"/>
              </w:rPr>
              <w:t xml:space="preserve">             206,895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0C0C520" w14:textId="77777777">
            <w:pPr>
              <w:rPr>
                <w:rFonts w:cs="Calibri"/>
              </w:rPr>
            </w:pPr>
            <w:r w:rsidRPr="007D15C3">
              <w:rPr>
                <w:rFonts w:cs="Calibri"/>
              </w:rPr>
              <w:t xml:space="preserve">               193,201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E575BDB" w14:textId="77777777">
            <w:pPr>
              <w:jc w:val="right"/>
              <w:rPr>
                <w:rFonts w:cs="Calibri"/>
              </w:rPr>
            </w:pPr>
            <w:r w:rsidRPr="007D15C3">
              <w:rPr>
                <w:rFonts w:cs="Calibri"/>
              </w:rPr>
              <w:t>$1,514</w:t>
            </w:r>
          </w:p>
        </w:tc>
      </w:tr>
      <w:tr w14:paraId="211DEF1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93527E" w14:textId="77777777">
            <w:pPr>
              <w:jc w:val="center"/>
              <w:rPr>
                <w:rFonts w:cs="Calibri"/>
              </w:rPr>
            </w:pPr>
            <w:r w:rsidRPr="007D15C3">
              <w:rPr>
                <w:rFonts w:cs="Calibri"/>
              </w:rPr>
              <w:t>67868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D06CE3" w14:textId="77777777">
            <w:pPr>
              <w:jc w:val="center"/>
              <w:rPr>
                <w:rFonts w:cs="Calibri"/>
              </w:rPr>
            </w:pPr>
            <w:r w:rsidRPr="007D15C3">
              <w:rPr>
                <w:rFonts w:cs="Calibri"/>
              </w:rPr>
              <w:t>KPAZ-TV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EE1463" w14:textId="77777777">
            <w:pPr>
              <w:rPr>
                <w:rFonts w:cs="Calibri"/>
              </w:rPr>
            </w:pPr>
            <w:r w:rsidRPr="007D15C3">
              <w:rPr>
                <w:rFonts w:cs="Calibri"/>
              </w:rPr>
              <w:t xml:space="preserve">          4,190,080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90DE3A" w14:textId="77777777">
            <w:pPr>
              <w:rPr>
                <w:rFonts w:cs="Calibri"/>
              </w:rPr>
            </w:pPr>
            <w:r w:rsidRPr="007D15C3">
              <w:rPr>
                <w:rFonts w:cs="Calibri"/>
              </w:rPr>
              <w:t xml:space="preserve">            4,176,323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AA1CC1" w14:textId="77777777">
            <w:pPr>
              <w:jc w:val="right"/>
              <w:rPr>
                <w:rFonts w:cs="Calibri"/>
              </w:rPr>
            </w:pPr>
            <w:r w:rsidRPr="007D15C3">
              <w:rPr>
                <w:rFonts w:cs="Calibri"/>
              </w:rPr>
              <w:t>$32,730</w:t>
            </w:r>
          </w:p>
        </w:tc>
      </w:tr>
      <w:tr w14:paraId="1B05633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6AB43B" w14:textId="77777777">
            <w:pPr>
              <w:jc w:val="center"/>
              <w:rPr>
                <w:rFonts w:cs="Calibri"/>
              </w:rPr>
            </w:pPr>
            <w:r w:rsidRPr="007D15C3">
              <w:rPr>
                <w:rFonts w:cs="Calibri"/>
              </w:rPr>
              <w:t>6124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90F19B" w14:textId="77777777">
            <w:pPr>
              <w:jc w:val="center"/>
              <w:rPr>
                <w:rFonts w:cs="Calibri"/>
              </w:rPr>
            </w:pPr>
            <w:r w:rsidRPr="007D15C3">
              <w:rPr>
                <w:rFonts w:cs="Calibri"/>
              </w:rPr>
              <w:t>KPBS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91ADA9" w14:textId="77777777">
            <w:pPr>
              <w:rPr>
                <w:rFonts w:cs="Calibri"/>
              </w:rPr>
            </w:pPr>
            <w:r w:rsidRPr="007D15C3">
              <w:rPr>
                <w:rFonts w:cs="Calibri"/>
              </w:rPr>
              <w:t xml:space="preserve">          3,584,237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C00AE1" w14:textId="77777777">
            <w:pPr>
              <w:rPr>
                <w:rFonts w:cs="Calibri"/>
              </w:rPr>
            </w:pPr>
            <w:r w:rsidRPr="007D15C3">
              <w:rPr>
                <w:rFonts w:cs="Calibri"/>
              </w:rPr>
              <w:t xml:space="preserve">            3,463,189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6E3574" w14:textId="77777777">
            <w:pPr>
              <w:jc w:val="right"/>
              <w:rPr>
                <w:rFonts w:cs="Calibri"/>
              </w:rPr>
            </w:pPr>
            <w:r w:rsidRPr="007D15C3">
              <w:rPr>
                <w:rFonts w:cs="Calibri"/>
              </w:rPr>
              <w:t>$27,141</w:t>
            </w:r>
          </w:p>
        </w:tc>
      </w:tr>
      <w:tr w14:paraId="536FD7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BBA758" w14:textId="77777777">
            <w:pPr>
              <w:jc w:val="center"/>
              <w:rPr>
                <w:rFonts w:cs="Calibri"/>
              </w:rPr>
            </w:pPr>
            <w:r w:rsidRPr="007D15C3">
              <w:rPr>
                <w:rFonts w:cs="Calibri"/>
              </w:rPr>
              <w:t>50044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0FB290" w14:textId="77777777">
            <w:pPr>
              <w:jc w:val="center"/>
              <w:rPr>
                <w:rFonts w:cs="Calibri"/>
              </w:rPr>
            </w:pPr>
            <w:r w:rsidRPr="007D15C3">
              <w:rPr>
                <w:rFonts w:cs="Calibri"/>
              </w:rPr>
              <w:t>KPBT-TV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41FEBF" w14:textId="77777777">
            <w:pPr>
              <w:rPr>
                <w:rFonts w:cs="Calibri"/>
              </w:rPr>
            </w:pPr>
            <w:r w:rsidRPr="007D15C3">
              <w:rPr>
                <w:rFonts w:cs="Calibri"/>
              </w:rPr>
              <w:t xml:space="preserve">             340,080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D6EDAF" w14:textId="77777777">
            <w:pPr>
              <w:rPr>
                <w:rFonts w:cs="Calibri"/>
              </w:rPr>
            </w:pPr>
            <w:r w:rsidRPr="007D15C3">
              <w:rPr>
                <w:rFonts w:cs="Calibri"/>
              </w:rPr>
              <w:t xml:space="preserve">               340,080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6915A2" w14:textId="77777777">
            <w:pPr>
              <w:jc w:val="right"/>
              <w:rPr>
                <w:rFonts w:cs="Calibri"/>
              </w:rPr>
            </w:pPr>
            <w:r w:rsidRPr="007D15C3">
              <w:rPr>
                <w:rFonts w:cs="Calibri"/>
              </w:rPr>
              <w:t>$2,665</w:t>
            </w:r>
          </w:p>
        </w:tc>
      </w:tr>
      <w:tr w14:paraId="34ADEF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AAEF58" w14:textId="77777777">
            <w:pPr>
              <w:jc w:val="center"/>
              <w:rPr>
                <w:rFonts w:cs="Calibri"/>
              </w:rPr>
            </w:pPr>
            <w:r w:rsidRPr="007D15C3">
              <w:rPr>
                <w:rFonts w:cs="Calibri"/>
              </w:rPr>
              <w:t>77452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ACAC08" w14:textId="77777777">
            <w:pPr>
              <w:jc w:val="center"/>
              <w:rPr>
                <w:rFonts w:cs="Calibri"/>
              </w:rPr>
            </w:pPr>
            <w:r w:rsidRPr="007D15C3">
              <w:rPr>
                <w:rFonts w:cs="Calibri"/>
              </w:rPr>
              <w:t>KPCB-DT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50770F" w14:textId="77777777">
            <w:pPr>
              <w:rPr>
                <w:rFonts w:cs="Calibri"/>
              </w:rPr>
            </w:pPr>
            <w:r w:rsidRPr="007D15C3">
              <w:rPr>
                <w:rFonts w:cs="Calibri"/>
              </w:rPr>
              <w:t xml:space="preserve">               30,861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F47794" w14:textId="77777777">
            <w:pPr>
              <w:rPr>
                <w:rFonts w:cs="Calibri"/>
              </w:rPr>
            </w:pPr>
            <w:r w:rsidRPr="007D15C3">
              <w:rPr>
                <w:rFonts w:cs="Calibri"/>
              </w:rPr>
              <w:t xml:space="preserve">                 30,835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9C4FCC" w14:textId="77777777">
            <w:pPr>
              <w:jc w:val="right"/>
              <w:rPr>
                <w:rFonts w:cs="Calibri"/>
              </w:rPr>
            </w:pPr>
            <w:r w:rsidRPr="007D15C3">
              <w:rPr>
                <w:rFonts w:cs="Calibri"/>
              </w:rPr>
              <w:t>$242</w:t>
            </w:r>
          </w:p>
        </w:tc>
      </w:tr>
      <w:tr w14:paraId="3F965B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BF1455" w14:textId="77777777">
            <w:pPr>
              <w:jc w:val="center"/>
              <w:rPr>
                <w:rFonts w:cs="Calibri"/>
              </w:rPr>
            </w:pPr>
            <w:r w:rsidRPr="007D15C3">
              <w:rPr>
                <w:rFonts w:cs="Calibri"/>
              </w:rPr>
              <w:t>35460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7BC451" w14:textId="77777777">
            <w:pPr>
              <w:jc w:val="center"/>
              <w:rPr>
                <w:rFonts w:cs="Calibri"/>
              </w:rPr>
            </w:pPr>
            <w:r w:rsidRPr="007D15C3">
              <w:rPr>
                <w:rFonts w:cs="Calibri"/>
              </w:rPr>
              <w:t>KPDX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271D30" w14:textId="77777777">
            <w:pPr>
              <w:rPr>
                <w:rFonts w:cs="Calibri"/>
              </w:rPr>
            </w:pPr>
            <w:r w:rsidRPr="007D15C3">
              <w:rPr>
                <w:rFonts w:cs="Calibri"/>
              </w:rPr>
              <w:t xml:space="preserve">          2,970,703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977209" w14:textId="77777777">
            <w:pPr>
              <w:rPr>
                <w:rFonts w:cs="Calibri"/>
              </w:rPr>
            </w:pPr>
            <w:r w:rsidRPr="007D15C3">
              <w:rPr>
                <w:rFonts w:cs="Calibri"/>
              </w:rPr>
              <w:t xml:space="preserve">            2,848,423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FE9492" w14:textId="77777777">
            <w:pPr>
              <w:jc w:val="right"/>
              <w:rPr>
                <w:rFonts w:cs="Calibri"/>
              </w:rPr>
            </w:pPr>
            <w:r w:rsidRPr="007D15C3">
              <w:rPr>
                <w:rFonts w:cs="Calibri"/>
              </w:rPr>
              <w:t>$22,323</w:t>
            </w:r>
          </w:p>
        </w:tc>
      </w:tr>
      <w:tr w14:paraId="6C53B37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446C54" w14:textId="77777777">
            <w:pPr>
              <w:jc w:val="center"/>
              <w:rPr>
                <w:rFonts w:cs="Calibri"/>
              </w:rPr>
            </w:pPr>
            <w:r w:rsidRPr="007D15C3">
              <w:rPr>
                <w:rFonts w:cs="Calibri"/>
              </w:rPr>
              <w:t>12524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FC7609" w14:textId="77777777">
            <w:pPr>
              <w:jc w:val="center"/>
              <w:rPr>
                <w:rFonts w:cs="Calibri"/>
              </w:rPr>
            </w:pPr>
            <w:r w:rsidRPr="007D15C3">
              <w:rPr>
                <w:rFonts w:cs="Calibri"/>
              </w:rPr>
              <w:t>KPEJ-TV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48EE7E" w14:textId="77777777">
            <w:pPr>
              <w:rPr>
                <w:rFonts w:cs="Calibri"/>
              </w:rPr>
            </w:pPr>
            <w:r w:rsidRPr="007D15C3">
              <w:rPr>
                <w:rFonts w:cs="Calibri"/>
              </w:rPr>
              <w:t xml:space="preserve">             368,212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F22C98" w14:textId="77777777">
            <w:pPr>
              <w:rPr>
                <w:rFonts w:cs="Calibri"/>
              </w:rPr>
            </w:pPr>
            <w:r w:rsidRPr="007D15C3">
              <w:rPr>
                <w:rFonts w:cs="Calibri"/>
              </w:rPr>
              <w:t xml:space="preserve">               368,208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A58E5F" w14:textId="77777777">
            <w:pPr>
              <w:jc w:val="right"/>
              <w:rPr>
                <w:rFonts w:cs="Calibri"/>
              </w:rPr>
            </w:pPr>
            <w:r w:rsidRPr="007D15C3">
              <w:rPr>
                <w:rFonts w:cs="Calibri"/>
              </w:rPr>
              <w:t>$2,886</w:t>
            </w:r>
          </w:p>
        </w:tc>
      </w:tr>
      <w:tr w14:paraId="321E23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18DE14" w14:textId="77777777">
            <w:pPr>
              <w:jc w:val="center"/>
              <w:rPr>
                <w:rFonts w:cs="Calibri"/>
              </w:rPr>
            </w:pPr>
            <w:r w:rsidRPr="007D15C3">
              <w:rPr>
                <w:rFonts w:cs="Calibri"/>
              </w:rPr>
              <w:t>41223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0C9D39" w14:textId="77777777">
            <w:pPr>
              <w:jc w:val="center"/>
              <w:rPr>
                <w:rFonts w:cs="Calibri"/>
              </w:rPr>
            </w:pPr>
            <w:r w:rsidRPr="007D15C3">
              <w:rPr>
                <w:rFonts w:cs="Calibri"/>
              </w:rPr>
              <w:t>KPHO-TV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F88C7E" w14:textId="77777777">
            <w:pPr>
              <w:rPr>
                <w:rFonts w:cs="Calibri"/>
              </w:rPr>
            </w:pPr>
            <w:r w:rsidRPr="007D15C3">
              <w:rPr>
                <w:rFonts w:cs="Calibri"/>
              </w:rPr>
              <w:t xml:space="preserve">          4,195,073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32901F" w14:textId="77777777">
            <w:pPr>
              <w:rPr>
                <w:rFonts w:cs="Calibri"/>
              </w:rPr>
            </w:pPr>
            <w:r w:rsidRPr="007D15C3">
              <w:rPr>
                <w:rFonts w:cs="Calibri"/>
              </w:rPr>
              <w:t xml:space="preserve">            4,175,139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CFC0A3" w14:textId="77777777">
            <w:pPr>
              <w:jc w:val="right"/>
              <w:rPr>
                <w:rFonts w:cs="Calibri"/>
              </w:rPr>
            </w:pPr>
            <w:r w:rsidRPr="007D15C3">
              <w:rPr>
                <w:rFonts w:cs="Calibri"/>
              </w:rPr>
              <w:t>$32,721</w:t>
            </w:r>
          </w:p>
        </w:tc>
      </w:tr>
      <w:tr w14:paraId="4FC35F0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348577" w14:textId="77777777">
            <w:pPr>
              <w:jc w:val="center"/>
              <w:rPr>
                <w:rFonts w:cs="Calibri"/>
              </w:rPr>
            </w:pPr>
            <w:r w:rsidRPr="007D15C3">
              <w:rPr>
                <w:rFonts w:cs="Calibri"/>
              </w:rPr>
              <w:t>61551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F0FFD7" w14:textId="77777777">
            <w:pPr>
              <w:jc w:val="center"/>
              <w:rPr>
                <w:rFonts w:cs="Calibri"/>
              </w:rPr>
            </w:pPr>
            <w:r w:rsidRPr="007D15C3">
              <w:rPr>
                <w:rFonts w:cs="Calibri"/>
              </w:rPr>
              <w:t>KPIC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93E498" w14:textId="77777777">
            <w:pPr>
              <w:rPr>
                <w:rFonts w:cs="Calibri"/>
              </w:rPr>
            </w:pPr>
            <w:r w:rsidRPr="007D15C3">
              <w:rPr>
                <w:rFonts w:cs="Calibri"/>
              </w:rPr>
              <w:t xml:space="preserve">             156,687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B5A76A" w14:textId="77777777">
            <w:pPr>
              <w:rPr>
                <w:rFonts w:cs="Calibri"/>
              </w:rPr>
            </w:pPr>
            <w:r w:rsidRPr="007D15C3">
              <w:rPr>
                <w:rFonts w:cs="Calibri"/>
              </w:rPr>
              <w:t xml:space="preserve">               105,807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E43B49" w14:textId="77777777">
            <w:pPr>
              <w:jc w:val="right"/>
              <w:rPr>
                <w:rFonts w:cs="Calibri"/>
              </w:rPr>
            </w:pPr>
            <w:r w:rsidRPr="007D15C3">
              <w:rPr>
                <w:rFonts w:cs="Calibri"/>
              </w:rPr>
              <w:t>$829</w:t>
            </w:r>
          </w:p>
        </w:tc>
      </w:tr>
      <w:tr w14:paraId="17DC75B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222F32" w14:textId="77777777">
            <w:pPr>
              <w:jc w:val="center"/>
              <w:rPr>
                <w:rFonts w:cs="Calibri"/>
              </w:rPr>
            </w:pPr>
            <w:r w:rsidRPr="007D15C3">
              <w:rPr>
                <w:rFonts w:cs="Calibri"/>
              </w:rPr>
              <w:t>86205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7950DA" w14:textId="77777777">
            <w:pPr>
              <w:jc w:val="center"/>
              <w:rPr>
                <w:rFonts w:cs="Calibri"/>
              </w:rPr>
            </w:pPr>
            <w:r w:rsidRPr="007D15C3">
              <w:rPr>
                <w:rFonts w:cs="Calibri"/>
              </w:rPr>
              <w:t>KPIF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1FA42B" w14:textId="77777777">
            <w:pPr>
              <w:rPr>
                <w:rFonts w:cs="Calibri"/>
              </w:rPr>
            </w:pPr>
            <w:r w:rsidRPr="007D15C3">
              <w:rPr>
                <w:rFonts w:cs="Calibri"/>
              </w:rPr>
              <w:t xml:space="preserve">             255,766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E9F1D1" w14:textId="77777777">
            <w:pPr>
              <w:rPr>
                <w:rFonts w:cs="Calibri"/>
              </w:rPr>
            </w:pPr>
            <w:r w:rsidRPr="007D15C3">
              <w:rPr>
                <w:rFonts w:cs="Calibri"/>
              </w:rPr>
              <w:t xml:space="preserve">               250,517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EEC3DB" w14:textId="77777777">
            <w:pPr>
              <w:jc w:val="right"/>
              <w:rPr>
                <w:rFonts w:cs="Calibri"/>
              </w:rPr>
            </w:pPr>
            <w:r w:rsidRPr="007D15C3">
              <w:rPr>
                <w:rFonts w:cs="Calibri"/>
              </w:rPr>
              <w:t>$1,963</w:t>
            </w:r>
          </w:p>
        </w:tc>
      </w:tr>
      <w:tr w14:paraId="7099CA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9D8A94" w14:textId="77777777">
            <w:pPr>
              <w:jc w:val="center"/>
              <w:rPr>
                <w:rFonts w:cs="Calibri"/>
              </w:rPr>
            </w:pPr>
            <w:r w:rsidRPr="007D15C3">
              <w:rPr>
                <w:rFonts w:cs="Calibri"/>
              </w:rPr>
              <w:t>25452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DA5570" w14:textId="77777777">
            <w:pPr>
              <w:jc w:val="center"/>
              <w:rPr>
                <w:rFonts w:cs="Calibri"/>
              </w:rPr>
            </w:pPr>
            <w:r w:rsidRPr="007D15C3">
              <w:rPr>
                <w:rFonts w:cs="Calibri"/>
              </w:rPr>
              <w:t>KPIX-TV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0C8554" w14:textId="77777777">
            <w:pPr>
              <w:rPr>
                <w:rFonts w:cs="Calibri"/>
              </w:rPr>
            </w:pPr>
            <w:r w:rsidRPr="007D15C3">
              <w:rPr>
                <w:rFonts w:cs="Calibri"/>
              </w:rPr>
              <w:t xml:space="preserve">          8,340,753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63A09D" w14:textId="77777777">
            <w:pPr>
              <w:rPr>
                <w:rFonts w:cs="Calibri"/>
              </w:rPr>
            </w:pPr>
            <w:r w:rsidRPr="007D15C3">
              <w:rPr>
                <w:rFonts w:cs="Calibri"/>
              </w:rPr>
              <w:t xml:space="preserve">            7,480,594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156A40" w14:textId="77777777">
            <w:pPr>
              <w:jc w:val="right"/>
              <w:rPr>
                <w:rFonts w:cs="Calibri"/>
              </w:rPr>
            </w:pPr>
            <w:r w:rsidRPr="007D15C3">
              <w:rPr>
                <w:rFonts w:cs="Calibri"/>
              </w:rPr>
              <w:t>$58,625</w:t>
            </w:r>
          </w:p>
        </w:tc>
      </w:tr>
      <w:tr w14:paraId="689BB85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EB31C4" w14:textId="77777777">
            <w:pPr>
              <w:jc w:val="center"/>
              <w:rPr>
                <w:rFonts w:cs="Calibri"/>
              </w:rPr>
            </w:pPr>
            <w:r w:rsidRPr="007D15C3">
              <w:rPr>
                <w:rFonts w:cs="Calibri"/>
              </w:rPr>
              <w:t>58912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E122D1" w14:textId="77777777">
            <w:pPr>
              <w:jc w:val="center"/>
              <w:rPr>
                <w:rFonts w:cs="Calibri"/>
              </w:rPr>
            </w:pPr>
            <w:r w:rsidRPr="007D15C3">
              <w:rPr>
                <w:rFonts w:cs="Calibri"/>
              </w:rPr>
              <w:t>KPJK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017402" w14:textId="77777777">
            <w:pPr>
              <w:rPr>
                <w:rFonts w:cs="Calibri"/>
              </w:rPr>
            </w:pPr>
            <w:r w:rsidRPr="007D15C3">
              <w:rPr>
                <w:rFonts w:cs="Calibri"/>
              </w:rPr>
              <w:t xml:space="preserve">          7,672,473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CC4086" w14:textId="77777777">
            <w:pPr>
              <w:rPr>
                <w:rFonts w:cs="Calibri"/>
              </w:rPr>
            </w:pPr>
            <w:r w:rsidRPr="007D15C3">
              <w:rPr>
                <w:rFonts w:cs="Calibri"/>
              </w:rPr>
              <w:t xml:space="preserve">            6,652,674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D43FAE" w14:textId="77777777">
            <w:pPr>
              <w:jc w:val="right"/>
              <w:rPr>
                <w:rFonts w:cs="Calibri"/>
              </w:rPr>
            </w:pPr>
            <w:r w:rsidRPr="007D15C3">
              <w:rPr>
                <w:rFonts w:cs="Calibri"/>
              </w:rPr>
              <w:t>$52,137</w:t>
            </w:r>
          </w:p>
        </w:tc>
      </w:tr>
      <w:tr w14:paraId="0138B8B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FCFD43" w14:textId="77777777">
            <w:pPr>
              <w:jc w:val="center"/>
              <w:rPr>
                <w:rFonts w:cs="Calibri"/>
              </w:rPr>
            </w:pPr>
            <w:r w:rsidRPr="007D15C3">
              <w:rPr>
                <w:rFonts w:cs="Calibri"/>
              </w:rPr>
              <w:t>166510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8CCAA1" w14:textId="77777777">
            <w:pPr>
              <w:jc w:val="center"/>
              <w:rPr>
                <w:rFonts w:cs="Calibri"/>
              </w:rPr>
            </w:pPr>
            <w:r w:rsidRPr="007D15C3">
              <w:rPr>
                <w:rFonts w:cs="Calibri"/>
              </w:rPr>
              <w:t>KPJR-TV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4673C8" w14:textId="77777777">
            <w:pPr>
              <w:rPr>
                <w:rFonts w:cs="Calibri"/>
              </w:rPr>
            </w:pPr>
            <w:r w:rsidRPr="007D15C3">
              <w:rPr>
                <w:rFonts w:cs="Calibri"/>
              </w:rPr>
              <w:t xml:space="preserve">          3,402,088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D48BB5" w14:textId="77777777">
            <w:pPr>
              <w:rPr>
                <w:rFonts w:cs="Calibri"/>
              </w:rPr>
            </w:pPr>
            <w:r w:rsidRPr="007D15C3">
              <w:rPr>
                <w:rFonts w:cs="Calibri"/>
              </w:rPr>
              <w:t xml:space="preserve">            3,372,831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00869A" w14:textId="77777777">
            <w:pPr>
              <w:jc w:val="right"/>
              <w:rPr>
                <w:rFonts w:cs="Calibri"/>
              </w:rPr>
            </w:pPr>
            <w:r w:rsidRPr="007D15C3">
              <w:rPr>
                <w:rFonts w:cs="Calibri"/>
              </w:rPr>
              <w:t>$26,433</w:t>
            </w:r>
          </w:p>
        </w:tc>
      </w:tr>
      <w:tr w14:paraId="3DF2CCA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12CDD8" w14:textId="77777777">
            <w:pPr>
              <w:jc w:val="center"/>
              <w:rPr>
                <w:rFonts w:cs="Calibri"/>
              </w:rPr>
            </w:pPr>
            <w:r w:rsidRPr="007D15C3">
              <w:rPr>
                <w:rFonts w:cs="Calibri"/>
              </w:rPr>
              <w:t>13994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6FCC5D" w14:textId="77777777">
            <w:pPr>
              <w:jc w:val="center"/>
              <w:rPr>
                <w:rFonts w:cs="Calibri"/>
              </w:rPr>
            </w:pPr>
            <w:r w:rsidRPr="007D15C3">
              <w:rPr>
                <w:rFonts w:cs="Calibri"/>
              </w:rPr>
              <w:t>KPLC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FFB239" w14:textId="77777777">
            <w:pPr>
              <w:rPr>
                <w:rFonts w:cs="Calibri"/>
              </w:rPr>
            </w:pPr>
            <w:r w:rsidRPr="007D15C3">
              <w:rPr>
                <w:rFonts w:cs="Calibri"/>
              </w:rPr>
              <w:t xml:space="preserve">          1,406,085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651584" w14:textId="77777777">
            <w:pPr>
              <w:rPr>
                <w:rFonts w:cs="Calibri"/>
              </w:rPr>
            </w:pPr>
            <w:r w:rsidRPr="007D15C3">
              <w:rPr>
                <w:rFonts w:cs="Calibri"/>
              </w:rPr>
              <w:t xml:space="preserve">            1,403,853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F73682" w14:textId="77777777">
            <w:pPr>
              <w:jc w:val="right"/>
              <w:rPr>
                <w:rFonts w:cs="Calibri"/>
              </w:rPr>
            </w:pPr>
            <w:r w:rsidRPr="007D15C3">
              <w:rPr>
                <w:rFonts w:cs="Calibri"/>
              </w:rPr>
              <w:t>$11,002</w:t>
            </w:r>
          </w:p>
        </w:tc>
      </w:tr>
      <w:tr w14:paraId="4D4A85A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A10732" w14:textId="77777777">
            <w:pPr>
              <w:jc w:val="center"/>
              <w:rPr>
                <w:rFonts w:cs="Calibri"/>
              </w:rPr>
            </w:pPr>
            <w:r w:rsidRPr="007D15C3">
              <w:rPr>
                <w:rFonts w:cs="Calibri"/>
              </w:rPr>
              <w:t>41964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9DC051" w14:textId="77777777">
            <w:pPr>
              <w:jc w:val="center"/>
              <w:rPr>
                <w:rFonts w:cs="Calibri"/>
              </w:rPr>
            </w:pPr>
            <w:r w:rsidRPr="007D15C3">
              <w:rPr>
                <w:rFonts w:cs="Calibri"/>
              </w:rPr>
              <w:t>KPLO-TV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E78AE9" w14:textId="77777777">
            <w:pPr>
              <w:rPr>
                <w:rFonts w:cs="Calibri"/>
              </w:rPr>
            </w:pPr>
            <w:r w:rsidRPr="007D15C3">
              <w:rPr>
                <w:rFonts w:cs="Calibri"/>
              </w:rPr>
              <w:t xml:space="preserve">               55,827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C90249" w14:textId="77777777">
            <w:pPr>
              <w:rPr>
                <w:rFonts w:cs="Calibri"/>
              </w:rPr>
            </w:pPr>
            <w:r w:rsidRPr="007D15C3">
              <w:rPr>
                <w:rFonts w:cs="Calibri"/>
              </w:rPr>
              <w:t xml:space="preserve">                 52,765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6964BE" w14:textId="77777777">
            <w:pPr>
              <w:jc w:val="right"/>
              <w:rPr>
                <w:rFonts w:cs="Calibri"/>
              </w:rPr>
            </w:pPr>
            <w:r w:rsidRPr="007D15C3">
              <w:rPr>
                <w:rFonts w:cs="Calibri"/>
              </w:rPr>
              <w:t>$414</w:t>
            </w:r>
          </w:p>
        </w:tc>
      </w:tr>
      <w:tr w14:paraId="2F995F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F6D740" w14:textId="77777777">
            <w:pPr>
              <w:jc w:val="center"/>
              <w:rPr>
                <w:rFonts w:cs="Calibri"/>
              </w:rPr>
            </w:pPr>
            <w:r w:rsidRPr="007D15C3">
              <w:rPr>
                <w:rFonts w:cs="Calibri"/>
              </w:rPr>
              <w:t>35417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AC7BD5" w14:textId="77777777">
            <w:pPr>
              <w:jc w:val="center"/>
              <w:rPr>
                <w:rFonts w:cs="Calibri"/>
              </w:rPr>
            </w:pPr>
            <w:r w:rsidRPr="007D15C3">
              <w:rPr>
                <w:rFonts w:cs="Calibri"/>
              </w:rPr>
              <w:t>KPLR-TV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175C17" w14:textId="77777777">
            <w:pPr>
              <w:rPr>
                <w:rFonts w:cs="Calibri"/>
              </w:rPr>
            </w:pPr>
            <w:r w:rsidRPr="007D15C3">
              <w:rPr>
                <w:rFonts w:cs="Calibri"/>
              </w:rPr>
              <w:t xml:space="preserve">          2,968,619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34C3A8" w14:textId="77777777">
            <w:pPr>
              <w:rPr>
                <w:rFonts w:cs="Calibri"/>
              </w:rPr>
            </w:pPr>
            <w:r w:rsidRPr="007D15C3">
              <w:rPr>
                <w:rFonts w:cs="Calibri"/>
              </w:rPr>
              <w:t xml:space="preserve">            2,965,673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42F40C" w14:textId="77777777">
            <w:pPr>
              <w:jc w:val="right"/>
              <w:rPr>
                <w:rFonts w:cs="Calibri"/>
              </w:rPr>
            </w:pPr>
            <w:r w:rsidRPr="007D15C3">
              <w:rPr>
                <w:rFonts w:cs="Calibri"/>
              </w:rPr>
              <w:t>$23,242</w:t>
            </w:r>
          </w:p>
        </w:tc>
      </w:tr>
      <w:tr w14:paraId="2F50A8C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EDD3C0" w14:textId="77777777">
            <w:pPr>
              <w:jc w:val="center"/>
              <w:rPr>
                <w:rFonts w:cs="Calibri"/>
              </w:rPr>
            </w:pPr>
            <w:r w:rsidRPr="007D15C3">
              <w:rPr>
                <w:rFonts w:cs="Calibri"/>
              </w:rPr>
              <w:t>12144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E144B8" w14:textId="77777777">
            <w:pPr>
              <w:jc w:val="center"/>
              <w:rPr>
                <w:rFonts w:cs="Calibri"/>
              </w:rPr>
            </w:pPr>
            <w:r w:rsidRPr="007D15C3">
              <w:rPr>
                <w:rFonts w:cs="Calibri"/>
              </w:rPr>
              <w:t>KPMR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1603C3" w14:textId="77777777">
            <w:pPr>
              <w:rPr>
                <w:rFonts w:cs="Calibri"/>
              </w:rPr>
            </w:pPr>
            <w:r w:rsidRPr="007D15C3">
              <w:rPr>
                <w:rFonts w:cs="Calibri"/>
              </w:rPr>
              <w:t xml:space="preserve">          1,731,370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9B1D2B" w14:textId="77777777">
            <w:pPr>
              <w:rPr>
                <w:rFonts w:cs="Calibri"/>
              </w:rPr>
            </w:pPr>
            <w:r w:rsidRPr="007D15C3">
              <w:rPr>
                <w:rFonts w:cs="Calibri"/>
              </w:rPr>
              <w:t xml:space="preserve">            1,473,251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BABF7A" w14:textId="77777777">
            <w:pPr>
              <w:jc w:val="right"/>
              <w:rPr>
                <w:rFonts w:cs="Calibri"/>
              </w:rPr>
            </w:pPr>
            <w:r w:rsidRPr="007D15C3">
              <w:rPr>
                <w:rFonts w:cs="Calibri"/>
              </w:rPr>
              <w:t>$11,546</w:t>
            </w:r>
          </w:p>
        </w:tc>
      </w:tr>
      <w:tr w14:paraId="017B686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66AA49" w14:textId="77777777">
            <w:pPr>
              <w:jc w:val="center"/>
              <w:rPr>
                <w:rFonts w:cs="Calibri"/>
              </w:rPr>
            </w:pPr>
            <w:r w:rsidRPr="007D15C3">
              <w:rPr>
                <w:rFonts w:cs="Calibri"/>
              </w:rPr>
              <w:t>47973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9F98DF" w14:textId="77777777">
            <w:pPr>
              <w:jc w:val="center"/>
              <w:rPr>
                <w:rFonts w:cs="Calibri"/>
              </w:rPr>
            </w:pPr>
            <w:r w:rsidRPr="007D15C3">
              <w:rPr>
                <w:rFonts w:cs="Calibri"/>
              </w:rPr>
              <w:t>KPNE-TV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B8817F" w14:textId="77777777">
            <w:pPr>
              <w:rPr>
                <w:rFonts w:cs="Calibri"/>
              </w:rPr>
            </w:pPr>
            <w:r w:rsidRPr="007D15C3">
              <w:rPr>
                <w:rFonts w:cs="Calibri"/>
              </w:rPr>
              <w:t xml:space="preserve">               92,675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4CC0DA" w14:textId="77777777">
            <w:pPr>
              <w:rPr>
                <w:rFonts w:cs="Calibri"/>
              </w:rPr>
            </w:pPr>
            <w:r w:rsidRPr="007D15C3">
              <w:rPr>
                <w:rFonts w:cs="Calibri"/>
              </w:rPr>
              <w:t xml:space="preserve">                 89,021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8F2B43" w14:textId="77777777">
            <w:pPr>
              <w:jc w:val="right"/>
              <w:rPr>
                <w:rFonts w:cs="Calibri"/>
              </w:rPr>
            </w:pPr>
            <w:r w:rsidRPr="007D15C3">
              <w:rPr>
                <w:rFonts w:cs="Calibri"/>
              </w:rPr>
              <w:t>$698</w:t>
            </w:r>
          </w:p>
        </w:tc>
      </w:tr>
      <w:tr w14:paraId="52567FD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621B8D" w14:textId="77777777">
            <w:pPr>
              <w:jc w:val="center"/>
              <w:rPr>
                <w:rFonts w:cs="Calibri"/>
              </w:rPr>
            </w:pPr>
            <w:r w:rsidRPr="007D15C3">
              <w:rPr>
                <w:rFonts w:cs="Calibri"/>
              </w:rPr>
              <w:t>35486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C7D707" w14:textId="77777777">
            <w:pPr>
              <w:jc w:val="center"/>
              <w:rPr>
                <w:rFonts w:cs="Calibri"/>
              </w:rPr>
            </w:pPr>
            <w:r w:rsidRPr="007D15C3">
              <w:rPr>
                <w:rFonts w:cs="Calibri"/>
              </w:rPr>
              <w:t>KPNX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90EEA7" w14:textId="77777777">
            <w:pPr>
              <w:rPr>
                <w:rFonts w:cs="Calibri"/>
              </w:rPr>
            </w:pPr>
            <w:r w:rsidRPr="007D15C3">
              <w:rPr>
                <w:rFonts w:cs="Calibri"/>
              </w:rPr>
              <w:t xml:space="preserve">          4,215,834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203E9C" w14:textId="77777777">
            <w:pPr>
              <w:rPr>
                <w:rFonts w:cs="Calibri"/>
              </w:rPr>
            </w:pPr>
            <w:r w:rsidRPr="007D15C3">
              <w:rPr>
                <w:rFonts w:cs="Calibri"/>
              </w:rPr>
              <w:t xml:space="preserve">            4,184,428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0E9428" w14:textId="77777777">
            <w:pPr>
              <w:jc w:val="right"/>
              <w:rPr>
                <w:rFonts w:cs="Calibri"/>
              </w:rPr>
            </w:pPr>
            <w:r w:rsidRPr="007D15C3">
              <w:rPr>
                <w:rFonts w:cs="Calibri"/>
              </w:rPr>
              <w:t>$32,793</w:t>
            </w:r>
          </w:p>
        </w:tc>
      </w:tr>
      <w:tr w14:paraId="58CE82C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728B75" w14:textId="77777777">
            <w:pPr>
              <w:jc w:val="center"/>
              <w:rPr>
                <w:rFonts w:cs="Calibri"/>
              </w:rPr>
            </w:pPr>
            <w:r w:rsidRPr="007D15C3">
              <w:rPr>
                <w:rFonts w:cs="Calibri"/>
              </w:rPr>
              <w:t>77512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5CDE1F" w14:textId="77777777">
            <w:pPr>
              <w:jc w:val="center"/>
              <w:rPr>
                <w:rFonts w:cs="Calibri"/>
              </w:rPr>
            </w:pPr>
            <w:r w:rsidRPr="007D15C3">
              <w:rPr>
                <w:rFonts w:cs="Calibri"/>
              </w:rPr>
              <w:t>KPNZ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C22435" w14:textId="77777777">
            <w:pPr>
              <w:rPr>
                <w:rFonts w:cs="Calibri"/>
              </w:rPr>
            </w:pPr>
            <w:r w:rsidRPr="007D15C3">
              <w:rPr>
                <w:rFonts w:cs="Calibri"/>
              </w:rPr>
              <w:t xml:space="preserve">          2,394,311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F3A9AA" w14:textId="77777777">
            <w:pPr>
              <w:rPr>
                <w:rFonts w:cs="Calibri"/>
              </w:rPr>
            </w:pPr>
            <w:r w:rsidRPr="007D15C3">
              <w:rPr>
                <w:rFonts w:cs="Calibri"/>
              </w:rPr>
              <w:t xml:space="preserve">            2,208,707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C0E999" w14:textId="77777777">
            <w:pPr>
              <w:jc w:val="right"/>
              <w:rPr>
                <w:rFonts w:cs="Calibri"/>
              </w:rPr>
            </w:pPr>
            <w:r w:rsidRPr="007D15C3">
              <w:rPr>
                <w:rFonts w:cs="Calibri"/>
              </w:rPr>
              <w:t>$17,310</w:t>
            </w:r>
          </w:p>
        </w:tc>
      </w:tr>
      <w:tr w14:paraId="3A570CD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7AD65F" w14:textId="77777777">
            <w:pPr>
              <w:jc w:val="center"/>
              <w:rPr>
                <w:rFonts w:cs="Calibri"/>
              </w:rPr>
            </w:pPr>
            <w:r w:rsidRPr="007D15C3">
              <w:rPr>
                <w:rFonts w:cs="Calibri"/>
              </w:rPr>
              <w:t>73998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7EAD16" w14:textId="77777777">
            <w:pPr>
              <w:jc w:val="center"/>
              <w:rPr>
                <w:rFonts w:cs="Calibri"/>
              </w:rPr>
            </w:pPr>
            <w:r w:rsidRPr="007D15C3">
              <w:rPr>
                <w:rFonts w:cs="Calibri"/>
              </w:rPr>
              <w:t>KPOB-TV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C31623" w14:textId="77777777">
            <w:pPr>
              <w:rPr>
                <w:rFonts w:cs="Calibri"/>
              </w:rPr>
            </w:pPr>
            <w:r w:rsidRPr="007D15C3">
              <w:rPr>
                <w:rFonts w:cs="Calibri"/>
              </w:rPr>
              <w:t xml:space="preserve">             144,525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34FAD5" w14:textId="77777777">
            <w:pPr>
              <w:rPr>
                <w:rFonts w:cs="Calibri"/>
              </w:rPr>
            </w:pPr>
            <w:r w:rsidRPr="007D15C3">
              <w:rPr>
                <w:rFonts w:cs="Calibri"/>
              </w:rPr>
              <w:t xml:space="preserve">               143,656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87871D" w14:textId="77777777">
            <w:pPr>
              <w:jc w:val="right"/>
              <w:rPr>
                <w:rFonts w:cs="Calibri"/>
              </w:rPr>
            </w:pPr>
            <w:r w:rsidRPr="007D15C3">
              <w:rPr>
                <w:rFonts w:cs="Calibri"/>
              </w:rPr>
              <w:t>$1,126</w:t>
            </w:r>
          </w:p>
        </w:tc>
      </w:tr>
      <w:tr w14:paraId="168FA2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93B15A" w14:textId="77777777">
            <w:pPr>
              <w:jc w:val="center"/>
              <w:rPr>
                <w:rFonts w:cs="Calibri"/>
              </w:rPr>
            </w:pPr>
            <w:r w:rsidRPr="007D15C3">
              <w:rPr>
                <w:rFonts w:cs="Calibri"/>
              </w:rPr>
              <w:t>26655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07941A" w14:textId="77777777">
            <w:pPr>
              <w:jc w:val="center"/>
              <w:rPr>
                <w:rFonts w:cs="Calibri"/>
              </w:rPr>
            </w:pPr>
            <w:r w:rsidRPr="007D15C3">
              <w:rPr>
                <w:rFonts w:cs="Calibri"/>
              </w:rPr>
              <w:t>KPPX-TV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C96B15" w14:textId="77777777">
            <w:pPr>
              <w:rPr>
                <w:rFonts w:cs="Calibri"/>
              </w:rPr>
            </w:pPr>
            <w:r w:rsidRPr="007D15C3">
              <w:rPr>
                <w:rFonts w:cs="Calibri"/>
              </w:rPr>
              <w:t xml:space="preserve">          4,186,998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1DE2F6" w14:textId="77777777">
            <w:pPr>
              <w:rPr>
                <w:rFonts w:cs="Calibri"/>
              </w:rPr>
            </w:pPr>
            <w:r w:rsidRPr="007D15C3">
              <w:rPr>
                <w:rFonts w:cs="Calibri"/>
              </w:rPr>
              <w:t xml:space="preserve">            4,171,450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98EB82" w14:textId="77777777">
            <w:pPr>
              <w:jc w:val="right"/>
              <w:rPr>
                <w:rFonts w:cs="Calibri"/>
              </w:rPr>
            </w:pPr>
            <w:r w:rsidRPr="007D15C3">
              <w:rPr>
                <w:rFonts w:cs="Calibri"/>
              </w:rPr>
              <w:t>$32,692</w:t>
            </w:r>
          </w:p>
        </w:tc>
      </w:tr>
      <w:tr w14:paraId="30304A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60DFDB" w14:textId="77777777">
            <w:pPr>
              <w:jc w:val="center"/>
              <w:rPr>
                <w:rFonts w:cs="Calibri"/>
              </w:rPr>
            </w:pPr>
            <w:r w:rsidRPr="007D15C3">
              <w:rPr>
                <w:rFonts w:cs="Calibri"/>
              </w:rPr>
              <w:t>53117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788496" w14:textId="77777777">
            <w:pPr>
              <w:jc w:val="center"/>
              <w:rPr>
                <w:rFonts w:cs="Calibri"/>
              </w:rPr>
            </w:pPr>
            <w:r w:rsidRPr="007D15C3">
              <w:rPr>
                <w:rFonts w:cs="Calibri"/>
              </w:rPr>
              <w:t>KPRC-TV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8358E4" w14:textId="77777777">
            <w:pPr>
              <w:rPr>
                <w:rFonts w:cs="Calibri"/>
              </w:rPr>
            </w:pPr>
            <w:r w:rsidRPr="007D15C3">
              <w:rPr>
                <w:rFonts w:cs="Calibri"/>
              </w:rPr>
              <w:t xml:space="preserve">          6,099,422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F5F9F7" w14:textId="77777777">
            <w:pPr>
              <w:rPr>
                <w:rFonts w:cs="Calibri"/>
              </w:rPr>
            </w:pPr>
            <w:r w:rsidRPr="007D15C3">
              <w:rPr>
                <w:rFonts w:cs="Calibri"/>
              </w:rPr>
              <w:t xml:space="preserve">            6,099,076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838272" w14:textId="77777777">
            <w:pPr>
              <w:jc w:val="right"/>
              <w:rPr>
                <w:rFonts w:cs="Calibri"/>
              </w:rPr>
            </w:pPr>
            <w:r w:rsidRPr="007D15C3">
              <w:rPr>
                <w:rFonts w:cs="Calibri"/>
              </w:rPr>
              <w:t>$47,798</w:t>
            </w:r>
          </w:p>
        </w:tc>
      </w:tr>
      <w:tr w14:paraId="487B238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9C3B62" w14:textId="77777777">
            <w:pPr>
              <w:jc w:val="center"/>
              <w:rPr>
                <w:rFonts w:cs="Calibri"/>
              </w:rPr>
            </w:pPr>
            <w:r w:rsidRPr="007D15C3">
              <w:rPr>
                <w:rFonts w:cs="Calibri"/>
              </w:rPr>
              <w:t>48660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9EEDCD" w14:textId="77777777">
            <w:pPr>
              <w:jc w:val="center"/>
              <w:rPr>
                <w:rFonts w:cs="Calibri"/>
              </w:rPr>
            </w:pPr>
            <w:r w:rsidRPr="007D15C3">
              <w:rPr>
                <w:rFonts w:cs="Calibri"/>
              </w:rPr>
              <w:t>KPRY-TV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15AB17" w14:textId="77777777">
            <w:pPr>
              <w:rPr>
                <w:rFonts w:cs="Calibri"/>
              </w:rPr>
            </w:pPr>
            <w:r w:rsidRPr="007D15C3">
              <w:rPr>
                <w:rFonts w:cs="Calibri"/>
              </w:rPr>
              <w:t xml:space="preserve">               42,521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514E20" w14:textId="77777777">
            <w:pPr>
              <w:rPr>
                <w:rFonts w:cs="Calibri"/>
              </w:rPr>
            </w:pPr>
            <w:r w:rsidRPr="007D15C3">
              <w:rPr>
                <w:rFonts w:cs="Calibri"/>
              </w:rPr>
              <w:t xml:space="preserve">                 42,426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2EE103" w14:textId="77777777">
            <w:pPr>
              <w:jc w:val="right"/>
              <w:rPr>
                <w:rFonts w:cs="Calibri"/>
              </w:rPr>
            </w:pPr>
            <w:r w:rsidRPr="007D15C3">
              <w:rPr>
                <w:rFonts w:cs="Calibri"/>
              </w:rPr>
              <w:t>$332</w:t>
            </w:r>
          </w:p>
        </w:tc>
      </w:tr>
      <w:tr w14:paraId="52D3E9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0FD4E7" w14:textId="77777777">
            <w:pPr>
              <w:jc w:val="center"/>
              <w:rPr>
                <w:rFonts w:cs="Calibri"/>
              </w:rPr>
            </w:pPr>
            <w:r w:rsidRPr="007D15C3">
              <w:rPr>
                <w:rFonts w:cs="Calibri"/>
              </w:rPr>
              <w:t>61071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678558" w14:textId="77777777">
            <w:pPr>
              <w:jc w:val="center"/>
              <w:rPr>
                <w:rFonts w:cs="Calibri"/>
              </w:rPr>
            </w:pPr>
            <w:r w:rsidRPr="007D15C3">
              <w:rPr>
                <w:rFonts w:cs="Calibri"/>
              </w:rPr>
              <w:t>KPSD-TV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738299" w14:textId="77777777">
            <w:pPr>
              <w:rPr>
                <w:rFonts w:cs="Calibri"/>
              </w:rPr>
            </w:pPr>
            <w:r w:rsidRPr="007D15C3">
              <w:rPr>
                <w:rFonts w:cs="Calibri"/>
              </w:rPr>
              <w:t xml:space="preserve">               19,886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65E45A" w14:textId="77777777">
            <w:pPr>
              <w:rPr>
                <w:rFonts w:cs="Calibri"/>
              </w:rPr>
            </w:pPr>
            <w:r w:rsidRPr="007D15C3">
              <w:rPr>
                <w:rFonts w:cs="Calibri"/>
              </w:rPr>
              <w:t xml:space="preserve">                 18,799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F61016" w14:textId="77777777">
            <w:pPr>
              <w:jc w:val="right"/>
              <w:rPr>
                <w:rFonts w:cs="Calibri"/>
              </w:rPr>
            </w:pPr>
            <w:r w:rsidRPr="007D15C3">
              <w:rPr>
                <w:rFonts w:cs="Calibri"/>
              </w:rPr>
              <w:t>$147</w:t>
            </w:r>
          </w:p>
        </w:tc>
      </w:tr>
      <w:tr w14:paraId="32275F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A2140A" w14:textId="77777777">
            <w:pPr>
              <w:jc w:val="center"/>
              <w:rPr>
                <w:rFonts w:cs="Calibri"/>
              </w:rPr>
            </w:pPr>
            <w:r w:rsidRPr="007D15C3">
              <w:rPr>
                <w:rFonts w:cs="Calibri"/>
              </w:rPr>
              <w:t>53544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E780B3" w14:textId="77777777">
            <w:pPr>
              <w:jc w:val="center"/>
              <w:rPr>
                <w:rFonts w:cs="Calibri"/>
              </w:rPr>
            </w:pPr>
            <w:r w:rsidRPr="007D15C3">
              <w:rPr>
                <w:rFonts w:cs="Calibri"/>
              </w:rPr>
              <w:t>KPTB-DT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412E49" w14:textId="77777777">
            <w:pPr>
              <w:rPr>
                <w:rFonts w:cs="Calibri"/>
              </w:rPr>
            </w:pPr>
            <w:r w:rsidRPr="007D15C3">
              <w:rPr>
                <w:rFonts w:cs="Calibri"/>
              </w:rPr>
              <w:t xml:space="preserve">             322,780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99AFDD" w14:textId="77777777">
            <w:pPr>
              <w:rPr>
                <w:rFonts w:cs="Calibri"/>
              </w:rPr>
            </w:pPr>
            <w:r w:rsidRPr="007D15C3">
              <w:rPr>
                <w:rFonts w:cs="Calibri"/>
              </w:rPr>
              <w:t xml:space="preserve">               320,646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FC892D" w14:textId="77777777">
            <w:pPr>
              <w:jc w:val="right"/>
              <w:rPr>
                <w:rFonts w:cs="Calibri"/>
              </w:rPr>
            </w:pPr>
            <w:r w:rsidRPr="007D15C3">
              <w:rPr>
                <w:rFonts w:cs="Calibri"/>
              </w:rPr>
              <w:t>$2,513</w:t>
            </w:r>
          </w:p>
        </w:tc>
      </w:tr>
      <w:tr w14:paraId="034550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8DA7D8" w14:textId="77777777">
            <w:pPr>
              <w:jc w:val="center"/>
              <w:rPr>
                <w:rFonts w:cs="Calibri"/>
              </w:rPr>
            </w:pPr>
            <w:r w:rsidRPr="007D15C3">
              <w:rPr>
                <w:rFonts w:cs="Calibri"/>
              </w:rPr>
              <w:t>81445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6CCDF3" w14:textId="77777777">
            <w:pPr>
              <w:jc w:val="center"/>
              <w:rPr>
                <w:rFonts w:cs="Calibri"/>
              </w:rPr>
            </w:pPr>
            <w:r w:rsidRPr="007D15C3">
              <w:rPr>
                <w:rFonts w:cs="Calibri"/>
              </w:rPr>
              <w:t>KPTF-DT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25E43B" w14:textId="77777777">
            <w:pPr>
              <w:rPr>
                <w:rFonts w:cs="Calibri"/>
              </w:rPr>
            </w:pPr>
            <w:r w:rsidRPr="007D15C3">
              <w:rPr>
                <w:rFonts w:cs="Calibri"/>
              </w:rPr>
              <w:t xml:space="preserve">               84,512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B17624" w14:textId="77777777">
            <w:pPr>
              <w:rPr>
                <w:rFonts w:cs="Calibri"/>
              </w:rPr>
            </w:pPr>
            <w:r w:rsidRPr="007D15C3">
              <w:rPr>
                <w:rFonts w:cs="Calibri"/>
              </w:rPr>
              <w:t xml:space="preserve">                 84,512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0DFA3B" w14:textId="77777777">
            <w:pPr>
              <w:jc w:val="right"/>
              <w:rPr>
                <w:rFonts w:cs="Calibri"/>
              </w:rPr>
            </w:pPr>
            <w:r w:rsidRPr="007D15C3">
              <w:rPr>
                <w:rFonts w:cs="Calibri"/>
              </w:rPr>
              <w:t>$662</w:t>
            </w:r>
          </w:p>
        </w:tc>
      </w:tr>
      <w:tr w14:paraId="2451BCD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3E5404" w14:textId="77777777">
            <w:pPr>
              <w:jc w:val="center"/>
              <w:rPr>
                <w:rFonts w:cs="Calibri"/>
              </w:rPr>
            </w:pPr>
            <w:r w:rsidRPr="007D15C3">
              <w:rPr>
                <w:rFonts w:cs="Calibri"/>
              </w:rPr>
              <w:t>77451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29CE9D" w14:textId="77777777">
            <w:pPr>
              <w:jc w:val="center"/>
              <w:rPr>
                <w:rFonts w:cs="Calibri"/>
              </w:rPr>
            </w:pPr>
            <w:r w:rsidRPr="007D15C3">
              <w:rPr>
                <w:rFonts w:cs="Calibri"/>
              </w:rPr>
              <w:t>KPTH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E80725" w14:textId="77777777">
            <w:pPr>
              <w:rPr>
                <w:rFonts w:cs="Calibri"/>
              </w:rPr>
            </w:pPr>
            <w:r w:rsidRPr="007D15C3">
              <w:rPr>
                <w:rFonts w:cs="Calibri"/>
              </w:rPr>
              <w:t xml:space="preserve">             660,556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66F36D" w14:textId="77777777">
            <w:pPr>
              <w:rPr>
                <w:rFonts w:cs="Calibri"/>
              </w:rPr>
            </w:pPr>
            <w:r w:rsidRPr="007D15C3">
              <w:rPr>
                <w:rFonts w:cs="Calibri"/>
              </w:rPr>
              <w:t xml:space="preserve">               655,373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958666" w14:textId="77777777">
            <w:pPr>
              <w:jc w:val="right"/>
              <w:rPr>
                <w:rFonts w:cs="Calibri"/>
              </w:rPr>
            </w:pPr>
            <w:r w:rsidRPr="007D15C3">
              <w:rPr>
                <w:rFonts w:cs="Calibri"/>
              </w:rPr>
              <w:t>$5,136</w:t>
            </w:r>
          </w:p>
        </w:tc>
      </w:tr>
      <w:tr w14:paraId="5E16A56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C55585" w14:textId="77777777">
            <w:pPr>
              <w:jc w:val="center"/>
              <w:rPr>
                <w:rFonts w:cs="Calibri"/>
              </w:rPr>
            </w:pPr>
            <w:r w:rsidRPr="007D15C3">
              <w:rPr>
                <w:rFonts w:cs="Calibri"/>
              </w:rPr>
              <w:t>51491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6EC6FB" w14:textId="77777777">
            <w:pPr>
              <w:jc w:val="center"/>
              <w:rPr>
                <w:rFonts w:cs="Calibri"/>
              </w:rPr>
            </w:pPr>
            <w:r w:rsidRPr="007D15C3">
              <w:rPr>
                <w:rFonts w:cs="Calibri"/>
              </w:rPr>
              <w:t>KPTM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D441CE" w14:textId="77777777">
            <w:pPr>
              <w:rPr>
                <w:rFonts w:cs="Calibri"/>
              </w:rPr>
            </w:pPr>
            <w:r w:rsidRPr="007D15C3">
              <w:rPr>
                <w:rFonts w:cs="Calibri"/>
              </w:rPr>
              <w:t xml:space="preserve">          1,414,998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ED65A2" w14:textId="77777777">
            <w:pPr>
              <w:rPr>
                <w:rFonts w:cs="Calibri"/>
              </w:rPr>
            </w:pPr>
            <w:r w:rsidRPr="007D15C3">
              <w:rPr>
                <w:rFonts w:cs="Calibri"/>
              </w:rPr>
              <w:t xml:space="preserve">            1,414,014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60E3F9" w14:textId="77777777">
            <w:pPr>
              <w:jc w:val="right"/>
              <w:rPr>
                <w:rFonts w:cs="Calibri"/>
              </w:rPr>
            </w:pPr>
            <w:r w:rsidRPr="007D15C3">
              <w:rPr>
                <w:rFonts w:cs="Calibri"/>
              </w:rPr>
              <w:t>$11,082</w:t>
            </w:r>
          </w:p>
        </w:tc>
      </w:tr>
      <w:tr w14:paraId="7B4E3B0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D4CB2C" w14:textId="77777777">
            <w:pPr>
              <w:jc w:val="center"/>
              <w:rPr>
                <w:rFonts w:cs="Calibri"/>
              </w:rPr>
            </w:pPr>
            <w:r w:rsidRPr="007D15C3">
              <w:rPr>
                <w:rFonts w:cs="Calibri"/>
              </w:rPr>
              <w:t>33345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830D88" w14:textId="77777777">
            <w:pPr>
              <w:jc w:val="center"/>
              <w:rPr>
                <w:rFonts w:cs="Calibri"/>
              </w:rPr>
            </w:pPr>
            <w:r w:rsidRPr="007D15C3">
              <w:rPr>
                <w:rFonts w:cs="Calibri"/>
              </w:rPr>
              <w:t>KPTS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AAFD3D" w14:textId="77777777">
            <w:pPr>
              <w:rPr>
                <w:rFonts w:cs="Calibri"/>
              </w:rPr>
            </w:pPr>
            <w:r w:rsidRPr="007D15C3">
              <w:rPr>
                <w:rFonts w:cs="Calibri"/>
              </w:rPr>
              <w:t xml:space="preserve">             832,000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C1D71D" w14:textId="77777777">
            <w:pPr>
              <w:rPr>
                <w:rFonts w:cs="Calibri"/>
              </w:rPr>
            </w:pPr>
            <w:r w:rsidRPr="007D15C3">
              <w:rPr>
                <w:rFonts w:cs="Calibri"/>
              </w:rPr>
              <w:t xml:space="preserve">               827,866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665818" w14:textId="77777777">
            <w:pPr>
              <w:jc w:val="right"/>
              <w:rPr>
                <w:rFonts w:cs="Calibri"/>
              </w:rPr>
            </w:pPr>
            <w:r w:rsidRPr="007D15C3">
              <w:rPr>
                <w:rFonts w:cs="Calibri"/>
              </w:rPr>
              <w:t>$6,488</w:t>
            </w:r>
          </w:p>
        </w:tc>
      </w:tr>
      <w:tr w14:paraId="2A67BA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3C539E" w14:textId="77777777">
            <w:pPr>
              <w:jc w:val="center"/>
              <w:rPr>
                <w:rFonts w:cs="Calibri"/>
              </w:rPr>
            </w:pPr>
            <w:r w:rsidRPr="007D15C3">
              <w:rPr>
                <w:rFonts w:cs="Calibri"/>
              </w:rPr>
              <w:t>50633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608B79" w14:textId="77777777">
            <w:pPr>
              <w:jc w:val="center"/>
              <w:rPr>
                <w:rFonts w:cs="Calibri"/>
              </w:rPr>
            </w:pPr>
            <w:r w:rsidRPr="007D15C3">
              <w:rPr>
                <w:rFonts w:cs="Calibri"/>
              </w:rPr>
              <w:t>KPTV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D367D7" w14:textId="77777777">
            <w:pPr>
              <w:rPr>
                <w:rFonts w:cs="Calibri"/>
              </w:rPr>
            </w:pPr>
            <w:r w:rsidRPr="007D15C3">
              <w:rPr>
                <w:rFonts w:cs="Calibri"/>
              </w:rPr>
              <w:t xml:space="preserve">          2,998,460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438D80" w14:textId="77777777">
            <w:pPr>
              <w:rPr>
                <w:rFonts w:cs="Calibri"/>
              </w:rPr>
            </w:pPr>
            <w:r w:rsidRPr="007D15C3">
              <w:rPr>
                <w:rFonts w:cs="Calibri"/>
              </w:rPr>
              <w:t xml:space="preserve">            2,847,263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986502" w14:textId="77777777">
            <w:pPr>
              <w:jc w:val="right"/>
              <w:rPr>
                <w:rFonts w:cs="Calibri"/>
              </w:rPr>
            </w:pPr>
            <w:r w:rsidRPr="007D15C3">
              <w:rPr>
                <w:rFonts w:cs="Calibri"/>
              </w:rPr>
              <w:t>$22,314</w:t>
            </w:r>
          </w:p>
        </w:tc>
      </w:tr>
      <w:tr w14:paraId="1A51AA1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75D902" w14:textId="77777777">
            <w:pPr>
              <w:jc w:val="center"/>
              <w:rPr>
                <w:rFonts w:cs="Calibri"/>
              </w:rPr>
            </w:pPr>
            <w:r w:rsidRPr="007D15C3">
              <w:rPr>
                <w:rFonts w:cs="Calibri"/>
              </w:rPr>
              <w:t>82575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1304B6" w14:textId="77777777">
            <w:pPr>
              <w:jc w:val="center"/>
              <w:rPr>
                <w:rFonts w:cs="Calibri"/>
              </w:rPr>
            </w:pPr>
            <w:r w:rsidRPr="007D15C3">
              <w:rPr>
                <w:rFonts w:cs="Calibri"/>
              </w:rPr>
              <w:t>KPTW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A86B92" w14:textId="77777777">
            <w:pPr>
              <w:rPr>
                <w:rFonts w:cs="Calibri"/>
              </w:rPr>
            </w:pPr>
            <w:r w:rsidRPr="007D15C3">
              <w:rPr>
                <w:rFonts w:cs="Calibri"/>
              </w:rPr>
              <w:t xml:space="preserve">               80,374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339561" w14:textId="77777777">
            <w:pPr>
              <w:rPr>
                <w:rFonts w:cs="Calibri"/>
              </w:rPr>
            </w:pPr>
            <w:r w:rsidRPr="007D15C3">
              <w:rPr>
                <w:rFonts w:cs="Calibri"/>
              </w:rPr>
              <w:t xml:space="preserve">                 80,012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F6A62C" w14:textId="77777777">
            <w:pPr>
              <w:jc w:val="right"/>
              <w:rPr>
                <w:rFonts w:cs="Calibri"/>
              </w:rPr>
            </w:pPr>
            <w:r w:rsidRPr="007D15C3">
              <w:rPr>
                <w:rFonts w:cs="Calibri"/>
              </w:rPr>
              <w:t>$627</w:t>
            </w:r>
          </w:p>
        </w:tc>
      </w:tr>
      <w:tr w14:paraId="08CA66E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F738D4" w14:textId="77777777">
            <w:pPr>
              <w:jc w:val="center"/>
              <w:rPr>
                <w:rFonts w:cs="Calibri"/>
              </w:rPr>
            </w:pPr>
            <w:r w:rsidRPr="007D15C3">
              <w:rPr>
                <w:rFonts w:cs="Calibri"/>
              </w:rPr>
              <w:t>1270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4BFC40" w14:textId="77777777">
            <w:pPr>
              <w:jc w:val="center"/>
              <w:rPr>
                <w:rFonts w:cs="Calibri"/>
              </w:rPr>
            </w:pPr>
            <w:r w:rsidRPr="007D15C3">
              <w:rPr>
                <w:rFonts w:cs="Calibri"/>
              </w:rPr>
              <w:t>KPVI-DT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18F7EA" w14:textId="77777777">
            <w:pPr>
              <w:rPr>
                <w:rFonts w:cs="Calibri"/>
              </w:rPr>
            </w:pPr>
            <w:r w:rsidRPr="007D15C3">
              <w:rPr>
                <w:rFonts w:cs="Calibri"/>
              </w:rPr>
              <w:t xml:space="preserve">             271,379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EBD5F4" w14:textId="77777777">
            <w:pPr>
              <w:rPr>
                <w:rFonts w:cs="Calibri"/>
              </w:rPr>
            </w:pPr>
            <w:r w:rsidRPr="007D15C3">
              <w:rPr>
                <w:rFonts w:cs="Calibri"/>
              </w:rPr>
              <w:t xml:space="preserve">               264,204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7BB48D" w14:textId="77777777">
            <w:pPr>
              <w:jc w:val="right"/>
              <w:rPr>
                <w:rFonts w:cs="Calibri"/>
              </w:rPr>
            </w:pPr>
            <w:r w:rsidRPr="007D15C3">
              <w:rPr>
                <w:rFonts w:cs="Calibri"/>
              </w:rPr>
              <w:t>$2,071</w:t>
            </w:r>
          </w:p>
        </w:tc>
      </w:tr>
      <w:tr w14:paraId="13A621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DB8CE7" w14:textId="77777777">
            <w:pPr>
              <w:jc w:val="center"/>
              <w:rPr>
                <w:rFonts w:cs="Calibri"/>
              </w:rPr>
            </w:pPr>
            <w:r w:rsidRPr="007D15C3">
              <w:rPr>
                <w:rFonts w:cs="Calibri"/>
              </w:rPr>
              <w:t>58835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B96EF5" w14:textId="77777777">
            <w:pPr>
              <w:jc w:val="center"/>
              <w:rPr>
                <w:rFonts w:cs="Calibri"/>
              </w:rPr>
            </w:pPr>
            <w:r w:rsidRPr="007D15C3">
              <w:rPr>
                <w:rFonts w:cs="Calibri"/>
              </w:rPr>
              <w:t>KPXB-TV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E27C35" w14:textId="77777777">
            <w:pPr>
              <w:rPr>
                <w:rFonts w:cs="Calibri"/>
              </w:rPr>
            </w:pPr>
            <w:r w:rsidRPr="007D15C3">
              <w:rPr>
                <w:rFonts w:cs="Calibri"/>
              </w:rPr>
              <w:t xml:space="preserve">          6,062,472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C3B081" w14:textId="77777777">
            <w:pPr>
              <w:rPr>
                <w:rFonts w:cs="Calibri"/>
              </w:rPr>
            </w:pPr>
            <w:r w:rsidRPr="007D15C3">
              <w:rPr>
                <w:rFonts w:cs="Calibri"/>
              </w:rPr>
              <w:t xml:space="preserve">            6,062,271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5727FD" w14:textId="77777777">
            <w:pPr>
              <w:jc w:val="right"/>
              <w:rPr>
                <w:rFonts w:cs="Calibri"/>
              </w:rPr>
            </w:pPr>
            <w:r w:rsidRPr="007D15C3">
              <w:rPr>
                <w:rFonts w:cs="Calibri"/>
              </w:rPr>
              <w:t>$47,510</w:t>
            </w:r>
          </w:p>
        </w:tc>
      </w:tr>
      <w:tr w14:paraId="1EF3867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4DD6CB" w14:textId="77777777">
            <w:pPr>
              <w:jc w:val="center"/>
              <w:rPr>
                <w:rFonts w:cs="Calibri"/>
              </w:rPr>
            </w:pPr>
            <w:r w:rsidRPr="007D15C3">
              <w:rPr>
                <w:rFonts w:cs="Calibri"/>
              </w:rPr>
              <w:t>68695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360E00" w14:textId="77777777">
            <w:pPr>
              <w:jc w:val="center"/>
              <w:rPr>
                <w:rFonts w:cs="Calibri"/>
              </w:rPr>
            </w:pPr>
            <w:r w:rsidRPr="007D15C3">
              <w:rPr>
                <w:rFonts w:cs="Calibri"/>
              </w:rPr>
              <w:t>KPXC-TV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C3F131" w14:textId="77777777">
            <w:pPr>
              <w:rPr>
                <w:rFonts w:cs="Calibri"/>
              </w:rPr>
            </w:pPr>
            <w:r w:rsidRPr="007D15C3">
              <w:rPr>
                <w:rFonts w:cs="Calibri"/>
              </w:rPr>
              <w:t xml:space="preserve">          3,362,518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089A74" w14:textId="77777777">
            <w:pPr>
              <w:rPr>
                <w:rFonts w:cs="Calibri"/>
              </w:rPr>
            </w:pPr>
            <w:r w:rsidRPr="007D15C3">
              <w:rPr>
                <w:rFonts w:cs="Calibri"/>
              </w:rPr>
              <w:t xml:space="preserve">            3,341,951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1A09B7" w14:textId="77777777">
            <w:pPr>
              <w:jc w:val="right"/>
              <w:rPr>
                <w:rFonts w:cs="Calibri"/>
              </w:rPr>
            </w:pPr>
            <w:r w:rsidRPr="007D15C3">
              <w:rPr>
                <w:rFonts w:cs="Calibri"/>
              </w:rPr>
              <w:t>$26,191</w:t>
            </w:r>
          </w:p>
        </w:tc>
      </w:tr>
      <w:tr w14:paraId="7A69E34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79C2DD" w14:textId="77777777">
            <w:pPr>
              <w:jc w:val="center"/>
              <w:rPr>
                <w:rFonts w:cs="Calibri"/>
              </w:rPr>
            </w:pPr>
            <w:r w:rsidRPr="007D15C3">
              <w:rPr>
                <w:rFonts w:cs="Calibri"/>
              </w:rPr>
              <w:t>68834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35975C" w14:textId="77777777">
            <w:pPr>
              <w:jc w:val="center"/>
              <w:rPr>
                <w:rFonts w:cs="Calibri"/>
              </w:rPr>
            </w:pPr>
            <w:r w:rsidRPr="007D15C3">
              <w:rPr>
                <w:rFonts w:cs="Calibri"/>
              </w:rPr>
              <w:t>KPXD-TV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FCA707" w14:textId="77777777">
            <w:pPr>
              <w:rPr>
                <w:rFonts w:cs="Calibri"/>
              </w:rPr>
            </w:pPr>
            <w:r w:rsidRPr="007D15C3">
              <w:rPr>
                <w:rFonts w:cs="Calibri"/>
              </w:rPr>
              <w:t xml:space="preserve">          6,555,157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A05BBB" w14:textId="77777777">
            <w:pPr>
              <w:rPr>
                <w:rFonts w:cs="Calibri"/>
              </w:rPr>
            </w:pPr>
            <w:r w:rsidRPr="007D15C3">
              <w:rPr>
                <w:rFonts w:cs="Calibri"/>
              </w:rPr>
              <w:t xml:space="preserve">            6,553,373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EC0AE0" w14:textId="77777777">
            <w:pPr>
              <w:jc w:val="right"/>
              <w:rPr>
                <w:rFonts w:cs="Calibri"/>
              </w:rPr>
            </w:pPr>
            <w:r w:rsidRPr="007D15C3">
              <w:rPr>
                <w:rFonts w:cs="Calibri"/>
              </w:rPr>
              <w:t>$51,359</w:t>
            </w:r>
          </w:p>
        </w:tc>
      </w:tr>
      <w:tr w14:paraId="18680E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401113" w14:textId="77777777">
            <w:pPr>
              <w:jc w:val="center"/>
              <w:rPr>
                <w:rFonts w:cs="Calibri"/>
              </w:rPr>
            </w:pPr>
            <w:r w:rsidRPr="007D15C3">
              <w:rPr>
                <w:rFonts w:cs="Calibri"/>
              </w:rPr>
              <w:t>33337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DBF0D2" w14:textId="77777777">
            <w:pPr>
              <w:jc w:val="center"/>
              <w:rPr>
                <w:rFonts w:cs="Calibri"/>
              </w:rPr>
            </w:pPr>
            <w:r w:rsidRPr="007D15C3">
              <w:rPr>
                <w:rFonts w:cs="Calibri"/>
              </w:rPr>
              <w:t>KPXE-TV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B2B035" w14:textId="77777777">
            <w:pPr>
              <w:rPr>
                <w:rFonts w:cs="Calibri"/>
              </w:rPr>
            </w:pPr>
            <w:r w:rsidRPr="007D15C3">
              <w:rPr>
                <w:rFonts w:cs="Calibri"/>
              </w:rPr>
              <w:t xml:space="preserve">          2,437,178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1ECE45" w14:textId="77777777">
            <w:pPr>
              <w:rPr>
                <w:rFonts w:cs="Calibri"/>
              </w:rPr>
            </w:pPr>
            <w:r w:rsidRPr="007D15C3">
              <w:rPr>
                <w:rFonts w:cs="Calibri"/>
              </w:rPr>
              <w:t xml:space="preserve">            2,436,024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DC3849" w14:textId="77777777">
            <w:pPr>
              <w:jc w:val="right"/>
              <w:rPr>
                <w:rFonts w:cs="Calibri"/>
              </w:rPr>
            </w:pPr>
            <w:r w:rsidRPr="007D15C3">
              <w:rPr>
                <w:rFonts w:cs="Calibri"/>
              </w:rPr>
              <w:t>$19,091</w:t>
            </w:r>
          </w:p>
        </w:tc>
      </w:tr>
      <w:tr w14:paraId="55EE4B46"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0F96B7" w14:textId="77777777">
            <w:pPr>
              <w:jc w:val="center"/>
              <w:rPr>
                <w:rFonts w:cs="Calibri"/>
              </w:rPr>
            </w:pPr>
            <w:r w:rsidRPr="007D15C3">
              <w:rPr>
                <w:rFonts w:cs="Calibri"/>
              </w:rPr>
              <w:t>5801</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015E789" w14:textId="77777777">
            <w:pPr>
              <w:jc w:val="center"/>
              <w:rPr>
                <w:rFonts w:cs="Calibri"/>
              </w:rPr>
            </w:pPr>
            <w:r w:rsidRPr="007D15C3">
              <w:rPr>
                <w:rFonts w:cs="Calibri"/>
              </w:rPr>
              <w:t>KPXG-TV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36052C0" w14:textId="77777777">
            <w:pPr>
              <w:rPr>
                <w:rFonts w:cs="Calibri"/>
              </w:rPr>
            </w:pPr>
            <w:r w:rsidRPr="007D15C3">
              <w:rPr>
                <w:rFonts w:cs="Calibri"/>
              </w:rPr>
              <w:t xml:space="preserve">          3,026,219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15383BD" w14:textId="77777777">
            <w:pPr>
              <w:rPr>
                <w:rFonts w:cs="Calibri"/>
              </w:rPr>
            </w:pPr>
            <w:r w:rsidRPr="007D15C3">
              <w:rPr>
                <w:rFonts w:cs="Calibri"/>
              </w:rPr>
              <w:t xml:space="preserve">            2,882,598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BF1CA65" w14:textId="77777777">
            <w:pPr>
              <w:jc w:val="right"/>
              <w:rPr>
                <w:rFonts w:cs="Calibri"/>
              </w:rPr>
            </w:pPr>
            <w:r w:rsidRPr="007D15C3">
              <w:rPr>
                <w:rFonts w:cs="Calibri"/>
              </w:rPr>
              <w:t>$22,591</w:t>
            </w:r>
          </w:p>
        </w:tc>
      </w:tr>
      <w:tr w14:paraId="29BBDB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CA9A51" w14:textId="77777777">
            <w:pPr>
              <w:jc w:val="center"/>
              <w:rPr>
                <w:rFonts w:cs="Calibri"/>
              </w:rPr>
            </w:pPr>
            <w:r w:rsidRPr="007D15C3">
              <w:rPr>
                <w:rFonts w:cs="Calibri"/>
              </w:rPr>
              <w:t>81507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8EDFC1" w14:textId="77777777">
            <w:pPr>
              <w:jc w:val="center"/>
              <w:rPr>
                <w:rFonts w:cs="Calibri"/>
              </w:rPr>
            </w:pPr>
            <w:r w:rsidRPr="007D15C3">
              <w:rPr>
                <w:rFonts w:cs="Calibri"/>
              </w:rPr>
              <w:t>KPXJ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2AD025" w14:textId="77777777">
            <w:pPr>
              <w:rPr>
                <w:rFonts w:cs="Calibri"/>
              </w:rPr>
            </w:pPr>
            <w:r w:rsidRPr="007D15C3">
              <w:rPr>
                <w:rFonts w:cs="Calibri"/>
              </w:rPr>
              <w:t xml:space="preserve">          1,138,632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7FFDE5" w14:textId="77777777">
            <w:pPr>
              <w:rPr>
                <w:rFonts w:cs="Calibri"/>
              </w:rPr>
            </w:pPr>
            <w:r w:rsidRPr="007D15C3">
              <w:rPr>
                <w:rFonts w:cs="Calibri"/>
              </w:rPr>
              <w:t xml:space="preserve">            1,135,626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3C2DF5" w14:textId="77777777">
            <w:pPr>
              <w:jc w:val="right"/>
              <w:rPr>
                <w:rFonts w:cs="Calibri"/>
              </w:rPr>
            </w:pPr>
            <w:r w:rsidRPr="007D15C3">
              <w:rPr>
                <w:rFonts w:cs="Calibri"/>
              </w:rPr>
              <w:t>$8,900</w:t>
            </w:r>
          </w:p>
        </w:tc>
      </w:tr>
      <w:tr w14:paraId="10826B5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ED4D54" w14:textId="77777777">
            <w:pPr>
              <w:jc w:val="center"/>
              <w:rPr>
                <w:rFonts w:cs="Calibri"/>
              </w:rPr>
            </w:pPr>
            <w:r w:rsidRPr="007D15C3">
              <w:rPr>
                <w:rFonts w:cs="Calibri"/>
              </w:rPr>
              <w:t>61173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BC45E9" w14:textId="77777777">
            <w:pPr>
              <w:jc w:val="center"/>
              <w:rPr>
                <w:rFonts w:cs="Calibri"/>
              </w:rPr>
            </w:pPr>
            <w:r w:rsidRPr="007D15C3">
              <w:rPr>
                <w:rFonts w:cs="Calibri"/>
              </w:rPr>
              <w:t>KPXL-TV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D2F6E6" w14:textId="77777777">
            <w:pPr>
              <w:rPr>
                <w:rFonts w:cs="Calibri"/>
              </w:rPr>
            </w:pPr>
            <w:r w:rsidRPr="007D15C3">
              <w:rPr>
                <w:rFonts w:cs="Calibri"/>
              </w:rPr>
              <w:t xml:space="preserve">          2,257,007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56CE1D" w14:textId="77777777">
            <w:pPr>
              <w:rPr>
                <w:rFonts w:cs="Calibri"/>
              </w:rPr>
            </w:pPr>
            <w:r w:rsidRPr="007D15C3">
              <w:rPr>
                <w:rFonts w:cs="Calibri"/>
              </w:rPr>
              <w:t xml:space="preserve">            2,243,520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2E1256" w14:textId="77777777">
            <w:pPr>
              <w:jc w:val="right"/>
              <w:rPr>
                <w:rFonts w:cs="Calibri"/>
              </w:rPr>
            </w:pPr>
            <w:r w:rsidRPr="007D15C3">
              <w:rPr>
                <w:rFonts w:cs="Calibri"/>
              </w:rPr>
              <w:t>$17,582</w:t>
            </w:r>
          </w:p>
        </w:tc>
      </w:tr>
      <w:tr w14:paraId="02BDA45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5D03B4" w14:textId="77777777">
            <w:pPr>
              <w:jc w:val="center"/>
              <w:rPr>
                <w:rFonts w:cs="Calibri"/>
              </w:rPr>
            </w:pPr>
            <w:r w:rsidRPr="007D15C3">
              <w:rPr>
                <w:rFonts w:cs="Calibri"/>
              </w:rPr>
              <w:t>35907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641071" w14:textId="77777777">
            <w:pPr>
              <w:jc w:val="center"/>
              <w:rPr>
                <w:rFonts w:cs="Calibri"/>
              </w:rPr>
            </w:pPr>
            <w:r w:rsidRPr="007D15C3">
              <w:rPr>
                <w:rFonts w:cs="Calibri"/>
              </w:rPr>
              <w:t>KPXM-TV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D7A939" w14:textId="77777777">
            <w:pPr>
              <w:rPr>
                <w:rFonts w:cs="Calibri"/>
              </w:rPr>
            </w:pPr>
            <w:r w:rsidRPr="007D15C3">
              <w:rPr>
                <w:rFonts w:cs="Calibri"/>
              </w:rPr>
              <w:t xml:space="preserve">          3,507,312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83D84E" w14:textId="77777777">
            <w:pPr>
              <w:rPr>
                <w:rFonts w:cs="Calibri"/>
              </w:rPr>
            </w:pPr>
            <w:r w:rsidRPr="007D15C3">
              <w:rPr>
                <w:rFonts w:cs="Calibri"/>
              </w:rPr>
              <w:t xml:space="preserve">            3,506,503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0E180E" w14:textId="77777777">
            <w:pPr>
              <w:jc w:val="right"/>
              <w:rPr>
                <w:rFonts w:cs="Calibri"/>
              </w:rPr>
            </w:pPr>
            <w:r w:rsidRPr="007D15C3">
              <w:rPr>
                <w:rFonts w:cs="Calibri"/>
              </w:rPr>
              <w:t>$27,480</w:t>
            </w:r>
          </w:p>
        </w:tc>
      </w:tr>
      <w:tr w14:paraId="59C229D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562327" w14:textId="77777777">
            <w:pPr>
              <w:jc w:val="center"/>
              <w:rPr>
                <w:rFonts w:cs="Calibri"/>
              </w:rPr>
            </w:pPr>
            <w:r w:rsidRPr="007D15C3">
              <w:rPr>
                <w:rFonts w:cs="Calibri"/>
              </w:rPr>
              <w:t>58978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8F5394" w14:textId="77777777">
            <w:pPr>
              <w:jc w:val="center"/>
              <w:rPr>
                <w:rFonts w:cs="Calibri"/>
              </w:rPr>
            </w:pPr>
            <w:r w:rsidRPr="007D15C3">
              <w:rPr>
                <w:rFonts w:cs="Calibri"/>
              </w:rPr>
              <w:t>KPXN-TV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863F63" w14:textId="77777777">
            <w:pPr>
              <w:rPr>
                <w:rFonts w:cs="Calibri"/>
              </w:rPr>
            </w:pPr>
            <w:r w:rsidRPr="007D15C3">
              <w:rPr>
                <w:rFonts w:cs="Calibri"/>
              </w:rPr>
              <w:t xml:space="preserve">        17,256,205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3AA502" w14:textId="77777777">
            <w:pPr>
              <w:rPr>
                <w:rFonts w:cs="Calibri"/>
              </w:rPr>
            </w:pPr>
            <w:r w:rsidRPr="007D15C3">
              <w:rPr>
                <w:rFonts w:cs="Calibri"/>
              </w:rPr>
              <w:t xml:space="preserve">          15,804,489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D93B3B" w14:textId="77777777">
            <w:pPr>
              <w:jc w:val="right"/>
              <w:rPr>
                <w:rFonts w:cs="Calibri"/>
              </w:rPr>
            </w:pPr>
            <w:r w:rsidRPr="007D15C3">
              <w:rPr>
                <w:rFonts w:cs="Calibri"/>
              </w:rPr>
              <w:t>$123,860</w:t>
            </w:r>
          </w:p>
        </w:tc>
      </w:tr>
      <w:tr w14:paraId="40BF22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CCDE8D" w14:textId="77777777">
            <w:pPr>
              <w:jc w:val="center"/>
              <w:rPr>
                <w:rFonts w:cs="Calibri"/>
              </w:rPr>
            </w:pPr>
            <w:r w:rsidRPr="007D15C3">
              <w:rPr>
                <w:rFonts w:cs="Calibri"/>
              </w:rPr>
              <w:t>77483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8283D7" w14:textId="77777777">
            <w:pPr>
              <w:jc w:val="center"/>
              <w:rPr>
                <w:rFonts w:cs="Calibri"/>
              </w:rPr>
            </w:pPr>
            <w:r w:rsidRPr="007D15C3">
              <w:rPr>
                <w:rFonts w:cs="Calibri"/>
              </w:rPr>
              <w:t>KPXO-TV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08A6EC" w14:textId="77777777">
            <w:pPr>
              <w:rPr>
                <w:rFonts w:cs="Calibri"/>
              </w:rPr>
            </w:pPr>
            <w:r w:rsidRPr="007D15C3">
              <w:rPr>
                <w:rFonts w:cs="Calibri"/>
              </w:rPr>
              <w:t xml:space="preserve">             953,329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F88115" w14:textId="77777777">
            <w:pPr>
              <w:rPr>
                <w:rFonts w:cs="Calibri"/>
              </w:rPr>
            </w:pPr>
            <w:r w:rsidRPr="007D15C3">
              <w:rPr>
                <w:rFonts w:cs="Calibri"/>
              </w:rPr>
              <w:t xml:space="preserve">               913,341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7CB1D5" w14:textId="77777777">
            <w:pPr>
              <w:jc w:val="right"/>
              <w:rPr>
                <w:rFonts w:cs="Calibri"/>
              </w:rPr>
            </w:pPr>
            <w:r w:rsidRPr="007D15C3">
              <w:rPr>
                <w:rFonts w:cs="Calibri"/>
              </w:rPr>
              <w:t>$7,158</w:t>
            </w:r>
          </w:p>
        </w:tc>
      </w:tr>
      <w:tr w14:paraId="58C634E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A8E360" w14:textId="77777777">
            <w:pPr>
              <w:jc w:val="center"/>
              <w:rPr>
                <w:rFonts w:cs="Calibri"/>
              </w:rPr>
            </w:pPr>
            <w:r w:rsidRPr="007D15C3">
              <w:rPr>
                <w:rFonts w:cs="Calibri"/>
              </w:rPr>
              <w:t>21156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27E672" w14:textId="77777777">
            <w:pPr>
              <w:jc w:val="center"/>
              <w:rPr>
                <w:rFonts w:cs="Calibri"/>
              </w:rPr>
            </w:pPr>
            <w:r w:rsidRPr="007D15C3">
              <w:rPr>
                <w:rFonts w:cs="Calibri"/>
              </w:rPr>
              <w:t>KPXR-TV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C04D99" w14:textId="77777777">
            <w:pPr>
              <w:rPr>
                <w:rFonts w:cs="Calibri"/>
              </w:rPr>
            </w:pPr>
            <w:r w:rsidRPr="007D15C3">
              <w:rPr>
                <w:rFonts w:cs="Calibri"/>
              </w:rPr>
              <w:t xml:space="preserve">             828,915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6DCA89" w14:textId="77777777">
            <w:pPr>
              <w:rPr>
                <w:rFonts w:cs="Calibri"/>
              </w:rPr>
            </w:pPr>
            <w:r w:rsidRPr="007D15C3">
              <w:rPr>
                <w:rFonts w:cs="Calibri"/>
              </w:rPr>
              <w:t xml:space="preserve">               821,250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FFCF73" w14:textId="77777777">
            <w:pPr>
              <w:jc w:val="right"/>
              <w:rPr>
                <w:rFonts w:cs="Calibri"/>
              </w:rPr>
            </w:pPr>
            <w:r w:rsidRPr="007D15C3">
              <w:rPr>
                <w:rFonts w:cs="Calibri"/>
              </w:rPr>
              <w:t>$6,436</w:t>
            </w:r>
          </w:p>
        </w:tc>
      </w:tr>
      <w:tr w14:paraId="21F517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E8A915" w14:textId="77777777">
            <w:pPr>
              <w:jc w:val="center"/>
              <w:rPr>
                <w:rFonts w:cs="Calibri"/>
              </w:rPr>
            </w:pPr>
            <w:r w:rsidRPr="007D15C3">
              <w:rPr>
                <w:rFonts w:cs="Calibri"/>
              </w:rPr>
              <w:t>10242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AB6DAF" w14:textId="77777777">
            <w:pPr>
              <w:jc w:val="center"/>
              <w:rPr>
                <w:rFonts w:cs="Calibri"/>
              </w:rPr>
            </w:pPr>
            <w:r w:rsidRPr="007D15C3">
              <w:rPr>
                <w:rFonts w:cs="Calibri"/>
              </w:rPr>
              <w:t>KQCA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9BB15B" w14:textId="77777777">
            <w:pPr>
              <w:rPr>
                <w:rFonts w:cs="Calibri"/>
              </w:rPr>
            </w:pPr>
            <w:r w:rsidRPr="007D15C3">
              <w:rPr>
                <w:rFonts w:cs="Calibri"/>
              </w:rPr>
              <w:t xml:space="preserve">          9,931,378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EFE7A5" w14:textId="77777777">
            <w:pPr>
              <w:rPr>
                <w:rFonts w:cs="Calibri"/>
              </w:rPr>
            </w:pPr>
            <w:r w:rsidRPr="007D15C3">
              <w:rPr>
                <w:rFonts w:cs="Calibri"/>
              </w:rPr>
              <w:t xml:space="preserve">            5,931,341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967AE2" w14:textId="77777777">
            <w:pPr>
              <w:jc w:val="right"/>
              <w:rPr>
                <w:rFonts w:cs="Calibri"/>
              </w:rPr>
            </w:pPr>
            <w:r w:rsidRPr="007D15C3">
              <w:rPr>
                <w:rFonts w:cs="Calibri"/>
              </w:rPr>
              <w:t>$46,484</w:t>
            </w:r>
          </w:p>
        </w:tc>
      </w:tr>
      <w:tr w14:paraId="6E392B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823D97" w14:textId="77777777">
            <w:pPr>
              <w:jc w:val="center"/>
              <w:rPr>
                <w:rFonts w:cs="Calibri"/>
              </w:rPr>
            </w:pPr>
            <w:r w:rsidRPr="007D15C3">
              <w:rPr>
                <w:rFonts w:cs="Calibri"/>
              </w:rPr>
              <w:t>41430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81AAF6" w14:textId="77777777">
            <w:pPr>
              <w:jc w:val="center"/>
              <w:rPr>
                <w:rFonts w:cs="Calibri"/>
              </w:rPr>
            </w:pPr>
            <w:r w:rsidRPr="007D15C3">
              <w:rPr>
                <w:rFonts w:cs="Calibri"/>
              </w:rPr>
              <w:t>KQCD-TV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8888CB" w14:textId="77777777">
            <w:pPr>
              <w:rPr>
                <w:rFonts w:cs="Calibri"/>
              </w:rPr>
            </w:pPr>
            <w:r w:rsidRPr="007D15C3">
              <w:rPr>
                <w:rFonts w:cs="Calibri"/>
              </w:rPr>
              <w:t xml:space="preserve">               35,623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F49D07" w14:textId="77777777">
            <w:pPr>
              <w:rPr>
                <w:rFonts w:cs="Calibri"/>
              </w:rPr>
            </w:pPr>
            <w:r w:rsidRPr="007D15C3">
              <w:rPr>
                <w:rFonts w:cs="Calibri"/>
              </w:rPr>
              <w:t xml:space="preserve">                 33,415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38E1BF" w14:textId="77777777">
            <w:pPr>
              <w:jc w:val="right"/>
              <w:rPr>
                <w:rFonts w:cs="Calibri"/>
              </w:rPr>
            </w:pPr>
            <w:r w:rsidRPr="007D15C3">
              <w:rPr>
                <w:rFonts w:cs="Calibri"/>
              </w:rPr>
              <w:t>$262</w:t>
            </w:r>
          </w:p>
        </w:tc>
      </w:tr>
      <w:tr w14:paraId="01F6F5D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5292B8" w14:textId="77777777">
            <w:pPr>
              <w:jc w:val="center"/>
              <w:rPr>
                <w:rFonts w:cs="Calibri"/>
              </w:rPr>
            </w:pPr>
            <w:r w:rsidRPr="007D15C3">
              <w:rPr>
                <w:rFonts w:cs="Calibri"/>
              </w:rPr>
              <w:t>18287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D373AF" w14:textId="77777777">
            <w:pPr>
              <w:jc w:val="center"/>
              <w:rPr>
                <w:rFonts w:cs="Calibri"/>
              </w:rPr>
            </w:pPr>
            <w:r w:rsidRPr="007D15C3">
              <w:rPr>
                <w:rFonts w:cs="Calibri"/>
              </w:rPr>
              <w:t>KQCK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09EE6B" w14:textId="77777777">
            <w:pPr>
              <w:rPr>
                <w:rFonts w:cs="Calibri"/>
              </w:rPr>
            </w:pPr>
            <w:r w:rsidRPr="007D15C3">
              <w:rPr>
                <w:rFonts w:cs="Calibri"/>
              </w:rPr>
              <w:t xml:space="preserve">          3,220,160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0C63A6" w14:textId="77777777">
            <w:pPr>
              <w:rPr>
                <w:rFonts w:cs="Calibri"/>
              </w:rPr>
            </w:pPr>
            <w:r w:rsidRPr="007D15C3">
              <w:rPr>
                <w:rFonts w:cs="Calibri"/>
              </w:rPr>
              <w:t xml:space="preserve">            3,162,711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57BCE9" w14:textId="77777777">
            <w:pPr>
              <w:jc w:val="right"/>
              <w:rPr>
                <w:rFonts w:cs="Calibri"/>
              </w:rPr>
            </w:pPr>
            <w:r w:rsidRPr="007D15C3">
              <w:rPr>
                <w:rFonts w:cs="Calibri"/>
              </w:rPr>
              <w:t>$24,786</w:t>
            </w:r>
          </w:p>
        </w:tc>
      </w:tr>
      <w:tr w14:paraId="466D5B9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40E4C1" w14:textId="77777777">
            <w:pPr>
              <w:jc w:val="center"/>
              <w:rPr>
                <w:rFonts w:cs="Calibri"/>
              </w:rPr>
            </w:pPr>
            <w:r w:rsidRPr="007D15C3">
              <w:rPr>
                <w:rFonts w:cs="Calibri"/>
              </w:rPr>
              <w:t>78322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94C929" w14:textId="77777777">
            <w:pPr>
              <w:jc w:val="center"/>
              <w:rPr>
                <w:rFonts w:cs="Calibri"/>
              </w:rPr>
            </w:pPr>
            <w:r w:rsidRPr="007D15C3">
              <w:rPr>
                <w:rFonts w:cs="Calibri"/>
              </w:rPr>
              <w:t>KQCW-DT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F5FCD7" w14:textId="77777777">
            <w:pPr>
              <w:rPr>
                <w:rFonts w:cs="Calibri"/>
              </w:rPr>
            </w:pPr>
            <w:r w:rsidRPr="007D15C3">
              <w:rPr>
                <w:rFonts w:cs="Calibri"/>
              </w:rPr>
              <w:t xml:space="preserve">          1,128,198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F1A0DE" w14:textId="77777777">
            <w:pPr>
              <w:rPr>
                <w:rFonts w:cs="Calibri"/>
              </w:rPr>
            </w:pPr>
            <w:r w:rsidRPr="007D15C3">
              <w:rPr>
                <w:rFonts w:cs="Calibri"/>
              </w:rPr>
              <w:t xml:space="preserve">            1,123,324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B5398A" w14:textId="77777777">
            <w:pPr>
              <w:jc w:val="right"/>
              <w:rPr>
                <w:rFonts w:cs="Calibri"/>
              </w:rPr>
            </w:pPr>
            <w:r w:rsidRPr="007D15C3">
              <w:rPr>
                <w:rFonts w:cs="Calibri"/>
              </w:rPr>
              <w:t>$8,803</w:t>
            </w:r>
          </w:p>
        </w:tc>
      </w:tr>
      <w:tr w14:paraId="1224EC2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C60993B" w14:textId="77777777">
            <w:pPr>
              <w:jc w:val="center"/>
              <w:rPr>
                <w:rFonts w:cs="Calibri"/>
              </w:rPr>
            </w:pPr>
            <w:r w:rsidRPr="007D15C3">
              <w:rPr>
                <w:rFonts w:cs="Calibri"/>
              </w:rPr>
              <w:t>35525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E36EA9" w14:textId="77777777">
            <w:pPr>
              <w:jc w:val="center"/>
              <w:rPr>
                <w:rFonts w:cs="Calibri"/>
              </w:rPr>
            </w:pPr>
            <w:r w:rsidRPr="007D15C3">
              <w:rPr>
                <w:rFonts w:cs="Calibri"/>
              </w:rPr>
              <w:t>KQDS-TV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19178C" w14:textId="77777777">
            <w:pPr>
              <w:rPr>
                <w:rFonts w:cs="Calibri"/>
              </w:rPr>
            </w:pPr>
            <w:r w:rsidRPr="007D15C3">
              <w:rPr>
                <w:rFonts w:cs="Calibri"/>
              </w:rPr>
              <w:t xml:space="preserve">             305,747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A91AA5" w14:textId="77777777">
            <w:pPr>
              <w:rPr>
                <w:rFonts w:cs="Calibri"/>
              </w:rPr>
            </w:pPr>
            <w:r w:rsidRPr="007D15C3">
              <w:rPr>
                <w:rFonts w:cs="Calibri"/>
              </w:rPr>
              <w:t xml:space="preserve">               302,246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6FFC09" w14:textId="77777777">
            <w:pPr>
              <w:jc w:val="right"/>
              <w:rPr>
                <w:rFonts w:cs="Calibri"/>
              </w:rPr>
            </w:pPr>
            <w:r w:rsidRPr="007D15C3">
              <w:rPr>
                <w:rFonts w:cs="Calibri"/>
              </w:rPr>
              <w:t>$2,369</w:t>
            </w:r>
          </w:p>
        </w:tc>
      </w:tr>
      <w:tr w14:paraId="59F38E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83F91F" w14:textId="77777777">
            <w:pPr>
              <w:jc w:val="center"/>
              <w:rPr>
                <w:rFonts w:cs="Calibri"/>
              </w:rPr>
            </w:pPr>
            <w:r w:rsidRPr="007D15C3">
              <w:rPr>
                <w:rFonts w:cs="Calibri"/>
              </w:rPr>
              <w:t>35500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F8DE26" w14:textId="77777777">
            <w:pPr>
              <w:jc w:val="center"/>
              <w:rPr>
                <w:rFonts w:cs="Calibri"/>
              </w:rPr>
            </w:pPr>
            <w:r w:rsidRPr="007D15C3">
              <w:rPr>
                <w:rFonts w:cs="Calibri"/>
              </w:rPr>
              <w:t>KQED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6F2102" w14:textId="77777777">
            <w:pPr>
              <w:rPr>
                <w:rFonts w:cs="Calibri"/>
              </w:rPr>
            </w:pPr>
            <w:r w:rsidRPr="007D15C3">
              <w:rPr>
                <w:rFonts w:cs="Calibri"/>
              </w:rPr>
              <w:t xml:space="preserve">          8,195,398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523553" w14:textId="77777777">
            <w:pPr>
              <w:rPr>
                <w:rFonts w:cs="Calibri"/>
              </w:rPr>
            </w:pPr>
            <w:r w:rsidRPr="007D15C3">
              <w:rPr>
                <w:rFonts w:cs="Calibri"/>
              </w:rPr>
              <w:t xml:space="preserve">            7,283,828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D484B3" w14:textId="77777777">
            <w:pPr>
              <w:jc w:val="right"/>
              <w:rPr>
                <w:rFonts w:cs="Calibri"/>
              </w:rPr>
            </w:pPr>
            <w:r w:rsidRPr="007D15C3">
              <w:rPr>
                <w:rFonts w:cs="Calibri"/>
              </w:rPr>
              <w:t>$57,083</w:t>
            </w:r>
          </w:p>
        </w:tc>
      </w:tr>
      <w:tr w14:paraId="041F38B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BA757C" w14:textId="77777777">
            <w:pPr>
              <w:jc w:val="center"/>
              <w:rPr>
                <w:rFonts w:cs="Calibri"/>
              </w:rPr>
            </w:pPr>
            <w:r w:rsidRPr="007D15C3">
              <w:rPr>
                <w:rFonts w:cs="Calibri"/>
              </w:rPr>
              <w:t>35663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3A1187" w14:textId="77777777">
            <w:pPr>
              <w:jc w:val="center"/>
              <w:rPr>
                <w:rFonts w:cs="Calibri"/>
              </w:rPr>
            </w:pPr>
            <w:r w:rsidRPr="007D15C3">
              <w:rPr>
                <w:rFonts w:cs="Calibri"/>
              </w:rPr>
              <w:t>KQEH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BF4F12" w14:textId="77777777">
            <w:pPr>
              <w:rPr>
                <w:rFonts w:cs="Calibri"/>
              </w:rPr>
            </w:pPr>
            <w:r w:rsidRPr="007D15C3">
              <w:rPr>
                <w:rFonts w:cs="Calibri"/>
              </w:rPr>
              <w:t xml:space="preserve">          8,195,398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493603" w14:textId="77777777">
            <w:pPr>
              <w:rPr>
                <w:rFonts w:cs="Calibri"/>
              </w:rPr>
            </w:pPr>
            <w:r w:rsidRPr="007D15C3">
              <w:rPr>
                <w:rFonts w:cs="Calibri"/>
              </w:rPr>
              <w:t xml:space="preserve">            7,283,828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A9EE14" w14:textId="77777777">
            <w:pPr>
              <w:jc w:val="right"/>
              <w:rPr>
                <w:rFonts w:cs="Calibri"/>
              </w:rPr>
            </w:pPr>
            <w:r w:rsidRPr="007D15C3">
              <w:rPr>
                <w:rFonts w:cs="Calibri"/>
              </w:rPr>
              <w:t>$57,083</w:t>
            </w:r>
          </w:p>
        </w:tc>
      </w:tr>
      <w:tr w14:paraId="4D3B8D7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CF1726" w14:textId="77777777">
            <w:pPr>
              <w:jc w:val="center"/>
              <w:rPr>
                <w:rFonts w:cs="Calibri"/>
              </w:rPr>
            </w:pPr>
            <w:r w:rsidRPr="007D15C3">
              <w:rPr>
                <w:rFonts w:cs="Calibri"/>
              </w:rPr>
              <w:t>8214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B7EAC3" w14:textId="77777777">
            <w:pPr>
              <w:jc w:val="center"/>
              <w:rPr>
                <w:rFonts w:cs="Calibri"/>
              </w:rPr>
            </w:pPr>
            <w:r w:rsidRPr="007D15C3">
              <w:rPr>
                <w:rFonts w:cs="Calibri"/>
              </w:rPr>
              <w:t>KQET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B6327F" w14:textId="77777777">
            <w:pPr>
              <w:rPr>
                <w:rFonts w:cs="Calibri"/>
              </w:rPr>
            </w:pPr>
            <w:r w:rsidRPr="007D15C3">
              <w:rPr>
                <w:rFonts w:cs="Calibri"/>
              </w:rPr>
              <w:t xml:space="preserve">          2,981,040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BC357C" w14:textId="77777777">
            <w:pPr>
              <w:rPr>
                <w:rFonts w:cs="Calibri"/>
              </w:rPr>
            </w:pPr>
            <w:r w:rsidRPr="007D15C3">
              <w:rPr>
                <w:rFonts w:cs="Calibri"/>
              </w:rPr>
              <w:t xml:space="preserve">            2,076,157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5CBFEC" w14:textId="77777777">
            <w:pPr>
              <w:jc w:val="right"/>
              <w:rPr>
                <w:rFonts w:cs="Calibri"/>
              </w:rPr>
            </w:pPr>
            <w:r w:rsidRPr="007D15C3">
              <w:rPr>
                <w:rFonts w:cs="Calibri"/>
              </w:rPr>
              <w:t>$16,271</w:t>
            </w:r>
          </w:p>
        </w:tc>
      </w:tr>
      <w:tr w14:paraId="5B845EB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AEC1B6" w14:textId="77777777">
            <w:pPr>
              <w:jc w:val="center"/>
              <w:rPr>
                <w:rFonts w:cs="Calibri"/>
              </w:rPr>
            </w:pPr>
            <w:r w:rsidRPr="007D15C3">
              <w:rPr>
                <w:rFonts w:cs="Calibri"/>
              </w:rPr>
              <w:t>5471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4A0E6D" w14:textId="77777777">
            <w:pPr>
              <w:jc w:val="center"/>
              <w:rPr>
                <w:rFonts w:cs="Calibri"/>
              </w:rPr>
            </w:pPr>
            <w:r w:rsidRPr="007D15C3">
              <w:rPr>
                <w:rFonts w:cs="Calibri"/>
              </w:rPr>
              <w:t>KQIN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1844FC" w14:textId="77777777">
            <w:pPr>
              <w:rPr>
                <w:rFonts w:cs="Calibri"/>
              </w:rPr>
            </w:pPr>
            <w:r w:rsidRPr="007D15C3">
              <w:rPr>
                <w:rFonts w:cs="Calibri"/>
              </w:rPr>
              <w:t xml:space="preserve">             596,371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1B779A" w14:textId="77777777">
            <w:pPr>
              <w:rPr>
                <w:rFonts w:cs="Calibri"/>
              </w:rPr>
            </w:pPr>
            <w:r w:rsidRPr="007D15C3">
              <w:rPr>
                <w:rFonts w:cs="Calibri"/>
              </w:rPr>
              <w:t xml:space="preserve">               596,277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C812C2" w14:textId="77777777">
            <w:pPr>
              <w:jc w:val="right"/>
              <w:rPr>
                <w:rFonts w:cs="Calibri"/>
              </w:rPr>
            </w:pPr>
            <w:r w:rsidRPr="007D15C3">
              <w:rPr>
                <w:rFonts w:cs="Calibri"/>
              </w:rPr>
              <w:t>$4,673</w:t>
            </w:r>
          </w:p>
        </w:tc>
      </w:tr>
      <w:tr w14:paraId="024060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325BD7" w14:textId="77777777">
            <w:pPr>
              <w:jc w:val="center"/>
              <w:rPr>
                <w:rFonts w:cs="Calibri"/>
              </w:rPr>
            </w:pPr>
            <w:r w:rsidRPr="007D15C3">
              <w:rPr>
                <w:rFonts w:cs="Calibri"/>
              </w:rPr>
              <w:t>17686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F9F3EA" w14:textId="77777777">
            <w:pPr>
              <w:jc w:val="center"/>
              <w:rPr>
                <w:rFonts w:cs="Calibri"/>
              </w:rPr>
            </w:pPr>
            <w:r w:rsidRPr="007D15C3">
              <w:rPr>
                <w:rFonts w:cs="Calibri"/>
              </w:rPr>
              <w:t>KQME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0F2350" w14:textId="77777777">
            <w:pPr>
              <w:rPr>
                <w:rFonts w:cs="Calibri"/>
              </w:rPr>
            </w:pPr>
            <w:r w:rsidRPr="007D15C3">
              <w:rPr>
                <w:rFonts w:cs="Calibri"/>
              </w:rPr>
              <w:t xml:space="preserve">             188,783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CA8AFC" w14:textId="77777777">
            <w:pPr>
              <w:rPr>
                <w:rFonts w:cs="Calibri"/>
              </w:rPr>
            </w:pPr>
            <w:r w:rsidRPr="007D15C3">
              <w:rPr>
                <w:rFonts w:cs="Calibri"/>
              </w:rPr>
              <w:t xml:space="preserve">               184,719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428DA2" w14:textId="77777777">
            <w:pPr>
              <w:jc w:val="right"/>
              <w:rPr>
                <w:rFonts w:cs="Calibri"/>
              </w:rPr>
            </w:pPr>
            <w:r w:rsidRPr="007D15C3">
              <w:rPr>
                <w:rFonts w:cs="Calibri"/>
              </w:rPr>
              <w:t>$1,448</w:t>
            </w:r>
          </w:p>
        </w:tc>
      </w:tr>
      <w:tr w14:paraId="0A21670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C34133" w14:textId="77777777">
            <w:pPr>
              <w:jc w:val="center"/>
              <w:rPr>
                <w:rFonts w:cs="Calibri"/>
              </w:rPr>
            </w:pPr>
            <w:r w:rsidRPr="007D15C3">
              <w:rPr>
                <w:rFonts w:cs="Calibri"/>
              </w:rPr>
              <w:t>61063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A949E7" w14:textId="77777777">
            <w:pPr>
              <w:jc w:val="center"/>
              <w:rPr>
                <w:rFonts w:cs="Calibri"/>
              </w:rPr>
            </w:pPr>
            <w:r w:rsidRPr="007D15C3">
              <w:rPr>
                <w:rFonts w:cs="Calibri"/>
              </w:rPr>
              <w:t>KQSD-TV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84DD97" w14:textId="77777777">
            <w:pPr>
              <w:rPr>
                <w:rFonts w:cs="Calibri"/>
              </w:rPr>
            </w:pPr>
            <w:r w:rsidRPr="007D15C3">
              <w:rPr>
                <w:rFonts w:cs="Calibri"/>
              </w:rPr>
              <w:t xml:space="preserve">               32,526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35A5F2" w14:textId="77777777">
            <w:pPr>
              <w:rPr>
                <w:rFonts w:cs="Calibri"/>
              </w:rPr>
            </w:pPr>
            <w:r w:rsidRPr="007D15C3">
              <w:rPr>
                <w:rFonts w:cs="Calibri"/>
              </w:rPr>
              <w:t xml:space="preserve">                 31,328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2C28AF" w14:textId="77777777">
            <w:pPr>
              <w:jc w:val="right"/>
              <w:rPr>
                <w:rFonts w:cs="Calibri"/>
              </w:rPr>
            </w:pPr>
            <w:r w:rsidRPr="007D15C3">
              <w:rPr>
                <w:rFonts w:cs="Calibri"/>
              </w:rPr>
              <w:t>$246</w:t>
            </w:r>
          </w:p>
        </w:tc>
      </w:tr>
      <w:tr w14:paraId="1BCAA9A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7ABD94" w14:textId="77777777">
            <w:pPr>
              <w:jc w:val="center"/>
              <w:rPr>
                <w:rFonts w:cs="Calibri"/>
              </w:rPr>
            </w:pPr>
            <w:r w:rsidRPr="007D15C3">
              <w:rPr>
                <w:rFonts w:cs="Calibri"/>
              </w:rPr>
              <w:t>8378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C7B388" w14:textId="77777777">
            <w:pPr>
              <w:jc w:val="center"/>
              <w:rPr>
                <w:rFonts w:cs="Calibri"/>
              </w:rPr>
            </w:pPr>
            <w:r w:rsidRPr="007D15C3">
              <w:rPr>
                <w:rFonts w:cs="Calibri"/>
              </w:rPr>
              <w:t>KQSL*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3F16EF" w14:textId="77777777">
            <w:pPr>
              <w:rPr>
                <w:rFonts w:cs="Calibri"/>
              </w:rPr>
            </w:pPr>
            <w:r w:rsidRPr="007D15C3">
              <w:rPr>
                <w:rFonts w:cs="Calibri"/>
              </w:rPr>
              <w:t xml:space="preserve">             196,316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5FC74F" w14:textId="77777777">
            <w:pPr>
              <w:rPr>
                <w:rFonts w:cs="Calibri"/>
              </w:rPr>
            </w:pPr>
            <w:r w:rsidRPr="007D15C3">
              <w:rPr>
                <w:rFonts w:cs="Calibri"/>
              </w:rPr>
              <w:t xml:space="preserve">               133,564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6DFE89" w14:textId="77777777">
            <w:pPr>
              <w:jc w:val="right"/>
              <w:rPr>
                <w:rFonts w:cs="Calibri"/>
              </w:rPr>
            </w:pPr>
            <w:r w:rsidRPr="007D15C3">
              <w:rPr>
                <w:rFonts w:cs="Calibri"/>
              </w:rPr>
              <w:t>$1,047</w:t>
            </w:r>
          </w:p>
        </w:tc>
      </w:tr>
      <w:tr w14:paraId="6BC18F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DA79DA" w14:textId="77777777">
            <w:pPr>
              <w:jc w:val="center"/>
              <w:rPr>
                <w:rFonts w:cs="Calibri"/>
              </w:rPr>
            </w:pPr>
            <w:r w:rsidRPr="007D15C3">
              <w:rPr>
                <w:rFonts w:cs="Calibri"/>
              </w:rPr>
              <w:t>20427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817D69" w14:textId="77777777">
            <w:pPr>
              <w:jc w:val="center"/>
              <w:rPr>
                <w:rFonts w:cs="Calibri"/>
              </w:rPr>
            </w:pPr>
            <w:r w:rsidRPr="007D15C3">
              <w:rPr>
                <w:rFonts w:cs="Calibri"/>
              </w:rPr>
              <w:t>KQTV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B4D720" w14:textId="77777777">
            <w:pPr>
              <w:rPr>
                <w:rFonts w:cs="Calibri"/>
              </w:rPr>
            </w:pPr>
            <w:r w:rsidRPr="007D15C3">
              <w:rPr>
                <w:rFonts w:cs="Calibri"/>
              </w:rPr>
              <w:t xml:space="preserve">          1,494,987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ADA005" w14:textId="77777777">
            <w:pPr>
              <w:rPr>
                <w:rFonts w:cs="Calibri"/>
              </w:rPr>
            </w:pPr>
            <w:r w:rsidRPr="007D15C3">
              <w:rPr>
                <w:rFonts w:cs="Calibri"/>
              </w:rPr>
              <w:t xml:space="preserve">            1,401,160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E0CA67" w14:textId="77777777">
            <w:pPr>
              <w:jc w:val="right"/>
              <w:rPr>
                <w:rFonts w:cs="Calibri"/>
              </w:rPr>
            </w:pPr>
            <w:r w:rsidRPr="007D15C3">
              <w:rPr>
                <w:rFonts w:cs="Calibri"/>
              </w:rPr>
              <w:t>$10,981</w:t>
            </w:r>
          </w:p>
        </w:tc>
      </w:tr>
      <w:tr w14:paraId="29CDF95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BB7C3FA" w14:textId="77777777">
            <w:pPr>
              <w:jc w:val="center"/>
              <w:rPr>
                <w:rFonts w:cs="Calibri"/>
              </w:rPr>
            </w:pPr>
            <w:r w:rsidRPr="007D15C3">
              <w:rPr>
                <w:rFonts w:cs="Calibri"/>
              </w:rPr>
              <w:t>78921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E659B6" w14:textId="77777777">
            <w:pPr>
              <w:jc w:val="center"/>
              <w:rPr>
                <w:rFonts w:cs="Calibri"/>
              </w:rPr>
            </w:pPr>
            <w:r w:rsidRPr="007D15C3">
              <w:rPr>
                <w:rFonts w:cs="Calibri"/>
              </w:rPr>
              <w:t>KQUP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0C79C0" w14:textId="77777777">
            <w:pPr>
              <w:rPr>
                <w:rFonts w:cs="Calibri"/>
              </w:rPr>
            </w:pPr>
            <w:r w:rsidRPr="007D15C3">
              <w:rPr>
                <w:rFonts w:cs="Calibri"/>
              </w:rPr>
              <w:t xml:space="preserve">             697,016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A7A466" w14:textId="77777777">
            <w:pPr>
              <w:rPr>
                <w:rFonts w:cs="Calibri"/>
              </w:rPr>
            </w:pPr>
            <w:r w:rsidRPr="007D15C3">
              <w:rPr>
                <w:rFonts w:cs="Calibri"/>
              </w:rPr>
              <w:t xml:space="preserve">               551,824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5ABB3D" w14:textId="77777777">
            <w:pPr>
              <w:jc w:val="right"/>
              <w:rPr>
                <w:rFonts w:cs="Calibri"/>
              </w:rPr>
            </w:pPr>
            <w:r w:rsidRPr="007D15C3">
              <w:rPr>
                <w:rFonts w:cs="Calibri"/>
              </w:rPr>
              <w:t>$4,325</w:t>
            </w:r>
          </w:p>
        </w:tc>
      </w:tr>
      <w:tr w14:paraId="06DF06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E43555" w14:textId="77777777">
            <w:pPr>
              <w:jc w:val="center"/>
              <w:rPr>
                <w:rFonts w:cs="Calibri"/>
              </w:rPr>
            </w:pPr>
            <w:r w:rsidRPr="007D15C3">
              <w:rPr>
                <w:rFonts w:cs="Calibri"/>
              </w:rPr>
              <w:t>306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DEE1D6" w14:textId="77777777">
            <w:pPr>
              <w:jc w:val="center"/>
              <w:rPr>
                <w:rFonts w:cs="Calibri"/>
              </w:rPr>
            </w:pPr>
            <w:r w:rsidRPr="007D15C3">
              <w:rPr>
                <w:rFonts w:cs="Calibri"/>
              </w:rPr>
              <w:t>KRBC-TV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8A8E0E" w14:textId="77777777">
            <w:pPr>
              <w:rPr>
                <w:rFonts w:cs="Calibri"/>
              </w:rPr>
            </w:pPr>
            <w:r w:rsidRPr="007D15C3">
              <w:rPr>
                <w:rFonts w:cs="Calibri"/>
              </w:rPr>
              <w:t xml:space="preserve">             229,395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789B96" w14:textId="77777777">
            <w:pPr>
              <w:rPr>
                <w:rFonts w:cs="Calibri"/>
              </w:rPr>
            </w:pPr>
            <w:r w:rsidRPr="007D15C3">
              <w:rPr>
                <w:rFonts w:cs="Calibri"/>
              </w:rPr>
              <w:t xml:space="preserve">               229,277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F57D92" w14:textId="77777777">
            <w:pPr>
              <w:jc w:val="right"/>
              <w:rPr>
                <w:rFonts w:cs="Calibri"/>
              </w:rPr>
            </w:pPr>
            <w:r w:rsidRPr="007D15C3">
              <w:rPr>
                <w:rFonts w:cs="Calibri"/>
              </w:rPr>
              <w:t>$1,797</w:t>
            </w:r>
          </w:p>
        </w:tc>
      </w:tr>
      <w:tr w14:paraId="77727B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121E38" w14:textId="77777777">
            <w:pPr>
              <w:jc w:val="center"/>
              <w:rPr>
                <w:rFonts w:cs="Calibri"/>
              </w:rPr>
            </w:pPr>
            <w:r w:rsidRPr="007D15C3">
              <w:rPr>
                <w:rFonts w:cs="Calibri"/>
              </w:rPr>
              <w:t>166319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1E2A38" w14:textId="77777777">
            <w:pPr>
              <w:jc w:val="center"/>
              <w:rPr>
                <w:rFonts w:cs="Calibri"/>
              </w:rPr>
            </w:pPr>
            <w:r w:rsidRPr="007D15C3">
              <w:rPr>
                <w:rFonts w:cs="Calibri"/>
              </w:rPr>
              <w:t>KRBK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465657" w14:textId="77777777">
            <w:pPr>
              <w:rPr>
                <w:rFonts w:cs="Calibri"/>
              </w:rPr>
            </w:pPr>
            <w:r w:rsidRPr="007D15C3">
              <w:rPr>
                <w:rFonts w:cs="Calibri"/>
              </w:rPr>
              <w:t xml:space="preserve">             983,888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6AF4FA" w14:textId="77777777">
            <w:pPr>
              <w:rPr>
                <w:rFonts w:cs="Calibri"/>
              </w:rPr>
            </w:pPr>
            <w:r w:rsidRPr="007D15C3">
              <w:rPr>
                <w:rFonts w:cs="Calibri"/>
              </w:rPr>
              <w:t xml:space="preserve">               966,187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44E0D8" w14:textId="77777777">
            <w:pPr>
              <w:jc w:val="right"/>
              <w:rPr>
                <w:rFonts w:cs="Calibri"/>
              </w:rPr>
            </w:pPr>
            <w:r w:rsidRPr="007D15C3">
              <w:rPr>
                <w:rFonts w:cs="Calibri"/>
              </w:rPr>
              <w:t>$7,572</w:t>
            </w:r>
          </w:p>
        </w:tc>
      </w:tr>
      <w:tr w14:paraId="346A39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F0027B" w14:textId="77777777">
            <w:pPr>
              <w:jc w:val="center"/>
              <w:rPr>
                <w:rFonts w:cs="Calibri"/>
              </w:rPr>
            </w:pPr>
            <w:r w:rsidRPr="007D15C3">
              <w:rPr>
                <w:rFonts w:cs="Calibri"/>
              </w:rPr>
              <w:t>22161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9C2D61" w14:textId="77777777">
            <w:pPr>
              <w:jc w:val="center"/>
              <w:rPr>
                <w:rFonts w:cs="Calibri"/>
              </w:rPr>
            </w:pPr>
            <w:r w:rsidRPr="007D15C3">
              <w:rPr>
                <w:rFonts w:cs="Calibri"/>
              </w:rPr>
              <w:t>KRCA*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85D674" w14:textId="77777777">
            <w:pPr>
              <w:rPr>
                <w:rFonts w:cs="Calibri"/>
              </w:rPr>
            </w:pPr>
            <w:r w:rsidRPr="007D15C3">
              <w:rPr>
                <w:rFonts w:cs="Calibri"/>
              </w:rPr>
              <w:t xml:space="preserve">        17,540,791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80EF7D" w14:textId="77777777">
            <w:pPr>
              <w:rPr>
                <w:rFonts w:cs="Calibri"/>
              </w:rPr>
            </w:pPr>
            <w:r w:rsidRPr="007D15C3">
              <w:rPr>
                <w:rFonts w:cs="Calibri"/>
              </w:rPr>
              <w:t xml:space="preserve">          16,957,292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7075F6" w14:textId="77777777">
            <w:pPr>
              <w:jc w:val="right"/>
              <w:rPr>
                <w:rFonts w:cs="Calibri"/>
              </w:rPr>
            </w:pPr>
            <w:r w:rsidRPr="007D15C3">
              <w:rPr>
                <w:rFonts w:cs="Calibri"/>
              </w:rPr>
              <w:t>$132,894</w:t>
            </w:r>
          </w:p>
        </w:tc>
      </w:tr>
      <w:tr w14:paraId="38B297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2918DB" w14:textId="77777777">
            <w:pPr>
              <w:jc w:val="center"/>
              <w:rPr>
                <w:rFonts w:cs="Calibri"/>
              </w:rPr>
            </w:pPr>
            <w:r w:rsidRPr="007D15C3">
              <w:rPr>
                <w:rFonts w:cs="Calibri"/>
              </w:rPr>
              <w:t>57945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AB6DBD" w14:textId="77777777">
            <w:pPr>
              <w:jc w:val="center"/>
              <w:rPr>
                <w:rFonts w:cs="Calibri"/>
              </w:rPr>
            </w:pPr>
            <w:r w:rsidRPr="007D15C3">
              <w:rPr>
                <w:rFonts w:cs="Calibri"/>
              </w:rPr>
              <w:t>KRCB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9DBFE1" w14:textId="77777777">
            <w:pPr>
              <w:rPr>
                <w:rFonts w:cs="Calibri"/>
              </w:rPr>
            </w:pPr>
            <w:r w:rsidRPr="007D15C3">
              <w:rPr>
                <w:rFonts w:cs="Calibri"/>
              </w:rPr>
              <w:t xml:space="preserve">          5,320,127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D6FADF" w14:textId="77777777">
            <w:pPr>
              <w:rPr>
                <w:rFonts w:cs="Calibri"/>
              </w:rPr>
            </w:pPr>
            <w:r w:rsidRPr="007D15C3">
              <w:rPr>
                <w:rFonts w:cs="Calibri"/>
              </w:rPr>
              <w:t xml:space="preserve">            4,552,911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631894" w14:textId="77777777">
            <w:pPr>
              <w:jc w:val="right"/>
              <w:rPr>
                <w:rFonts w:cs="Calibri"/>
              </w:rPr>
            </w:pPr>
            <w:r w:rsidRPr="007D15C3">
              <w:rPr>
                <w:rFonts w:cs="Calibri"/>
              </w:rPr>
              <w:t>$35,681</w:t>
            </w:r>
          </w:p>
        </w:tc>
      </w:tr>
      <w:tr w14:paraId="0C1690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79F386" w14:textId="77777777">
            <w:pPr>
              <w:jc w:val="center"/>
              <w:rPr>
                <w:rFonts w:cs="Calibri"/>
              </w:rPr>
            </w:pPr>
            <w:r w:rsidRPr="007D15C3">
              <w:rPr>
                <w:rFonts w:cs="Calibri"/>
              </w:rPr>
              <w:t>41110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803285" w14:textId="77777777">
            <w:pPr>
              <w:jc w:val="center"/>
              <w:rPr>
                <w:rFonts w:cs="Calibri"/>
              </w:rPr>
            </w:pPr>
            <w:r w:rsidRPr="007D15C3">
              <w:rPr>
                <w:rFonts w:cs="Calibri"/>
              </w:rPr>
              <w:t>KRCG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1F0629" w14:textId="77777777">
            <w:pPr>
              <w:rPr>
                <w:rFonts w:cs="Calibri"/>
              </w:rPr>
            </w:pPr>
            <w:r w:rsidRPr="007D15C3">
              <w:rPr>
                <w:rFonts w:cs="Calibri"/>
              </w:rPr>
              <w:t xml:space="preserve">             684,989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3C37D2" w14:textId="77777777">
            <w:pPr>
              <w:rPr>
                <w:rFonts w:cs="Calibri"/>
              </w:rPr>
            </w:pPr>
            <w:r w:rsidRPr="007D15C3">
              <w:rPr>
                <w:rFonts w:cs="Calibri"/>
              </w:rPr>
              <w:t xml:space="preserve">               662,418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3666E7" w14:textId="77777777">
            <w:pPr>
              <w:jc w:val="right"/>
              <w:rPr>
                <w:rFonts w:cs="Calibri"/>
              </w:rPr>
            </w:pPr>
            <w:r w:rsidRPr="007D15C3">
              <w:rPr>
                <w:rFonts w:cs="Calibri"/>
              </w:rPr>
              <w:t>$5,191</w:t>
            </w:r>
          </w:p>
        </w:tc>
      </w:tr>
      <w:tr w14:paraId="10C20DB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A5C32C" w14:textId="77777777">
            <w:pPr>
              <w:jc w:val="center"/>
              <w:rPr>
                <w:rFonts w:cs="Calibri"/>
              </w:rPr>
            </w:pPr>
            <w:r w:rsidRPr="007D15C3">
              <w:rPr>
                <w:rFonts w:cs="Calibri"/>
              </w:rPr>
              <w:t>8291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3D4AFE" w14:textId="77777777">
            <w:pPr>
              <w:jc w:val="center"/>
              <w:rPr>
                <w:rFonts w:cs="Calibri"/>
              </w:rPr>
            </w:pPr>
            <w:r w:rsidRPr="007D15C3">
              <w:rPr>
                <w:rFonts w:cs="Calibri"/>
              </w:rPr>
              <w:t>KRCR-TV*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72F493" w14:textId="77777777">
            <w:pPr>
              <w:rPr>
                <w:rFonts w:cs="Calibri"/>
              </w:rPr>
            </w:pPr>
            <w:r w:rsidRPr="007D15C3">
              <w:rPr>
                <w:rFonts w:cs="Calibri"/>
              </w:rPr>
              <w:t xml:space="preserve">             423,000</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1D805E" w14:textId="77777777">
            <w:pPr>
              <w:rPr>
                <w:rFonts w:cs="Calibri"/>
              </w:rPr>
            </w:pPr>
            <w:r w:rsidRPr="007D15C3">
              <w:rPr>
                <w:rFonts w:cs="Calibri"/>
              </w:rPr>
              <w:t xml:space="preserve">               402,594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D2959B" w14:textId="77777777">
            <w:pPr>
              <w:jc w:val="right"/>
              <w:rPr>
                <w:rFonts w:cs="Calibri"/>
              </w:rPr>
            </w:pPr>
            <w:r w:rsidRPr="007D15C3">
              <w:rPr>
                <w:rFonts w:cs="Calibri"/>
              </w:rPr>
              <w:t>$3,155</w:t>
            </w:r>
          </w:p>
        </w:tc>
      </w:tr>
      <w:tr w14:paraId="1D6097E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95C880" w14:textId="77777777">
            <w:pPr>
              <w:jc w:val="center"/>
              <w:rPr>
                <w:rFonts w:cs="Calibri"/>
              </w:rPr>
            </w:pPr>
            <w:r w:rsidRPr="007D15C3">
              <w:rPr>
                <w:rFonts w:cs="Calibri"/>
              </w:rPr>
              <w:t>10192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39C339" w14:textId="77777777">
            <w:pPr>
              <w:jc w:val="center"/>
              <w:rPr>
                <w:rFonts w:cs="Calibri"/>
              </w:rPr>
            </w:pPr>
            <w:r w:rsidRPr="007D15C3">
              <w:rPr>
                <w:rFonts w:cs="Calibri"/>
              </w:rPr>
              <w:t>KRCW-TV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032AC3" w14:textId="77777777">
            <w:pPr>
              <w:rPr>
                <w:rFonts w:cs="Calibri"/>
              </w:rPr>
            </w:pPr>
            <w:r w:rsidRPr="007D15C3">
              <w:rPr>
                <w:rFonts w:cs="Calibri"/>
              </w:rPr>
              <w:t xml:space="preserve">          2,966,577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8C5881" w14:textId="77777777">
            <w:pPr>
              <w:rPr>
                <w:rFonts w:cs="Calibri"/>
              </w:rPr>
            </w:pPr>
            <w:r w:rsidRPr="007D15C3">
              <w:rPr>
                <w:rFonts w:cs="Calibri"/>
              </w:rPr>
              <w:t xml:space="preserve">            2,842,523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2C0249" w14:textId="77777777">
            <w:pPr>
              <w:jc w:val="right"/>
              <w:rPr>
                <w:rFonts w:cs="Calibri"/>
              </w:rPr>
            </w:pPr>
            <w:r w:rsidRPr="007D15C3">
              <w:rPr>
                <w:rFonts w:cs="Calibri"/>
              </w:rPr>
              <w:t>$22,277</w:t>
            </w:r>
          </w:p>
        </w:tc>
      </w:tr>
      <w:tr w14:paraId="05BE9D8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B0CD58" w14:textId="77777777">
            <w:pPr>
              <w:jc w:val="center"/>
              <w:rPr>
                <w:rFonts w:cs="Calibri"/>
              </w:rPr>
            </w:pPr>
            <w:r w:rsidRPr="007D15C3">
              <w:rPr>
                <w:rFonts w:cs="Calibri"/>
              </w:rPr>
              <w:t>49134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C25A93" w14:textId="77777777">
            <w:pPr>
              <w:jc w:val="center"/>
              <w:rPr>
                <w:rFonts w:cs="Calibri"/>
              </w:rPr>
            </w:pPr>
            <w:r w:rsidRPr="007D15C3">
              <w:rPr>
                <w:rFonts w:cs="Calibri"/>
              </w:rPr>
              <w:t>KRDK-TV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197652" w14:textId="77777777">
            <w:pPr>
              <w:rPr>
                <w:rFonts w:cs="Calibri"/>
              </w:rPr>
            </w:pPr>
            <w:r w:rsidRPr="007D15C3">
              <w:rPr>
                <w:rFonts w:cs="Calibri"/>
              </w:rPr>
              <w:t xml:space="preserve">             349,941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DCF51E" w14:textId="77777777">
            <w:pPr>
              <w:rPr>
                <w:rFonts w:cs="Calibri"/>
              </w:rPr>
            </w:pPr>
            <w:r w:rsidRPr="007D15C3">
              <w:rPr>
                <w:rFonts w:cs="Calibri"/>
              </w:rPr>
              <w:t xml:space="preserve">               349,915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B444C3" w14:textId="77777777">
            <w:pPr>
              <w:jc w:val="right"/>
              <w:rPr>
                <w:rFonts w:cs="Calibri"/>
              </w:rPr>
            </w:pPr>
            <w:r w:rsidRPr="007D15C3">
              <w:rPr>
                <w:rFonts w:cs="Calibri"/>
              </w:rPr>
              <w:t>$2,742</w:t>
            </w:r>
          </w:p>
        </w:tc>
      </w:tr>
      <w:tr w14:paraId="29C7BA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AEB9E1" w14:textId="77777777">
            <w:pPr>
              <w:jc w:val="center"/>
              <w:rPr>
                <w:rFonts w:cs="Calibri"/>
              </w:rPr>
            </w:pPr>
            <w:r w:rsidRPr="007D15C3">
              <w:rPr>
                <w:rFonts w:cs="Calibri"/>
              </w:rPr>
              <w:t>52579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1DEB84" w14:textId="77777777">
            <w:pPr>
              <w:jc w:val="center"/>
              <w:rPr>
                <w:rFonts w:cs="Calibri"/>
              </w:rPr>
            </w:pPr>
            <w:r w:rsidRPr="007D15C3">
              <w:rPr>
                <w:rFonts w:cs="Calibri"/>
              </w:rPr>
              <w:t>KRDO-TV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E10DAE" w14:textId="77777777">
            <w:pPr>
              <w:rPr>
                <w:rFonts w:cs="Calibri"/>
              </w:rPr>
            </w:pPr>
            <w:r w:rsidRPr="007D15C3">
              <w:rPr>
                <w:rFonts w:cs="Calibri"/>
              </w:rPr>
              <w:t xml:space="preserve">          2,622,603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D6A72C" w14:textId="77777777">
            <w:pPr>
              <w:rPr>
                <w:rFonts w:cs="Calibri"/>
              </w:rPr>
            </w:pPr>
            <w:r w:rsidRPr="007D15C3">
              <w:rPr>
                <w:rFonts w:cs="Calibri"/>
              </w:rPr>
              <w:t xml:space="preserve">            2,272,383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D83074" w14:textId="77777777">
            <w:pPr>
              <w:jc w:val="right"/>
              <w:rPr>
                <w:rFonts w:cs="Calibri"/>
              </w:rPr>
            </w:pPr>
            <w:r w:rsidRPr="007D15C3">
              <w:rPr>
                <w:rFonts w:cs="Calibri"/>
              </w:rPr>
              <w:t>$17,809</w:t>
            </w:r>
          </w:p>
        </w:tc>
      </w:tr>
      <w:tr w14:paraId="2AB341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4854E5" w14:textId="77777777">
            <w:pPr>
              <w:jc w:val="center"/>
              <w:rPr>
                <w:rFonts w:cs="Calibri"/>
              </w:rPr>
            </w:pPr>
            <w:r w:rsidRPr="007D15C3">
              <w:rPr>
                <w:rFonts w:cs="Calibri"/>
              </w:rPr>
              <w:t>70578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EDB8D8" w14:textId="77777777">
            <w:pPr>
              <w:jc w:val="center"/>
              <w:rPr>
                <w:rFonts w:cs="Calibri"/>
              </w:rPr>
            </w:pPr>
            <w:r w:rsidRPr="007D15C3">
              <w:rPr>
                <w:rFonts w:cs="Calibri"/>
              </w:rPr>
              <w:t>KREG-TV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D926CA" w14:textId="77777777">
            <w:pPr>
              <w:rPr>
                <w:rFonts w:cs="Calibri"/>
              </w:rPr>
            </w:pPr>
            <w:r w:rsidRPr="007D15C3">
              <w:rPr>
                <w:rFonts w:cs="Calibri"/>
              </w:rPr>
              <w:t xml:space="preserve">             149,306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B1D193" w14:textId="77777777">
            <w:pPr>
              <w:rPr>
                <w:rFonts w:cs="Calibri"/>
              </w:rPr>
            </w:pPr>
            <w:r w:rsidRPr="007D15C3">
              <w:rPr>
                <w:rFonts w:cs="Calibri"/>
              </w:rPr>
              <w:t xml:space="preserve">                 95,141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C1C51A" w14:textId="77777777">
            <w:pPr>
              <w:jc w:val="right"/>
              <w:rPr>
                <w:rFonts w:cs="Calibri"/>
              </w:rPr>
            </w:pPr>
            <w:r w:rsidRPr="007D15C3">
              <w:rPr>
                <w:rFonts w:cs="Calibri"/>
              </w:rPr>
              <w:t>$746</w:t>
            </w:r>
          </w:p>
        </w:tc>
      </w:tr>
      <w:tr w14:paraId="1602D1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F6CAE5" w14:textId="77777777">
            <w:pPr>
              <w:jc w:val="center"/>
              <w:rPr>
                <w:rFonts w:cs="Calibri"/>
              </w:rPr>
            </w:pPr>
            <w:r w:rsidRPr="007D15C3">
              <w:rPr>
                <w:rFonts w:cs="Calibri"/>
              </w:rPr>
              <w:t>34868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D27A13" w14:textId="77777777">
            <w:pPr>
              <w:jc w:val="center"/>
              <w:rPr>
                <w:rFonts w:cs="Calibri"/>
              </w:rPr>
            </w:pPr>
            <w:r w:rsidRPr="007D15C3">
              <w:rPr>
                <w:rFonts w:cs="Calibri"/>
              </w:rPr>
              <w:t>KREM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A1FE4C" w14:textId="77777777">
            <w:pPr>
              <w:rPr>
                <w:rFonts w:cs="Calibri"/>
              </w:rPr>
            </w:pPr>
            <w:r w:rsidRPr="007D15C3">
              <w:rPr>
                <w:rFonts w:cs="Calibri"/>
              </w:rPr>
              <w:t xml:space="preserve">             817,619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A589D1" w14:textId="77777777">
            <w:pPr>
              <w:rPr>
                <w:rFonts w:cs="Calibri"/>
              </w:rPr>
            </w:pPr>
            <w:r w:rsidRPr="007D15C3">
              <w:rPr>
                <w:rFonts w:cs="Calibri"/>
              </w:rPr>
              <w:t xml:space="preserve">               752,113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A4F975" w14:textId="77777777">
            <w:pPr>
              <w:jc w:val="right"/>
              <w:rPr>
                <w:rFonts w:cs="Calibri"/>
              </w:rPr>
            </w:pPr>
            <w:r w:rsidRPr="007D15C3">
              <w:rPr>
                <w:rFonts w:cs="Calibri"/>
              </w:rPr>
              <w:t>$5,894</w:t>
            </w:r>
          </w:p>
        </w:tc>
      </w:tr>
      <w:tr w14:paraId="08DEC49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3A4616" w14:textId="77777777">
            <w:pPr>
              <w:jc w:val="center"/>
              <w:rPr>
                <w:rFonts w:cs="Calibri"/>
              </w:rPr>
            </w:pPr>
            <w:r w:rsidRPr="007D15C3">
              <w:rPr>
                <w:rFonts w:cs="Calibri"/>
              </w:rPr>
              <w:t>51493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9F66F3" w14:textId="77777777">
            <w:pPr>
              <w:jc w:val="center"/>
              <w:rPr>
                <w:rFonts w:cs="Calibri"/>
              </w:rPr>
            </w:pPr>
            <w:r w:rsidRPr="007D15C3">
              <w:rPr>
                <w:rFonts w:cs="Calibri"/>
              </w:rPr>
              <w:t>KREN-TV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3D5185" w14:textId="77777777">
            <w:pPr>
              <w:rPr>
                <w:rFonts w:cs="Calibri"/>
              </w:rPr>
            </w:pPr>
            <w:r w:rsidRPr="007D15C3">
              <w:rPr>
                <w:rFonts w:cs="Calibri"/>
              </w:rPr>
              <w:t xml:space="preserve">             810,039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6D1B9B" w14:textId="77777777">
            <w:pPr>
              <w:rPr>
                <w:rFonts w:cs="Calibri"/>
              </w:rPr>
            </w:pPr>
            <w:r w:rsidRPr="007D15C3">
              <w:rPr>
                <w:rFonts w:cs="Calibri"/>
              </w:rPr>
              <w:t xml:space="preserve">               681,212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C8DD4D" w14:textId="77777777">
            <w:pPr>
              <w:jc w:val="right"/>
              <w:rPr>
                <w:rFonts w:cs="Calibri"/>
              </w:rPr>
            </w:pPr>
            <w:r w:rsidRPr="007D15C3">
              <w:rPr>
                <w:rFonts w:cs="Calibri"/>
              </w:rPr>
              <w:t>$5,339</w:t>
            </w:r>
          </w:p>
        </w:tc>
      </w:tr>
      <w:tr w14:paraId="66BCD9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27B03C" w14:textId="77777777">
            <w:pPr>
              <w:jc w:val="center"/>
              <w:rPr>
                <w:rFonts w:cs="Calibri"/>
              </w:rPr>
            </w:pPr>
            <w:r w:rsidRPr="007D15C3">
              <w:rPr>
                <w:rFonts w:cs="Calibri"/>
              </w:rPr>
              <w:t>70596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A0EB87" w14:textId="77777777">
            <w:pPr>
              <w:jc w:val="center"/>
              <w:rPr>
                <w:rFonts w:cs="Calibri"/>
              </w:rPr>
            </w:pPr>
            <w:r w:rsidRPr="007D15C3">
              <w:rPr>
                <w:rFonts w:cs="Calibri"/>
              </w:rPr>
              <w:t>KREX-TV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786BF1" w14:textId="77777777">
            <w:pPr>
              <w:rPr>
                <w:rFonts w:cs="Calibri"/>
              </w:rPr>
            </w:pPr>
            <w:r w:rsidRPr="007D15C3">
              <w:rPr>
                <w:rFonts w:cs="Calibri"/>
              </w:rPr>
              <w:t xml:space="preserve">             145,700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D1C47C" w14:textId="77777777">
            <w:pPr>
              <w:rPr>
                <w:rFonts w:cs="Calibri"/>
              </w:rPr>
            </w:pPr>
            <w:r w:rsidRPr="007D15C3">
              <w:rPr>
                <w:rFonts w:cs="Calibri"/>
              </w:rPr>
              <w:t xml:space="preserve">               145,606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6B8AEA" w14:textId="77777777">
            <w:pPr>
              <w:jc w:val="right"/>
              <w:rPr>
                <w:rFonts w:cs="Calibri"/>
              </w:rPr>
            </w:pPr>
            <w:r w:rsidRPr="007D15C3">
              <w:rPr>
                <w:rFonts w:cs="Calibri"/>
              </w:rPr>
              <w:t>$1,141</w:t>
            </w:r>
          </w:p>
        </w:tc>
      </w:tr>
      <w:tr w14:paraId="10F62F6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F1AB17" w14:textId="77777777">
            <w:pPr>
              <w:jc w:val="center"/>
              <w:rPr>
                <w:rFonts w:cs="Calibri"/>
              </w:rPr>
            </w:pPr>
            <w:r w:rsidRPr="007D15C3">
              <w:rPr>
                <w:rFonts w:cs="Calibri"/>
              </w:rPr>
              <w:t>70579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3D8126" w14:textId="77777777">
            <w:pPr>
              <w:jc w:val="center"/>
              <w:rPr>
                <w:rFonts w:cs="Calibri"/>
              </w:rPr>
            </w:pPr>
            <w:r w:rsidRPr="007D15C3">
              <w:rPr>
                <w:rFonts w:cs="Calibri"/>
              </w:rPr>
              <w:t>KREY-TV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9068F1" w14:textId="77777777">
            <w:pPr>
              <w:rPr>
                <w:rFonts w:cs="Calibri"/>
              </w:rPr>
            </w:pPr>
            <w:r w:rsidRPr="007D15C3">
              <w:rPr>
                <w:rFonts w:cs="Calibri"/>
              </w:rPr>
              <w:t xml:space="preserve">               74,963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16D319" w14:textId="77777777">
            <w:pPr>
              <w:rPr>
                <w:rFonts w:cs="Calibri"/>
              </w:rPr>
            </w:pPr>
            <w:r w:rsidRPr="007D15C3">
              <w:rPr>
                <w:rFonts w:cs="Calibri"/>
              </w:rPr>
              <w:t xml:space="preserve">                 65,700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AD2F23" w14:textId="77777777">
            <w:pPr>
              <w:jc w:val="right"/>
              <w:rPr>
                <w:rFonts w:cs="Calibri"/>
              </w:rPr>
            </w:pPr>
            <w:r w:rsidRPr="007D15C3">
              <w:rPr>
                <w:rFonts w:cs="Calibri"/>
              </w:rPr>
              <w:t>$515</w:t>
            </w:r>
          </w:p>
        </w:tc>
      </w:tr>
      <w:tr w14:paraId="2528F0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8451A9" w14:textId="77777777">
            <w:pPr>
              <w:jc w:val="center"/>
              <w:rPr>
                <w:rFonts w:cs="Calibri"/>
              </w:rPr>
            </w:pPr>
            <w:r w:rsidRPr="007D15C3">
              <w:rPr>
                <w:rFonts w:cs="Calibri"/>
              </w:rPr>
              <w:t>48589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3DADCB" w14:textId="77777777">
            <w:pPr>
              <w:jc w:val="center"/>
              <w:rPr>
                <w:rFonts w:cs="Calibri"/>
              </w:rPr>
            </w:pPr>
            <w:r w:rsidRPr="007D15C3">
              <w:rPr>
                <w:rFonts w:cs="Calibri"/>
              </w:rPr>
              <w:t>KREZ-TV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40FFB7" w14:textId="77777777">
            <w:pPr>
              <w:rPr>
                <w:rFonts w:cs="Calibri"/>
              </w:rPr>
            </w:pPr>
            <w:r w:rsidRPr="007D15C3">
              <w:rPr>
                <w:rFonts w:cs="Calibri"/>
              </w:rPr>
              <w:t xml:space="preserve">             148,079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9EE772" w14:textId="77777777">
            <w:pPr>
              <w:rPr>
                <w:rFonts w:cs="Calibri"/>
              </w:rPr>
            </w:pPr>
            <w:r w:rsidRPr="007D15C3">
              <w:rPr>
                <w:rFonts w:cs="Calibri"/>
              </w:rPr>
              <w:t xml:space="preserve">               105,121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21E3B1" w14:textId="77777777">
            <w:pPr>
              <w:jc w:val="right"/>
              <w:rPr>
                <w:rFonts w:cs="Calibri"/>
              </w:rPr>
            </w:pPr>
            <w:r w:rsidRPr="007D15C3">
              <w:rPr>
                <w:rFonts w:cs="Calibri"/>
              </w:rPr>
              <w:t>$824</w:t>
            </w:r>
          </w:p>
        </w:tc>
      </w:tr>
      <w:tr w14:paraId="3E9189D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B20522" w14:textId="77777777">
            <w:pPr>
              <w:jc w:val="center"/>
              <w:rPr>
                <w:rFonts w:cs="Calibri"/>
              </w:rPr>
            </w:pPr>
            <w:r w:rsidRPr="007D15C3">
              <w:rPr>
                <w:rFonts w:cs="Calibri"/>
              </w:rPr>
              <w:t>43328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7BC06A" w14:textId="77777777">
            <w:pPr>
              <w:jc w:val="center"/>
              <w:rPr>
                <w:rFonts w:cs="Calibri"/>
              </w:rPr>
            </w:pPr>
            <w:r w:rsidRPr="007D15C3">
              <w:rPr>
                <w:rFonts w:cs="Calibri"/>
              </w:rPr>
              <w:t>KRGV-TV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91A541" w14:textId="77777777">
            <w:pPr>
              <w:rPr>
                <w:rFonts w:cs="Calibri"/>
              </w:rPr>
            </w:pPr>
            <w:r w:rsidRPr="007D15C3">
              <w:rPr>
                <w:rFonts w:cs="Calibri"/>
              </w:rPr>
              <w:t xml:space="preserve">          1,247,057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7DAD78" w14:textId="77777777">
            <w:pPr>
              <w:rPr>
                <w:rFonts w:cs="Calibri"/>
              </w:rPr>
            </w:pPr>
            <w:r w:rsidRPr="007D15C3">
              <w:rPr>
                <w:rFonts w:cs="Calibri"/>
              </w:rPr>
              <w:t xml:space="preserve">            1,247,029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749C00" w14:textId="77777777">
            <w:pPr>
              <w:jc w:val="right"/>
              <w:rPr>
                <w:rFonts w:cs="Calibri"/>
              </w:rPr>
            </w:pPr>
            <w:r w:rsidRPr="007D15C3">
              <w:rPr>
                <w:rFonts w:cs="Calibri"/>
              </w:rPr>
              <w:t>$9,773</w:t>
            </w:r>
          </w:p>
        </w:tc>
      </w:tr>
      <w:tr w14:paraId="635F32E8"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60B3EC" w14:textId="77777777">
            <w:pPr>
              <w:jc w:val="center"/>
              <w:rPr>
                <w:rFonts w:cs="Calibri"/>
              </w:rPr>
            </w:pPr>
            <w:r w:rsidRPr="007D15C3">
              <w:rPr>
                <w:rFonts w:cs="Calibri"/>
              </w:rPr>
              <w:t>82698</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48E349E3" w14:textId="77777777">
            <w:pPr>
              <w:jc w:val="center"/>
              <w:rPr>
                <w:rFonts w:cs="Calibri"/>
              </w:rPr>
            </w:pPr>
            <w:r w:rsidRPr="007D15C3">
              <w:rPr>
                <w:rFonts w:cs="Calibri"/>
              </w:rPr>
              <w:t>KRII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2966BB2" w14:textId="77777777">
            <w:pPr>
              <w:rPr>
                <w:rFonts w:cs="Calibri"/>
              </w:rPr>
            </w:pPr>
            <w:r w:rsidRPr="007D15C3">
              <w:rPr>
                <w:rFonts w:cs="Calibri"/>
              </w:rPr>
              <w:t xml:space="preserve">             133,840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FAE6A85" w14:textId="77777777">
            <w:pPr>
              <w:rPr>
                <w:rFonts w:cs="Calibri"/>
              </w:rPr>
            </w:pPr>
            <w:r w:rsidRPr="007D15C3">
              <w:rPr>
                <w:rFonts w:cs="Calibri"/>
              </w:rPr>
              <w:t xml:space="preserve">               132,912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1396EE0" w14:textId="77777777">
            <w:pPr>
              <w:jc w:val="right"/>
              <w:rPr>
                <w:rFonts w:cs="Calibri"/>
              </w:rPr>
            </w:pPr>
            <w:r w:rsidRPr="007D15C3">
              <w:rPr>
                <w:rFonts w:cs="Calibri"/>
              </w:rPr>
              <w:t>$1,042</w:t>
            </w:r>
          </w:p>
        </w:tc>
      </w:tr>
      <w:tr w14:paraId="149B57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30DC93" w14:textId="77777777">
            <w:pPr>
              <w:jc w:val="center"/>
              <w:rPr>
                <w:rFonts w:cs="Calibri"/>
              </w:rPr>
            </w:pPr>
            <w:r w:rsidRPr="007D15C3">
              <w:rPr>
                <w:rFonts w:cs="Calibri"/>
              </w:rPr>
              <w:t>29114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8ADBA1" w14:textId="77777777">
            <w:pPr>
              <w:jc w:val="center"/>
              <w:rPr>
                <w:rFonts w:cs="Calibri"/>
              </w:rPr>
            </w:pPr>
            <w:r w:rsidRPr="007D15C3">
              <w:rPr>
                <w:rFonts w:cs="Calibri"/>
              </w:rPr>
              <w:t>KRIN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187C5E" w14:textId="77777777">
            <w:pPr>
              <w:rPr>
                <w:rFonts w:cs="Calibri"/>
              </w:rPr>
            </w:pPr>
            <w:r w:rsidRPr="007D15C3">
              <w:rPr>
                <w:rFonts w:cs="Calibri"/>
              </w:rPr>
              <w:t xml:space="preserve">             949,313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67E390" w14:textId="77777777">
            <w:pPr>
              <w:rPr>
                <w:rFonts w:cs="Calibri"/>
              </w:rPr>
            </w:pPr>
            <w:r w:rsidRPr="007D15C3">
              <w:rPr>
                <w:rFonts w:cs="Calibri"/>
              </w:rPr>
              <w:t xml:space="preserve">               923,735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91D4BE" w14:textId="77777777">
            <w:pPr>
              <w:jc w:val="right"/>
              <w:rPr>
                <w:rFonts w:cs="Calibri"/>
              </w:rPr>
            </w:pPr>
            <w:r w:rsidRPr="007D15C3">
              <w:rPr>
                <w:rFonts w:cs="Calibri"/>
              </w:rPr>
              <w:t>$7,239</w:t>
            </w:r>
          </w:p>
        </w:tc>
      </w:tr>
      <w:tr w14:paraId="0EB614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6BAD71" w14:textId="77777777">
            <w:pPr>
              <w:jc w:val="center"/>
              <w:rPr>
                <w:rFonts w:cs="Calibri"/>
              </w:rPr>
            </w:pPr>
            <w:r w:rsidRPr="007D15C3">
              <w:rPr>
                <w:rFonts w:cs="Calibri"/>
              </w:rPr>
              <w:t>25559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E990F6" w14:textId="77777777">
            <w:pPr>
              <w:jc w:val="center"/>
              <w:rPr>
                <w:rFonts w:cs="Calibri"/>
              </w:rPr>
            </w:pPr>
            <w:r w:rsidRPr="007D15C3">
              <w:rPr>
                <w:rFonts w:cs="Calibri"/>
              </w:rPr>
              <w:t>KRIS-TV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6AD6BB" w14:textId="77777777">
            <w:pPr>
              <w:rPr>
                <w:rFonts w:cs="Calibri"/>
              </w:rPr>
            </w:pPr>
            <w:r w:rsidRPr="007D15C3">
              <w:rPr>
                <w:rFonts w:cs="Calibri"/>
              </w:rPr>
              <w:t xml:space="preserve">             561,825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BC819A" w14:textId="77777777">
            <w:pPr>
              <w:rPr>
                <w:rFonts w:cs="Calibri"/>
              </w:rPr>
            </w:pPr>
            <w:r w:rsidRPr="007D15C3">
              <w:rPr>
                <w:rFonts w:cs="Calibri"/>
              </w:rPr>
              <w:t xml:space="preserve">               561,718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C4B73A" w14:textId="77777777">
            <w:pPr>
              <w:jc w:val="right"/>
              <w:rPr>
                <w:rFonts w:cs="Calibri"/>
              </w:rPr>
            </w:pPr>
            <w:r w:rsidRPr="007D15C3">
              <w:rPr>
                <w:rFonts w:cs="Calibri"/>
              </w:rPr>
              <w:t>$4,402</w:t>
            </w:r>
          </w:p>
        </w:tc>
      </w:tr>
      <w:tr w14:paraId="0779DA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3B3439" w14:textId="77777777">
            <w:pPr>
              <w:jc w:val="center"/>
              <w:rPr>
                <w:rFonts w:cs="Calibri"/>
              </w:rPr>
            </w:pPr>
            <w:r w:rsidRPr="007D15C3">
              <w:rPr>
                <w:rFonts w:cs="Calibri"/>
              </w:rPr>
              <w:t>22204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4F749A" w14:textId="77777777">
            <w:pPr>
              <w:jc w:val="center"/>
              <w:rPr>
                <w:rFonts w:cs="Calibri"/>
              </w:rPr>
            </w:pPr>
            <w:r w:rsidRPr="007D15C3">
              <w:rPr>
                <w:rFonts w:cs="Calibri"/>
              </w:rPr>
              <w:t>KRIV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392891" w14:textId="77777777">
            <w:pPr>
              <w:rPr>
                <w:rFonts w:cs="Calibri"/>
              </w:rPr>
            </w:pPr>
            <w:r w:rsidRPr="007D15C3">
              <w:rPr>
                <w:rFonts w:cs="Calibri"/>
              </w:rPr>
              <w:t xml:space="preserve">          6,078,936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D5F660" w14:textId="77777777">
            <w:pPr>
              <w:rPr>
                <w:rFonts w:cs="Calibri"/>
              </w:rPr>
            </w:pPr>
            <w:r w:rsidRPr="007D15C3">
              <w:rPr>
                <w:rFonts w:cs="Calibri"/>
              </w:rPr>
              <w:t xml:space="preserve">            6,078,846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59A774" w14:textId="77777777">
            <w:pPr>
              <w:jc w:val="right"/>
              <w:rPr>
                <w:rFonts w:cs="Calibri"/>
              </w:rPr>
            </w:pPr>
            <w:r w:rsidRPr="007D15C3">
              <w:rPr>
                <w:rFonts w:cs="Calibri"/>
              </w:rPr>
              <w:t>$47,640</w:t>
            </w:r>
          </w:p>
        </w:tc>
      </w:tr>
      <w:tr w14:paraId="3B05EC8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B652D7" w14:textId="77777777">
            <w:pPr>
              <w:jc w:val="center"/>
              <w:rPr>
                <w:rFonts w:cs="Calibri"/>
              </w:rPr>
            </w:pPr>
            <w:r w:rsidRPr="007D15C3">
              <w:rPr>
                <w:rFonts w:cs="Calibri"/>
              </w:rPr>
              <w:t>14040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94E589" w14:textId="77777777">
            <w:pPr>
              <w:jc w:val="center"/>
              <w:rPr>
                <w:rFonts w:cs="Calibri"/>
              </w:rPr>
            </w:pPr>
            <w:r w:rsidRPr="007D15C3">
              <w:rPr>
                <w:rFonts w:cs="Calibri"/>
              </w:rPr>
              <w:t>KRMA-TV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369409" w14:textId="77777777">
            <w:pPr>
              <w:rPr>
                <w:rFonts w:cs="Calibri"/>
              </w:rPr>
            </w:pPr>
            <w:r w:rsidRPr="007D15C3">
              <w:rPr>
                <w:rFonts w:cs="Calibri"/>
              </w:rPr>
              <w:t xml:space="preserve">          3,722,512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D9D9E3" w14:textId="77777777">
            <w:pPr>
              <w:rPr>
                <w:rFonts w:cs="Calibri"/>
              </w:rPr>
            </w:pPr>
            <w:r w:rsidRPr="007D15C3">
              <w:rPr>
                <w:rFonts w:cs="Calibri"/>
              </w:rPr>
              <w:t xml:space="preserve">            3,564,949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88B147" w14:textId="77777777">
            <w:pPr>
              <w:jc w:val="right"/>
              <w:rPr>
                <w:rFonts w:cs="Calibri"/>
              </w:rPr>
            </w:pPr>
            <w:r w:rsidRPr="007D15C3">
              <w:rPr>
                <w:rFonts w:cs="Calibri"/>
              </w:rPr>
              <w:t>$27,939</w:t>
            </w:r>
          </w:p>
        </w:tc>
      </w:tr>
      <w:tr w14:paraId="238B67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4EC024" w14:textId="77777777">
            <w:pPr>
              <w:jc w:val="center"/>
              <w:rPr>
                <w:rFonts w:cs="Calibri"/>
              </w:rPr>
            </w:pPr>
            <w:r w:rsidRPr="007D15C3">
              <w:rPr>
                <w:rFonts w:cs="Calibri"/>
              </w:rPr>
              <w:t>14042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2E1686" w14:textId="77777777">
            <w:pPr>
              <w:jc w:val="center"/>
              <w:rPr>
                <w:rFonts w:cs="Calibri"/>
              </w:rPr>
            </w:pPr>
            <w:r w:rsidRPr="007D15C3">
              <w:rPr>
                <w:rFonts w:cs="Calibri"/>
              </w:rPr>
              <w:t>KRMJ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22C674" w14:textId="77777777">
            <w:pPr>
              <w:rPr>
                <w:rFonts w:cs="Calibri"/>
              </w:rPr>
            </w:pPr>
            <w:r w:rsidRPr="007D15C3">
              <w:rPr>
                <w:rFonts w:cs="Calibri"/>
              </w:rPr>
              <w:t xml:space="preserve">             174,094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243DB0" w14:textId="77777777">
            <w:pPr>
              <w:rPr>
                <w:rFonts w:cs="Calibri"/>
              </w:rPr>
            </w:pPr>
            <w:r w:rsidRPr="007D15C3">
              <w:rPr>
                <w:rFonts w:cs="Calibri"/>
              </w:rPr>
              <w:t xml:space="preserve">               159,511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5F5D4E" w14:textId="77777777">
            <w:pPr>
              <w:jc w:val="right"/>
              <w:rPr>
                <w:rFonts w:cs="Calibri"/>
              </w:rPr>
            </w:pPr>
            <w:r w:rsidRPr="007D15C3">
              <w:rPr>
                <w:rFonts w:cs="Calibri"/>
              </w:rPr>
              <w:t>$1,250</w:t>
            </w:r>
          </w:p>
        </w:tc>
      </w:tr>
      <w:tr w14:paraId="3A46615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0AD41A" w14:textId="77777777">
            <w:pPr>
              <w:jc w:val="center"/>
              <w:rPr>
                <w:rFonts w:cs="Calibri"/>
              </w:rPr>
            </w:pPr>
            <w:r w:rsidRPr="007D15C3">
              <w:rPr>
                <w:rFonts w:cs="Calibri"/>
              </w:rPr>
              <w:t>20476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77C2AF" w14:textId="77777777">
            <w:pPr>
              <w:jc w:val="center"/>
              <w:rPr>
                <w:rFonts w:cs="Calibri"/>
              </w:rPr>
            </w:pPr>
            <w:r w:rsidRPr="007D15C3">
              <w:rPr>
                <w:rFonts w:cs="Calibri"/>
              </w:rPr>
              <w:t>KRMT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749A3B" w14:textId="77777777">
            <w:pPr>
              <w:rPr>
                <w:rFonts w:cs="Calibri"/>
              </w:rPr>
            </w:pPr>
            <w:r w:rsidRPr="007D15C3">
              <w:rPr>
                <w:rFonts w:cs="Calibri"/>
              </w:rPr>
              <w:t xml:space="preserve">          2,956,144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D7710" w14:textId="77777777">
            <w:pPr>
              <w:rPr>
                <w:rFonts w:cs="Calibri"/>
              </w:rPr>
            </w:pPr>
            <w:r w:rsidRPr="007D15C3">
              <w:rPr>
                <w:rFonts w:cs="Calibri"/>
              </w:rPr>
              <w:t xml:space="preserve">            2,864,236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DD9267" w14:textId="77777777">
            <w:pPr>
              <w:jc w:val="right"/>
              <w:rPr>
                <w:rFonts w:cs="Calibri"/>
              </w:rPr>
            </w:pPr>
            <w:r w:rsidRPr="007D15C3">
              <w:rPr>
                <w:rFonts w:cs="Calibri"/>
              </w:rPr>
              <w:t>$22,447</w:t>
            </w:r>
          </w:p>
        </w:tc>
      </w:tr>
      <w:tr w14:paraId="3CDDE6B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114456" w14:textId="77777777">
            <w:pPr>
              <w:jc w:val="center"/>
              <w:rPr>
                <w:rFonts w:cs="Calibri"/>
              </w:rPr>
            </w:pPr>
            <w:r w:rsidRPr="007D15C3">
              <w:rPr>
                <w:rFonts w:cs="Calibri"/>
              </w:rPr>
              <w:t>84224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776923" w14:textId="77777777">
            <w:pPr>
              <w:jc w:val="center"/>
              <w:rPr>
                <w:rFonts w:cs="Calibri"/>
              </w:rPr>
            </w:pPr>
            <w:r w:rsidRPr="007D15C3">
              <w:rPr>
                <w:rFonts w:cs="Calibri"/>
              </w:rPr>
              <w:t>KRMU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095203" w14:textId="77777777">
            <w:pPr>
              <w:rPr>
                <w:rFonts w:cs="Calibri"/>
              </w:rPr>
            </w:pPr>
            <w:r w:rsidRPr="007D15C3">
              <w:rPr>
                <w:rFonts w:cs="Calibri"/>
              </w:rPr>
              <w:t xml:space="preserve">               85,274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9BFEF4" w14:textId="77777777">
            <w:pPr>
              <w:rPr>
                <w:rFonts w:cs="Calibri"/>
              </w:rPr>
            </w:pPr>
            <w:r w:rsidRPr="007D15C3">
              <w:rPr>
                <w:rFonts w:cs="Calibri"/>
              </w:rPr>
              <w:t xml:space="preserve">                 72,499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90A384" w14:textId="77777777">
            <w:pPr>
              <w:jc w:val="right"/>
              <w:rPr>
                <w:rFonts w:cs="Calibri"/>
              </w:rPr>
            </w:pPr>
            <w:r w:rsidRPr="007D15C3">
              <w:rPr>
                <w:rFonts w:cs="Calibri"/>
              </w:rPr>
              <w:t>$568</w:t>
            </w:r>
          </w:p>
        </w:tc>
      </w:tr>
      <w:tr w14:paraId="789303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E95D71" w14:textId="77777777">
            <w:pPr>
              <w:jc w:val="center"/>
              <w:rPr>
                <w:rFonts w:cs="Calibri"/>
              </w:rPr>
            </w:pPr>
            <w:r w:rsidRPr="007D15C3">
              <w:rPr>
                <w:rFonts w:cs="Calibri"/>
              </w:rPr>
              <w:t>20373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B272CC" w14:textId="77777777">
            <w:pPr>
              <w:jc w:val="center"/>
              <w:rPr>
                <w:rFonts w:cs="Calibri"/>
              </w:rPr>
            </w:pPr>
            <w:r w:rsidRPr="007D15C3">
              <w:rPr>
                <w:rFonts w:cs="Calibri"/>
              </w:rPr>
              <w:t>KRMZ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EABF2B" w14:textId="77777777">
            <w:pPr>
              <w:rPr>
                <w:rFonts w:cs="Calibri"/>
              </w:rPr>
            </w:pPr>
            <w:r w:rsidRPr="007D15C3">
              <w:rPr>
                <w:rFonts w:cs="Calibri"/>
              </w:rPr>
              <w:t xml:space="preserve">               36,293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B4C443" w14:textId="77777777">
            <w:pPr>
              <w:rPr>
                <w:rFonts w:cs="Calibri"/>
              </w:rPr>
            </w:pPr>
            <w:r w:rsidRPr="007D15C3">
              <w:rPr>
                <w:rFonts w:cs="Calibri"/>
              </w:rPr>
              <w:t xml:space="preserve">                 33,620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DA30E8" w14:textId="77777777">
            <w:pPr>
              <w:jc w:val="right"/>
              <w:rPr>
                <w:rFonts w:cs="Calibri"/>
              </w:rPr>
            </w:pPr>
            <w:r w:rsidRPr="007D15C3">
              <w:rPr>
                <w:rFonts w:cs="Calibri"/>
              </w:rPr>
              <w:t>$263</w:t>
            </w:r>
          </w:p>
        </w:tc>
      </w:tr>
      <w:tr w14:paraId="1E9403F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B04DEC8" w14:textId="77777777">
            <w:pPr>
              <w:jc w:val="center"/>
              <w:rPr>
                <w:rFonts w:cs="Calibri"/>
              </w:rPr>
            </w:pPr>
            <w:r w:rsidRPr="007D15C3">
              <w:rPr>
                <w:rFonts w:cs="Calibri"/>
              </w:rPr>
              <w:t>47971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E3714D" w14:textId="77777777">
            <w:pPr>
              <w:jc w:val="center"/>
              <w:rPr>
                <w:rFonts w:cs="Calibri"/>
              </w:rPr>
            </w:pPr>
            <w:r w:rsidRPr="007D15C3">
              <w:rPr>
                <w:rFonts w:cs="Calibri"/>
              </w:rPr>
              <w:t>KRNE-TV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7E7E39" w14:textId="77777777">
            <w:pPr>
              <w:rPr>
                <w:rFonts w:cs="Calibri"/>
              </w:rPr>
            </w:pPr>
            <w:r w:rsidRPr="007D15C3">
              <w:rPr>
                <w:rFonts w:cs="Calibri"/>
              </w:rPr>
              <w:t xml:space="preserve">               47,473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BD3615" w14:textId="77777777">
            <w:pPr>
              <w:rPr>
                <w:rFonts w:cs="Calibri"/>
              </w:rPr>
            </w:pPr>
            <w:r w:rsidRPr="007D15C3">
              <w:rPr>
                <w:rFonts w:cs="Calibri"/>
              </w:rPr>
              <w:t xml:space="preserve">                 38,273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D0BA9D" w14:textId="77777777">
            <w:pPr>
              <w:jc w:val="right"/>
              <w:rPr>
                <w:rFonts w:cs="Calibri"/>
              </w:rPr>
            </w:pPr>
            <w:r w:rsidRPr="007D15C3">
              <w:rPr>
                <w:rFonts w:cs="Calibri"/>
              </w:rPr>
              <w:t>$300</w:t>
            </w:r>
          </w:p>
        </w:tc>
      </w:tr>
      <w:tr w14:paraId="72DD263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68AFA3" w14:textId="77777777">
            <w:pPr>
              <w:jc w:val="center"/>
              <w:rPr>
                <w:rFonts w:cs="Calibri"/>
              </w:rPr>
            </w:pPr>
            <w:r w:rsidRPr="007D15C3">
              <w:rPr>
                <w:rFonts w:cs="Calibri"/>
              </w:rPr>
              <w:t>60307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26CDB0" w14:textId="77777777">
            <w:pPr>
              <w:jc w:val="center"/>
              <w:rPr>
                <w:rFonts w:cs="Calibri"/>
              </w:rPr>
            </w:pPr>
            <w:r w:rsidRPr="007D15C3">
              <w:rPr>
                <w:rFonts w:cs="Calibri"/>
              </w:rPr>
              <w:t>KRNV-DT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ADD21A" w14:textId="77777777">
            <w:pPr>
              <w:rPr>
                <w:rFonts w:cs="Calibri"/>
              </w:rPr>
            </w:pPr>
            <w:r w:rsidRPr="007D15C3">
              <w:rPr>
                <w:rFonts w:cs="Calibri"/>
              </w:rPr>
              <w:t xml:space="preserve">             981,687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61D7E8" w14:textId="77777777">
            <w:pPr>
              <w:rPr>
                <w:rFonts w:cs="Calibri"/>
              </w:rPr>
            </w:pPr>
            <w:r w:rsidRPr="007D15C3">
              <w:rPr>
                <w:rFonts w:cs="Calibri"/>
              </w:rPr>
              <w:t xml:space="preserve">               825,465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A4BC6B" w14:textId="77777777">
            <w:pPr>
              <w:jc w:val="right"/>
              <w:rPr>
                <w:rFonts w:cs="Calibri"/>
              </w:rPr>
            </w:pPr>
            <w:r w:rsidRPr="007D15C3">
              <w:rPr>
                <w:rFonts w:cs="Calibri"/>
              </w:rPr>
              <w:t>$6,469</w:t>
            </w:r>
          </w:p>
        </w:tc>
      </w:tr>
      <w:tr w14:paraId="18695D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10FC68" w14:textId="77777777">
            <w:pPr>
              <w:jc w:val="center"/>
              <w:rPr>
                <w:rFonts w:cs="Calibri"/>
              </w:rPr>
            </w:pPr>
            <w:r w:rsidRPr="007D15C3">
              <w:rPr>
                <w:rFonts w:cs="Calibri"/>
              </w:rPr>
              <w:t>65526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AFDA35" w14:textId="77777777">
            <w:pPr>
              <w:jc w:val="center"/>
              <w:rPr>
                <w:rFonts w:cs="Calibri"/>
              </w:rPr>
            </w:pPr>
            <w:r w:rsidRPr="007D15C3">
              <w:rPr>
                <w:rFonts w:cs="Calibri"/>
              </w:rPr>
              <w:t>KRON-TV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52CE1C" w14:textId="77777777">
            <w:pPr>
              <w:rPr>
                <w:rFonts w:cs="Calibri"/>
              </w:rPr>
            </w:pPr>
            <w:r w:rsidRPr="007D15C3">
              <w:rPr>
                <w:rFonts w:cs="Calibri"/>
              </w:rPr>
              <w:t xml:space="preserve">          8,050,508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BA047B" w14:textId="77777777">
            <w:pPr>
              <w:rPr>
                <w:rFonts w:cs="Calibri"/>
              </w:rPr>
            </w:pPr>
            <w:r w:rsidRPr="007D15C3">
              <w:rPr>
                <w:rFonts w:cs="Calibri"/>
              </w:rPr>
              <w:t xml:space="preserve">            7,087,419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AA359" w14:textId="77777777">
            <w:pPr>
              <w:jc w:val="right"/>
              <w:rPr>
                <w:rFonts w:cs="Calibri"/>
              </w:rPr>
            </w:pPr>
            <w:r w:rsidRPr="007D15C3">
              <w:rPr>
                <w:rFonts w:cs="Calibri"/>
              </w:rPr>
              <w:t>$55,544</w:t>
            </w:r>
          </w:p>
        </w:tc>
      </w:tr>
      <w:tr w14:paraId="42AC08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4084D3" w14:textId="77777777">
            <w:pPr>
              <w:jc w:val="center"/>
              <w:rPr>
                <w:rFonts w:cs="Calibri"/>
              </w:rPr>
            </w:pPr>
            <w:r w:rsidRPr="007D15C3">
              <w:rPr>
                <w:rFonts w:cs="Calibri"/>
              </w:rPr>
              <w:t>53539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345616" w14:textId="77777777">
            <w:pPr>
              <w:jc w:val="center"/>
              <w:rPr>
                <w:rFonts w:cs="Calibri"/>
              </w:rPr>
            </w:pPr>
            <w:r w:rsidRPr="007D15C3">
              <w:rPr>
                <w:rFonts w:cs="Calibri"/>
              </w:rPr>
              <w:t>KRPV-DT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D7761E" w14:textId="77777777">
            <w:pPr>
              <w:rPr>
                <w:rFonts w:cs="Calibri"/>
              </w:rPr>
            </w:pPr>
            <w:r w:rsidRPr="007D15C3">
              <w:rPr>
                <w:rFonts w:cs="Calibri"/>
              </w:rPr>
              <w:t xml:space="preserve">               65,943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DB147F" w14:textId="77777777">
            <w:pPr>
              <w:rPr>
                <w:rFonts w:cs="Calibri"/>
              </w:rPr>
            </w:pPr>
            <w:r w:rsidRPr="007D15C3">
              <w:rPr>
                <w:rFonts w:cs="Calibri"/>
              </w:rPr>
              <w:t xml:space="preserve">                 65,943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AE1D6F" w14:textId="77777777">
            <w:pPr>
              <w:jc w:val="right"/>
              <w:rPr>
                <w:rFonts w:cs="Calibri"/>
              </w:rPr>
            </w:pPr>
            <w:r w:rsidRPr="007D15C3">
              <w:rPr>
                <w:rFonts w:cs="Calibri"/>
              </w:rPr>
              <w:t>$517</w:t>
            </w:r>
          </w:p>
        </w:tc>
      </w:tr>
      <w:tr w14:paraId="4FF66FC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C4C8A0" w14:textId="77777777">
            <w:pPr>
              <w:jc w:val="center"/>
              <w:rPr>
                <w:rFonts w:cs="Calibri"/>
              </w:rPr>
            </w:pPr>
            <w:r w:rsidRPr="007D15C3">
              <w:rPr>
                <w:rFonts w:cs="Calibri"/>
              </w:rPr>
              <w:t>48575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51925F" w14:textId="77777777">
            <w:pPr>
              <w:jc w:val="center"/>
              <w:rPr>
                <w:rFonts w:cs="Calibri"/>
              </w:rPr>
            </w:pPr>
            <w:r w:rsidRPr="007D15C3">
              <w:rPr>
                <w:rFonts w:cs="Calibri"/>
              </w:rPr>
              <w:t>KRQE*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68FDBC" w14:textId="77777777">
            <w:pPr>
              <w:rPr>
                <w:rFonts w:cs="Calibri"/>
              </w:rPr>
            </w:pPr>
            <w:r w:rsidRPr="007D15C3">
              <w:rPr>
                <w:rFonts w:cs="Calibri"/>
              </w:rPr>
              <w:t xml:space="preserve">          1,135,461</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DAEA1D" w14:textId="77777777">
            <w:pPr>
              <w:rPr>
                <w:rFonts w:cs="Calibri"/>
              </w:rPr>
            </w:pPr>
            <w:r w:rsidRPr="007D15C3">
              <w:rPr>
                <w:rFonts w:cs="Calibri"/>
              </w:rPr>
              <w:t xml:space="preserve">            1,105,093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544C0E" w14:textId="77777777">
            <w:pPr>
              <w:jc w:val="right"/>
              <w:rPr>
                <w:rFonts w:cs="Calibri"/>
              </w:rPr>
            </w:pPr>
            <w:r w:rsidRPr="007D15C3">
              <w:rPr>
                <w:rFonts w:cs="Calibri"/>
              </w:rPr>
              <w:t>$8,661</w:t>
            </w:r>
          </w:p>
        </w:tc>
      </w:tr>
      <w:tr w14:paraId="6A704D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2A2192" w14:textId="77777777">
            <w:pPr>
              <w:jc w:val="center"/>
              <w:rPr>
                <w:rFonts w:cs="Calibri"/>
              </w:rPr>
            </w:pPr>
            <w:r w:rsidRPr="007D15C3">
              <w:rPr>
                <w:rFonts w:cs="Calibri"/>
              </w:rPr>
              <w:t>57431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56AB71" w14:textId="77777777">
            <w:pPr>
              <w:jc w:val="center"/>
              <w:rPr>
                <w:rFonts w:cs="Calibri"/>
              </w:rPr>
            </w:pPr>
            <w:r w:rsidRPr="007D15C3">
              <w:rPr>
                <w:rFonts w:cs="Calibri"/>
              </w:rPr>
              <w:t>KRSU-TV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FBD9E2" w14:textId="77777777">
            <w:pPr>
              <w:rPr>
                <w:rFonts w:cs="Calibri"/>
              </w:rPr>
            </w:pPr>
            <w:r w:rsidRPr="007D15C3">
              <w:rPr>
                <w:rFonts w:cs="Calibri"/>
              </w:rPr>
              <w:t xml:space="preserve">          1,000,289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E25FAF" w14:textId="77777777">
            <w:pPr>
              <w:rPr>
                <w:rFonts w:cs="Calibri"/>
              </w:rPr>
            </w:pPr>
            <w:r w:rsidRPr="007D15C3">
              <w:rPr>
                <w:rFonts w:cs="Calibri"/>
              </w:rPr>
              <w:t xml:space="preserve">               998,310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7D9956" w14:textId="77777777">
            <w:pPr>
              <w:jc w:val="right"/>
              <w:rPr>
                <w:rFonts w:cs="Calibri"/>
              </w:rPr>
            </w:pPr>
            <w:r w:rsidRPr="007D15C3">
              <w:rPr>
                <w:rFonts w:cs="Calibri"/>
              </w:rPr>
              <w:t>$7,824</w:t>
            </w:r>
          </w:p>
        </w:tc>
      </w:tr>
      <w:tr w14:paraId="7C5DA20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4C09D5" w14:textId="77777777">
            <w:pPr>
              <w:jc w:val="center"/>
              <w:rPr>
                <w:rFonts w:cs="Calibri"/>
              </w:rPr>
            </w:pPr>
            <w:r w:rsidRPr="007D15C3">
              <w:rPr>
                <w:rFonts w:cs="Calibri"/>
              </w:rPr>
              <w:t>82613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223395" w14:textId="77777777">
            <w:pPr>
              <w:jc w:val="center"/>
              <w:rPr>
                <w:rFonts w:cs="Calibri"/>
              </w:rPr>
            </w:pPr>
            <w:r w:rsidRPr="007D15C3">
              <w:rPr>
                <w:rFonts w:cs="Calibri"/>
              </w:rPr>
              <w:t>KRTN-TV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2190B3" w14:textId="77777777">
            <w:pPr>
              <w:rPr>
                <w:rFonts w:cs="Calibri"/>
              </w:rPr>
            </w:pPr>
            <w:r w:rsidRPr="007D15C3">
              <w:rPr>
                <w:rFonts w:cs="Calibri"/>
              </w:rPr>
              <w:t xml:space="preserve">               96,062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B91E5C" w14:textId="77777777">
            <w:pPr>
              <w:rPr>
                <w:rFonts w:cs="Calibri"/>
              </w:rPr>
            </w:pPr>
            <w:r w:rsidRPr="007D15C3">
              <w:rPr>
                <w:rFonts w:cs="Calibri"/>
              </w:rPr>
              <w:t xml:space="preserve">                 74,452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CE88A9" w14:textId="77777777">
            <w:pPr>
              <w:jc w:val="right"/>
              <w:rPr>
                <w:rFonts w:cs="Calibri"/>
              </w:rPr>
            </w:pPr>
            <w:r w:rsidRPr="007D15C3">
              <w:rPr>
                <w:rFonts w:cs="Calibri"/>
              </w:rPr>
              <w:t>$583</w:t>
            </w:r>
          </w:p>
        </w:tc>
      </w:tr>
      <w:tr w14:paraId="6FE08C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1E7A5B" w14:textId="77777777">
            <w:pPr>
              <w:jc w:val="center"/>
              <w:rPr>
                <w:rFonts w:cs="Calibri"/>
              </w:rPr>
            </w:pPr>
            <w:r w:rsidRPr="007D15C3">
              <w:rPr>
                <w:rFonts w:cs="Calibri"/>
              </w:rPr>
              <w:t>35567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48C05D" w14:textId="77777777">
            <w:pPr>
              <w:jc w:val="center"/>
              <w:rPr>
                <w:rFonts w:cs="Calibri"/>
              </w:rPr>
            </w:pPr>
            <w:r w:rsidRPr="007D15C3">
              <w:rPr>
                <w:rFonts w:cs="Calibri"/>
              </w:rPr>
              <w:t>KRTV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087850" w14:textId="77777777">
            <w:pPr>
              <w:rPr>
                <w:rFonts w:cs="Calibri"/>
              </w:rPr>
            </w:pPr>
            <w:r w:rsidRPr="007D15C3">
              <w:rPr>
                <w:rFonts w:cs="Calibri"/>
              </w:rPr>
              <w:t xml:space="preserve">               92,687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FC8EAD" w14:textId="77777777">
            <w:pPr>
              <w:rPr>
                <w:rFonts w:cs="Calibri"/>
              </w:rPr>
            </w:pPr>
            <w:r w:rsidRPr="007D15C3">
              <w:rPr>
                <w:rFonts w:cs="Calibri"/>
              </w:rPr>
              <w:t xml:space="preserve">                 90,846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FA2EC1" w14:textId="77777777">
            <w:pPr>
              <w:jc w:val="right"/>
              <w:rPr>
                <w:rFonts w:cs="Calibri"/>
              </w:rPr>
            </w:pPr>
            <w:r w:rsidRPr="007D15C3">
              <w:rPr>
                <w:rFonts w:cs="Calibri"/>
              </w:rPr>
              <w:t>$712</w:t>
            </w:r>
          </w:p>
        </w:tc>
      </w:tr>
      <w:tr w14:paraId="7EFD7E5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89B416" w14:textId="77777777">
            <w:pPr>
              <w:jc w:val="center"/>
              <w:rPr>
                <w:rFonts w:cs="Calibri"/>
              </w:rPr>
            </w:pPr>
            <w:r w:rsidRPr="007D15C3">
              <w:rPr>
                <w:rFonts w:cs="Calibri"/>
              </w:rPr>
              <w:t>84157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CE7EBF" w14:textId="77777777">
            <w:pPr>
              <w:jc w:val="center"/>
              <w:rPr>
                <w:rFonts w:cs="Calibri"/>
              </w:rPr>
            </w:pPr>
            <w:r w:rsidRPr="007D15C3">
              <w:rPr>
                <w:rFonts w:cs="Calibri"/>
              </w:rPr>
              <w:t>KRWB-TV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E11530" w14:textId="77777777">
            <w:pPr>
              <w:rPr>
                <w:rFonts w:cs="Calibri"/>
              </w:rPr>
            </w:pPr>
            <w:r w:rsidRPr="007D15C3">
              <w:rPr>
                <w:rFonts w:cs="Calibri"/>
              </w:rPr>
              <w:t xml:space="preserve">             111,538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F6CE4B" w14:textId="77777777">
            <w:pPr>
              <w:rPr>
                <w:rFonts w:cs="Calibri"/>
              </w:rPr>
            </w:pPr>
            <w:r w:rsidRPr="007D15C3">
              <w:rPr>
                <w:rFonts w:cs="Calibri"/>
              </w:rPr>
              <w:t xml:space="preserve">               110,979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550DC0" w14:textId="77777777">
            <w:pPr>
              <w:jc w:val="right"/>
              <w:rPr>
                <w:rFonts w:cs="Calibri"/>
              </w:rPr>
            </w:pPr>
            <w:r w:rsidRPr="007D15C3">
              <w:rPr>
                <w:rFonts w:cs="Calibri"/>
              </w:rPr>
              <w:t>$870</w:t>
            </w:r>
          </w:p>
        </w:tc>
      </w:tr>
      <w:tr w14:paraId="231A5B9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E52958" w14:textId="77777777">
            <w:pPr>
              <w:jc w:val="center"/>
              <w:rPr>
                <w:rFonts w:cs="Calibri"/>
              </w:rPr>
            </w:pPr>
            <w:r w:rsidRPr="007D15C3">
              <w:rPr>
                <w:rFonts w:cs="Calibri"/>
              </w:rPr>
              <w:t>35585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700F7A" w14:textId="77777777">
            <w:pPr>
              <w:jc w:val="center"/>
              <w:rPr>
                <w:rFonts w:cs="Calibri"/>
              </w:rPr>
            </w:pPr>
            <w:r w:rsidRPr="007D15C3">
              <w:rPr>
                <w:rFonts w:cs="Calibri"/>
              </w:rPr>
              <w:t>KRWF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0E947C" w14:textId="77777777">
            <w:pPr>
              <w:rPr>
                <w:rFonts w:cs="Calibri"/>
              </w:rPr>
            </w:pPr>
            <w:r w:rsidRPr="007D15C3">
              <w:rPr>
                <w:rFonts w:cs="Calibri"/>
              </w:rPr>
              <w:t xml:space="preserve">               85,596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6338BB" w14:textId="77777777">
            <w:pPr>
              <w:rPr>
                <w:rFonts w:cs="Calibri"/>
              </w:rPr>
            </w:pPr>
            <w:r w:rsidRPr="007D15C3">
              <w:rPr>
                <w:rFonts w:cs="Calibri"/>
              </w:rPr>
              <w:t xml:space="preserve">                 85,596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84360D" w14:textId="77777777">
            <w:pPr>
              <w:jc w:val="right"/>
              <w:rPr>
                <w:rFonts w:cs="Calibri"/>
              </w:rPr>
            </w:pPr>
            <w:r w:rsidRPr="007D15C3">
              <w:rPr>
                <w:rFonts w:cs="Calibri"/>
              </w:rPr>
              <w:t>$671</w:t>
            </w:r>
          </w:p>
        </w:tc>
      </w:tr>
      <w:tr w14:paraId="0496516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3801D9" w14:textId="77777777">
            <w:pPr>
              <w:jc w:val="center"/>
              <w:rPr>
                <w:rFonts w:cs="Calibri"/>
              </w:rPr>
            </w:pPr>
            <w:r w:rsidRPr="007D15C3">
              <w:rPr>
                <w:rFonts w:cs="Calibri"/>
              </w:rPr>
              <w:t>55516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ABCDCF" w14:textId="77777777">
            <w:pPr>
              <w:jc w:val="center"/>
              <w:rPr>
                <w:rFonts w:cs="Calibri"/>
              </w:rPr>
            </w:pPr>
            <w:r w:rsidRPr="007D15C3">
              <w:rPr>
                <w:rFonts w:cs="Calibri"/>
              </w:rPr>
              <w:t>KRWG-TV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0327DC" w14:textId="77777777">
            <w:pPr>
              <w:rPr>
                <w:rFonts w:cs="Calibri"/>
              </w:rPr>
            </w:pPr>
            <w:r w:rsidRPr="007D15C3">
              <w:rPr>
                <w:rFonts w:cs="Calibri"/>
              </w:rPr>
              <w:t xml:space="preserve">             894,492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1CFC76" w14:textId="77777777">
            <w:pPr>
              <w:rPr>
                <w:rFonts w:cs="Calibri"/>
              </w:rPr>
            </w:pPr>
            <w:r w:rsidRPr="007D15C3">
              <w:rPr>
                <w:rFonts w:cs="Calibri"/>
              </w:rPr>
              <w:t xml:space="preserve">               661,703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0E1708" w14:textId="77777777">
            <w:pPr>
              <w:jc w:val="right"/>
              <w:rPr>
                <w:rFonts w:cs="Calibri"/>
              </w:rPr>
            </w:pPr>
            <w:r w:rsidRPr="007D15C3">
              <w:rPr>
                <w:rFonts w:cs="Calibri"/>
              </w:rPr>
              <w:t>$5,186</w:t>
            </w:r>
          </w:p>
        </w:tc>
      </w:tr>
      <w:tr w14:paraId="26E1ABD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BE429A" w14:textId="77777777">
            <w:pPr>
              <w:jc w:val="center"/>
              <w:rPr>
                <w:rFonts w:cs="Calibri"/>
              </w:rPr>
            </w:pPr>
            <w:r w:rsidRPr="007D15C3">
              <w:rPr>
                <w:rFonts w:cs="Calibri"/>
              </w:rPr>
              <w:t>48360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0DC16C" w14:textId="77777777">
            <w:pPr>
              <w:jc w:val="center"/>
              <w:rPr>
                <w:rFonts w:cs="Calibri"/>
              </w:rPr>
            </w:pPr>
            <w:r w:rsidRPr="007D15C3">
              <w:rPr>
                <w:rFonts w:cs="Calibri"/>
              </w:rPr>
              <w:t>KRXI-TV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C21DE9" w14:textId="77777777">
            <w:pPr>
              <w:rPr>
                <w:rFonts w:cs="Calibri"/>
              </w:rPr>
            </w:pPr>
            <w:r w:rsidRPr="007D15C3">
              <w:rPr>
                <w:rFonts w:cs="Calibri"/>
              </w:rPr>
              <w:t xml:space="preserve">             725,391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0226AB" w14:textId="77777777">
            <w:pPr>
              <w:rPr>
                <w:rFonts w:cs="Calibri"/>
              </w:rPr>
            </w:pPr>
            <w:r w:rsidRPr="007D15C3">
              <w:rPr>
                <w:rFonts w:cs="Calibri"/>
              </w:rPr>
              <w:t xml:space="preserve">               548,865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9262B6" w14:textId="77777777">
            <w:pPr>
              <w:jc w:val="right"/>
              <w:rPr>
                <w:rFonts w:cs="Calibri"/>
              </w:rPr>
            </w:pPr>
            <w:r w:rsidRPr="007D15C3">
              <w:rPr>
                <w:rFonts w:cs="Calibri"/>
              </w:rPr>
              <w:t>$4,301</w:t>
            </w:r>
          </w:p>
        </w:tc>
      </w:tr>
      <w:tr w14:paraId="540124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8B55FD" w14:textId="77777777">
            <w:pPr>
              <w:jc w:val="center"/>
              <w:rPr>
                <w:rFonts w:cs="Calibri"/>
              </w:rPr>
            </w:pPr>
            <w:r w:rsidRPr="007D15C3">
              <w:rPr>
                <w:rFonts w:cs="Calibri"/>
              </w:rPr>
              <w:t>307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6EABCC" w14:textId="77777777">
            <w:pPr>
              <w:jc w:val="center"/>
              <w:rPr>
                <w:rFonts w:cs="Calibri"/>
              </w:rPr>
            </w:pPr>
            <w:r w:rsidRPr="007D15C3">
              <w:rPr>
                <w:rFonts w:cs="Calibri"/>
              </w:rPr>
              <w:t>KSAN-TV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C15F44" w14:textId="77777777">
            <w:pPr>
              <w:rPr>
                <w:rFonts w:cs="Calibri"/>
              </w:rPr>
            </w:pPr>
            <w:r w:rsidRPr="007D15C3">
              <w:rPr>
                <w:rFonts w:cs="Calibri"/>
              </w:rPr>
              <w:t xml:space="preserve">             135,063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70895A" w14:textId="77777777">
            <w:pPr>
              <w:rPr>
                <w:rFonts w:cs="Calibri"/>
              </w:rPr>
            </w:pPr>
            <w:r w:rsidRPr="007D15C3">
              <w:rPr>
                <w:rFonts w:cs="Calibri"/>
              </w:rPr>
              <w:t xml:space="preserve">               135,051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51E66A" w14:textId="77777777">
            <w:pPr>
              <w:jc w:val="right"/>
              <w:rPr>
                <w:rFonts w:cs="Calibri"/>
              </w:rPr>
            </w:pPr>
            <w:r w:rsidRPr="007D15C3">
              <w:rPr>
                <w:rFonts w:cs="Calibri"/>
              </w:rPr>
              <w:t>$1,058</w:t>
            </w:r>
          </w:p>
        </w:tc>
      </w:tr>
      <w:tr w14:paraId="4541CC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D40BF6" w14:textId="77777777">
            <w:pPr>
              <w:jc w:val="center"/>
              <w:rPr>
                <w:rFonts w:cs="Calibri"/>
              </w:rPr>
            </w:pPr>
            <w:r w:rsidRPr="007D15C3">
              <w:rPr>
                <w:rFonts w:cs="Calibri"/>
              </w:rPr>
              <w:t>11911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DBAD84" w14:textId="77777777">
            <w:pPr>
              <w:jc w:val="center"/>
              <w:rPr>
                <w:rFonts w:cs="Calibri"/>
              </w:rPr>
            </w:pPr>
            <w:r w:rsidRPr="007D15C3">
              <w:rPr>
                <w:rFonts w:cs="Calibri"/>
              </w:rPr>
              <w:t>KSAS-TV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9C6FED" w14:textId="77777777">
            <w:pPr>
              <w:rPr>
                <w:rFonts w:cs="Calibri"/>
              </w:rPr>
            </w:pPr>
            <w:r w:rsidRPr="007D15C3">
              <w:rPr>
                <w:rFonts w:cs="Calibri"/>
              </w:rPr>
              <w:t xml:space="preserve">             752,513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7EC22B" w14:textId="77777777">
            <w:pPr>
              <w:rPr>
                <w:rFonts w:cs="Calibri"/>
              </w:rPr>
            </w:pPr>
            <w:r w:rsidRPr="007D15C3">
              <w:rPr>
                <w:rFonts w:cs="Calibri"/>
              </w:rPr>
              <w:t xml:space="preserve">               752,504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EBDB1C" w14:textId="77777777">
            <w:pPr>
              <w:jc w:val="right"/>
              <w:rPr>
                <w:rFonts w:cs="Calibri"/>
              </w:rPr>
            </w:pPr>
            <w:r w:rsidRPr="007D15C3">
              <w:rPr>
                <w:rFonts w:cs="Calibri"/>
              </w:rPr>
              <w:t>$5,897</w:t>
            </w:r>
          </w:p>
        </w:tc>
      </w:tr>
      <w:tr w14:paraId="4595AD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423F01" w14:textId="77777777">
            <w:pPr>
              <w:jc w:val="center"/>
              <w:rPr>
                <w:rFonts w:cs="Calibri"/>
              </w:rPr>
            </w:pPr>
            <w:r w:rsidRPr="007D15C3">
              <w:rPr>
                <w:rFonts w:cs="Calibri"/>
              </w:rPr>
              <w:t>53118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77B15F" w14:textId="77777777">
            <w:pPr>
              <w:jc w:val="center"/>
              <w:rPr>
                <w:rFonts w:cs="Calibri"/>
              </w:rPr>
            </w:pPr>
            <w:r w:rsidRPr="007D15C3">
              <w:rPr>
                <w:rFonts w:cs="Calibri"/>
              </w:rPr>
              <w:t>KSAT-TV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DC8991" w14:textId="77777777">
            <w:pPr>
              <w:rPr>
                <w:rFonts w:cs="Calibri"/>
              </w:rPr>
            </w:pPr>
            <w:r w:rsidRPr="007D15C3">
              <w:rPr>
                <w:rFonts w:cs="Calibri"/>
              </w:rPr>
              <w:t xml:space="preserve">          2,530,706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96437D" w14:textId="77777777">
            <w:pPr>
              <w:rPr>
                <w:rFonts w:cs="Calibri"/>
              </w:rPr>
            </w:pPr>
            <w:r w:rsidRPr="007D15C3">
              <w:rPr>
                <w:rFonts w:cs="Calibri"/>
              </w:rPr>
              <w:t xml:space="preserve">            2,495,317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A7D4A5" w14:textId="77777777">
            <w:pPr>
              <w:jc w:val="right"/>
              <w:rPr>
                <w:rFonts w:cs="Calibri"/>
              </w:rPr>
            </w:pPr>
            <w:r w:rsidRPr="007D15C3">
              <w:rPr>
                <w:rFonts w:cs="Calibri"/>
              </w:rPr>
              <w:t>$19,556</w:t>
            </w:r>
          </w:p>
        </w:tc>
      </w:tr>
      <w:tr w14:paraId="215487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33FF91" w14:textId="77777777">
            <w:pPr>
              <w:jc w:val="center"/>
              <w:rPr>
                <w:rFonts w:cs="Calibri"/>
              </w:rPr>
            </w:pPr>
            <w:r w:rsidRPr="007D15C3">
              <w:rPr>
                <w:rFonts w:cs="Calibri"/>
              </w:rPr>
              <w:t>35584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E028FA" w14:textId="77777777">
            <w:pPr>
              <w:jc w:val="center"/>
              <w:rPr>
                <w:rFonts w:cs="Calibri"/>
              </w:rPr>
            </w:pPr>
            <w:r w:rsidRPr="007D15C3">
              <w:rPr>
                <w:rFonts w:cs="Calibri"/>
              </w:rPr>
              <w:t>KSAX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90EDB7" w14:textId="77777777">
            <w:pPr>
              <w:rPr>
                <w:rFonts w:cs="Calibri"/>
              </w:rPr>
            </w:pPr>
            <w:r w:rsidRPr="007D15C3">
              <w:rPr>
                <w:rFonts w:cs="Calibri"/>
              </w:rPr>
              <w:t xml:space="preserve">             365,209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FC58BA" w14:textId="77777777">
            <w:pPr>
              <w:rPr>
                <w:rFonts w:cs="Calibri"/>
              </w:rPr>
            </w:pPr>
            <w:r w:rsidRPr="007D15C3">
              <w:rPr>
                <w:rFonts w:cs="Calibri"/>
              </w:rPr>
              <w:t xml:space="preserve">               365,209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E4A9D8" w14:textId="77777777">
            <w:pPr>
              <w:jc w:val="right"/>
              <w:rPr>
                <w:rFonts w:cs="Calibri"/>
              </w:rPr>
            </w:pPr>
            <w:r w:rsidRPr="007D15C3">
              <w:rPr>
                <w:rFonts w:cs="Calibri"/>
              </w:rPr>
              <w:t>$2,862</w:t>
            </w:r>
          </w:p>
        </w:tc>
      </w:tr>
      <w:tr w14:paraId="59C2E8C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ED965C" w14:textId="77777777">
            <w:pPr>
              <w:jc w:val="center"/>
              <w:rPr>
                <w:rFonts w:cs="Calibri"/>
              </w:rPr>
            </w:pPr>
            <w:r w:rsidRPr="007D15C3">
              <w:rPr>
                <w:rFonts w:cs="Calibri"/>
              </w:rPr>
              <w:t>35587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AE162C" w14:textId="77777777">
            <w:pPr>
              <w:jc w:val="center"/>
              <w:rPr>
                <w:rFonts w:cs="Calibri"/>
              </w:rPr>
            </w:pPr>
            <w:r w:rsidRPr="007D15C3">
              <w:rPr>
                <w:rFonts w:cs="Calibri"/>
              </w:rPr>
              <w:t>KSAZ-TV*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956C27" w14:textId="77777777">
            <w:pPr>
              <w:rPr>
                <w:rFonts w:cs="Calibri"/>
              </w:rPr>
            </w:pPr>
            <w:r w:rsidRPr="007D15C3">
              <w:rPr>
                <w:rFonts w:cs="Calibri"/>
              </w:rPr>
              <w:t xml:space="preserve">          4,203,126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62E9AA" w14:textId="77777777">
            <w:pPr>
              <w:rPr>
                <w:rFonts w:cs="Calibri"/>
              </w:rPr>
            </w:pPr>
            <w:r w:rsidRPr="007D15C3">
              <w:rPr>
                <w:rFonts w:cs="Calibri"/>
              </w:rPr>
              <w:t xml:space="preserve">            4,178,448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AADBE5" w14:textId="77777777">
            <w:pPr>
              <w:jc w:val="right"/>
              <w:rPr>
                <w:rFonts w:cs="Calibri"/>
              </w:rPr>
            </w:pPr>
            <w:r w:rsidRPr="007D15C3">
              <w:rPr>
                <w:rFonts w:cs="Calibri"/>
              </w:rPr>
              <w:t>$32,746</w:t>
            </w:r>
          </w:p>
        </w:tc>
      </w:tr>
      <w:tr w14:paraId="782056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6945F5" w14:textId="77777777">
            <w:pPr>
              <w:jc w:val="center"/>
              <w:rPr>
                <w:rFonts w:cs="Calibri"/>
              </w:rPr>
            </w:pPr>
            <w:r w:rsidRPr="007D15C3">
              <w:rPr>
                <w:rFonts w:cs="Calibri"/>
              </w:rPr>
              <w:t>38214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AD80CC" w14:textId="77777777">
            <w:pPr>
              <w:jc w:val="center"/>
              <w:rPr>
                <w:rFonts w:cs="Calibri"/>
              </w:rPr>
            </w:pPr>
            <w:r w:rsidRPr="007D15C3">
              <w:rPr>
                <w:rFonts w:cs="Calibri"/>
              </w:rPr>
              <w:t>KSBI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33062C" w14:textId="77777777">
            <w:pPr>
              <w:rPr>
                <w:rFonts w:cs="Calibri"/>
              </w:rPr>
            </w:pPr>
            <w:r w:rsidRPr="007D15C3">
              <w:rPr>
                <w:rFonts w:cs="Calibri"/>
              </w:rPr>
              <w:t xml:space="preserve">          1,577,231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80ADAF" w14:textId="77777777">
            <w:pPr>
              <w:rPr>
                <w:rFonts w:cs="Calibri"/>
              </w:rPr>
            </w:pPr>
            <w:r w:rsidRPr="007D15C3">
              <w:rPr>
                <w:rFonts w:cs="Calibri"/>
              </w:rPr>
              <w:t xml:space="preserve">            1,575,865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93FB65" w14:textId="77777777">
            <w:pPr>
              <w:jc w:val="right"/>
              <w:rPr>
                <w:rFonts w:cs="Calibri"/>
              </w:rPr>
            </w:pPr>
            <w:r w:rsidRPr="007D15C3">
              <w:rPr>
                <w:rFonts w:cs="Calibri"/>
              </w:rPr>
              <w:t>$12,350</w:t>
            </w:r>
          </w:p>
        </w:tc>
      </w:tr>
      <w:tr w14:paraId="35EF0EE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9F082F" w14:textId="77777777">
            <w:pPr>
              <w:jc w:val="center"/>
              <w:rPr>
                <w:rFonts w:cs="Calibri"/>
              </w:rPr>
            </w:pPr>
            <w:r w:rsidRPr="007D15C3">
              <w:rPr>
                <w:rFonts w:cs="Calibri"/>
              </w:rPr>
              <w:t>19653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099C0F" w14:textId="77777777">
            <w:pPr>
              <w:jc w:val="center"/>
              <w:rPr>
                <w:rFonts w:cs="Calibri"/>
              </w:rPr>
            </w:pPr>
            <w:r w:rsidRPr="007D15C3">
              <w:rPr>
                <w:rFonts w:cs="Calibri"/>
              </w:rPr>
              <w:t>KSBW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B4D300" w14:textId="77777777">
            <w:pPr>
              <w:rPr>
                <w:rFonts w:cs="Calibri"/>
              </w:rPr>
            </w:pPr>
            <w:r w:rsidRPr="007D15C3">
              <w:rPr>
                <w:rFonts w:cs="Calibri"/>
              </w:rPr>
              <w:t xml:space="preserve">          5,083,461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0F8209" w14:textId="77777777">
            <w:pPr>
              <w:rPr>
                <w:rFonts w:cs="Calibri"/>
              </w:rPr>
            </w:pPr>
            <w:r w:rsidRPr="007D15C3">
              <w:rPr>
                <w:rFonts w:cs="Calibri"/>
              </w:rPr>
              <w:t xml:space="preserve">            4,429,165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FC87B6" w14:textId="77777777">
            <w:pPr>
              <w:jc w:val="right"/>
              <w:rPr>
                <w:rFonts w:cs="Calibri"/>
              </w:rPr>
            </w:pPr>
            <w:r w:rsidRPr="007D15C3">
              <w:rPr>
                <w:rFonts w:cs="Calibri"/>
              </w:rPr>
              <w:t>$34,711</w:t>
            </w:r>
          </w:p>
        </w:tc>
      </w:tr>
      <w:tr w14:paraId="5C9A64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1CBB0C" w14:textId="77777777">
            <w:pPr>
              <w:jc w:val="center"/>
              <w:rPr>
                <w:rFonts w:cs="Calibri"/>
              </w:rPr>
            </w:pPr>
            <w:r w:rsidRPr="007D15C3">
              <w:rPr>
                <w:rFonts w:cs="Calibri"/>
              </w:rPr>
              <w:t>19654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407520" w14:textId="77777777">
            <w:pPr>
              <w:jc w:val="center"/>
              <w:rPr>
                <w:rFonts w:cs="Calibri"/>
              </w:rPr>
            </w:pPr>
            <w:r w:rsidRPr="007D15C3">
              <w:rPr>
                <w:rFonts w:cs="Calibri"/>
              </w:rPr>
              <w:t>KSBY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A4E8D" w14:textId="77777777">
            <w:pPr>
              <w:rPr>
                <w:rFonts w:cs="Calibri"/>
              </w:rPr>
            </w:pPr>
            <w:r w:rsidRPr="007D15C3">
              <w:rPr>
                <w:rFonts w:cs="Calibri"/>
              </w:rPr>
              <w:t xml:space="preserve">             535,029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044FDE" w14:textId="77777777">
            <w:pPr>
              <w:rPr>
                <w:rFonts w:cs="Calibri"/>
              </w:rPr>
            </w:pPr>
            <w:r w:rsidRPr="007D15C3">
              <w:rPr>
                <w:rFonts w:cs="Calibri"/>
              </w:rPr>
              <w:t xml:space="preserve">               495,562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78A68F" w14:textId="77777777">
            <w:pPr>
              <w:jc w:val="right"/>
              <w:rPr>
                <w:rFonts w:cs="Calibri"/>
              </w:rPr>
            </w:pPr>
            <w:r w:rsidRPr="007D15C3">
              <w:rPr>
                <w:rFonts w:cs="Calibri"/>
              </w:rPr>
              <w:t>$3,884</w:t>
            </w:r>
          </w:p>
        </w:tc>
      </w:tr>
      <w:tr w14:paraId="52E8E2B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024DAC" w14:textId="77777777">
            <w:pPr>
              <w:jc w:val="center"/>
              <w:rPr>
                <w:rFonts w:cs="Calibri"/>
              </w:rPr>
            </w:pPr>
            <w:r w:rsidRPr="007D15C3">
              <w:rPr>
                <w:rFonts w:cs="Calibri"/>
              </w:rPr>
              <w:t>82910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6A76DB" w14:textId="77777777">
            <w:pPr>
              <w:jc w:val="center"/>
              <w:rPr>
                <w:rFonts w:cs="Calibri"/>
              </w:rPr>
            </w:pPr>
            <w:r w:rsidRPr="007D15C3">
              <w:rPr>
                <w:rFonts w:cs="Calibri"/>
              </w:rPr>
              <w:t>KSCC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5E9250" w14:textId="77777777">
            <w:pPr>
              <w:rPr>
                <w:rFonts w:cs="Calibri"/>
              </w:rPr>
            </w:pPr>
            <w:r w:rsidRPr="007D15C3">
              <w:rPr>
                <w:rFonts w:cs="Calibri"/>
              </w:rPr>
              <w:t xml:space="preserve">             502,915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1FF056" w14:textId="77777777">
            <w:pPr>
              <w:rPr>
                <w:rFonts w:cs="Calibri"/>
              </w:rPr>
            </w:pPr>
            <w:r w:rsidRPr="007D15C3">
              <w:rPr>
                <w:rFonts w:cs="Calibri"/>
              </w:rPr>
              <w:t xml:space="preserve">               502,915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53F4F2" w14:textId="77777777">
            <w:pPr>
              <w:jc w:val="right"/>
              <w:rPr>
                <w:rFonts w:cs="Calibri"/>
              </w:rPr>
            </w:pPr>
            <w:r w:rsidRPr="007D15C3">
              <w:rPr>
                <w:rFonts w:cs="Calibri"/>
              </w:rPr>
              <w:t>$3,941</w:t>
            </w:r>
          </w:p>
        </w:tc>
      </w:tr>
      <w:tr w14:paraId="2B504AF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4EA1F5" w14:textId="77777777">
            <w:pPr>
              <w:jc w:val="center"/>
              <w:rPr>
                <w:rFonts w:cs="Calibri"/>
              </w:rPr>
            </w:pPr>
            <w:r w:rsidRPr="007D15C3">
              <w:rPr>
                <w:rFonts w:cs="Calibri"/>
              </w:rPr>
              <w:t>10202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A80A2C" w14:textId="77777777">
            <w:pPr>
              <w:jc w:val="center"/>
              <w:rPr>
                <w:rFonts w:cs="Calibri"/>
              </w:rPr>
            </w:pPr>
            <w:r w:rsidRPr="007D15C3">
              <w:rPr>
                <w:rFonts w:cs="Calibri"/>
              </w:rPr>
              <w:t>KSCE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9B0F7B" w14:textId="77777777">
            <w:pPr>
              <w:rPr>
                <w:rFonts w:cs="Calibri"/>
              </w:rPr>
            </w:pPr>
            <w:r w:rsidRPr="007D15C3">
              <w:rPr>
                <w:rFonts w:cs="Calibri"/>
              </w:rPr>
              <w:t xml:space="preserve">          1,015,148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AD9ED4" w14:textId="77777777">
            <w:pPr>
              <w:rPr>
                <w:rFonts w:cs="Calibri"/>
              </w:rPr>
            </w:pPr>
            <w:r w:rsidRPr="007D15C3">
              <w:rPr>
                <w:rFonts w:cs="Calibri"/>
              </w:rPr>
              <w:t xml:space="preserve">            1,010,581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B2E6E2" w14:textId="77777777">
            <w:pPr>
              <w:jc w:val="right"/>
              <w:rPr>
                <w:rFonts w:cs="Calibri"/>
              </w:rPr>
            </w:pPr>
            <w:r w:rsidRPr="007D15C3">
              <w:rPr>
                <w:rFonts w:cs="Calibri"/>
              </w:rPr>
              <w:t>$7,920</w:t>
            </w:r>
          </w:p>
        </w:tc>
      </w:tr>
      <w:tr w14:paraId="3820F7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58978F" w14:textId="77777777">
            <w:pPr>
              <w:jc w:val="center"/>
              <w:rPr>
                <w:rFonts w:cs="Calibri"/>
              </w:rPr>
            </w:pPr>
            <w:r w:rsidRPr="007D15C3">
              <w:rPr>
                <w:rFonts w:cs="Calibri"/>
              </w:rPr>
              <w:t>35608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BB1AC5" w14:textId="77777777">
            <w:pPr>
              <w:jc w:val="center"/>
              <w:rPr>
                <w:rFonts w:cs="Calibri"/>
              </w:rPr>
            </w:pPr>
            <w:r w:rsidRPr="007D15C3">
              <w:rPr>
                <w:rFonts w:cs="Calibri"/>
              </w:rPr>
              <w:t>KSCI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FEDEE5" w14:textId="77777777">
            <w:pPr>
              <w:rPr>
                <w:rFonts w:cs="Calibri"/>
              </w:rPr>
            </w:pPr>
            <w:r w:rsidRPr="007D15C3">
              <w:rPr>
                <w:rFonts w:cs="Calibri"/>
              </w:rPr>
              <w:t xml:space="preserve">        17,447,903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9BD2C" w14:textId="77777777">
            <w:pPr>
              <w:rPr>
                <w:rFonts w:cs="Calibri"/>
              </w:rPr>
            </w:pPr>
            <w:r w:rsidRPr="007D15C3">
              <w:rPr>
                <w:rFonts w:cs="Calibri"/>
              </w:rPr>
              <w:t xml:space="preserve">          16,331,792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9B33DA" w14:textId="77777777">
            <w:pPr>
              <w:jc w:val="right"/>
              <w:rPr>
                <w:rFonts w:cs="Calibri"/>
              </w:rPr>
            </w:pPr>
            <w:r w:rsidRPr="007D15C3">
              <w:rPr>
                <w:rFonts w:cs="Calibri"/>
              </w:rPr>
              <w:t>$127,992</w:t>
            </w:r>
          </w:p>
        </w:tc>
      </w:tr>
      <w:tr w14:paraId="49E41A0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B58B05" w14:textId="77777777">
            <w:pPr>
              <w:jc w:val="center"/>
              <w:rPr>
                <w:rFonts w:cs="Calibri"/>
              </w:rPr>
            </w:pPr>
            <w:r w:rsidRPr="007D15C3">
              <w:rPr>
                <w:rFonts w:cs="Calibri"/>
              </w:rPr>
              <w:t>72348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A33D72" w14:textId="77777777">
            <w:pPr>
              <w:jc w:val="center"/>
              <w:rPr>
                <w:rFonts w:cs="Calibri"/>
              </w:rPr>
            </w:pPr>
            <w:r w:rsidRPr="007D15C3">
              <w:rPr>
                <w:rFonts w:cs="Calibri"/>
              </w:rPr>
              <w:t>KSCW-DT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791733" w14:textId="77777777">
            <w:pPr>
              <w:rPr>
                <w:rFonts w:cs="Calibri"/>
              </w:rPr>
            </w:pPr>
            <w:r w:rsidRPr="007D15C3">
              <w:rPr>
                <w:rFonts w:cs="Calibri"/>
              </w:rPr>
              <w:t xml:space="preserve">             915,691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7C0918" w14:textId="77777777">
            <w:pPr>
              <w:rPr>
                <w:rFonts w:cs="Calibri"/>
              </w:rPr>
            </w:pPr>
            <w:r w:rsidRPr="007D15C3">
              <w:rPr>
                <w:rFonts w:cs="Calibri"/>
              </w:rPr>
              <w:t xml:space="preserve">               910,511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75CA71" w14:textId="77777777">
            <w:pPr>
              <w:jc w:val="right"/>
              <w:rPr>
                <w:rFonts w:cs="Calibri"/>
              </w:rPr>
            </w:pPr>
            <w:r w:rsidRPr="007D15C3">
              <w:rPr>
                <w:rFonts w:cs="Calibri"/>
              </w:rPr>
              <w:t>$7,136</w:t>
            </w:r>
          </w:p>
        </w:tc>
      </w:tr>
      <w:tr w14:paraId="112B95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C77B99" w14:textId="77777777">
            <w:pPr>
              <w:jc w:val="center"/>
              <w:rPr>
                <w:rFonts w:cs="Calibri"/>
              </w:rPr>
            </w:pPr>
            <w:r w:rsidRPr="007D15C3">
              <w:rPr>
                <w:rFonts w:cs="Calibri"/>
              </w:rPr>
              <w:t>46981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DD7C7D" w14:textId="77777777">
            <w:pPr>
              <w:jc w:val="center"/>
              <w:rPr>
                <w:rFonts w:cs="Calibri"/>
              </w:rPr>
            </w:pPr>
            <w:r w:rsidRPr="007D15C3">
              <w:rPr>
                <w:rFonts w:cs="Calibri"/>
              </w:rPr>
              <w:t>KSDK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FDB46F" w14:textId="77777777">
            <w:pPr>
              <w:rPr>
                <w:rFonts w:cs="Calibri"/>
              </w:rPr>
            </w:pPr>
            <w:r w:rsidRPr="007D15C3">
              <w:rPr>
                <w:rFonts w:cs="Calibri"/>
              </w:rPr>
              <w:t xml:space="preserve">          2,986,764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FFC4D1" w14:textId="77777777">
            <w:pPr>
              <w:rPr>
                <w:rFonts w:cs="Calibri"/>
              </w:rPr>
            </w:pPr>
            <w:r w:rsidRPr="007D15C3">
              <w:rPr>
                <w:rFonts w:cs="Calibri"/>
              </w:rPr>
              <w:t xml:space="preserve">            2,979,035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2E4C22" w14:textId="77777777">
            <w:pPr>
              <w:jc w:val="right"/>
              <w:rPr>
                <w:rFonts w:cs="Calibri"/>
              </w:rPr>
            </w:pPr>
            <w:r w:rsidRPr="007D15C3">
              <w:rPr>
                <w:rFonts w:cs="Calibri"/>
              </w:rPr>
              <w:t>$23,347</w:t>
            </w:r>
          </w:p>
        </w:tc>
      </w:tr>
      <w:tr w14:paraId="37408AA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1D1269" w14:textId="77777777">
            <w:pPr>
              <w:jc w:val="center"/>
              <w:rPr>
                <w:rFonts w:cs="Calibri"/>
              </w:rPr>
            </w:pPr>
            <w:r w:rsidRPr="007D15C3">
              <w:rPr>
                <w:rFonts w:cs="Calibri"/>
              </w:rPr>
              <w:t>35594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58254F" w14:textId="77777777">
            <w:pPr>
              <w:jc w:val="center"/>
              <w:rPr>
                <w:rFonts w:cs="Calibri"/>
              </w:rPr>
            </w:pPr>
            <w:r w:rsidRPr="007D15C3">
              <w:rPr>
                <w:rFonts w:cs="Calibri"/>
              </w:rPr>
              <w:t>KSEE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9BEF08" w14:textId="77777777">
            <w:pPr>
              <w:rPr>
                <w:rFonts w:cs="Calibri"/>
              </w:rPr>
            </w:pPr>
            <w:r w:rsidRPr="007D15C3">
              <w:rPr>
                <w:rFonts w:cs="Calibri"/>
              </w:rPr>
              <w:t xml:space="preserve">          1,749,448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2E13F8" w14:textId="77777777">
            <w:pPr>
              <w:rPr>
                <w:rFonts w:cs="Calibri"/>
              </w:rPr>
            </w:pPr>
            <w:r w:rsidRPr="007D15C3">
              <w:rPr>
                <w:rFonts w:cs="Calibri"/>
              </w:rPr>
              <w:t xml:space="preserve">            1,732,516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C0F9EB" w14:textId="77777777">
            <w:pPr>
              <w:jc w:val="right"/>
              <w:rPr>
                <w:rFonts w:cs="Calibri"/>
              </w:rPr>
            </w:pPr>
            <w:r w:rsidRPr="007D15C3">
              <w:rPr>
                <w:rFonts w:cs="Calibri"/>
              </w:rPr>
              <w:t>$13,578</w:t>
            </w:r>
          </w:p>
        </w:tc>
      </w:tr>
      <w:tr w14:paraId="0C48B68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132FA9" w14:textId="77777777">
            <w:pPr>
              <w:jc w:val="center"/>
              <w:rPr>
                <w:rFonts w:cs="Calibri"/>
              </w:rPr>
            </w:pPr>
            <w:r w:rsidRPr="007D15C3">
              <w:rPr>
                <w:rFonts w:cs="Calibri"/>
              </w:rPr>
              <w:t>48658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1832D2" w14:textId="77777777">
            <w:pPr>
              <w:jc w:val="center"/>
              <w:rPr>
                <w:rFonts w:cs="Calibri"/>
              </w:rPr>
            </w:pPr>
            <w:r w:rsidRPr="007D15C3">
              <w:rPr>
                <w:rFonts w:cs="Calibri"/>
              </w:rPr>
              <w:t>KSFY-TV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62869E" w14:textId="77777777">
            <w:pPr>
              <w:rPr>
                <w:rFonts w:cs="Calibri"/>
              </w:rPr>
            </w:pPr>
            <w:r w:rsidRPr="007D15C3">
              <w:rPr>
                <w:rFonts w:cs="Calibri"/>
              </w:rPr>
              <w:t xml:space="preserve">             670,536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D33DA2" w14:textId="77777777">
            <w:pPr>
              <w:rPr>
                <w:rFonts w:cs="Calibri"/>
              </w:rPr>
            </w:pPr>
            <w:r w:rsidRPr="007D15C3">
              <w:rPr>
                <w:rFonts w:cs="Calibri"/>
              </w:rPr>
              <w:t xml:space="preserve">               607,844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F0285A" w14:textId="77777777">
            <w:pPr>
              <w:jc w:val="right"/>
              <w:rPr>
                <w:rFonts w:cs="Calibri"/>
              </w:rPr>
            </w:pPr>
            <w:r w:rsidRPr="007D15C3">
              <w:rPr>
                <w:rFonts w:cs="Calibri"/>
              </w:rPr>
              <w:t>$4,764</w:t>
            </w:r>
          </w:p>
        </w:tc>
      </w:tr>
      <w:tr w14:paraId="7C33F4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8F0480" w14:textId="77777777">
            <w:pPr>
              <w:jc w:val="center"/>
              <w:rPr>
                <w:rFonts w:cs="Calibri"/>
              </w:rPr>
            </w:pPr>
            <w:r w:rsidRPr="007D15C3">
              <w:rPr>
                <w:rFonts w:cs="Calibri"/>
              </w:rPr>
              <w:t>17680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AC89D3" w14:textId="77777777">
            <w:pPr>
              <w:jc w:val="center"/>
              <w:rPr>
                <w:rFonts w:cs="Calibri"/>
              </w:rPr>
            </w:pPr>
            <w:r w:rsidRPr="007D15C3">
              <w:rPr>
                <w:rFonts w:cs="Calibri"/>
              </w:rPr>
              <w:t>KSGW-TV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304FFF" w14:textId="77777777">
            <w:pPr>
              <w:rPr>
                <w:rFonts w:cs="Calibri"/>
              </w:rPr>
            </w:pPr>
            <w:r w:rsidRPr="007D15C3">
              <w:rPr>
                <w:rFonts w:cs="Calibri"/>
              </w:rPr>
              <w:t xml:space="preserve">               62,178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79DCA8" w14:textId="77777777">
            <w:pPr>
              <w:rPr>
                <w:rFonts w:cs="Calibri"/>
              </w:rPr>
            </w:pPr>
            <w:r w:rsidRPr="007D15C3">
              <w:rPr>
                <w:rFonts w:cs="Calibri"/>
              </w:rPr>
              <w:t xml:space="preserve">                 57,629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12C59D" w14:textId="77777777">
            <w:pPr>
              <w:jc w:val="right"/>
              <w:rPr>
                <w:rFonts w:cs="Calibri"/>
              </w:rPr>
            </w:pPr>
            <w:r w:rsidRPr="007D15C3">
              <w:rPr>
                <w:rFonts w:cs="Calibri"/>
              </w:rPr>
              <w:t>$452</w:t>
            </w:r>
          </w:p>
        </w:tc>
      </w:tr>
      <w:tr w14:paraId="74E214B7"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430B00" w14:textId="77777777">
            <w:pPr>
              <w:jc w:val="center"/>
              <w:rPr>
                <w:rFonts w:cs="Calibri"/>
              </w:rPr>
            </w:pPr>
            <w:r w:rsidRPr="007D15C3">
              <w:rPr>
                <w:rFonts w:cs="Calibri"/>
              </w:rPr>
              <w:t>59444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709F78F" w14:textId="77777777">
            <w:pPr>
              <w:jc w:val="center"/>
              <w:rPr>
                <w:rFonts w:cs="Calibri"/>
              </w:rPr>
            </w:pPr>
            <w:r w:rsidRPr="007D15C3">
              <w:rPr>
                <w:rFonts w:cs="Calibri"/>
              </w:rPr>
              <w:t>KSHB-TV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46B0CD4" w14:textId="77777777">
            <w:pPr>
              <w:rPr>
                <w:rFonts w:cs="Calibri"/>
              </w:rPr>
            </w:pPr>
            <w:r w:rsidRPr="007D15C3">
              <w:rPr>
                <w:rFonts w:cs="Calibri"/>
              </w:rPr>
              <w:t xml:space="preserve">          2,432,205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9D7FFBB" w14:textId="77777777">
            <w:pPr>
              <w:rPr>
                <w:rFonts w:cs="Calibri"/>
              </w:rPr>
            </w:pPr>
            <w:r w:rsidRPr="007D15C3">
              <w:rPr>
                <w:rFonts w:cs="Calibri"/>
              </w:rPr>
              <w:t xml:space="preserve">            2,431,273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E7A4CD3" w14:textId="77777777">
            <w:pPr>
              <w:jc w:val="right"/>
              <w:rPr>
                <w:rFonts w:cs="Calibri"/>
              </w:rPr>
            </w:pPr>
            <w:r w:rsidRPr="007D15C3">
              <w:rPr>
                <w:rFonts w:cs="Calibri"/>
              </w:rPr>
              <w:t>$19,054</w:t>
            </w:r>
          </w:p>
        </w:tc>
      </w:tr>
      <w:tr w14:paraId="4BE280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41970F" w14:textId="77777777">
            <w:pPr>
              <w:jc w:val="center"/>
              <w:rPr>
                <w:rFonts w:cs="Calibri"/>
              </w:rPr>
            </w:pPr>
            <w:r w:rsidRPr="007D15C3">
              <w:rPr>
                <w:rFonts w:cs="Calibri"/>
              </w:rPr>
              <w:t>73706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4CE78E" w14:textId="77777777">
            <w:pPr>
              <w:jc w:val="center"/>
              <w:rPr>
                <w:rFonts w:cs="Calibri"/>
              </w:rPr>
            </w:pPr>
            <w:r w:rsidRPr="007D15C3">
              <w:rPr>
                <w:rFonts w:cs="Calibri"/>
              </w:rPr>
              <w:t>KSHV-TV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5BE28B" w14:textId="77777777">
            <w:pPr>
              <w:rPr>
                <w:rFonts w:cs="Calibri"/>
              </w:rPr>
            </w:pPr>
            <w:r w:rsidRPr="007D15C3">
              <w:rPr>
                <w:rFonts w:cs="Calibri"/>
              </w:rPr>
              <w:t xml:space="preserve">             943,947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0EAB91" w14:textId="77777777">
            <w:pPr>
              <w:rPr>
                <w:rFonts w:cs="Calibri"/>
              </w:rPr>
            </w:pPr>
            <w:r w:rsidRPr="007D15C3">
              <w:rPr>
                <w:rFonts w:cs="Calibri"/>
              </w:rPr>
              <w:t xml:space="preserve">               942,978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D88E93" w14:textId="77777777">
            <w:pPr>
              <w:jc w:val="right"/>
              <w:rPr>
                <w:rFonts w:cs="Calibri"/>
              </w:rPr>
            </w:pPr>
            <w:r w:rsidRPr="007D15C3">
              <w:rPr>
                <w:rFonts w:cs="Calibri"/>
              </w:rPr>
              <w:t>$7,390</w:t>
            </w:r>
          </w:p>
        </w:tc>
      </w:tr>
      <w:tr w14:paraId="18ECABA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64076B" w14:textId="77777777">
            <w:pPr>
              <w:jc w:val="center"/>
              <w:rPr>
                <w:rFonts w:cs="Calibri"/>
              </w:rPr>
            </w:pPr>
            <w:r w:rsidRPr="007D15C3">
              <w:rPr>
                <w:rFonts w:cs="Calibri"/>
              </w:rPr>
              <w:t>29096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7D6937" w14:textId="77777777">
            <w:pPr>
              <w:jc w:val="center"/>
              <w:rPr>
                <w:rFonts w:cs="Calibri"/>
              </w:rPr>
            </w:pPr>
            <w:r w:rsidRPr="007D15C3">
              <w:rPr>
                <w:rFonts w:cs="Calibri"/>
              </w:rPr>
              <w:t>KSIN-TV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3A388E" w14:textId="77777777">
            <w:pPr>
              <w:rPr>
                <w:rFonts w:cs="Calibri"/>
              </w:rPr>
            </w:pPr>
            <w:r w:rsidRPr="007D15C3">
              <w:rPr>
                <w:rFonts w:cs="Calibri"/>
              </w:rPr>
              <w:t xml:space="preserve">             340,143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983D55" w14:textId="77777777">
            <w:pPr>
              <w:rPr>
                <w:rFonts w:cs="Calibri"/>
              </w:rPr>
            </w:pPr>
            <w:r w:rsidRPr="007D15C3">
              <w:rPr>
                <w:rFonts w:cs="Calibri"/>
              </w:rPr>
              <w:t xml:space="preserve">               338,811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75C3FE" w14:textId="77777777">
            <w:pPr>
              <w:jc w:val="right"/>
              <w:rPr>
                <w:rFonts w:cs="Calibri"/>
              </w:rPr>
            </w:pPr>
            <w:r w:rsidRPr="007D15C3">
              <w:rPr>
                <w:rFonts w:cs="Calibri"/>
              </w:rPr>
              <w:t>$2,655</w:t>
            </w:r>
          </w:p>
        </w:tc>
      </w:tr>
      <w:tr w14:paraId="4D64896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81BC4C" w14:textId="77777777">
            <w:pPr>
              <w:jc w:val="center"/>
              <w:rPr>
                <w:rFonts w:cs="Calibri"/>
              </w:rPr>
            </w:pPr>
            <w:r w:rsidRPr="007D15C3">
              <w:rPr>
                <w:rFonts w:cs="Calibri"/>
              </w:rPr>
              <w:t>664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2183E7" w14:textId="77777777">
            <w:pPr>
              <w:jc w:val="center"/>
              <w:rPr>
                <w:rFonts w:cs="Calibri"/>
              </w:rPr>
            </w:pPr>
            <w:r w:rsidRPr="007D15C3">
              <w:rPr>
                <w:rFonts w:cs="Calibri"/>
              </w:rPr>
              <w:t>KSIX-TV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CE1C06" w14:textId="77777777">
            <w:pPr>
              <w:rPr>
                <w:rFonts w:cs="Calibri"/>
              </w:rPr>
            </w:pPr>
            <w:r w:rsidRPr="007D15C3">
              <w:rPr>
                <w:rFonts w:cs="Calibri"/>
              </w:rPr>
              <w:t xml:space="preserve">               82,902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15C341" w14:textId="77777777">
            <w:pPr>
              <w:rPr>
                <w:rFonts w:cs="Calibri"/>
              </w:rPr>
            </w:pPr>
            <w:r w:rsidRPr="007D15C3">
              <w:rPr>
                <w:rFonts w:cs="Calibri"/>
              </w:rPr>
              <w:t xml:space="preserve">                 73,553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F093D7" w14:textId="77777777">
            <w:pPr>
              <w:jc w:val="right"/>
              <w:rPr>
                <w:rFonts w:cs="Calibri"/>
              </w:rPr>
            </w:pPr>
            <w:r w:rsidRPr="007D15C3">
              <w:rPr>
                <w:rFonts w:cs="Calibri"/>
              </w:rPr>
              <w:t>$576</w:t>
            </w:r>
          </w:p>
        </w:tc>
      </w:tr>
      <w:tr w14:paraId="53E912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F91123" w14:textId="77777777">
            <w:pPr>
              <w:jc w:val="center"/>
              <w:rPr>
                <w:rFonts w:cs="Calibri"/>
              </w:rPr>
            </w:pPr>
            <w:r w:rsidRPr="007D15C3">
              <w:rPr>
                <w:rFonts w:cs="Calibri"/>
              </w:rPr>
              <w:t>35606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132CD5" w14:textId="77777777">
            <w:pPr>
              <w:jc w:val="center"/>
              <w:rPr>
                <w:rFonts w:cs="Calibri"/>
              </w:rPr>
            </w:pPr>
            <w:r w:rsidRPr="007D15C3">
              <w:rPr>
                <w:rFonts w:cs="Calibri"/>
              </w:rPr>
              <w:t>KSKN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AB94F0" w14:textId="77777777">
            <w:pPr>
              <w:rPr>
                <w:rFonts w:cs="Calibri"/>
              </w:rPr>
            </w:pPr>
            <w:r w:rsidRPr="007D15C3">
              <w:rPr>
                <w:rFonts w:cs="Calibri"/>
              </w:rPr>
              <w:t xml:space="preserve">             731,818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7D7F73" w14:textId="77777777">
            <w:pPr>
              <w:rPr>
                <w:rFonts w:cs="Calibri"/>
              </w:rPr>
            </w:pPr>
            <w:r w:rsidRPr="007D15C3">
              <w:rPr>
                <w:rFonts w:cs="Calibri"/>
              </w:rPr>
              <w:t xml:space="preserve">               643,590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8F3B77" w14:textId="77777777">
            <w:pPr>
              <w:jc w:val="right"/>
              <w:rPr>
                <w:rFonts w:cs="Calibri"/>
              </w:rPr>
            </w:pPr>
            <w:r w:rsidRPr="007D15C3">
              <w:rPr>
                <w:rFonts w:cs="Calibri"/>
              </w:rPr>
              <w:t>$5,044</w:t>
            </w:r>
          </w:p>
        </w:tc>
      </w:tr>
      <w:tr w14:paraId="4B7C3F7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6A5EC6" w14:textId="77777777">
            <w:pPr>
              <w:jc w:val="center"/>
              <w:rPr>
                <w:rFonts w:cs="Calibri"/>
              </w:rPr>
            </w:pPr>
            <w:r w:rsidRPr="007D15C3">
              <w:rPr>
                <w:rFonts w:cs="Calibri"/>
              </w:rPr>
              <w:t>70482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C2AE65" w14:textId="77777777">
            <w:pPr>
              <w:jc w:val="center"/>
              <w:rPr>
                <w:rFonts w:cs="Calibri"/>
              </w:rPr>
            </w:pPr>
            <w:r w:rsidRPr="007D15C3">
              <w:rPr>
                <w:rFonts w:cs="Calibri"/>
              </w:rPr>
              <w:t>KSLA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A911B7" w14:textId="77777777">
            <w:pPr>
              <w:rPr>
                <w:rFonts w:cs="Calibri"/>
              </w:rPr>
            </w:pPr>
            <w:r w:rsidRPr="007D15C3">
              <w:rPr>
                <w:rFonts w:cs="Calibri"/>
              </w:rPr>
              <w:t xml:space="preserve">          1,009,108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1955B9" w14:textId="77777777">
            <w:pPr>
              <w:rPr>
                <w:rFonts w:cs="Calibri"/>
              </w:rPr>
            </w:pPr>
            <w:r w:rsidRPr="007D15C3">
              <w:rPr>
                <w:rFonts w:cs="Calibri"/>
              </w:rPr>
              <w:t xml:space="preserve">            1,008,281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FA758B" w14:textId="77777777">
            <w:pPr>
              <w:jc w:val="right"/>
              <w:rPr>
                <w:rFonts w:cs="Calibri"/>
              </w:rPr>
            </w:pPr>
            <w:r w:rsidRPr="007D15C3">
              <w:rPr>
                <w:rFonts w:cs="Calibri"/>
              </w:rPr>
              <w:t>$7,902</w:t>
            </w:r>
          </w:p>
        </w:tc>
      </w:tr>
      <w:tr w14:paraId="6F84E8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9ACC1B" w14:textId="77777777">
            <w:pPr>
              <w:jc w:val="center"/>
              <w:rPr>
                <w:rFonts w:cs="Calibri"/>
              </w:rPr>
            </w:pPr>
            <w:r w:rsidRPr="007D15C3">
              <w:rPr>
                <w:rFonts w:cs="Calibri"/>
              </w:rPr>
              <w:t>6359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59523E3" w14:textId="77777777">
            <w:pPr>
              <w:jc w:val="center"/>
              <w:rPr>
                <w:rFonts w:cs="Calibri"/>
              </w:rPr>
            </w:pPr>
            <w:r w:rsidRPr="007D15C3">
              <w:rPr>
                <w:rFonts w:cs="Calibri"/>
              </w:rPr>
              <w:t>KSL-TV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8EB3E0" w14:textId="77777777">
            <w:pPr>
              <w:rPr>
                <w:rFonts w:cs="Calibri"/>
              </w:rPr>
            </w:pPr>
            <w:r w:rsidRPr="007D15C3">
              <w:rPr>
                <w:rFonts w:cs="Calibri"/>
              </w:rPr>
              <w:t xml:space="preserve">          2,390,742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976E3E" w14:textId="77777777">
            <w:pPr>
              <w:rPr>
                <w:rFonts w:cs="Calibri"/>
              </w:rPr>
            </w:pPr>
            <w:r w:rsidRPr="007D15C3">
              <w:rPr>
                <w:rFonts w:cs="Calibri"/>
              </w:rPr>
              <w:t xml:space="preserve">            2,206,920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6D2082" w14:textId="77777777">
            <w:pPr>
              <w:jc w:val="right"/>
              <w:rPr>
                <w:rFonts w:cs="Calibri"/>
              </w:rPr>
            </w:pPr>
            <w:r w:rsidRPr="007D15C3">
              <w:rPr>
                <w:rFonts w:cs="Calibri"/>
              </w:rPr>
              <w:t>$17,296</w:t>
            </w:r>
          </w:p>
        </w:tc>
      </w:tr>
      <w:tr w14:paraId="6E2D01A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E8B3CC" w14:textId="77777777">
            <w:pPr>
              <w:jc w:val="center"/>
              <w:rPr>
                <w:rFonts w:cs="Calibri"/>
              </w:rPr>
            </w:pPr>
            <w:r w:rsidRPr="007D15C3">
              <w:rPr>
                <w:rFonts w:cs="Calibri"/>
              </w:rPr>
              <w:t>71558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4681EE" w14:textId="77777777">
            <w:pPr>
              <w:jc w:val="center"/>
              <w:rPr>
                <w:rFonts w:cs="Calibri"/>
              </w:rPr>
            </w:pPr>
            <w:r w:rsidRPr="007D15C3">
              <w:rPr>
                <w:rFonts w:cs="Calibri"/>
              </w:rPr>
              <w:t>KSMN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F38C16" w14:textId="77777777">
            <w:pPr>
              <w:rPr>
                <w:rFonts w:cs="Calibri"/>
              </w:rPr>
            </w:pPr>
            <w:r w:rsidRPr="007D15C3">
              <w:rPr>
                <w:rFonts w:cs="Calibri"/>
              </w:rPr>
              <w:t xml:space="preserve">             320,813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51EEF3" w14:textId="77777777">
            <w:pPr>
              <w:rPr>
                <w:rFonts w:cs="Calibri"/>
              </w:rPr>
            </w:pPr>
            <w:r w:rsidRPr="007D15C3">
              <w:rPr>
                <w:rFonts w:cs="Calibri"/>
              </w:rPr>
              <w:t xml:space="preserve">               320,808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48BAA4" w14:textId="77777777">
            <w:pPr>
              <w:jc w:val="right"/>
              <w:rPr>
                <w:rFonts w:cs="Calibri"/>
              </w:rPr>
            </w:pPr>
            <w:r w:rsidRPr="007D15C3">
              <w:rPr>
                <w:rFonts w:cs="Calibri"/>
              </w:rPr>
              <w:t>$2,514</w:t>
            </w:r>
          </w:p>
        </w:tc>
      </w:tr>
      <w:tr w14:paraId="60C46E5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A5B9AA" w14:textId="77777777">
            <w:pPr>
              <w:jc w:val="center"/>
              <w:rPr>
                <w:rFonts w:cs="Calibri"/>
              </w:rPr>
            </w:pPr>
            <w:r w:rsidRPr="007D15C3">
              <w:rPr>
                <w:rFonts w:cs="Calibri"/>
              </w:rPr>
              <w:t>33336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D07F9C" w14:textId="77777777">
            <w:pPr>
              <w:jc w:val="center"/>
              <w:rPr>
                <w:rFonts w:cs="Calibri"/>
              </w:rPr>
            </w:pPr>
            <w:r w:rsidRPr="007D15C3">
              <w:rPr>
                <w:rFonts w:cs="Calibri"/>
              </w:rPr>
              <w:t>KSMO-TV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BC36C7" w14:textId="77777777">
            <w:pPr>
              <w:rPr>
                <w:rFonts w:cs="Calibri"/>
              </w:rPr>
            </w:pPr>
            <w:r w:rsidRPr="007D15C3">
              <w:rPr>
                <w:rFonts w:cs="Calibri"/>
              </w:rPr>
              <w:t xml:space="preserve">          2,401,201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8E1F20" w14:textId="77777777">
            <w:pPr>
              <w:rPr>
                <w:rFonts w:cs="Calibri"/>
              </w:rPr>
            </w:pPr>
            <w:r w:rsidRPr="007D15C3">
              <w:rPr>
                <w:rFonts w:cs="Calibri"/>
              </w:rPr>
              <w:t xml:space="preserve">            2,398,686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4CD642" w14:textId="77777777">
            <w:pPr>
              <w:jc w:val="right"/>
              <w:rPr>
                <w:rFonts w:cs="Calibri"/>
              </w:rPr>
            </w:pPr>
            <w:r w:rsidRPr="007D15C3">
              <w:rPr>
                <w:rFonts w:cs="Calibri"/>
              </w:rPr>
              <w:t>$18,799</w:t>
            </w:r>
          </w:p>
        </w:tc>
      </w:tr>
      <w:tr w14:paraId="1BE724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C969E0" w14:textId="77777777">
            <w:pPr>
              <w:jc w:val="center"/>
              <w:rPr>
                <w:rFonts w:cs="Calibri"/>
              </w:rPr>
            </w:pPr>
            <w:r w:rsidRPr="007D15C3">
              <w:rPr>
                <w:rFonts w:cs="Calibri"/>
              </w:rPr>
              <w:t>28510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EF9CA7" w14:textId="77777777">
            <w:pPr>
              <w:jc w:val="center"/>
              <w:rPr>
                <w:rFonts w:cs="Calibri"/>
              </w:rPr>
            </w:pPr>
            <w:r w:rsidRPr="007D15C3">
              <w:rPr>
                <w:rFonts w:cs="Calibri"/>
              </w:rPr>
              <w:t>KSMQ-TV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598A42" w14:textId="77777777">
            <w:pPr>
              <w:rPr>
                <w:rFonts w:cs="Calibri"/>
              </w:rPr>
            </w:pPr>
            <w:r w:rsidRPr="007D15C3">
              <w:rPr>
                <w:rFonts w:cs="Calibri"/>
              </w:rPr>
              <w:t xml:space="preserve">             524,391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19ECC8" w14:textId="77777777">
            <w:pPr>
              <w:rPr>
                <w:rFonts w:cs="Calibri"/>
              </w:rPr>
            </w:pPr>
            <w:r w:rsidRPr="007D15C3">
              <w:rPr>
                <w:rFonts w:cs="Calibri"/>
              </w:rPr>
              <w:t xml:space="preserve">               507,983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9D7039" w14:textId="77777777">
            <w:pPr>
              <w:jc w:val="right"/>
              <w:rPr>
                <w:rFonts w:cs="Calibri"/>
              </w:rPr>
            </w:pPr>
            <w:r w:rsidRPr="007D15C3">
              <w:rPr>
                <w:rFonts w:cs="Calibri"/>
              </w:rPr>
              <w:t>$3,981</w:t>
            </w:r>
          </w:p>
        </w:tc>
      </w:tr>
      <w:tr w14:paraId="721940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5F238D" w14:textId="77777777">
            <w:pPr>
              <w:jc w:val="center"/>
              <w:rPr>
                <w:rFonts w:cs="Calibri"/>
              </w:rPr>
            </w:pPr>
            <w:r w:rsidRPr="007D15C3">
              <w:rPr>
                <w:rFonts w:cs="Calibri"/>
              </w:rPr>
              <w:t>35611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E3925F" w14:textId="77777777">
            <w:pPr>
              <w:jc w:val="center"/>
              <w:rPr>
                <w:rFonts w:cs="Calibri"/>
              </w:rPr>
            </w:pPr>
            <w:r w:rsidRPr="007D15C3">
              <w:rPr>
                <w:rFonts w:cs="Calibri"/>
              </w:rPr>
              <w:t>KSMS-TV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72F830" w14:textId="77777777">
            <w:pPr>
              <w:rPr>
                <w:rFonts w:cs="Calibri"/>
              </w:rPr>
            </w:pPr>
            <w:r w:rsidRPr="007D15C3">
              <w:rPr>
                <w:rFonts w:cs="Calibri"/>
              </w:rPr>
              <w:t xml:space="preserve">          1,589,263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A833B0" w14:textId="77777777">
            <w:pPr>
              <w:rPr>
                <w:rFonts w:cs="Calibri"/>
              </w:rPr>
            </w:pPr>
            <w:r w:rsidRPr="007D15C3">
              <w:rPr>
                <w:rFonts w:cs="Calibri"/>
              </w:rPr>
              <w:t xml:space="preserve">               882,948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D3B025" w14:textId="77777777">
            <w:pPr>
              <w:jc w:val="right"/>
              <w:rPr>
                <w:rFonts w:cs="Calibri"/>
              </w:rPr>
            </w:pPr>
            <w:r w:rsidRPr="007D15C3">
              <w:rPr>
                <w:rFonts w:cs="Calibri"/>
              </w:rPr>
              <w:t>$6,920</w:t>
            </w:r>
          </w:p>
        </w:tc>
      </w:tr>
      <w:tr w14:paraId="635829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D30064" w14:textId="77777777">
            <w:pPr>
              <w:jc w:val="center"/>
              <w:rPr>
                <w:rFonts w:cs="Calibri"/>
              </w:rPr>
            </w:pPr>
            <w:r w:rsidRPr="007D15C3">
              <w:rPr>
                <w:rFonts w:cs="Calibri"/>
              </w:rPr>
              <w:t>21161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C2EA8C" w14:textId="77777777">
            <w:pPr>
              <w:jc w:val="center"/>
              <w:rPr>
                <w:rFonts w:cs="Calibri"/>
              </w:rPr>
            </w:pPr>
            <w:r w:rsidRPr="007D15C3">
              <w:rPr>
                <w:rFonts w:cs="Calibri"/>
              </w:rPr>
              <w:t>KSNB-TV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ACDE1D" w14:textId="77777777">
            <w:pPr>
              <w:rPr>
                <w:rFonts w:cs="Calibri"/>
              </w:rPr>
            </w:pPr>
            <w:r w:rsidRPr="007D15C3">
              <w:rPr>
                <w:rFonts w:cs="Calibri"/>
              </w:rPr>
              <w:t xml:space="preserve">             658,560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D1F5E5" w14:textId="77777777">
            <w:pPr>
              <w:rPr>
                <w:rFonts w:cs="Calibri"/>
              </w:rPr>
            </w:pPr>
            <w:r w:rsidRPr="007D15C3">
              <w:rPr>
                <w:rFonts w:cs="Calibri"/>
              </w:rPr>
              <w:t xml:space="preserve">               656,650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D339AC" w14:textId="77777777">
            <w:pPr>
              <w:jc w:val="right"/>
              <w:rPr>
                <w:rFonts w:cs="Calibri"/>
              </w:rPr>
            </w:pPr>
            <w:r w:rsidRPr="007D15C3">
              <w:rPr>
                <w:rFonts w:cs="Calibri"/>
              </w:rPr>
              <w:t>$5,146</w:t>
            </w:r>
          </w:p>
        </w:tc>
      </w:tr>
      <w:tr w14:paraId="77FE321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2B4F41" w14:textId="77777777">
            <w:pPr>
              <w:jc w:val="center"/>
              <w:rPr>
                <w:rFonts w:cs="Calibri"/>
              </w:rPr>
            </w:pPr>
            <w:r w:rsidRPr="007D15C3">
              <w:rPr>
                <w:rFonts w:cs="Calibri"/>
              </w:rPr>
              <w:t>72359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8C5CA9" w14:textId="77777777">
            <w:pPr>
              <w:jc w:val="center"/>
              <w:rPr>
                <w:rFonts w:cs="Calibri"/>
              </w:rPr>
            </w:pPr>
            <w:r w:rsidRPr="007D15C3">
              <w:rPr>
                <w:rFonts w:cs="Calibri"/>
              </w:rPr>
              <w:t>KSNC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CB9662" w14:textId="77777777">
            <w:pPr>
              <w:rPr>
                <w:rFonts w:cs="Calibri"/>
              </w:rPr>
            </w:pPr>
            <w:r w:rsidRPr="007D15C3">
              <w:rPr>
                <w:rFonts w:cs="Calibri"/>
              </w:rPr>
              <w:t xml:space="preserve">             174,135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552963" w14:textId="77777777">
            <w:pPr>
              <w:rPr>
                <w:rFonts w:cs="Calibri"/>
              </w:rPr>
            </w:pPr>
            <w:r w:rsidRPr="007D15C3">
              <w:rPr>
                <w:rFonts w:cs="Calibri"/>
              </w:rPr>
              <w:t xml:space="preserve">               173,744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217124" w14:textId="77777777">
            <w:pPr>
              <w:jc w:val="right"/>
              <w:rPr>
                <w:rFonts w:cs="Calibri"/>
              </w:rPr>
            </w:pPr>
            <w:r w:rsidRPr="007D15C3">
              <w:rPr>
                <w:rFonts w:cs="Calibri"/>
              </w:rPr>
              <w:t>$1,362</w:t>
            </w:r>
          </w:p>
        </w:tc>
      </w:tr>
      <w:tr w14:paraId="6164947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D394A8" w14:textId="77777777">
            <w:pPr>
              <w:jc w:val="center"/>
              <w:rPr>
                <w:rFonts w:cs="Calibri"/>
              </w:rPr>
            </w:pPr>
            <w:r w:rsidRPr="007D15C3">
              <w:rPr>
                <w:rFonts w:cs="Calibri"/>
              </w:rPr>
              <w:t>67766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FAF32E" w14:textId="77777777">
            <w:pPr>
              <w:jc w:val="center"/>
              <w:rPr>
                <w:rFonts w:cs="Calibri"/>
              </w:rPr>
            </w:pPr>
            <w:r w:rsidRPr="007D15C3">
              <w:rPr>
                <w:rFonts w:cs="Calibri"/>
              </w:rPr>
              <w:t>KSNF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50192D" w14:textId="77777777">
            <w:pPr>
              <w:rPr>
                <w:rFonts w:cs="Calibri"/>
              </w:rPr>
            </w:pPr>
            <w:r w:rsidRPr="007D15C3">
              <w:rPr>
                <w:rFonts w:cs="Calibri"/>
              </w:rPr>
              <w:t xml:space="preserve">             621,919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E2E202" w14:textId="77777777">
            <w:pPr>
              <w:rPr>
                <w:rFonts w:cs="Calibri"/>
              </w:rPr>
            </w:pPr>
            <w:r w:rsidRPr="007D15C3">
              <w:rPr>
                <w:rFonts w:cs="Calibri"/>
              </w:rPr>
              <w:t xml:space="preserve">               617,868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0560EF" w14:textId="77777777">
            <w:pPr>
              <w:jc w:val="right"/>
              <w:rPr>
                <w:rFonts w:cs="Calibri"/>
              </w:rPr>
            </w:pPr>
            <w:r w:rsidRPr="007D15C3">
              <w:rPr>
                <w:rFonts w:cs="Calibri"/>
              </w:rPr>
              <w:t>$4,842</w:t>
            </w:r>
          </w:p>
        </w:tc>
      </w:tr>
      <w:tr w14:paraId="5D3F07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A0FC7C" w14:textId="77777777">
            <w:pPr>
              <w:jc w:val="center"/>
              <w:rPr>
                <w:rFonts w:cs="Calibri"/>
              </w:rPr>
            </w:pPr>
            <w:r w:rsidRPr="007D15C3">
              <w:rPr>
                <w:rFonts w:cs="Calibri"/>
              </w:rPr>
              <w:t>72361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031E07" w14:textId="77777777">
            <w:pPr>
              <w:jc w:val="center"/>
              <w:rPr>
                <w:rFonts w:cs="Calibri"/>
              </w:rPr>
            </w:pPr>
            <w:r w:rsidRPr="007D15C3">
              <w:rPr>
                <w:rFonts w:cs="Calibri"/>
              </w:rPr>
              <w:t>KSNG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A3CB7C" w14:textId="77777777">
            <w:pPr>
              <w:rPr>
                <w:rFonts w:cs="Calibri"/>
              </w:rPr>
            </w:pPr>
            <w:r w:rsidRPr="007D15C3">
              <w:rPr>
                <w:rFonts w:cs="Calibri"/>
              </w:rPr>
              <w:t xml:space="preserve">             145,058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C21ED4" w14:textId="77777777">
            <w:pPr>
              <w:rPr>
                <w:rFonts w:cs="Calibri"/>
              </w:rPr>
            </w:pPr>
            <w:r w:rsidRPr="007D15C3">
              <w:rPr>
                <w:rFonts w:cs="Calibri"/>
              </w:rPr>
              <w:t xml:space="preserve">               144,822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256921" w14:textId="77777777">
            <w:pPr>
              <w:jc w:val="right"/>
              <w:rPr>
                <w:rFonts w:cs="Calibri"/>
              </w:rPr>
            </w:pPr>
            <w:r w:rsidRPr="007D15C3">
              <w:rPr>
                <w:rFonts w:cs="Calibri"/>
              </w:rPr>
              <w:t>$1,135</w:t>
            </w:r>
          </w:p>
        </w:tc>
      </w:tr>
      <w:tr w14:paraId="43DBBAD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FF8047" w14:textId="77777777">
            <w:pPr>
              <w:jc w:val="center"/>
              <w:rPr>
                <w:rFonts w:cs="Calibri"/>
              </w:rPr>
            </w:pPr>
            <w:r w:rsidRPr="007D15C3">
              <w:rPr>
                <w:rFonts w:cs="Calibri"/>
              </w:rPr>
              <w:t>72362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E900DB" w14:textId="77777777">
            <w:pPr>
              <w:jc w:val="center"/>
              <w:rPr>
                <w:rFonts w:cs="Calibri"/>
              </w:rPr>
            </w:pPr>
            <w:r w:rsidRPr="007D15C3">
              <w:rPr>
                <w:rFonts w:cs="Calibri"/>
              </w:rPr>
              <w:t>KSNK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D29BF7" w14:textId="77777777">
            <w:pPr>
              <w:rPr>
                <w:rFonts w:cs="Calibri"/>
              </w:rPr>
            </w:pPr>
            <w:r w:rsidRPr="007D15C3">
              <w:rPr>
                <w:rFonts w:cs="Calibri"/>
              </w:rPr>
              <w:t xml:space="preserve">               48,715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B6145F" w14:textId="77777777">
            <w:pPr>
              <w:rPr>
                <w:rFonts w:cs="Calibri"/>
              </w:rPr>
            </w:pPr>
            <w:r w:rsidRPr="007D15C3">
              <w:rPr>
                <w:rFonts w:cs="Calibri"/>
              </w:rPr>
              <w:t xml:space="preserve">                 45,414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38387B" w14:textId="77777777">
            <w:pPr>
              <w:jc w:val="right"/>
              <w:rPr>
                <w:rFonts w:cs="Calibri"/>
              </w:rPr>
            </w:pPr>
            <w:r w:rsidRPr="007D15C3">
              <w:rPr>
                <w:rFonts w:cs="Calibri"/>
              </w:rPr>
              <w:t>$356</w:t>
            </w:r>
          </w:p>
        </w:tc>
      </w:tr>
      <w:tr w14:paraId="3E9091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9AF91B" w14:textId="77777777">
            <w:pPr>
              <w:jc w:val="center"/>
              <w:rPr>
                <w:rFonts w:cs="Calibri"/>
              </w:rPr>
            </w:pPr>
            <w:r w:rsidRPr="007D15C3">
              <w:rPr>
                <w:rFonts w:cs="Calibri"/>
              </w:rPr>
              <w:t>67335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537373" w14:textId="77777777">
            <w:pPr>
              <w:jc w:val="center"/>
              <w:rPr>
                <w:rFonts w:cs="Calibri"/>
              </w:rPr>
            </w:pPr>
            <w:r w:rsidRPr="007D15C3">
              <w:rPr>
                <w:rFonts w:cs="Calibri"/>
              </w:rPr>
              <w:t>KSNT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80D92C" w14:textId="77777777">
            <w:pPr>
              <w:rPr>
                <w:rFonts w:cs="Calibri"/>
              </w:rPr>
            </w:pPr>
            <w:r w:rsidRPr="007D15C3">
              <w:rPr>
                <w:rFonts w:cs="Calibri"/>
              </w:rPr>
              <w:t xml:space="preserve">             622,818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183104" w14:textId="77777777">
            <w:pPr>
              <w:rPr>
                <w:rFonts w:cs="Calibri"/>
              </w:rPr>
            </w:pPr>
            <w:r w:rsidRPr="007D15C3">
              <w:rPr>
                <w:rFonts w:cs="Calibri"/>
              </w:rPr>
              <w:t xml:space="preserve">               594,604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1D63F5" w14:textId="77777777">
            <w:pPr>
              <w:jc w:val="right"/>
              <w:rPr>
                <w:rFonts w:cs="Calibri"/>
              </w:rPr>
            </w:pPr>
            <w:r w:rsidRPr="007D15C3">
              <w:rPr>
                <w:rFonts w:cs="Calibri"/>
              </w:rPr>
              <w:t>$4,660</w:t>
            </w:r>
          </w:p>
        </w:tc>
      </w:tr>
      <w:tr w14:paraId="77E60F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254ADE" w14:textId="77777777">
            <w:pPr>
              <w:jc w:val="center"/>
              <w:rPr>
                <w:rFonts w:cs="Calibri"/>
              </w:rPr>
            </w:pPr>
            <w:r w:rsidRPr="007D15C3">
              <w:rPr>
                <w:rFonts w:cs="Calibri"/>
              </w:rPr>
              <w:t>10179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B5F552" w14:textId="77777777">
            <w:pPr>
              <w:jc w:val="center"/>
              <w:rPr>
                <w:rFonts w:cs="Calibri"/>
              </w:rPr>
            </w:pPr>
            <w:r w:rsidRPr="007D15C3">
              <w:rPr>
                <w:rFonts w:cs="Calibri"/>
              </w:rPr>
              <w:t>KSNV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91405B" w14:textId="77777777">
            <w:pPr>
              <w:rPr>
                <w:rFonts w:cs="Calibri"/>
              </w:rPr>
            </w:pPr>
            <w:r w:rsidRPr="007D15C3">
              <w:rPr>
                <w:rFonts w:cs="Calibri"/>
              </w:rPr>
              <w:t xml:space="preserve">          1,967,781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5E9662" w14:textId="77777777">
            <w:pPr>
              <w:rPr>
                <w:rFonts w:cs="Calibri"/>
              </w:rPr>
            </w:pPr>
            <w:r w:rsidRPr="007D15C3">
              <w:rPr>
                <w:rFonts w:cs="Calibri"/>
              </w:rPr>
              <w:t xml:space="preserve">            1,919,296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BC17B4" w14:textId="77777777">
            <w:pPr>
              <w:jc w:val="right"/>
              <w:rPr>
                <w:rFonts w:cs="Calibri"/>
              </w:rPr>
            </w:pPr>
            <w:r w:rsidRPr="007D15C3">
              <w:rPr>
                <w:rFonts w:cs="Calibri"/>
              </w:rPr>
              <w:t>$15,042</w:t>
            </w:r>
          </w:p>
        </w:tc>
      </w:tr>
      <w:tr w14:paraId="53B3EBB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F393DF" w14:textId="77777777">
            <w:pPr>
              <w:jc w:val="center"/>
              <w:rPr>
                <w:rFonts w:cs="Calibri"/>
              </w:rPr>
            </w:pPr>
            <w:r w:rsidRPr="007D15C3">
              <w:rPr>
                <w:rFonts w:cs="Calibri"/>
              </w:rPr>
              <w:t>72358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7CA4F5" w14:textId="77777777">
            <w:pPr>
              <w:jc w:val="center"/>
              <w:rPr>
                <w:rFonts w:cs="Calibri"/>
              </w:rPr>
            </w:pPr>
            <w:r w:rsidRPr="007D15C3">
              <w:rPr>
                <w:rFonts w:cs="Calibri"/>
              </w:rPr>
              <w:t>KSNW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D127C4" w14:textId="77777777">
            <w:pPr>
              <w:rPr>
                <w:rFonts w:cs="Calibri"/>
              </w:rPr>
            </w:pPr>
            <w:r w:rsidRPr="007D15C3">
              <w:rPr>
                <w:rFonts w:cs="Calibri"/>
              </w:rPr>
              <w:t xml:space="preserve">             789,136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EF5F18" w14:textId="77777777">
            <w:pPr>
              <w:rPr>
                <w:rFonts w:cs="Calibri"/>
              </w:rPr>
            </w:pPr>
            <w:r w:rsidRPr="007D15C3">
              <w:rPr>
                <w:rFonts w:cs="Calibri"/>
              </w:rPr>
              <w:t xml:space="preserve">               788,882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201433" w14:textId="77777777">
            <w:pPr>
              <w:jc w:val="right"/>
              <w:rPr>
                <w:rFonts w:cs="Calibri"/>
              </w:rPr>
            </w:pPr>
            <w:r w:rsidRPr="007D15C3">
              <w:rPr>
                <w:rFonts w:cs="Calibri"/>
              </w:rPr>
              <w:t>$6,182</w:t>
            </w:r>
          </w:p>
        </w:tc>
      </w:tr>
      <w:tr w14:paraId="7647FB9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671A82" w14:textId="77777777">
            <w:pPr>
              <w:jc w:val="center"/>
              <w:rPr>
                <w:rFonts w:cs="Calibri"/>
              </w:rPr>
            </w:pPr>
            <w:r w:rsidRPr="007D15C3">
              <w:rPr>
                <w:rFonts w:cs="Calibri"/>
              </w:rPr>
              <w:t>61956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70C231" w14:textId="77777777">
            <w:pPr>
              <w:jc w:val="center"/>
              <w:rPr>
                <w:rFonts w:cs="Calibri"/>
              </w:rPr>
            </w:pPr>
            <w:r w:rsidRPr="007D15C3">
              <w:rPr>
                <w:rFonts w:cs="Calibri"/>
              </w:rPr>
              <w:t>KSPS-TV*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D6D142" w14:textId="77777777">
            <w:pPr>
              <w:rPr>
                <w:rFonts w:cs="Calibri"/>
              </w:rPr>
            </w:pPr>
            <w:r w:rsidRPr="007D15C3">
              <w:rPr>
                <w:rFonts w:cs="Calibri"/>
              </w:rPr>
              <w:t xml:space="preserve">             819,101</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268354" w14:textId="77777777">
            <w:pPr>
              <w:rPr>
                <w:rFonts w:cs="Calibri"/>
              </w:rPr>
            </w:pPr>
            <w:r w:rsidRPr="007D15C3">
              <w:rPr>
                <w:rFonts w:cs="Calibri"/>
              </w:rPr>
              <w:t xml:space="preserve">               769,852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8909C0" w14:textId="77777777">
            <w:pPr>
              <w:jc w:val="right"/>
              <w:rPr>
                <w:rFonts w:cs="Calibri"/>
              </w:rPr>
            </w:pPr>
            <w:r w:rsidRPr="007D15C3">
              <w:rPr>
                <w:rFonts w:cs="Calibri"/>
              </w:rPr>
              <w:t>$6,033</w:t>
            </w:r>
          </w:p>
        </w:tc>
      </w:tr>
      <w:tr w14:paraId="6A55D79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8BBEF9" w14:textId="77777777">
            <w:pPr>
              <w:jc w:val="center"/>
              <w:rPr>
                <w:rFonts w:cs="Calibri"/>
              </w:rPr>
            </w:pPr>
            <w:r w:rsidRPr="007D15C3">
              <w:rPr>
                <w:rFonts w:cs="Calibri"/>
              </w:rPr>
              <w:t>52953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2A3EB0" w14:textId="77777777">
            <w:pPr>
              <w:jc w:val="center"/>
              <w:rPr>
                <w:rFonts w:cs="Calibri"/>
              </w:rPr>
            </w:pPr>
            <w:r w:rsidRPr="007D15C3">
              <w:rPr>
                <w:rFonts w:cs="Calibri"/>
              </w:rPr>
              <w:t>KSPX-TV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B38C74" w14:textId="77777777">
            <w:pPr>
              <w:rPr>
                <w:rFonts w:cs="Calibri"/>
              </w:rPr>
            </w:pPr>
            <w:r w:rsidRPr="007D15C3">
              <w:rPr>
                <w:rFonts w:cs="Calibri"/>
              </w:rPr>
              <w:t xml:space="preserve">          6,745,180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1FFF8E" w14:textId="77777777">
            <w:pPr>
              <w:rPr>
                <w:rFonts w:cs="Calibri"/>
              </w:rPr>
            </w:pPr>
            <w:r w:rsidRPr="007D15C3">
              <w:rPr>
                <w:rFonts w:cs="Calibri"/>
              </w:rPr>
              <w:t xml:space="preserve">            4,966,590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9BB404" w14:textId="77777777">
            <w:pPr>
              <w:jc w:val="right"/>
              <w:rPr>
                <w:rFonts w:cs="Calibri"/>
              </w:rPr>
            </w:pPr>
            <w:r w:rsidRPr="007D15C3">
              <w:rPr>
                <w:rFonts w:cs="Calibri"/>
              </w:rPr>
              <w:t>$38,923</w:t>
            </w:r>
          </w:p>
        </w:tc>
      </w:tr>
      <w:tr w14:paraId="5AB84F6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3CA966" w14:textId="77777777">
            <w:pPr>
              <w:jc w:val="center"/>
              <w:rPr>
                <w:rFonts w:cs="Calibri"/>
              </w:rPr>
            </w:pPr>
            <w:r w:rsidRPr="007D15C3">
              <w:rPr>
                <w:rFonts w:cs="Calibri"/>
              </w:rPr>
              <w:t>166546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3B9D54" w14:textId="77777777">
            <w:pPr>
              <w:jc w:val="center"/>
              <w:rPr>
                <w:rFonts w:cs="Calibri"/>
              </w:rPr>
            </w:pPr>
            <w:r w:rsidRPr="007D15C3">
              <w:rPr>
                <w:rFonts w:cs="Calibri"/>
              </w:rPr>
              <w:t>KSQA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0F48F3" w14:textId="77777777">
            <w:pPr>
              <w:rPr>
                <w:rFonts w:cs="Calibri"/>
              </w:rPr>
            </w:pPr>
            <w:r w:rsidRPr="007D15C3">
              <w:rPr>
                <w:rFonts w:cs="Calibri"/>
              </w:rPr>
              <w:t xml:space="preserve">             382,328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6E7D47" w14:textId="77777777">
            <w:pPr>
              <w:rPr>
                <w:rFonts w:cs="Calibri"/>
              </w:rPr>
            </w:pPr>
            <w:r w:rsidRPr="007D15C3">
              <w:rPr>
                <w:rFonts w:cs="Calibri"/>
              </w:rPr>
              <w:t xml:space="preserve">               374,290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C8CEF4" w14:textId="77777777">
            <w:pPr>
              <w:jc w:val="right"/>
              <w:rPr>
                <w:rFonts w:cs="Calibri"/>
              </w:rPr>
            </w:pPr>
            <w:r w:rsidRPr="007D15C3">
              <w:rPr>
                <w:rFonts w:cs="Calibri"/>
              </w:rPr>
              <w:t>$2,933</w:t>
            </w:r>
          </w:p>
        </w:tc>
      </w:tr>
      <w:tr w14:paraId="6D3DA2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CA869E" w14:textId="77777777">
            <w:pPr>
              <w:jc w:val="center"/>
              <w:rPr>
                <w:rFonts w:cs="Calibri"/>
              </w:rPr>
            </w:pPr>
            <w:r w:rsidRPr="007D15C3">
              <w:rPr>
                <w:rFonts w:cs="Calibri"/>
              </w:rPr>
              <w:t>53313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9B4CB0" w14:textId="77777777">
            <w:pPr>
              <w:jc w:val="center"/>
              <w:rPr>
                <w:rFonts w:cs="Calibri"/>
              </w:rPr>
            </w:pPr>
            <w:r w:rsidRPr="007D15C3">
              <w:rPr>
                <w:rFonts w:cs="Calibri"/>
              </w:rPr>
              <w:t>KSRE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D9EE5B" w14:textId="77777777">
            <w:pPr>
              <w:rPr>
                <w:rFonts w:cs="Calibri"/>
              </w:rPr>
            </w:pPr>
            <w:r w:rsidRPr="007D15C3">
              <w:rPr>
                <w:rFonts w:cs="Calibri"/>
              </w:rPr>
              <w:t xml:space="preserve">               75,181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99DA8C" w14:textId="77777777">
            <w:pPr>
              <w:rPr>
                <w:rFonts w:cs="Calibri"/>
              </w:rPr>
            </w:pPr>
            <w:r w:rsidRPr="007D15C3">
              <w:rPr>
                <w:rFonts w:cs="Calibri"/>
              </w:rPr>
              <w:t xml:space="preserve">                 75,181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61FD41" w14:textId="77777777">
            <w:pPr>
              <w:jc w:val="right"/>
              <w:rPr>
                <w:rFonts w:cs="Calibri"/>
              </w:rPr>
            </w:pPr>
            <w:r w:rsidRPr="007D15C3">
              <w:rPr>
                <w:rFonts w:cs="Calibri"/>
              </w:rPr>
              <w:t>$589</w:t>
            </w:r>
          </w:p>
        </w:tc>
      </w:tr>
      <w:tr w14:paraId="29C2025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A2D831" w14:textId="77777777">
            <w:pPr>
              <w:jc w:val="center"/>
              <w:rPr>
                <w:rFonts w:cs="Calibri"/>
              </w:rPr>
            </w:pPr>
            <w:r w:rsidRPr="007D15C3">
              <w:rPr>
                <w:rFonts w:cs="Calibri"/>
              </w:rPr>
              <w:t>35843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4CBBA0" w14:textId="77777777">
            <w:pPr>
              <w:jc w:val="center"/>
              <w:rPr>
                <w:rFonts w:cs="Calibri"/>
              </w:rPr>
            </w:pPr>
            <w:r w:rsidRPr="007D15C3">
              <w:rPr>
                <w:rFonts w:cs="Calibri"/>
              </w:rPr>
              <w:t>KSTC-TV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C6AB49" w14:textId="77777777">
            <w:pPr>
              <w:rPr>
                <w:rFonts w:cs="Calibri"/>
              </w:rPr>
            </w:pPr>
            <w:r w:rsidRPr="007D15C3">
              <w:rPr>
                <w:rFonts w:cs="Calibri"/>
              </w:rPr>
              <w:t xml:space="preserve">          3,843,788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A5F846" w14:textId="77777777">
            <w:pPr>
              <w:rPr>
                <w:rFonts w:cs="Calibri"/>
              </w:rPr>
            </w:pPr>
            <w:r w:rsidRPr="007D15C3">
              <w:rPr>
                <w:rFonts w:cs="Calibri"/>
              </w:rPr>
              <w:t xml:space="preserve">            3,835,674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32465C" w14:textId="77777777">
            <w:pPr>
              <w:jc w:val="right"/>
              <w:rPr>
                <w:rFonts w:cs="Calibri"/>
              </w:rPr>
            </w:pPr>
            <w:r w:rsidRPr="007D15C3">
              <w:rPr>
                <w:rFonts w:cs="Calibri"/>
              </w:rPr>
              <w:t>$30,060</w:t>
            </w:r>
          </w:p>
        </w:tc>
      </w:tr>
      <w:tr w14:paraId="1C7AC9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E102C0" w14:textId="77777777">
            <w:pPr>
              <w:jc w:val="center"/>
              <w:rPr>
                <w:rFonts w:cs="Calibri"/>
              </w:rPr>
            </w:pPr>
            <w:r w:rsidRPr="007D15C3">
              <w:rPr>
                <w:rFonts w:cs="Calibri"/>
              </w:rPr>
              <w:t>63182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33413C" w14:textId="77777777">
            <w:pPr>
              <w:jc w:val="center"/>
              <w:rPr>
                <w:rFonts w:cs="Calibri"/>
              </w:rPr>
            </w:pPr>
            <w:r w:rsidRPr="007D15C3">
              <w:rPr>
                <w:rFonts w:cs="Calibri"/>
              </w:rPr>
              <w:t>KSTF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5A9190" w14:textId="77777777">
            <w:pPr>
              <w:rPr>
                <w:rFonts w:cs="Calibri"/>
              </w:rPr>
            </w:pPr>
            <w:r w:rsidRPr="007D15C3">
              <w:rPr>
                <w:rFonts w:cs="Calibri"/>
              </w:rPr>
              <w:t xml:space="preserve">               51,317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8EF0F8" w14:textId="77777777">
            <w:pPr>
              <w:rPr>
                <w:rFonts w:cs="Calibri"/>
              </w:rPr>
            </w:pPr>
            <w:r w:rsidRPr="007D15C3">
              <w:rPr>
                <w:rFonts w:cs="Calibri"/>
              </w:rPr>
              <w:t xml:space="preserve">                 51,122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BF21A8" w14:textId="77777777">
            <w:pPr>
              <w:jc w:val="right"/>
              <w:rPr>
                <w:rFonts w:cs="Calibri"/>
              </w:rPr>
            </w:pPr>
            <w:r w:rsidRPr="007D15C3">
              <w:rPr>
                <w:rFonts w:cs="Calibri"/>
              </w:rPr>
              <w:t>$401</w:t>
            </w:r>
          </w:p>
        </w:tc>
      </w:tr>
      <w:tr w14:paraId="2617A6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7FD935" w14:textId="77777777">
            <w:pPr>
              <w:jc w:val="center"/>
              <w:rPr>
                <w:rFonts w:cs="Calibri"/>
              </w:rPr>
            </w:pPr>
            <w:r w:rsidRPr="007D15C3">
              <w:rPr>
                <w:rFonts w:cs="Calibri"/>
              </w:rPr>
              <w:t>28010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BC9CCC" w14:textId="77777777">
            <w:pPr>
              <w:jc w:val="center"/>
              <w:rPr>
                <w:rFonts w:cs="Calibri"/>
              </w:rPr>
            </w:pPr>
            <w:r w:rsidRPr="007D15C3">
              <w:rPr>
                <w:rFonts w:cs="Calibri"/>
              </w:rPr>
              <w:t>KSTP-TV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D81016" w14:textId="77777777">
            <w:pPr>
              <w:rPr>
                <w:rFonts w:cs="Calibri"/>
              </w:rPr>
            </w:pPr>
            <w:r w:rsidRPr="007D15C3">
              <w:rPr>
                <w:rFonts w:cs="Calibri"/>
              </w:rPr>
              <w:t xml:space="preserve">          3,788,898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EDC488" w14:textId="77777777">
            <w:pPr>
              <w:rPr>
                <w:rFonts w:cs="Calibri"/>
              </w:rPr>
            </w:pPr>
            <w:r w:rsidRPr="007D15C3">
              <w:rPr>
                <w:rFonts w:cs="Calibri"/>
              </w:rPr>
              <w:t xml:space="preserve">            3,782,053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995326" w14:textId="77777777">
            <w:pPr>
              <w:jc w:val="right"/>
              <w:rPr>
                <w:rFonts w:cs="Calibri"/>
              </w:rPr>
            </w:pPr>
            <w:r w:rsidRPr="007D15C3">
              <w:rPr>
                <w:rFonts w:cs="Calibri"/>
              </w:rPr>
              <w:t>$29,640</w:t>
            </w:r>
          </w:p>
        </w:tc>
      </w:tr>
      <w:tr w14:paraId="2EB0C0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4A4B56" w14:textId="77777777">
            <w:pPr>
              <w:jc w:val="center"/>
              <w:rPr>
                <w:rFonts w:cs="Calibri"/>
              </w:rPr>
            </w:pPr>
            <w:r w:rsidRPr="007D15C3">
              <w:rPr>
                <w:rFonts w:cs="Calibri"/>
              </w:rPr>
              <w:t>60534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3923CB" w14:textId="77777777">
            <w:pPr>
              <w:jc w:val="center"/>
              <w:rPr>
                <w:rFonts w:cs="Calibri"/>
              </w:rPr>
            </w:pPr>
            <w:r w:rsidRPr="007D15C3">
              <w:rPr>
                <w:rFonts w:cs="Calibri"/>
              </w:rPr>
              <w:t>KSTR-DT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1EFED5" w14:textId="77777777">
            <w:pPr>
              <w:rPr>
                <w:rFonts w:cs="Calibri"/>
              </w:rPr>
            </w:pPr>
            <w:r w:rsidRPr="007D15C3">
              <w:rPr>
                <w:rFonts w:cs="Calibri"/>
              </w:rPr>
              <w:t xml:space="preserve">          6,617,736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23144A" w14:textId="77777777">
            <w:pPr>
              <w:rPr>
                <w:rFonts w:cs="Calibri"/>
              </w:rPr>
            </w:pPr>
            <w:r w:rsidRPr="007D15C3">
              <w:rPr>
                <w:rFonts w:cs="Calibri"/>
              </w:rPr>
              <w:t xml:space="preserve">            6,615,573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CE055E" w14:textId="77777777">
            <w:pPr>
              <w:jc w:val="right"/>
              <w:rPr>
                <w:rFonts w:cs="Calibri"/>
              </w:rPr>
            </w:pPr>
            <w:r w:rsidRPr="007D15C3">
              <w:rPr>
                <w:rFonts w:cs="Calibri"/>
              </w:rPr>
              <w:t>$51,846</w:t>
            </w:r>
          </w:p>
        </w:tc>
      </w:tr>
      <w:tr w14:paraId="4FECB02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DA1C3A" w14:textId="77777777">
            <w:pPr>
              <w:jc w:val="center"/>
              <w:rPr>
                <w:rFonts w:cs="Calibri"/>
              </w:rPr>
            </w:pPr>
            <w:r w:rsidRPr="007D15C3">
              <w:rPr>
                <w:rFonts w:cs="Calibri"/>
              </w:rPr>
              <w:t>64987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79CB11" w14:textId="77777777">
            <w:pPr>
              <w:jc w:val="center"/>
              <w:rPr>
                <w:rFonts w:cs="Calibri"/>
              </w:rPr>
            </w:pPr>
            <w:r w:rsidRPr="007D15C3">
              <w:rPr>
                <w:rFonts w:cs="Calibri"/>
              </w:rPr>
              <w:t>KSTS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701787" w14:textId="77777777">
            <w:pPr>
              <w:rPr>
                <w:rFonts w:cs="Calibri"/>
              </w:rPr>
            </w:pPr>
            <w:r w:rsidRPr="007D15C3">
              <w:rPr>
                <w:rFonts w:cs="Calibri"/>
              </w:rPr>
              <w:t xml:space="preserve">          7,645,340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437368" w14:textId="77777777">
            <w:pPr>
              <w:rPr>
                <w:rFonts w:cs="Calibri"/>
              </w:rPr>
            </w:pPr>
            <w:r w:rsidRPr="007D15C3">
              <w:rPr>
                <w:rFonts w:cs="Calibri"/>
              </w:rPr>
              <w:t xml:space="preserve">            6,333,303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AF1CB1" w14:textId="77777777">
            <w:pPr>
              <w:jc w:val="right"/>
              <w:rPr>
                <w:rFonts w:cs="Calibri"/>
              </w:rPr>
            </w:pPr>
            <w:r w:rsidRPr="007D15C3">
              <w:rPr>
                <w:rFonts w:cs="Calibri"/>
              </w:rPr>
              <w:t>$49,634</w:t>
            </w:r>
          </w:p>
        </w:tc>
      </w:tr>
      <w:tr w14:paraId="6C7B02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2FB48B" w14:textId="77777777">
            <w:pPr>
              <w:jc w:val="center"/>
              <w:rPr>
                <w:rFonts w:cs="Calibri"/>
              </w:rPr>
            </w:pPr>
            <w:r w:rsidRPr="007D15C3">
              <w:rPr>
                <w:rFonts w:cs="Calibri"/>
              </w:rPr>
              <w:t>22215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2E1E8D" w14:textId="77777777">
            <w:pPr>
              <w:jc w:val="center"/>
              <w:rPr>
                <w:rFonts w:cs="Calibri"/>
              </w:rPr>
            </w:pPr>
            <w:r w:rsidRPr="007D15C3">
              <w:rPr>
                <w:rFonts w:cs="Calibri"/>
              </w:rPr>
              <w:t>KSTU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56C9D6" w14:textId="77777777">
            <w:pPr>
              <w:rPr>
                <w:rFonts w:cs="Calibri"/>
              </w:rPr>
            </w:pPr>
            <w:r w:rsidRPr="007D15C3">
              <w:rPr>
                <w:rFonts w:cs="Calibri"/>
              </w:rPr>
              <w:t xml:space="preserve">          2,384,996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89DC93" w14:textId="77777777">
            <w:pPr>
              <w:rPr>
                <w:rFonts w:cs="Calibri"/>
              </w:rPr>
            </w:pPr>
            <w:r w:rsidRPr="007D15C3">
              <w:rPr>
                <w:rFonts w:cs="Calibri"/>
              </w:rPr>
              <w:t xml:space="preserve">            2,201,716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DFD854" w14:textId="77777777">
            <w:pPr>
              <w:jc w:val="right"/>
              <w:rPr>
                <w:rFonts w:cs="Calibri"/>
              </w:rPr>
            </w:pPr>
            <w:r w:rsidRPr="007D15C3">
              <w:rPr>
                <w:rFonts w:cs="Calibri"/>
              </w:rPr>
              <w:t>$17,255</w:t>
            </w:r>
          </w:p>
        </w:tc>
      </w:tr>
      <w:tr w14:paraId="0ECDF8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0D9051" w14:textId="77777777">
            <w:pPr>
              <w:jc w:val="center"/>
              <w:rPr>
                <w:rFonts w:cs="Calibri"/>
              </w:rPr>
            </w:pPr>
            <w:r w:rsidRPr="007D15C3">
              <w:rPr>
                <w:rFonts w:cs="Calibri"/>
              </w:rPr>
              <w:t>23428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6655A9" w14:textId="77777777">
            <w:pPr>
              <w:jc w:val="center"/>
              <w:rPr>
                <w:rFonts w:cs="Calibri"/>
              </w:rPr>
            </w:pPr>
            <w:r w:rsidRPr="007D15C3">
              <w:rPr>
                <w:rFonts w:cs="Calibri"/>
              </w:rPr>
              <w:t>KSTW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F0ECE5" w14:textId="77777777">
            <w:pPr>
              <w:rPr>
                <w:rFonts w:cs="Calibri"/>
              </w:rPr>
            </w:pPr>
            <w:r w:rsidRPr="007D15C3">
              <w:rPr>
                <w:rFonts w:cs="Calibri"/>
              </w:rPr>
              <w:t xml:space="preserve">          4,265,956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BCBF05" w14:textId="77777777">
            <w:pPr>
              <w:rPr>
                <w:rFonts w:cs="Calibri"/>
              </w:rPr>
            </w:pPr>
            <w:r w:rsidRPr="007D15C3">
              <w:rPr>
                <w:rFonts w:cs="Calibri"/>
              </w:rPr>
              <w:t xml:space="preserve">            4,186,266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F8F4A3" w14:textId="77777777">
            <w:pPr>
              <w:jc w:val="right"/>
              <w:rPr>
                <w:rFonts w:cs="Calibri"/>
              </w:rPr>
            </w:pPr>
            <w:r w:rsidRPr="007D15C3">
              <w:rPr>
                <w:rFonts w:cs="Calibri"/>
              </w:rPr>
              <w:t>$32,808</w:t>
            </w:r>
          </w:p>
        </w:tc>
      </w:tr>
      <w:tr w14:paraId="3DC7789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C4B27C" w14:textId="77777777">
            <w:pPr>
              <w:jc w:val="center"/>
              <w:rPr>
                <w:rFonts w:cs="Calibri"/>
              </w:rPr>
            </w:pPr>
            <w:r w:rsidRPr="007D15C3">
              <w:rPr>
                <w:rFonts w:cs="Calibri"/>
              </w:rPr>
              <w:t>5243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FFE530" w14:textId="77777777">
            <w:pPr>
              <w:jc w:val="center"/>
              <w:rPr>
                <w:rFonts w:cs="Calibri"/>
              </w:rPr>
            </w:pPr>
            <w:r w:rsidRPr="007D15C3">
              <w:rPr>
                <w:rFonts w:cs="Calibri"/>
              </w:rPr>
              <w:t>KSVI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08275F" w14:textId="77777777">
            <w:pPr>
              <w:rPr>
                <w:rFonts w:cs="Calibri"/>
              </w:rPr>
            </w:pPr>
            <w:r w:rsidRPr="007D15C3">
              <w:rPr>
                <w:rFonts w:cs="Calibri"/>
              </w:rPr>
              <w:t xml:space="preserve">             175,390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DB458B" w14:textId="77777777">
            <w:pPr>
              <w:rPr>
                <w:rFonts w:cs="Calibri"/>
              </w:rPr>
            </w:pPr>
            <w:r w:rsidRPr="007D15C3">
              <w:rPr>
                <w:rFonts w:cs="Calibri"/>
              </w:rPr>
              <w:t xml:space="preserve">               173,667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07E421" w14:textId="77777777">
            <w:pPr>
              <w:jc w:val="right"/>
              <w:rPr>
                <w:rFonts w:cs="Calibri"/>
              </w:rPr>
            </w:pPr>
            <w:r w:rsidRPr="007D15C3">
              <w:rPr>
                <w:rFonts w:cs="Calibri"/>
              </w:rPr>
              <w:t>$1,361</w:t>
            </w:r>
          </w:p>
        </w:tc>
      </w:tr>
      <w:tr w14:paraId="70DB72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691D75" w14:textId="77777777">
            <w:pPr>
              <w:jc w:val="center"/>
              <w:rPr>
                <w:rFonts w:cs="Calibri"/>
              </w:rPr>
            </w:pPr>
            <w:r w:rsidRPr="007D15C3">
              <w:rPr>
                <w:rFonts w:cs="Calibri"/>
              </w:rPr>
              <w:t>58827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9BCF9E" w14:textId="77777777">
            <w:pPr>
              <w:jc w:val="center"/>
              <w:rPr>
                <w:rFonts w:cs="Calibri"/>
              </w:rPr>
            </w:pPr>
            <w:r w:rsidRPr="007D15C3">
              <w:rPr>
                <w:rFonts w:cs="Calibri"/>
              </w:rPr>
              <w:t>KSWB-TV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78D07D" w14:textId="77777777">
            <w:pPr>
              <w:rPr>
                <w:rFonts w:cs="Calibri"/>
              </w:rPr>
            </w:pPr>
            <w:r w:rsidRPr="007D15C3">
              <w:rPr>
                <w:rFonts w:cs="Calibri"/>
              </w:rPr>
              <w:t xml:space="preserve">          3,677,190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E3416D" w14:textId="77777777">
            <w:pPr>
              <w:rPr>
                <w:rFonts w:cs="Calibri"/>
              </w:rPr>
            </w:pPr>
            <w:r w:rsidRPr="007D15C3">
              <w:rPr>
                <w:rFonts w:cs="Calibri"/>
              </w:rPr>
              <w:t xml:space="preserve">            3,488,655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51A95E" w14:textId="77777777">
            <w:pPr>
              <w:jc w:val="right"/>
              <w:rPr>
                <w:rFonts w:cs="Calibri"/>
              </w:rPr>
            </w:pPr>
            <w:r w:rsidRPr="007D15C3">
              <w:rPr>
                <w:rFonts w:cs="Calibri"/>
              </w:rPr>
              <w:t>$27,341</w:t>
            </w:r>
          </w:p>
        </w:tc>
      </w:tr>
      <w:tr w14:paraId="1681BF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D32C22" w14:textId="77777777">
            <w:pPr>
              <w:jc w:val="center"/>
              <w:rPr>
                <w:rFonts w:cs="Calibri"/>
              </w:rPr>
            </w:pPr>
            <w:r w:rsidRPr="007D15C3">
              <w:rPr>
                <w:rFonts w:cs="Calibri"/>
              </w:rPr>
              <w:t>60683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50DAB6" w14:textId="77777777">
            <w:pPr>
              <w:jc w:val="center"/>
              <w:rPr>
                <w:rFonts w:cs="Calibri"/>
              </w:rPr>
            </w:pPr>
            <w:r w:rsidRPr="007D15C3">
              <w:rPr>
                <w:rFonts w:cs="Calibri"/>
              </w:rPr>
              <w:t>KSWK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E34119" w14:textId="77777777">
            <w:pPr>
              <w:rPr>
                <w:rFonts w:cs="Calibri"/>
              </w:rPr>
            </w:pPr>
            <w:r w:rsidRPr="007D15C3">
              <w:rPr>
                <w:rFonts w:cs="Calibri"/>
              </w:rPr>
              <w:t xml:space="preserve">               79,012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4532C7" w14:textId="77777777">
            <w:pPr>
              <w:rPr>
                <w:rFonts w:cs="Calibri"/>
              </w:rPr>
            </w:pPr>
            <w:r w:rsidRPr="007D15C3">
              <w:rPr>
                <w:rFonts w:cs="Calibri"/>
              </w:rPr>
              <w:t xml:space="preserve">                 78,784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9B5D6" w14:textId="77777777">
            <w:pPr>
              <w:jc w:val="right"/>
              <w:rPr>
                <w:rFonts w:cs="Calibri"/>
              </w:rPr>
            </w:pPr>
            <w:r w:rsidRPr="007D15C3">
              <w:rPr>
                <w:rFonts w:cs="Calibri"/>
              </w:rPr>
              <w:t>$617</w:t>
            </w:r>
          </w:p>
        </w:tc>
      </w:tr>
      <w:tr w14:paraId="34DF1A5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A680B2" w14:textId="77777777">
            <w:pPr>
              <w:jc w:val="center"/>
              <w:rPr>
                <w:rFonts w:cs="Calibri"/>
              </w:rPr>
            </w:pPr>
            <w:r w:rsidRPr="007D15C3">
              <w:rPr>
                <w:rFonts w:cs="Calibri"/>
              </w:rPr>
              <w:t>35645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A3F2E0" w14:textId="77777777">
            <w:pPr>
              <w:jc w:val="center"/>
              <w:rPr>
                <w:rFonts w:cs="Calibri"/>
              </w:rPr>
            </w:pPr>
            <w:r w:rsidRPr="007D15C3">
              <w:rPr>
                <w:rFonts w:cs="Calibri"/>
              </w:rPr>
              <w:t>KSWO-TV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A9366C" w14:textId="77777777">
            <w:pPr>
              <w:rPr>
                <w:rFonts w:cs="Calibri"/>
              </w:rPr>
            </w:pPr>
            <w:r w:rsidRPr="007D15C3">
              <w:rPr>
                <w:rFonts w:cs="Calibri"/>
              </w:rPr>
              <w:t xml:space="preserve">             483,132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9985CF" w14:textId="77777777">
            <w:pPr>
              <w:rPr>
                <w:rFonts w:cs="Calibri"/>
              </w:rPr>
            </w:pPr>
            <w:r w:rsidRPr="007D15C3">
              <w:rPr>
                <w:rFonts w:cs="Calibri"/>
              </w:rPr>
              <w:t xml:space="preserve">               458,057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AF0EFE" w14:textId="77777777">
            <w:pPr>
              <w:jc w:val="right"/>
              <w:rPr>
                <w:rFonts w:cs="Calibri"/>
              </w:rPr>
            </w:pPr>
            <w:r w:rsidRPr="007D15C3">
              <w:rPr>
                <w:rFonts w:cs="Calibri"/>
              </w:rPr>
              <w:t>$3,590</w:t>
            </w:r>
          </w:p>
        </w:tc>
      </w:tr>
      <w:tr w14:paraId="3F8D53C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023D04" w14:textId="77777777">
            <w:pPr>
              <w:jc w:val="center"/>
              <w:rPr>
                <w:rFonts w:cs="Calibri"/>
              </w:rPr>
            </w:pPr>
            <w:r w:rsidRPr="007D15C3">
              <w:rPr>
                <w:rFonts w:cs="Calibri"/>
              </w:rPr>
              <w:t>74449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EBB23E" w14:textId="77777777">
            <w:pPr>
              <w:jc w:val="center"/>
              <w:rPr>
                <w:rFonts w:cs="Calibri"/>
              </w:rPr>
            </w:pPr>
            <w:r w:rsidRPr="007D15C3">
              <w:rPr>
                <w:rFonts w:cs="Calibri"/>
              </w:rPr>
              <w:t>KSWT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21F506" w14:textId="77777777">
            <w:pPr>
              <w:rPr>
                <w:rFonts w:cs="Calibri"/>
              </w:rPr>
            </w:pPr>
            <w:r w:rsidRPr="007D15C3">
              <w:rPr>
                <w:rFonts w:cs="Calibri"/>
              </w:rPr>
              <w:t xml:space="preserve">             398,681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C1D4B9" w14:textId="77777777">
            <w:pPr>
              <w:rPr>
                <w:rFonts w:cs="Calibri"/>
              </w:rPr>
            </w:pPr>
            <w:r w:rsidRPr="007D15C3">
              <w:rPr>
                <w:rFonts w:cs="Calibri"/>
              </w:rPr>
              <w:t xml:space="preserve">               393,135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0AACA1" w14:textId="77777777">
            <w:pPr>
              <w:jc w:val="right"/>
              <w:rPr>
                <w:rFonts w:cs="Calibri"/>
              </w:rPr>
            </w:pPr>
            <w:r w:rsidRPr="007D15C3">
              <w:rPr>
                <w:rFonts w:cs="Calibri"/>
              </w:rPr>
              <w:t>$3,081</w:t>
            </w:r>
          </w:p>
        </w:tc>
      </w:tr>
      <w:tr w14:paraId="160DCF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D421CF" w14:textId="77777777">
            <w:pPr>
              <w:jc w:val="center"/>
              <w:rPr>
                <w:rFonts w:cs="Calibri"/>
              </w:rPr>
            </w:pPr>
            <w:r w:rsidRPr="007D15C3">
              <w:rPr>
                <w:rFonts w:cs="Calibri"/>
              </w:rPr>
              <w:t>61350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21C93C" w14:textId="77777777">
            <w:pPr>
              <w:jc w:val="center"/>
              <w:rPr>
                <w:rFonts w:cs="Calibri"/>
              </w:rPr>
            </w:pPr>
            <w:r w:rsidRPr="007D15C3">
              <w:rPr>
                <w:rFonts w:cs="Calibri"/>
              </w:rPr>
              <w:t>KSYS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31BDC5" w14:textId="77777777">
            <w:pPr>
              <w:rPr>
                <w:rFonts w:cs="Calibri"/>
              </w:rPr>
            </w:pPr>
            <w:r w:rsidRPr="007D15C3">
              <w:rPr>
                <w:rFonts w:cs="Calibri"/>
              </w:rPr>
              <w:t xml:space="preserve">             519,209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49E02B" w14:textId="77777777">
            <w:pPr>
              <w:rPr>
                <w:rFonts w:cs="Calibri"/>
              </w:rPr>
            </w:pPr>
            <w:r w:rsidRPr="007D15C3">
              <w:rPr>
                <w:rFonts w:cs="Calibri"/>
              </w:rPr>
              <w:t xml:space="preserve">               443,204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29B4E6" w14:textId="77777777">
            <w:pPr>
              <w:jc w:val="right"/>
              <w:rPr>
                <w:rFonts w:cs="Calibri"/>
              </w:rPr>
            </w:pPr>
            <w:r w:rsidRPr="007D15C3">
              <w:rPr>
                <w:rFonts w:cs="Calibri"/>
              </w:rPr>
              <w:t>$3,473</w:t>
            </w:r>
          </w:p>
        </w:tc>
      </w:tr>
      <w:tr w14:paraId="0EFBC47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D468BF" w14:textId="77777777">
            <w:pPr>
              <w:jc w:val="center"/>
              <w:rPr>
                <w:rFonts w:cs="Calibri"/>
              </w:rPr>
            </w:pPr>
            <w:r w:rsidRPr="007D15C3">
              <w:rPr>
                <w:rFonts w:cs="Calibri"/>
              </w:rPr>
              <w:t>59988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C33E74" w14:textId="77777777">
            <w:pPr>
              <w:jc w:val="center"/>
              <w:rPr>
                <w:rFonts w:cs="Calibri"/>
              </w:rPr>
            </w:pPr>
            <w:r w:rsidRPr="007D15C3">
              <w:rPr>
                <w:rFonts w:cs="Calibri"/>
              </w:rPr>
              <w:t>KTAB-TV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3FC487" w14:textId="77777777">
            <w:pPr>
              <w:rPr>
                <w:rFonts w:cs="Calibri"/>
              </w:rPr>
            </w:pPr>
            <w:r w:rsidRPr="007D15C3">
              <w:rPr>
                <w:rFonts w:cs="Calibri"/>
              </w:rPr>
              <w:t xml:space="preserve">             270,967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634775" w14:textId="77777777">
            <w:pPr>
              <w:rPr>
                <w:rFonts w:cs="Calibri"/>
              </w:rPr>
            </w:pPr>
            <w:r w:rsidRPr="007D15C3">
              <w:rPr>
                <w:rFonts w:cs="Calibri"/>
              </w:rPr>
              <w:t xml:space="preserve">               268,579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B93A3B" w14:textId="77777777">
            <w:pPr>
              <w:jc w:val="right"/>
              <w:rPr>
                <w:rFonts w:cs="Calibri"/>
              </w:rPr>
            </w:pPr>
            <w:r w:rsidRPr="007D15C3">
              <w:rPr>
                <w:rFonts w:cs="Calibri"/>
              </w:rPr>
              <w:t>$2,105</w:t>
            </w:r>
          </w:p>
        </w:tc>
      </w:tr>
      <w:tr w14:paraId="0F4EB6A6"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AD2408" w14:textId="77777777">
            <w:pPr>
              <w:jc w:val="center"/>
              <w:rPr>
                <w:rFonts w:cs="Calibri"/>
              </w:rPr>
            </w:pPr>
            <w:r w:rsidRPr="007D15C3">
              <w:rPr>
                <w:rFonts w:cs="Calibri"/>
              </w:rPr>
              <w:t>999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C4C2B15" w14:textId="77777777">
            <w:pPr>
              <w:jc w:val="center"/>
              <w:rPr>
                <w:rFonts w:cs="Calibri"/>
              </w:rPr>
            </w:pPr>
            <w:r w:rsidRPr="007D15C3">
              <w:rPr>
                <w:rFonts w:cs="Calibri"/>
              </w:rPr>
              <w:t>KTAJ-TV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11DBF49" w14:textId="77777777">
            <w:pPr>
              <w:rPr>
                <w:rFonts w:cs="Calibri"/>
              </w:rPr>
            </w:pPr>
            <w:r w:rsidRPr="007D15C3">
              <w:rPr>
                <w:rFonts w:cs="Calibri"/>
              </w:rPr>
              <w:t xml:space="preserve">          2,343,843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D403AB2" w14:textId="77777777">
            <w:pPr>
              <w:rPr>
                <w:rFonts w:cs="Calibri"/>
              </w:rPr>
            </w:pPr>
            <w:r w:rsidRPr="007D15C3">
              <w:rPr>
                <w:rFonts w:cs="Calibri"/>
              </w:rPr>
              <w:t xml:space="preserve">            2,343,227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4189D14" w14:textId="77777777">
            <w:pPr>
              <w:jc w:val="right"/>
              <w:rPr>
                <w:rFonts w:cs="Calibri"/>
              </w:rPr>
            </w:pPr>
            <w:r w:rsidRPr="007D15C3">
              <w:rPr>
                <w:rFonts w:cs="Calibri"/>
              </w:rPr>
              <w:t>$18,364</w:t>
            </w:r>
          </w:p>
        </w:tc>
      </w:tr>
      <w:tr w14:paraId="6340B34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C1C27D" w14:textId="77777777">
            <w:pPr>
              <w:jc w:val="center"/>
              <w:rPr>
                <w:rFonts w:cs="Calibri"/>
              </w:rPr>
            </w:pPr>
            <w:r w:rsidRPr="007D15C3">
              <w:rPr>
                <w:rFonts w:cs="Calibri"/>
              </w:rPr>
              <w:t>35648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4F1A7C" w14:textId="77777777">
            <w:pPr>
              <w:jc w:val="center"/>
              <w:rPr>
                <w:rFonts w:cs="Calibri"/>
              </w:rPr>
            </w:pPr>
            <w:r w:rsidRPr="007D15C3">
              <w:rPr>
                <w:rFonts w:cs="Calibri"/>
              </w:rPr>
              <w:t>KTAL-TV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B80885" w14:textId="77777777">
            <w:pPr>
              <w:rPr>
                <w:rFonts w:cs="Calibri"/>
              </w:rPr>
            </w:pPr>
            <w:r w:rsidRPr="007D15C3">
              <w:rPr>
                <w:rFonts w:cs="Calibri"/>
              </w:rPr>
              <w:t xml:space="preserve">          1,094,332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2BD1B9" w14:textId="77777777">
            <w:pPr>
              <w:rPr>
                <w:rFonts w:cs="Calibri"/>
              </w:rPr>
            </w:pPr>
            <w:r w:rsidRPr="007D15C3">
              <w:rPr>
                <w:rFonts w:cs="Calibri"/>
              </w:rPr>
              <w:t xml:space="preserve">            1,092,958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198643" w14:textId="77777777">
            <w:pPr>
              <w:jc w:val="right"/>
              <w:rPr>
                <w:rFonts w:cs="Calibri"/>
              </w:rPr>
            </w:pPr>
            <w:r w:rsidRPr="007D15C3">
              <w:rPr>
                <w:rFonts w:cs="Calibri"/>
              </w:rPr>
              <w:t>$8,566</w:t>
            </w:r>
          </w:p>
        </w:tc>
      </w:tr>
      <w:tr w14:paraId="380C75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2B474C" w14:textId="77777777">
            <w:pPr>
              <w:jc w:val="center"/>
              <w:rPr>
                <w:rFonts w:cs="Calibri"/>
              </w:rPr>
            </w:pPr>
            <w:r w:rsidRPr="007D15C3">
              <w:rPr>
                <w:rFonts w:cs="Calibri"/>
              </w:rPr>
              <w:t>12930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5AFC89" w14:textId="77777777">
            <w:pPr>
              <w:jc w:val="center"/>
              <w:rPr>
                <w:rFonts w:cs="Calibri"/>
              </w:rPr>
            </w:pPr>
            <w:r w:rsidRPr="007D15C3">
              <w:rPr>
                <w:rFonts w:cs="Calibri"/>
              </w:rPr>
              <w:t>KTAS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96EA02" w14:textId="77777777">
            <w:pPr>
              <w:rPr>
                <w:rFonts w:cs="Calibri"/>
              </w:rPr>
            </w:pPr>
            <w:r w:rsidRPr="007D15C3">
              <w:rPr>
                <w:rFonts w:cs="Calibri"/>
              </w:rPr>
              <w:t xml:space="preserve">             471,882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9C518D" w14:textId="77777777">
            <w:pPr>
              <w:rPr>
                <w:rFonts w:cs="Calibri"/>
              </w:rPr>
            </w:pPr>
            <w:r w:rsidRPr="007D15C3">
              <w:rPr>
                <w:rFonts w:cs="Calibri"/>
              </w:rPr>
              <w:t xml:space="preserve">               464,149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F16DC2" w14:textId="77777777">
            <w:pPr>
              <w:jc w:val="right"/>
              <w:rPr>
                <w:rFonts w:cs="Calibri"/>
              </w:rPr>
            </w:pPr>
            <w:r w:rsidRPr="007D15C3">
              <w:rPr>
                <w:rFonts w:cs="Calibri"/>
              </w:rPr>
              <w:t>$3,638</w:t>
            </w:r>
          </w:p>
        </w:tc>
      </w:tr>
      <w:tr w14:paraId="2481FC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0A8120" w14:textId="77777777">
            <w:pPr>
              <w:jc w:val="center"/>
              <w:rPr>
                <w:rFonts w:cs="Calibri"/>
              </w:rPr>
            </w:pPr>
            <w:r w:rsidRPr="007D15C3">
              <w:rPr>
                <w:rFonts w:cs="Calibri"/>
              </w:rPr>
              <w:t>81458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089353" w14:textId="77777777">
            <w:pPr>
              <w:jc w:val="center"/>
              <w:rPr>
                <w:rFonts w:cs="Calibri"/>
              </w:rPr>
            </w:pPr>
            <w:r w:rsidRPr="007D15C3">
              <w:rPr>
                <w:rFonts w:cs="Calibri"/>
              </w:rPr>
              <w:t>KTAZ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08A3CE" w14:textId="77777777">
            <w:pPr>
              <w:rPr>
                <w:rFonts w:cs="Calibri"/>
              </w:rPr>
            </w:pPr>
            <w:r w:rsidRPr="007D15C3">
              <w:rPr>
                <w:rFonts w:cs="Calibri"/>
              </w:rPr>
              <w:t xml:space="preserve">          4,182,503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80E8B4" w14:textId="77777777">
            <w:pPr>
              <w:rPr>
                <w:rFonts w:cs="Calibri"/>
              </w:rPr>
            </w:pPr>
            <w:r w:rsidRPr="007D15C3">
              <w:rPr>
                <w:rFonts w:cs="Calibri"/>
              </w:rPr>
              <w:t xml:space="preserve">            4,160,481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6C3D8D" w14:textId="77777777">
            <w:pPr>
              <w:jc w:val="right"/>
              <w:rPr>
                <w:rFonts w:cs="Calibri"/>
              </w:rPr>
            </w:pPr>
            <w:r w:rsidRPr="007D15C3">
              <w:rPr>
                <w:rFonts w:cs="Calibri"/>
              </w:rPr>
              <w:t>$32,606</w:t>
            </w:r>
          </w:p>
        </w:tc>
      </w:tr>
      <w:tr w14:paraId="5A6570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D1CEFE" w14:textId="77777777">
            <w:pPr>
              <w:jc w:val="center"/>
              <w:rPr>
                <w:rFonts w:cs="Calibri"/>
              </w:rPr>
            </w:pPr>
            <w:r w:rsidRPr="007D15C3">
              <w:rPr>
                <w:rFonts w:cs="Calibri"/>
              </w:rPr>
              <w:t>35649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FEC282" w14:textId="77777777">
            <w:pPr>
              <w:jc w:val="center"/>
              <w:rPr>
                <w:rFonts w:cs="Calibri"/>
              </w:rPr>
            </w:pPr>
            <w:r w:rsidRPr="007D15C3">
              <w:rPr>
                <w:rFonts w:cs="Calibri"/>
              </w:rPr>
              <w:t>KTBC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78E611" w14:textId="77777777">
            <w:pPr>
              <w:rPr>
                <w:rFonts w:cs="Calibri"/>
              </w:rPr>
            </w:pPr>
            <w:r w:rsidRPr="007D15C3">
              <w:rPr>
                <w:rFonts w:cs="Calibri"/>
              </w:rPr>
              <w:t xml:space="preserve">          3,242,215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1F094B" w14:textId="77777777">
            <w:pPr>
              <w:rPr>
                <w:rFonts w:cs="Calibri"/>
              </w:rPr>
            </w:pPr>
            <w:r w:rsidRPr="007D15C3">
              <w:rPr>
                <w:rFonts w:cs="Calibri"/>
              </w:rPr>
              <w:t xml:space="preserve">            2,956,614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B46A79" w14:textId="77777777">
            <w:pPr>
              <w:jc w:val="right"/>
              <w:rPr>
                <w:rFonts w:cs="Calibri"/>
              </w:rPr>
            </w:pPr>
            <w:r w:rsidRPr="007D15C3">
              <w:rPr>
                <w:rFonts w:cs="Calibri"/>
              </w:rPr>
              <w:t>$23,171</w:t>
            </w:r>
          </w:p>
        </w:tc>
      </w:tr>
      <w:tr w14:paraId="531F44B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A68329" w14:textId="77777777">
            <w:pPr>
              <w:jc w:val="center"/>
              <w:rPr>
                <w:rFonts w:cs="Calibri"/>
              </w:rPr>
            </w:pPr>
            <w:r w:rsidRPr="007D15C3">
              <w:rPr>
                <w:rFonts w:cs="Calibri"/>
              </w:rPr>
              <w:t>67884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025EF7" w14:textId="77777777">
            <w:pPr>
              <w:jc w:val="center"/>
              <w:rPr>
                <w:rFonts w:cs="Calibri"/>
              </w:rPr>
            </w:pPr>
            <w:r w:rsidRPr="007D15C3">
              <w:rPr>
                <w:rFonts w:cs="Calibri"/>
              </w:rPr>
              <w:t>KTBN-TV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01DD81" w14:textId="77777777">
            <w:pPr>
              <w:rPr>
                <w:rFonts w:cs="Calibri"/>
              </w:rPr>
            </w:pPr>
            <w:r w:rsidRPr="007D15C3">
              <w:rPr>
                <w:rFonts w:cs="Calibri"/>
              </w:rPr>
              <w:t xml:space="preserve">        17,795,677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9B96EA" w14:textId="77777777">
            <w:pPr>
              <w:rPr>
                <w:rFonts w:cs="Calibri"/>
              </w:rPr>
            </w:pPr>
            <w:r w:rsidRPr="007D15C3">
              <w:rPr>
                <w:rFonts w:cs="Calibri"/>
              </w:rPr>
              <w:t xml:space="preserve">          16,510,302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F94028" w14:textId="77777777">
            <w:pPr>
              <w:jc w:val="right"/>
              <w:rPr>
                <w:rFonts w:cs="Calibri"/>
              </w:rPr>
            </w:pPr>
            <w:r w:rsidRPr="007D15C3">
              <w:rPr>
                <w:rFonts w:cs="Calibri"/>
              </w:rPr>
              <w:t>$129,391</w:t>
            </w:r>
          </w:p>
        </w:tc>
      </w:tr>
      <w:tr w14:paraId="59FFD85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9C79B2" w14:textId="77777777">
            <w:pPr>
              <w:jc w:val="center"/>
              <w:rPr>
                <w:rFonts w:cs="Calibri"/>
              </w:rPr>
            </w:pPr>
            <w:r w:rsidRPr="007D15C3">
              <w:rPr>
                <w:rFonts w:cs="Calibri"/>
              </w:rPr>
              <w:t>67999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F5919C" w14:textId="77777777">
            <w:pPr>
              <w:jc w:val="center"/>
              <w:rPr>
                <w:rFonts w:cs="Calibri"/>
              </w:rPr>
            </w:pPr>
            <w:r w:rsidRPr="007D15C3">
              <w:rPr>
                <w:rFonts w:cs="Calibri"/>
              </w:rPr>
              <w:t>KTBO-TV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DFCF88" w14:textId="77777777">
            <w:pPr>
              <w:rPr>
                <w:rFonts w:cs="Calibri"/>
              </w:rPr>
            </w:pPr>
            <w:r w:rsidRPr="007D15C3">
              <w:rPr>
                <w:rFonts w:cs="Calibri"/>
              </w:rPr>
              <w:t xml:space="preserve">          1,585,283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2987A5" w14:textId="77777777">
            <w:pPr>
              <w:rPr>
                <w:rFonts w:cs="Calibri"/>
              </w:rPr>
            </w:pPr>
            <w:r w:rsidRPr="007D15C3">
              <w:rPr>
                <w:rFonts w:cs="Calibri"/>
              </w:rPr>
              <w:t xml:space="preserve">            1,583,664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5ACB8" w14:textId="77777777">
            <w:pPr>
              <w:jc w:val="right"/>
              <w:rPr>
                <w:rFonts w:cs="Calibri"/>
              </w:rPr>
            </w:pPr>
            <w:r w:rsidRPr="007D15C3">
              <w:rPr>
                <w:rFonts w:cs="Calibri"/>
              </w:rPr>
              <w:t>$12,411</w:t>
            </w:r>
          </w:p>
        </w:tc>
      </w:tr>
      <w:tr w14:paraId="6A1E4F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1BAF70" w14:textId="77777777">
            <w:pPr>
              <w:jc w:val="center"/>
              <w:rPr>
                <w:rFonts w:cs="Calibri"/>
              </w:rPr>
            </w:pPr>
            <w:r w:rsidRPr="007D15C3">
              <w:rPr>
                <w:rFonts w:cs="Calibri"/>
              </w:rPr>
              <w:t>35652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26451D" w14:textId="77777777">
            <w:pPr>
              <w:jc w:val="center"/>
              <w:rPr>
                <w:rFonts w:cs="Calibri"/>
              </w:rPr>
            </w:pPr>
            <w:r w:rsidRPr="007D15C3">
              <w:rPr>
                <w:rFonts w:cs="Calibri"/>
              </w:rPr>
              <w:t>KTBS-TV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3632D1" w14:textId="77777777">
            <w:pPr>
              <w:rPr>
                <w:rFonts w:cs="Calibri"/>
              </w:rPr>
            </w:pPr>
            <w:r w:rsidRPr="007D15C3">
              <w:rPr>
                <w:rFonts w:cs="Calibri"/>
              </w:rPr>
              <w:t xml:space="preserve">          1,163,228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484821" w14:textId="77777777">
            <w:pPr>
              <w:rPr>
                <w:rFonts w:cs="Calibri"/>
              </w:rPr>
            </w:pPr>
            <w:r w:rsidRPr="007D15C3">
              <w:rPr>
                <w:rFonts w:cs="Calibri"/>
              </w:rPr>
              <w:t xml:space="preserve">            1,159,665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03E96A" w14:textId="77777777">
            <w:pPr>
              <w:jc w:val="right"/>
              <w:rPr>
                <w:rFonts w:cs="Calibri"/>
              </w:rPr>
            </w:pPr>
            <w:r w:rsidRPr="007D15C3">
              <w:rPr>
                <w:rFonts w:cs="Calibri"/>
              </w:rPr>
              <w:t>$9,088</w:t>
            </w:r>
          </w:p>
        </w:tc>
      </w:tr>
      <w:tr w14:paraId="3FFECC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E30387" w14:textId="77777777">
            <w:pPr>
              <w:jc w:val="center"/>
              <w:rPr>
                <w:rFonts w:cs="Calibri"/>
              </w:rPr>
            </w:pPr>
            <w:r w:rsidRPr="007D15C3">
              <w:rPr>
                <w:rFonts w:cs="Calibri"/>
              </w:rPr>
              <w:t>28324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0B128E" w14:textId="77777777">
            <w:pPr>
              <w:jc w:val="center"/>
              <w:rPr>
                <w:rFonts w:cs="Calibri"/>
              </w:rPr>
            </w:pPr>
            <w:r w:rsidRPr="007D15C3">
              <w:rPr>
                <w:rFonts w:cs="Calibri"/>
              </w:rPr>
              <w:t>KTBU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D3BA7D" w14:textId="77777777">
            <w:pPr>
              <w:rPr>
                <w:rFonts w:cs="Calibri"/>
              </w:rPr>
            </w:pPr>
            <w:r w:rsidRPr="007D15C3">
              <w:rPr>
                <w:rFonts w:cs="Calibri"/>
              </w:rPr>
              <w:t xml:space="preserve">          6,035,927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A60C47" w14:textId="77777777">
            <w:pPr>
              <w:rPr>
                <w:rFonts w:cs="Calibri"/>
              </w:rPr>
            </w:pPr>
            <w:r w:rsidRPr="007D15C3">
              <w:rPr>
                <w:rFonts w:cs="Calibri"/>
              </w:rPr>
              <w:t xml:space="preserve">            6,035,725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31C27B" w14:textId="77777777">
            <w:pPr>
              <w:jc w:val="right"/>
              <w:rPr>
                <w:rFonts w:cs="Calibri"/>
              </w:rPr>
            </w:pPr>
            <w:r w:rsidRPr="007D15C3">
              <w:rPr>
                <w:rFonts w:cs="Calibri"/>
              </w:rPr>
              <w:t>$47,302</w:t>
            </w:r>
          </w:p>
        </w:tc>
      </w:tr>
      <w:tr w14:paraId="3326BB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F7AF27" w14:textId="77777777">
            <w:pPr>
              <w:jc w:val="center"/>
              <w:rPr>
                <w:rFonts w:cs="Calibri"/>
              </w:rPr>
            </w:pPr>
            <w:r w:rsidRPr="007D15C3">
              <w:rPr>
                <w:rFonts w:cs="Calibri"/>
              </w:rPr>
              <w:t>67950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07398B" w14:textId="77777777">
            <w:pPr>
              <w:jc w:val="center"/>
              <w:rPr>
                <w:rFonts w:cs="Calibri"/>
              </w:rPr>
            </w:pPr>
            <w:r w:rsidRPr="007D15C3">
              <w:rPr>
                <w:rFonts w:cs="Calibri"/>
              </w:rPr>
              <w:t>KTBW-TV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37632F" w14:textId="77777777">
            <w:pPr>
              <w:rPr>
                <w:rFonts w:cs="Calibri"/>
              </w:rPr>
            </w:pPr>
            <w:r w:rsidRPr="007D15C3">
              <w:rPr>
                <w:rFonts w:cs="Calibri"/>
              </w:rPr>
              <w:t xml:space="preserve">          4,202,104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E4EC2B" w14:textId="77777777">
            <w:pPr>
              <w:rPr>
                <w:rFonts w:cs="Calibri"/>
              </w:rPr>
            </w:pPr>
            <w:r w:rsidRPr="007D15C3">
              <w:rPr>
                <w:rFonts w:cs="Calibri"/>
              </w:rPr>
              <w:t xml:space="preserve">            4,113,420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45359F" w14:textId="77777777">
            <w:pPr>
              <w:jc w:val="right"/>
              <w:rPr>
                <w:rFonts w:cs="Calibri"/>
              </w:rPr>
            </w:pPr>
            <w:r w:rsidRPr="007D15C3">
              <w:rPr>
                <w:rFonts w:cs="Calibri"/>
              </w:rPr>
              <w:t>$32,237</w:t>
            </w:r>
          </w:p>
        </w:tc>
      </w:tr>
      <w:tr w14:paraId="7B005D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05330A" w14:textId="77777777">
            <w:pPr>
              <w:jc w:val="center"/>
              <w:rPr>
                <w:rFonts w:cs="Calibri"/>
              </w:rPr>
            </w:pPr>
            <w:r w:rsidRPr="007D15C3">
              <w:rPr>
                <w:rFonts w:cs="Calibri"/>
              </w:rPr>
              <w:t>35655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83F7B4" w14:textId="77777777">
            <w:pPr>
              <w:jc w:val="center"/>
              <w:rPr>
                <w:rFonts w:cs="Calibri"/>
              </w:rPr>
            </w:pPr>
            <w:r w:rsidRPr="007D15C3">
              <w:rPr>
                <w:rFonts w:cs="Calibri"/>
              </w:rPr>
              <w:t>KTBY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C26B9C" w14:textId="77777777">
            <w:pPr>
              <w:rPr>
                <w:rFonts w:cs="Calibri"/>
              </w:rPr>
            </w:pPr>
            <w:r w:rsidRPr="007D15C3">
              <w:rPr>
                <w:rFonts w:cs="Calibri"/>
              </w:rPr>
              <w:t xml:space="preserve">             348,080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A73ADB" w14:textId="77777777">
            <w:pPr>
              <w:rPr>
                <w:rFonts w:cs="Calibri"/>
              </w:rPr>
            </w:pPr>
            <w:r w:rsidRPr="007D15C3">
              <w:rPr>
                <w:rFonts w:cs="Calibri"/>
              </w:rPr>
              <w:t xml:space="preserve">               346,562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89AEB6" w14:textId="77777777">
            <w:pPr>
              <w:jc w:val="right"/>
              <w:rPr>
                <w:rFonts w:cs="Calibri"/>
              </w:rPr>
            </w:pPr>
            <w:r w:rsidRPr="007D15C3">
              <w:rPr>
                <w:rFonts w:cs="Calibri"/>
              </w:rPr>
              <w:t>$2,716</w:t>
            </w:r>
          </w:p>
        </w:tc>
      </w:tr>
      <w:tr w14:paraId="0C4FA3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FF7D63" w14:textId="77777777">
            <w:pPr>
              <w:jc w:val="center"/>
              <w:rPr>
                <w:rFonts w:cs="Calibri"/>
              </w:rPr>
            </w:pPr>
            <w:r w:rsidRPr="007D15C3">
              <w:rPr>
                <w:rFonts w:cs="Calibri"/>
              </w:rPr>
              <w:t>68594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7A36EC" w14:textId="77777777">
            <w:pPr>
              <w:jc w:val="center"/>
              <w:rPr>
                <w:rFonts w:cs="Calibri"/>
              </w:rPr>
            </w:pPr>
            <w:r w:rsidRPr="007D15C3">
              <w:rPr>
                <w:rFonts w:cs="Calibri"/>
              </w:rPr>
              <w:t>KTCA-TV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99F486" w14:textId="77777777">
            <w:pPr>
              <w:rPr>
                <w:rFonts w:cs="Calibri"/>
              </w:rPr>
            </w:pPr>
            <w:r w:rsidRPr="007D15C3">
              <w:rPr>
                <w:rFonts w:cs="Calibri"/>
              </w:rPr>
              <w:t xml:space="preserve">          3,693,877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4664AA" w14:textId="77777777">
            <w:pPr>
              <w:rPr>
                <w:rFonts w:cs="Calibri"/>
              </w:rPr>
            </w:pPr>
            <w:r w:rsidRPr="007D15C3">
              <w:rPr>
                <w:rFonts w:cs="Calibri"/>
              </w:rPr>
              <w:t xml:space="preserve">            3,684,081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909922" w14:textId="77777777">
            <w:pPr>
              <w:jc w:val="right"/>
              <w:rPr>
                <w:rFonts w:cs="Calibri"/>
              </w:rPr>
            </w:pPr>
            <w:r w:rsidRPr="007D15C3">
              <w:rPr>
                <w:rFonts w:cs="Calibri"/>
              </w:rPr>
              <w:t>$28,872</w:t>
            </w:r>
          </w:p>
        </w:tc>
      </w:tr>
      <w:tr w14:paraId="5E9B08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35442D" w14:textId="77777777">
            <w:pPr>
              <w:jc w:val="center"/>
              <w:rPr>
                <w:rFonts w:cs="Calibri"/>
              </w:rPr>
            </w:pPr>
            <w:r w:rsidRPr="007D15C3">
              <w:rPr>
                <w:rFonts w:cs="Calibri"/>
              </w:rPr>
              <w:t>68597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857254" w14:textId="77777777">
            <w:pPr>
              <w:jc w:val="center"/>
              <w:rPr>
                <w:rFonts w:cs="Calibri"/>
              </w:rPr>
            </w:pPr>
            <w:r w:rsidRPr="007D15C3">
              <w:rPr>
                <w:rFonts w:cs="Calibri"/>
              </w:rPr>
              <w:t>KTCI-TV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7FBD49" w14:textId="77777777">
            <w:pPr>
              <w:rPr>
                <w:rFonts w:cs="Calibri"/>
              </w:rPr>
            </w:pPr>
            <w:r w:rsidRPr="007D15C3">
              <w:rPr>
                <w:rFonts w:cs="Calibri"/>
              </w:rPr>
              <w:t xml:space="preserve">          3,606,606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8D58E8" w14:textId="77777777">
            <w:pPr>
              <w:rPr>
                <w:rFonts w:cs="Calibri"/>
              </w:rPr>
            </w:pPr>
            <w:r w:rsidRPr="007D15C3">
              <w:rPr>
                <w:rFonts w:cs="Calibri"/>
              </w:rPr>
              <w:t xml:space="preserve">            3,597,183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98AFBF" w14:textId="77777777">
            <w:pPr>
              <w:jc w:val="right"/>
              <w:rPr>
                <w:rFonts w:cs="Calibri"/>
              </w:rPr>
            </w:pPr>
            <w:r w:rsidRPr="007D15C3">
              <w:rPr>
                <w:rFonts w:cs="Calibri"/>
              </w:rPr>
              <w:t>$28,191</w:t>
            </w:r>
          </w:p>
        </w:tc>
      </w:tr>
      <w:tr w14:paraId="5A9A230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ACA4B0" w14:textId="77777777">
            <w:pPr>
              <w:jc w:val="center"/>
              <w:rPr>
                <w:rFonts w:cs="Calibri"/>
              </w:rPr>
            </w:pPr>
            <w:r w:rsidRPr="007D15C3">
              <w:rPr>
                <w:rFonts w:cs="Calibri"/>
              </w:rPr>
              <w:t>35187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36F172" w14:textId="77777777">
            <w:pPr>
              <w:jc w:val="center"/>
              <w:rPr>
                <w:rFonts w:cs="Calibri"/>
              </w:rPr>
            </w:pPr>
            <w:r w:rsidRPr="007D15C3">
              <w:rPr>
                <w:rFonts w:cs="Calibri"/>
              </w:rPr>
              <w:t>KTCW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D95F7C" w14:textId="77777777">
            <w:pPr>
              <w:rPr>
                <w:rFonts w:cs="Calibri"/>
              </w:rPr>
            </w:pPr>
            <w:r w:rsidRPr="007D15C3">
              <w:rPr>
                <w:rFonts w:cs="Calibri"/>
              </w:rPr>
              <w:t xml:space="preserve">             100,392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30CCF3" w14:textId="77777777">
            <w:pPr>
              <w:rPr>
                <w:rFonts w:cs="Calibri"/>
              </w:rPr>
            </w:pPr>
            <w:r w:rsidRPr="007D15C3">
              <w:rPr>
                <w:rFonts w:cs="Calibri"/>
              </w:rPr>
              <w:t xml:space="preserve">                 83,777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3342E5" w14:textId="77777777">
            <w:pPr>
              <w:jc w:val="right"/>
              <w:rPr>
                <w:rFonts w:cs="Calibri"/>
              </w:rPr>
            </w:pPr>
            <w:r w:rsidRPr="007D15C3">
              <w:rPr>
                <w:rFonts w:cs="Calibri"/>
              </w:rPr>
              <w:t>$657</w:t>
            </w:r>
          </w:p>
        </w:tc>
      </w:tr>
      <w:tr w14:paraId="53354BB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3DD911" w14:textId="77777777">
            <w:pPr>
              <w:jc w:val="center"/>
              <w:rPr>
                <w:rFonts w:cs="Calibri"/>
              </w:rPr>
            </w:pPr>
            <w:r w:rsidRPr="007D15C3">
              <w:rPr>
                <w:rFonts w:cs="Calibri"/>
              </w:rPr>
              <w:t>36916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BD5D1B" w14:textId="77777777">
            <w:pPr>
              <w:jc w:val="center"/>
              <w:rPr>
                <w:rFonts w:cs="Calibri"/>
              </w:rPr>
            </w:pPr>
            <w:r w:rsidRPr="007D15C3">
              <w:rPr>
                <w:rFonts w:cs="Calibri"/>
              </w:rPr>
              <w:t>KTDO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A9BF49" w14:textId="77777777">
            <w:pPr>
              <w:rPr>
                <w:rFonts w:cs="Calibri"/>
              </w:rPr>
            </w:pPr>
            <w:r w:rsidRPr="007D15C3">
              <w:rPr>
                <w:rFonts w:cs="Calibri"/>
              </w:rPr>
              <w:t xml:space="preserve">          1,015,336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1C0B57" w14:textId="77777777">
            <w:pPr>
              <w:rPr>
                <w:rFonts w:cs="Calibri"/>
              </w:rPr>
            </w:pPr>
            <w:r w:rsidRPr="007D15C3">
              <w:rPr>
                <w:rFonts w:cs="Calibri"/>
              </w:rPr>
              <w:t xml:space="preserve">            1,010,771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EBEED0" w14:textId="77777777">
            <w:pPr>
              <w:jc w:val="right"/>
              <w:rPr>
                <w:rFonts w:cs="Calibri"/>
              </w:rPr>
            </w:pPr>
            <w:r w:rsidRPr="007D15C3">
              <w:rPr>
                <w:rFonts w:cs="Calibri"/>
              </w:rPr>
              <w:t>$7,921</w:t>
            </w:r>
          </w:p>
        </w:tc>
      </w:tr>
      <w:tr w14:paraId="1C27A95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A7C258" w14:textId="77777777">
            <w:pPr>
              <w:jc w:val="center"/>
              <w:rPr>
                <w:rFonts w:cs="Calibri"/>
              </w:rPr>
            </w:pPr>
            <w:r w:rsidRPr="007D15C3">
              <w:rPr>
                <w:rFonts w:cs="Calibri"/>
              </w:rPr>
              <w:t>2769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D78049" w14:textId="77777777">
            <w:pPr>
              <w:jc w:val="center"/>
              <w:rPr>
                <w:rFonts w:cs="Calibri"/>
              </w:rPr>
            </w:pPr>
            <w:r w:rsidRPr="007D15C3">
              <w:rPr>
                <w:rFonts w:cs="Calibri"/>
              </w:rPr>
              <w:t>KTEJ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6153F4" w14:textId="77777777">
            <w:pPr>
              <w:rPr>
                <w:rFonts w:cs="Calibri"/>
              </w:rPr>
            </w:pPr>
            <w:r w:rsidRPr="007D15C3">
              <w:rPr>
                <w:rFonts w:cs="Calibri"/>
              </w:rPr>
              <w:t xml:space="preserve">             419,750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DE6C8B" w14:textId="77777777">
            <w:pPr>
              <w:rPr>
                <w:rFonts w:cs="Calibri"/>
              </w:rPr>
            </w:pPr>
            <w:r w:rsidRPr="007D15C3">
              <w:rPr>
                <w:rFonts w:cs="Calibri"/>
              </w:rPr>
              <w:t xml:space="preserve">               417,368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F6CD1D" w14:textId="77777777">
            <w:pPr>
              <w:jc w:val="right"/>
              <w:rPr>
                <w:rFonts w:cs="Calibri"/>
              </w:rPr>
            </w:pPr>
            <w:r w:rsidRPr="007D15C3">
              <w:rPr>
                <w:rFonts w:cs="Calibri"/>
              </w:rPr>
              <w:t>$3,271</w:t>
            </w:r>
          </w:p>
        </w:tc>
      </w:tr>
      <w:tr w14:paraId="34A0808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98B70A" w14:textId="77777777">
            <w:pPr>
              <w:jc w:val="center"/>
              <w:rPr>
                <w:rFonts w:cs="Calibri"/>
              </w:rPr>
            </w:pPr>
            <w:r w:rsidRPr="007D15C3">
              <w:rPr>
                <w:rFonts w:cs="Calibri"/>
              </w:rPr>
              <w:t>83707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B2D033" w14:textId="77777777">
            <w:pPr>
              <w:jc w:val="center"/>
              <w:rPr>
                <w:rFonts w:cs="Calibri"/>
              </w:rPr>
            </w:pPr>
            <w:r w:rsidRPr="007D15C3">
              <w:rPr>
                <w:rFonts w:cs="Calibri"/>
              </w:rPr>
              <w:t>KTEL-TV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EA1F00" w14:textId="77777777">
            <w:pPr>
              <w:rPr>
                <w:rFonts w:cs="Calibri"/>
              </w:rPr>
            </w:pPr>
            <w:r w:rsidRPr="007D15C3">
              <w:rPr>
                <w:rFonts w:cs="Calibri"/>
              </w:rPr>
              <w:t xml:space="preserve">               53,423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B4211B" w14:textId="77777777">
            <w:pPr>
              <w:rPr>
                <w:rFonts w:cs="Calibri"/>
              </w:rPr>
            </w:pPr>
            <w:r w:rsidRPr="007D15C3">
              <w:rPr>
                <w:rFonts w:cs="Calibri"/>
              </w:rPr>
              <w:t xml:space="preserve">                 53,414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670E68" w14:textId="77777777">
            <w:pPr>
              <w:jc w:val="right"/>
              <w:rPr>
                <w:rFonts w:cs="Calibri"/>
              </w:rPr>
            </w:pPr>
            <w:r w:rsidRPr="007D15C3">
              <w:rPr>
                <w:rFonts w:cs="Calibri"/>
              </w:rPr>
              <w:t>$419</w:t>
            </w:r>
          </w:p>
        </w:tc>
      </w:tr>
      <w:tr w14:paraId="2A2C1A2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6F7F3B" w14:textId="77777777">
            <w:pPr>
              <w:jc w:val="center"/>
              <w:rPr>
                <w:rFonts w:cs="Calibri"/>
              </w:rPr>
            </w:pPr>
            <w:r w:rsidRPr="007D15C3">
              <w:rPr>
                <w:rFonts w:cs="Calibri"/>
              </w:rPr>
              <w:t>35666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70B926" w14:textId="77777777">
            <w:pPr>
              <w:jc w:val="center"/>
              <w:rPr>
                <w:rFonts w:cs="Calibri"/>
              </w:rPr>
            </w:pPr>
            <w:r w:rsidRPr="007D15C3">
              <w:rPr>
                <w:rFonts w:cs="Calibri"/>
              </w:rPr>
              <w:t>KTEN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7BC1EA" w14:textId="77777777">
            <w:pPr>
              <w:rPr>
                <w:rFonts w:cs="Calibri"/>
              </w:rPr>
            </w:pPr>
            <w:r w:rsidRPr="007D15C3">
              <w:rPr>
                <w:rFonts w:cs="Calibri"/>
              </w:rPr>
              <w:t xml:space="preserve">             566,422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CB296A" w14:textId="77777777">
            <w:pPr>
              <w:rPr>
                <w:rFonts w:cs="Calibri"/>
              </w:rPr>
            </w:pPr>
            <w:r w:rsidRPr="007D15C3">
              <w:rPr>
                <w:rFonts w:cs="Calibri"/>
              </w:rPr>
              <w:t xml:space="preserve">               564,096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00A7A3" w14:textId="77777777">
            <w:pPr>
              <w:jc w:val="right"/>
              <w:rPr>
                <w:rFonts w:cs="Calibri"/>
              </w:rPr>
            </w:pPr>
            <w:r w:rsidRPr="007D15C3">
              <w:rPr>
                <w:rFonts w:cs="Calibri"/>
              </w:rPr>
              <w:t>$4,421</w:t>
            </w:r>
          </w:p>
        </w:tc>
      </w:tr>
      <w:tr w14:paraId="37D1C47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F3AFB7" w14:textId="77777777">
            <w:pPr>
              <w:jc w:val="center"/>
              <w:rPr>
                <w:rFonts w:cs="Calibri"/>
              </w:rPr>
            </w:pPr>
            <w:r w:rsidRPr="007D15C3">
              <w:rPr>
                <w:rFonts w:cs="Calibri"/>
              </w:rPr>
              <w:t>24514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A8FB1D" w14:textId="77777777">
            <w:pPr>
              <w:jc w:val="center"/>
              <w:rPr>
                <w:rFonts w:cs="Calibri"/>
              </w:rPr>
            </w:pPr>
            <w:r w:rsidRPr="007D15C3">
              <w:rPr>
                <w:rFonts w:cs="Calibri"/>
              </w:rPr>
              <w:t>KTFD-TV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B65648" w14:textId="77777777">
            <w:pPr>
              <w:rPr>
                <w:rFonts w:cs="Calibri"/>
              </w:rPr>
            </w:pPr>
            <w:r w:rsidRPr="007D15C3">
              <w:rPr>
                <w:rFonts w:cs="Calibri"/>
              </w:rPr>
              <w:t xml:space="preserve">          3,210,669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1904B0" w14:textId="77777777">
            <w:pPr>
              <w:rPr>
                <w:rFonts w:cs="Calibri"/>
              </w:rPr>
            </w:pPr>
            <w:r w:rsidRPr="007D15C3">
              <w:rPr>
                <w:rFonts w:cs="Calibri"/>
              </w:rPr>
              <w:t xml:space="preserve">            3,172,543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D5A96D" w14:textId="77777777">
            <w:pPr>
              <w:jc w:val="right"/>
              <w:rPr>
                <w:rFonts w:cs="Calibri"/>
              </w:rPr>
            </w:pPr>
            <w:r w:rsidRPr="007D15C3">
              <w:rPr>
                <w:rFonts w:cs="Calibri"/>
              </w:rPr>
              <w:t>$24,863</w:t>
            </w:r>
          </w:p>
        </w:tc>
      </w:tr>
      <w:tr w14:paraId="635114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6AEB77" w14:textId="77777777">
            <w:pPr>
              <w:jc w:val="center"/>
              <w:rPr>
                <w:rFonts w:cs="Calibri"/>
              </w:rPr>
            </w:pPr>
            <w:r w:rsidRPr="007D15C3">
              <w:rPr>
                <w:rFonts w:cs="Calibri"/>
              </w:rPr>
              <w:t>35512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D7ECB9" w14:textId="77777777">
            <w:pPr>
              <w:jc w:val="center"/>
              <w:rPr>
                <w:rFonts w:cs="Calibri"/>
              </w:rPr>
            </w:pPr>
            <w:r w:rsidRPr="007D15C3">
              <w:rPr>
                <w:rFonts w:cs="Calibri"/>
              </w:rPr>
              <w:t>KTFF-DT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A173C4" w14:textId="77777777">
            <w:pPr>
              <w:rPr>
                <w:rFonts w:cs="Calibri"/>
              </w:rPr>
            </w:pPr>
            <w:r w:rsidRPr="007D15C3">
              <w:rPr>
                <w:rFonts w:cs="Calibri"/>
              </w:rPr>
              <w:t xml:space="preserve">          2,225,169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E2D1BC" w14:textId="77777777">
            <w:pPr>
              <w:rPr>
                <w:rFonts w:cs="Calibri"/>
              </w:rPr>
            </w:pPr>
            <w:r w:rsidRPr="007D15C3">
              <w:rPr>
                <w:rFonts w:cs="Calibri"/>
              </w:rPr>
              <w:t xml:space="preserve">            2,203,398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950798" w14:textId="77777777">
            <w:pPr>
              <w:jc w:val="right"/>
              <w:rPr>
                <w:rFonts w:cs="Calibri"/>
              </w:rPr>
            </w:pPr>
            <w:r w:rsidRPr="007D15C3">
              <w:rPr>
                <w:rFonts w:cs="Calibri"/>
              </w:rPr>
              <w:t>$17,268</w:t>
            </w:r>
          </w:p>
        </w:tc>
      </w:tr>
      <w:tr w14:paraId="506754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7C3682" w14:textId="77777777">
            <w:pPr>
              <w:jc w:val="center"/>
              <w:rPr>
                <w:rFonts w:cs="Calibri"/>
              </w:rPr>
            </w:pPr>
            <w:r w:rsidRPr="007D15C3">
              <w:rPr>
                <w:rFonts w:cs="Calibri"/>
              </w:rPr>
              <w:t>20871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43DAA4" w14:textId="77777777">
            <w:pPr>
              <w:jc w:val="center"/>
              <w:rPr>
                <w:rFonts w:cs="Calibri"/>
              </w:rPr>
            </w:pPr>
            <w:r w:rsidRPr="007D15C3">
              <w:rPr>
                <w:rFonts w:cs="Calibri"/>
              </w:rPr>
              <w:t>KTFK-DT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278F03" w14:textId="77777777">
            <w:pPr>
              <w:rPr>
                <w:rFonts w:cs="Calibri"/>
              </w:rPr>
            </w:pPr>
            <w:r w:rsidRPr="007D15C3">
              <w:rPr>
                <w:rFonts w:cs="Calibri"/>
              </w:rPr>
              <w:t xml:space="preserve">          6,969,307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A619DE" w14:textId="77777777">
            <w:pPr>
              <w:rPr>
                <w:rFonts w:cs="Calibri"/>
              </w:rPr>
            </w:pPr>
            <w:r w:rsidRPr="007D15C3">
              <w:rPr>
                <w:rFonts w:cs="Calibri"/>
              </w:rPr>
              <w:t xml:space="preserve">            5,211,719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3B20D5" w14:textId="77777777">
            <w:pPr>
              <w:jc w:val="right"/>
              <w:rPr>
                <w:rFonts w:cs="Calibri"/>
              </w:rPr>
            </w:pPr>
            <w:r w:rsidRPr="007D15C3">
              <w:rPr>
                <w:rFonts w:cs="Calibri"/>
              </w:rPr>
              <w:t>$40,844</w:t>
            </w:r>
          </w:p>
        </w:tc>
      </w:tr>
      <w:tr w14:paraId="15EFC7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19443F" w14:textId="77777777">
            <w:pPr>
              <w:jc w:val="center"/>
              <w:rPr>
                <w:rFonts w:cs="Calibri"/>
              </w:rPr>
            </w:pPr>
            <w:r w:rsidRPr="007D15C3">
              <w:rPr>
                <w:rFonts w:cs="Calibri"/>
              </w:rPr>
              <w:t>68753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5BE28E" w14:textId="77777777">
            <w:pPr>
              <w:jc w:val="center"/>
              <w:rPr>
                <w:rFonts w:cs="Calibri"/>
              </w:rPr>
            </w:pPr>
            <w:r w:rsidRPr="007D15C3">
              <w:rPr>
                <w:rFonts w:cs="Calibri"/>
              </w:rPr>
              <w:t>KTFN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0F27DE" w14:textId="77777777">
            <w:pPr>
              <w:rPr>
                <w:rFonts w:cs="Calibri"/>
              </w:rPr>
            </w:pPr>
            <w:r w:rsidRPr="007D15C3">
              <w:rPr>
                <w:rFonts w:cs="Calibri"/>
              </w:rPr>
              <w:t xml:space="preserve">          1,017,335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795807" w14:textId="77777777">
            <w:pPr>
              <w:rPr>
                <w:rFonts w:cs="Calibri"/>
              </w:rPr>
            </w:pPr>
            <w:r w:rsidRPr="007D15C3">
              <w:rPr>
                <w:rFonts w:cs="Calibri"/>
              </w:rPr>
              <w:t xml:space="preserve">            1,013,157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32B8FE" w14:textId="77777777">
            <w:pPr>
              <w:jc w:val="right"/>
              <w:rPr>
                <w:rFonts w:cs="Calibri"/>
              </w:rPr>
            </w:pPr>
            <w:r w:rsidRPr="007D15C3">
              <w:rPr>
                <w:rFonts w:cs="Calibri"/>
              </w:rPr>
              <w:t>$7,940</w:t>
            </w:r>
          </w:p>
        </w:tc>
      </w:tr>
      <w:tr w14:paraId="1D2E98D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D11A61" w14:textId="77777777">
            <w:pPr>
              <w:jc w:val="center"/>
              <w:rPr>
                <w:rFonts w:cs="Calibri"/>
              </w:rPr>
            </w:pPr>
            <w:r w:rsidRPr="007D15C3">
              <w:rPr>
                <w:rFonts w:cs="Calibri"/>
              </w:rPr>
              <w:t>35084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EDCE56" w14:textId="77777777">
            <w:pPr>
              <w:jc w:val="center"/>
              <w:rPr>
                <w:rFonts w:cs="Calibri"/>
              </w:rPr>
            </w:pPr>
            <w:r w:rsidRPr="007D15C3">
              <w:rPr>
                <w:rFonts w:cs="Calibri"/>
              </w:rPr>
              <w:t>KTFQ-TV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117D93" w14:textId="77777777">
            <w:pPr>
              <w:rPr>
                <w:rFonts w:cs="Calibri"/>
              </w:rPr>
            </w:pPr>
            <w:r w:rsidRPr="007D15C3">
              <w:rPr>
                <w:rFonts w:cs="Calibri"/>
              </w:rPr>
              <w:t xml:space="preserve">          1,151,433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0B636C" w14:textId="77777777">
            <w:pPr>
              <w:rPr>
                <w:rFonts w:cs="Calibri"/>
              </w:rPr>
            </w:pPr>
            <w:r w:rsidRPr="007D15C3">
              <w:rPr>
                <w:rFonts w:cs="Calibri"/>
              </w:rPr>
              <w:t xml:space="preserve">            1,117,061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F1D2BF" w14:textId="77777777">
            <w:pPr>
              <w:jc w:val="right"/>
              <w:rPr>
                <w:rFonts w:cs="Calibri"/>
              </w:rPr>
            </w:pPr>
            <w:r w:rsidRPr="007D15C3">
              <w:rPr>
                <w:rFonts w:cs="Calibri"/>
              </w:rPr>
              <w:t>$8,754</w:t>
            </w:r>
          </w:p>
        </w:tc>
      </w:tr>
      <w:tr w14:paraId="5C8ABB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A979F0" w14:textId="77777777">
            <w:pPr>
              <w:jc w:val="center"/>
              <w:rPr>
                <w:rFonts w:cs="Calibri"/>
              </w:rPr>
            </w:pPr>
            <w:r w:rsidRPr="007D15C3">
              <w:rPr>
                <w:rFonts w:cs="Calibri"/>
              </w:rPr>
              <w:t>29232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B7A59F" w14:textId="77777777">
            <w:pPr>
              <w:jc w:val="center"/>
              <w:rPr>
                <w:rFonts w:cs="Calibri"/>
              </w:rPr>
            </w:pPr>
            <w:r w:rsidRPr="007D15C3">
              <w:rPr>
                <w:rFonts w:cs="Calibri"/>
              </w:rPr>
              <w:t>KTGM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599425" w14:textId="77777777">
            <w:pPr>
              <w:rPr>
                <w:rFonts w:cs="Calibri"/>
              </w:rPr>
            </w:pPr>
            <w:r w:rsidRPr="007D15C3">
              <w:rPr>
                <w:rFonts w:cs="Calibri"/>
              </w:rPr>
              <w:t xml:space="preserve">             159,358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954D9F" w14:textId="77777777">
            <w:pPr>
              <w:rPr>
                <w:rFonts w:cs="Calibri"/>
              </w:rPr>
            </w:pPr>
            <w:r w:rsidRPr="007D15C3">
              <w:rPr>
                <w:rFonts w:cs="Calibri"/>
              </w:rPr>
              <w:t xml:space="preserve">               159,091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CFA21A" w14:textId="77777777">
            <w:pPr>
              <w:jc w:val="right"/>
              <w:rPr>
                <w:rFonts w:cs="Calibri"/>
              </w:rPr>
            </w:pPr>
            <w:r w:rsidRPr="007D15C3">
              <w:rPr>
                <w:rFonts w:cs="Calibri"/>
              </w:rPr>
              <w:t>$1,247</w:t>
            </w:r>
          </w:p>
        </w:tc>
      </w:tr>
      <w:tr w14:paraId="73825C7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433C7F" w14:textId="77777777">
            <w:pPr>
              <w:jc w:val="center"/>
              <w:rPr>
                <w:rFonts w:cs="Calibri"/>
              </w:rPr>
            </w:pPr>
            <w:r w:rsidRPr="007D15C3">
              <w:rPr>
                <w:rFonts w:cs="Calibri"/>
              </w:rPr>
              <w:t>2787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74C030" w14:textId="77777777">
            <w:pPr>
              <w:jc w:val="center"/>
              <w:rPr>
                <w:rFonts w:cs="Calibri"/>
              </w:rPr>
            </w:pPr>
            <w:r w:rsidRPr="007D15C3">
              <w:rPr>
                <w:rFonts w:cs="Calibri"/>
              </w:rPr>
              <w:t>KTHV*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FDA210" w14:textId="77777777">
            <w:pPr>
              <w:rPr>
                <w:rFonts w:cs="Calibri"/>
              </w:rPr>
            </w:pPr>
            <w:r w:rsidRPr="007D15C3">
              <w:rPr>
                <w:rFonts w:cs="Calibri"/>
              </w:rPr>
              <w:t xml:space="preserve">          1,275,062</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3F3B98" w14:textId="77777777">
            <w:pPr>
              <w:rPr>
                <w:rFonts w:cs="Calibri"/>
              </w:rPr>
            </w:pPr>
            <w:r w:rsidRPr="007D15C3">
              <w:rPr>
                <w:rFonts w:cs="Calibri"/>
              </w:rPr>
              <w:t xml:space="preserve">            1,246,348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DE12C1" w14:textId="77777777">
            <w:pPr>
              <w:jc w:val="right"/>
              <w:rPr>
                <w:rFonts w:cs="Calibri"/>
              </w:rPr>
            </w:pPr>
            <w:r w:rsidRPr="007D15C3">
              <w:rPr>
                <w:rFonts w:cs="Calibri"/>
              </w:rPr>
              <w:t>$9,768</w:t>
            </w:r>
          </w:p>
        </w:tc>
      </w:tr>
      <w:tr w14:paraId="22BD988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221FB6" w14:textId="77777777">
            <w:pPr>
              <w:jc w:val="center"/>
              <w:rPr>
                <w:rFonts w:cs="Calibri"/>
              </w:rPr>
            </w:pPr>
            <w:r w:rsidRPr="007D15C3">
              <w:rPr>
                <w:rFonts w:cs="Calibri"/>
              </w:rPr>
              <w:t>29100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278B45" w14:textId="77777777">
            <w:pPr>
              <w:jc w:val="center"/>
              <w:rPr>
                <w:rFonts w:cs="Calibri"/>
              </w:rPr>
            </w:pPr>
            <w:r w:rsidRPr="007D15C3">
              <w:rPr>
                <w:rFonts w:cs="Calibri"/>
              </w:rPr>
              <w:t>KTIN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169D2C" w14:textId="77777777">
            <w:pPr>
              <w:rPr>
                <w:rFonts w:cs="Calibri"/>
              </w:rPr>
            </w:pPr>
            <w:r w:rsidRPr="007D15C3">
              <w:rPr>
                <w:rFonts w:cs="Calibri"/>
              </w:rPr>
              <w:t xml:space="preserve">             281,096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988948" w14:textId="77777777">
            <w:pPr>
              <w:rPr>
                <w:rFonts w:cs="Calibri"/>
              </w:rPr>
            </w:pPr>
            <w:r w:rsidRPr="007D15C3">
              <w:rPr>
                <w:rFonts w:cs="Calibri"/>
              </w:rPr>
              <w:t xml:space="preserve">               279,385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D7895C" w14:textId="77777777">
            <w:pPr>
              <w:jc w:val="right"/>
              <w:rPr>
                <w:rFonts w:cs="Calibri"/>
              </w:rPr>
            </w:pPr>
            <w:r w:rsidRPr="007D15C3">
              <w:rPr>
                <w:rFonts w:cs="Calibri"/>
              </w:rPr>
              <w:t>$2,190</w:t>
            </w:r>
          </w:p>
        </w:tc>
      </w:tr>
      <w:tr w14:paraId="5AB7B7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90D0CD" w14:textId="77777777">
            <w:pPr>
              <w:jc w:val="center"/>
              <w:rPr>
                <w:rFonts w:cs="Calibri"/>
              </w:rPr>
            </w:pPr>
            <w:r w:rsidRPr="007D15C3">
              <w:rPr>
                <w:rFonts w:cs="Calibri"/>
              </w:rPr>
              <w:t>66170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A721EF" w14:textId="77777777">
            <w:pPr>
              <w:jc w:val="center"/>
              <w:rPr>
                <w:rFonts w:cs="Calibri"/>
              </w:rPr>
            </w:pPr>
            <w:r w:rsidRPr="007D15C3">
              <w:rPr>
                <w:rFonts w:cs="Calibri"/>
              </w:rPr>
              <w:t>KTIV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CDC961" w14:textId="77777777">
            <w:pPr>
              <w:rPr>
                <w:rFonts w:cs="Calibri"/>
              </w:rPr>
            </w:pPr>
            <w:r w:rsidRPr="007D15C3">
              <w:rPr>
                <w:rFonts w:cs="Calibri"/>
              </w:rPr>
              <w:t xml:space="preserve">             751,089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37C4F" w14:textId="77777777">
            <w:pPr>
              <w:rPr>
                <w:rFonts w:cs="Calibri"/>
              </w:rPr>
            </w:pPr>
            <w:r w:rsidRPr="007D15C3">
              <w:rPr>
                <w:rFonts w:cs="Calibri"/>
              </w:rPr>
              <w:t xml:space="preserve">               746,274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B4B605" w14:textId="77777777">
            <w:pPr>
              <w:jc w:val="right"/>
              <w:rPr>
                <w:rFonts w:cs="Calibri"/>
              </w:rPr>
            </w:pPr>
            <w:r w:rsidRPr="007D15C3">
              <w:rPr>
                <w:rFonts w:cs="Calibri"/>
              </w:rPr>
              <w:t>$5,849</w:t>
            </w:r>
          </w:p>
        </w:tc>
      </w:tr>
      <w:tr w14:paraId="3E9E769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F67ABD" w14:textId="77777777">
            <w:pPr>
              <w:jc w:val="center"/>
              <w:rPr>
                <w:rFonts w:cs="Calibri"/>
              </w:rPr>
            </w:pPr>
            <w:r w:rsidRPr="007D15C3">
              <w:rPr>
                <w:rFonts w:cs="Calibri"/>
              </w:rPr>
              <w:t>49397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CF78A8" w14:textId="77777777">
            <w:pPr>
              <w:jc w:val="center"/>
              <w:rPr>
                <w:rFonts w:cs="Calibri"/>
              </w:rPr>
            </w:pPr>
            <w:r w:rsidRPr="007D15C3">
              <w:rPr>
                <w:rFonts w:cs="Calibri"/>
              </w:rPr>
              <w:t>KTKA-TV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549042" w14:textId="77777777">
            <w:pPr>
              <w:rPr>
                <w:rFonts w:cs="Calibri"/>
              </w:rPr>
            </w:pPr>
            <w:r w:rsidRPr="007D15C3">
              <w:rPr>
                <w:rFonts w:cs="Calibri"/>
              </w:rPr>
              <w:t xml:space="preserve">             567,958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2F1BE6" w14:textId="77777777">
            <w:pPr>
              <w:rPr>
                <w:rFonts w:cs="Calibri"/>
              </w:rPr>
            </w:pPr>
            <w:r w:rsidRPr="007D15C3">
              <w:rPr>
                <w:rFonts w:cs="Calibri"/>
              </w:rPr>
              <w:t xml:space="preserve">               566,406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4E4448" w14:textId="77777777">
            <w:pPr>
              <w:jc w:val="right"/>
              <w:rPr>
                <w:rFonts w:cs="Calibri"/>
              </w:rPr>
            </w:pPr>
            <w:r w:rsidRPr="007D15C3">
              <w:rPr>
                <w:rFonts w:cs="Calibri"/>
              </w:rPr>
              <w:t>$4,439</w:t>
            </w:r>
          </w:p>
        </w:tc>
      </w:tr>
      <w:tr w14:paraId="4DBC52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376E9E" w14:textId="77777777">
            <w:pPr>
              <w:jc w:val="center"/>
              <w:rPr>
                <w:rFonts w:cs="Calibri"/>
              </w:rPr>
            </w:pPr>
            <w:r w:rsidRPr="007D15C3">
              <w:rPr>
                <w:rFonts w:cs="Calibri"/>
              </w:rPr>
              <w:t>35670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9B8A5A" w14:textId="77777777">
            <w:pPr>
              <w:jc w:val="center"/>
              <w:rPr>
                <w:rFonts w:cs="Calibri"/>
              </w:rPr>
            </w:pPr>
            <w:r w:rsidRPr="007D15C3">
              <w:rPr>
                <w:rFonts w:cs="Calibri"/>
              </w:rPr>
              <w:t>KTLA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176833" w14:textId="77777777">
            <w:pPr>
              <w:rPr>
                <w:rFonts w:cs="Calibri"/>
              </w:rPr>
            </w:pPr>
            <w:r w:rsidRPr="007D15C3">
              <w:rPr>
                <w:rFonts w:cs="Calibri"/>
              </w:rPr>
              <w:t xml:space="preserve">        18,156,910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054DA2" w14:textId="77777777">
            <w:pPr>
              <w:rPr>
                <w:rFonts w:cs="Calibri"/>
              </w:rPr>
            </w:pPr>
            <w:r w:rsidRPr="007D15C3">
              <w:rPr>
                <w:rFonts w:cs="Calibri"/>
              </w:rPr>
              <w:t xml:space="preserve">          16,870,262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802947" w14:textId="77777777">
            <w:pPr>
              <w:jc w:val="right"/>
              <w:rPr>
                <w:rFonts w:cs="Calibri"/>
              </w:rPr>
            </w:pPr>
            <w:r w:rsidRPr="007D15C3">
              <w:rPr>
                <w:rFonts w:cs="Calibri"/>
              </w:rPr>
              <w:t>$132,212</w:t>
            </w:r>
          </w:p>
        </w:tc>
      </w:tr>
      <w:tr w14:paraId="63B128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A84EFA" w14:textId="77777777">
            <w:pPr>
              <w:jc w:val="center"/>
              <w:rPr>
                <w:rFonts w:cs="Calibri"/>
              </w:rPr>
            </w:pPr>
            <w:r w:rsidRPr="007D15C3">
              <w:rPr>
                <w:rFonts w:cs="Calibri"/>
              </w:rPr>
              <w:t>62354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EA981F" w14:textId="77777777">
            <w:pPr>
              <w:jc w:val="center"/>
              <w:rPr>
                <w:rFonts w:cs="Calibri"/>
              </w:rPr>
            </w:pPr>
            <w:r w:rsidRPr="007D15C3">
              <w:rPr>
                <w:rFonts w:cs="Calibri"/>
              </w:rPr>
              <w:t>KTLM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DACC29" w14:textId="77777777">
            <w:pPr>
              <w:rPr>
                <w:rFonts w:cs="Calibri"/>
              </w:rPr>
            </w:pPr>
            <w:r w:rsidRPr="007D15C3">
              <w:rPr>
                <w:rFonts w:cs="Calibri"/>
              </w:rPr>
              <w:t xml:space="preserve">          1,014,202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D6EDC8" w14:textId="77777777">
            <w:pPr>
              <w:rPr>
                <w:rFonts w:cs="Calibri"/>
              </w:rPr>
            </w:pPr>
            <w:r w:rsidRPr="007D15C3">
              <w:rPr>
                <w:rFonts w:cs="Calibri"/>
              </w:rPr>
              <w:t xml:space="preserve">            1,014,186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6CBD91" w14:textId="77777777">
            <w:pPr>
              <w:jc w:val="right"/>
              <w:rPr>
                <w:rFonts w:cs="Calibri"/>
              </w:rPr>
            </w:pPr>
            <w:r w:rsidRPr="007D15C3">
              <w:rPr>
                <w:rFonts w:cs="Calibri"/>
              </w:rPr>
              <w:t>$7,948</w:t>
            </w:r>
          </w:p>
        </w:tc>
      </w:tr>
      <w:tr w14:paraId="0E857DD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5BA79D" w14:textId="77777777">
            <w:pPr>
              <w:jc w:val="center"/>
              <w:rPr>
                <w:rFonts w:cs="Calibri"/>
              </w:rPr>
            </w:pPr>
            <w:r w:rsidRPr="007D15C3">
              <w:rPr>
                <w:rFonts w:cs="Calibri"/>
              </w:rPr>
              <w:t>49153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3A00C9" w14:textId="77777777">
            <w:pPr>
              <w:jc w:val="center"/>
              <w:rPr>
                <w:rFonts w:cs="Calibri"/>
              </w:rPr>
            </w:pPr>
            <w:r w:rsidRPr="007D15C3">
              <w:rPr>
                <w:rFonts w:cs="Calibri"/>
              </w:rPr>
              <w:t>KTLN-TV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3CF52F" w14:textId="77777777">
            <w:pPr>
              <w:rPr>
                <w:rFonts w:cs="Calibri"/>
              </w:rPr>
            </w:pPr>
            <w:r w:rsidRPr="007D15C3">
              <w:rPr>
                <w:rFonts w:cs="Calibri"/>
              </w:rPr>
              <w:t xml:space="preserve">          5,209,087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9707EE" w14:textId="77777777">
            <w:pPr>
              <w:rPr>
                <w:rFonts w:cs="Calibri"/>
              </w:rPr>
            </w:pPr>
            <w:r w:rsidRPr="007D15C3">
              <w:rPr>
                <w:rFonts w:cs="Calibri"/>
              </w:rPr>
              <w:t xml:space="preserve">            4,490,249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18190A" w14:textId="77777777">
            <w:pPr>
              <w:jc w:val="right"/>
              <w:rPr>
                <w:rFonts w:cs="Calibri"/>
              </w:rPr>
            </w:pPr>
            <w:r w:rsidRPr="007D15C3">
              <w:rPr>
                <w:rFonts w:cs="Calibri"/>
              </w:rPr>
              <w:t>$35,190</w:t>
            </w:r>
          </w:p>
        </w:tc>
      </w:tr>
      <w:tr w14:paraId="611801B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392F1E" w14:textId="77777777">
            <w:pPr>
              <w:jc w:val="center"/>
              <w:rPr>
                <w:rFonts w:cs="Calibri"/>
              </w:rPr>
            </w:pPr>
            <w:r w:rsidRPr="007D15C3">
              <w:rPr>
                <w:rFonts w:cs="Calibri"/>
              </w:rPr>
              <w:t>64984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D16A76" w14:textId="77777777">
            <w:pPr>
              <w:jc w:val="center"/>
              <w:rPr>
                <w:rFonts w:cs="Calibri"/>
              </w:rPr>
            </w:pPr>
            <w:r w:rsidRPr="007D15C3">
              <w:rPr>
                <w:rFonts w:cs="Calibri"/>
              </w:rPr>
              <w:t>KTMD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EE2588" w14:textId="77777777">
            <w:pPr>
              <w:rPr>
                <w:rFonts w:cs="Calibri"/>
              </w:rPr>
            </w:pPr>
            <w:r w:rsidRPr="007D15C3">
              <w:rPr>
                <w:rFonts w:cs="Calibri"/>
              </w:rPr>
              <w:t xml:space="preserve">          6,095,741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22A520" w14:textId="77777777">
            <w:pPr>
              <w:rPr>
                <w:rFonts w:cs="Calibri"/>
              </w:rPr>
            </w:pPr>
            <w:r w:rsidRPr="007D15C3">
              <w:rPr>
                <w:rFonts w:cs="Calibri"/>
              </w:rPr>
              <w:t xml:space="preserve">            6,095,606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25AAD9" w14:textId="77777777">
            <w:pPr>
              <w:jc w:val="right"/>
              <w:rPr>
                <w:rFonts w:cs="Calibri"/>
              </w:rPr>
            </w:pPr>
            <w:r w:rsidRPr="007D15C3">
              <w:rPr>
                <w:rFonts w:cs="Calibri"/>
              </w:rPr>
              <w:t>$47,771</w:t>
            </w:r>
          </w:p>
        </w:tc>
      </w:tr>
      <w:tr w14:paraId="3A9BF95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070D91" w14:textId="77777777">
            <w:pPr>
              <w:jc w:val="center"/>
              <w:rPr>
                <w:rFonts w:cs="Calibri"/>
              </w:rPr>
            </w:pPr>
            <w:r w:rsidRPr="007D15C3">
              <w:rPr>
                <w:rFonts w:cs="Calibri"/>
              </w:rPr>
              <w:t>14675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A05B14" w14:textId="77777777">
            <w:pPr>
              <w:jc w:val="center"/>
              <w:rPr>
                <w:rFonts w:cs="Calibri"/>
              </w:rPr>
            </w:pPr>
            <w:r w:rsidRPr="007D15C3">
              <w:rPr>
                <w:rFonts w:cs="Calibri"/>
              </w:rPr>
              <w:t>KTMF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D2DB38" w14:textId="77777777">
            <w:pPr>
              <w:rPr>
                <w:rFonts w:cs="Calibri"/>
              </w:rPr>
            </w:pPr>
            <w:r w:rsidRPr="007D15C3">
              <w:rPr>
                <w:rFonts w:cs="Calibri"/>
              </w:rPr>
              <w:t xml:space="preserve">             187,251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30BBB9" w14:textId="77777777">
            <w:pPr>
              <w:rPr>
                <w:rFonts w:cs="Calibri"/>
              </w:rPr>
            </w:pPr>
            <w:r w:rsidRPr="007D15C3">
              <w:rPr>
                <w:rFonts w:cs="Calibri"/>
              </w:rPr>
              <w:t xml:space="preserve">               168,526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9E93E2" w14:textId="77777777">
            <w:pPr>
              <w:jc w:val="right"/>
              <w:rPr>
                <w:rFonts w:cs="Calibri"/>
              </w:rPr>
            </w:pPr>
            <w:r w:rsidRPr="007D15C3">
              <w:rPr>
                <w:rFonts w:cs="Calibri"/>
              </w:rPr>
              <w:t>$1,321</w:t>
            </w:r>
          </w:p>
        </w:tc>
      </w:tr>
      <w:tr w14:paraId="02BA10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B8D626" w14:textId="77777777">
            <w:pPr>
              <w:jc w:val="center"/>
              <w:rPr>
                <w:rFonts w:cs="Calibri"/>
              </w:rPr>
            </w:pPr>
            <w:r w:rsidRPr="007D15C3">
              <w:rPr>
                <w:rFonts w:cs="Calibri"/>
              </w:rPr>
              <w:t>10177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FC1FFC" w14:textId="77777777">
            <w:pPr>
              <w:jc w:val="center"/>
              <w:rPr>
                <w:rFonts w:cs="Calibri"/>
              </w:rPr>
            </w:pPr>
            <w:r w:rsidRPr="007D15C3">
              <w:rPr>
                <w:rFonts w:cs="Calibri"/>
              </w:rPr>
              <w:t>KTMW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63D885" w14:textId="77777777">
            <w:pPr>
              <w:rPr>
                <w:rFonts w:cs="Calibri"/>
              </w:rPr>
            </w:pPr>
            <w:r w:rsidRPr="007D15C3">
              <w:rPr>
                <w:rFonts w:cs="Calibri"/>
              </w:rPr>
              <w:t xml:space="preserve">          2,261,671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763537" w14:textId="77777777">
            <w:pPr>
              <w:rPr>
                <w:rFonts w:cs="Calibri"/>
              </w:rPr>
            </w:pPr>
            <w:r w:rsidRPr="007D15C3">
              <w:rPr>
                <w:rFonts w:cs="Calibri"/>
              </w:rPr>
              <w:t xml:space="preserve">            2,144,791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E46317" w14:textId="77777777">
            <w:pPr>
              <w:jc w:val="right"/>
              <w:rPr>
                <w:rFonts w:cs="Calibri"/>
              </w:rPr>
            </w:pPr>
            <w:r w:rsidRPr="007D15C3">
              <w:rPr>
                <w:rFonts w:cs="Calibri"/>
              </w:rPr>
              <w:t>$16,809</w:t>
            </w:r>
          </w:p>
        </w:tc>
      </w:tr>
      <w:tr w14:paraId="0CFBFD5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0DFEC7" w14:textId="77777777">
            <w:pPr>
              <w:jc w:val="center"/>
              <w:rPr>
                <w:rFonts w:cs="Calibri"/>
              </w:rPr>
            </w:pPr>
            <w:r w:rsidRPr="007D15C3">
              <w:rPr>
                <w:rFonts w:cs="Calibri"/>
              </w:rPr>
              <w:t>21533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F3F37C" w14:textId="77777777">
            <w:pPr>
              <w:jc w:val="center"/>
              <w:rPr>
                <w:rFonts w:cs="Calibri"/>
              </w:rPr>
            </w:pPr>
            <w:r w:rsidRPr="007D15C3">
              <w:rPr>
                <w:rFonts w:cs="Calibri"/>
              </w:rPr>
              <w:t>KTNC-TV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D0A8B2" w14:textId="77777777">
            <w:pPr>
              <w:rPr>
                <w:rFonts w:cs="Calibri"/>
              </w:rPr>
            </w:pPr>
            <w:r w:rsidRPr="007D15C3">
              <w:rPr>
                <w:rFonts w:cs="Calibri"/>
              </w:rPr>
              <w:t xml:space="preserve">          8,048,427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E4ADE5" w14:textId="77777777">
            <w:pPr>
              <w:rPr>
                <w:rFonts w:cs="Calibri"/>
              </w:rPr>
            </w:pPr>
            <w:r w:rsidRPr="007D15C3">
              <w:rPr>
                <w:rFonts w:cs="Calibri"/>
              </w:rPr>
              <w:t xml:space="preserve">            7,069,903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F02658" w14:textId="77777777">
            <w:pPr>
              <w:jc w:val="right"/>
              <w:rPr>
                <w:rFonts w:cs="Calibri"/>
              </w:rPr>
            </w:pPr>
            <w:r w:rsidRPr="007D15C3">
              <w:rPr>
                <w:rFonts w:cs="Calibri"/>
              </w:rPr>
              <w:t>$55,407</w:t>
            </w:r>
          </w:p>
        </w:tc>
      </w:tr>
      <w:tr w14:paraId="01EA58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331114" w14:textId="77777777">
            <w:pPr>
              <w:jc w:val="center"/>
              <w:rPr>
                <w:rFonts w:cs="Calibri"/>
              </w:rPr>
            </w:pPr>
            <w:r w:rsidRPr="007D15C3">
              <w:rPr>
                <w:rFonts w:cs="Calibri"/>
              </w:rPr>
              <w:t>47996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230C9F" w14:textId="77777777">
            <w:pPr>
              <w:jc w:val="center"/>
              <w:rPr>
                <w:rFonts w:cs="Calibri"/>
              </w:rPr>
            </w:pPr>
            <w:r w:rsidRPr="007D15C3">
              <w:rPr>
                <w:rFonts w:cs="Calibri"/>
              </w:rPr>
              <w:t>KTNE-TV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A8203A" w14:textId="77777777">
            <w:pPr>
              <w:rPr>
                <w:rFonts w:cs="Calibri"/>
              </w:rPr>
            </w:pPr>
            <w:r w:rsidRPr="007D15C3">
              <w:rPr>
                <w:rFonts w:cs="Calibri"/>
              </w:rPr>
              <w:t xml:space="preserve">             100,341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E9438F" w14:textId="77777777">
            <w:pPr>
              <w:rPr>
                <w:rFonts w:cs="Calibri"/>
              </w:rPr>
            </w:pPr>
            <w:r w:rsidRPr="007D15C3">
              <w:rPr>
                <w:rFonts w:cs="Calibri"/>
              </w:rPr>
              <w:t xml:space="preserve">                 95,324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D1B3C5" w14:textId="77777777">
            <w:pPr>
              <w:jc w:val="right"/>
              <w:rPr>
                <w:rFonts w:cs="Calibri"/>
              </w:rPr>
            </w:pPr>
            <w:r w:rsidRPr="007D15C3">
              <w:rPr>
                <w:rFonts w:cs="Calibri"/>
              </w:rPr>
              <w:t>$747</w:t>
            </w:r>
          </w:p>
        </w:tc>
      </w:tr>
      <w:tr w14:paraId="51CEBA9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5F2CDD" w14:textId="77777777">
            <w:pPr>
              <w:jc w:val="center"/>
              <w:rPr>
                <w:rFonts w:cs="Calibri"/>
              </w:rPr>
            </w:pPr>
            <w:r w:rsidRPr="007D15C3">
              <w:rPr>
                <w:rFonts w:cs="Calibri"/>
              </w:rPr>
              <w:t>60519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48DE52" w14:textId="77777777">
            <w:pPr>
              <w:jc w:val="center"/>
              <w:rPr>
                <w:rFonts w:cs="Calibri"/>
              </w:rPr>
            </w:pPr>
            <w:r w:rsidRPr="007D15C3">
              <w:rPr>
                <w:rFonts w:cs="Calibri"/>
              </w:rPr>
              <w:t>KTNL-TV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85DDEE" w14:textId="77777777">
            <w:pPr>
              <w:rPr>
                <w:rFonts w:cs="Calibri"/>
              </w:rPr>
            </w:pPr>
            <w:r w:rsidRPr="007D15C3">
              <w:rPr>
                <w:rFonts w:cs="Calibri"/>
              </w:rPr>
              <w:t xml:space="preserve">                 8,642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9FF41E" w14:textId="77777777">
            <w:pPr>
              <w:rPr>
                <w:rFonts w:cs="Calibri"/>
              </w:rPr>
            </w:pPr>
            <w:r w:rsidRPr="007D15C3">
              <w:rPr>
                <w:rFonts w:cs="Calibri"/>
              </w:rPr>
              <w:t xml:space="preserve">                   8,642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64D1BA" w14:textId="77777777">
            <w:pPr>
              <w:jc w:val="right"/>
              <w:rPr>
                <w:rFonts w:cs="Calibri"/>
              </w:rPr>
            </w:pPr>
            <w:r w:rsidRPr="007D15C3">
              <w:rPr>
                <w:rFonts w:cs="Calibri"/>
              </w:rPr>
              <w:t>$68</w:t>
            </w:r>
          </w:p>
        </w:tc>
      </w:tr>
      <w:tr w14:paraId="44055E5A"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D81908" w14:textId="77777777">
            <w:pPr>
              <w:jc w:val="center"/>
              <w:rPr>
                <w:rFonts w:cs="Calibri"/>
              </w:rPr>
            </w:pPr>
            <w:r w:rsidRPr="007D15C3">
              <w:rPr>
                <w:rFonts w:cs="Calibri"/>
              </w:rPr>
              <w:t>74100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3744FEE8" w14:textId="77777777">
            <w:pPr>
              <w:jc w:val="center"/>
              <w:rPr>
                <w:rFonts w:cs="Calibri"/>
              </w:rPr>
            </w:pPr>
            <w:r w:rsidRPr="007D15C3">
              <w:rPr>
                <w:rFonts w:cs="Calibri"/>
              </w:rPr>
              <w:t>KTNV-TV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CF3CA32" w14:textId="77777777">
            <w:pPr>
              <w:rPr>
                <w:rFonts w:cs="Calibri"/>
              </w:rPr>
            </w:pPr>
            <w:r w:rsidRPr="007D15C3">
              <w:rPr>
                <w:rFonts w:cs="Calibri"/>
              </w:rPr>
              <w:t xml:space="preserve">          2,094,506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FA0CEAF" w14:textId="77777777">
            <w:pPr>
              <w:rPr>
                <w:rFonts w:cs="Calibri"/>
              </w:rPr>
            </w:pPr>
            <w:r w:rsidRPr="007D15C3">
              <w:rPr>
                <w:rFonts w:cs="Calibri"/>
              </w:rPr>
              <w:t xml:space="preserve">            1,936,752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725E66B" w14:textId="77777777">
            <w:pPr>
              <w:jc w:val="right"/>
              <w:rPr>
                <w:rFonts w:cs="Calibri"/>
              </w:rPr>
            </w:pPr>
            <w:r w:rsidRPr="007D15C3">
              <w:rPr>
                <w:rFonts w:cs="Calibri"/>
              </w:rPr>
              <w:t>$15,178</w:t>
            </w:r>
          </w:p>
        </w:tc>
      </w:tr>
      <w:tr w14:paraId="07A104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01877A" w14:textId="77777777">
            <w:pPr>
              <w:jc w:val="center"/>
              <w:rPr>
                <w:rFonts w:cs="Calibri"/>
              </w:rPr>
            </w:pPr>
            <w:r w:rsidRPr="007D15C3">
              <w:rPr>
                <w:rFonts w:cs="Calibri"/>
              </w:rPr>
              <w:t>71023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B7128F" w14:textId="77777777">
            <w:pPr>
              <w:jc w:val="center"/>
              <w:rPr>
                <w:rFonts w:cs="Calibri"/>
              </w:rPr>
            </w:pPr>
            <w:r w:rsidRPr="007D15C3">
              <w:rPr>
                <w:rFonts w:cs="Calibri"/>
              </w:rPr>
              <w:t>KTNW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4FDD7A" w14:textId="77777777">
            <w:pPr>
              <w:rPr>
                <w:rFonts w:cs="Calibri"/>
              </w:rPr>
            </w:pPr>
            <w:r w:rsidRPr="007D15C3">
              <w:rPr>
                <w:rFonts w:cs="Calibri"/>
              </w:rPr>
              <w:t xml:space="preserve">             450,926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F06FE2" w14:textId="77777777">
            <w:pPr>
              <w:rPr>
                <w:rFonts w:cs="Calibri"/>
              </w:rPr>
            </w:pPr>
            <w:r w:rsidRPr="007D15C3">
              <w:rPr>
                <w:rFonts w:cs="Calibri"/>
              </w:rPr>
              <w:t xml:space="preserve">               432,398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00ED6B" w14:textId="77777777">
            <w:pPr>
              <w:jc w:val="right"/>
              <w:rPr>
                <w:rFonts w:cs="Calibri"/>
              </w:rPr>
            </w:pPr>
            <w:r w:rsidRPr="007D15C3">
              <w:rPr>
                <w:rFonts w:cs="Calibri"/>
              </w:rPr>
              <w:t>$3,389</w:t>
            </w:r>
          </w:p>
        </w:tc>
      </w:tr>
      <w:tr w14:paraId="2B6B6A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2A2F2E" w14:textId="77777777">
            <w:pPr>
              <w:jc w:val="center"/>
              <w:rPr>
                <w:rFonts w:cs="Calibri"/>
              </w:rPr>
            </w:pPr>
            <w:r w:rsidRPr="007D15C3">
              <w:rPr>
                <w:rFonts w:cs="Calibri"/>
              </w:rPr>
              <w:t>8651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60C2B7" w14:textId="77777777">
            <w:pPr>
              <w:jc w:val="center"/>
              <w:rPr>
                <w:rFonts w:cs="Calibri"/>
              </w:rPr>
            </w:pPr>
            <w:r w:rsidRPr="007D15C3">
              <w:rPr>
                <w:rFonts w:cs="Calibri"/>
              </w:rPr>
              <w:t>KTOO-TV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1AB980" w14:textId="77777777">
            <w:pPr>
              <w:rPr>
                <w:rFonts w:cs="Calibri"/>
              </w:rPr>
            </w:pPr>
            <w:r w:rsidRPr="007D15C3">
              <w:rPr>
                <w:rFonts w:cs="Calibri"/>
              </w:rPr>
              <w:t xml:space="preserve">               31,269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4B473A" w14:textId="77777777">
            <w:pPr>
              <w:rPr>
                <w:rFonts w:cs="Calibri"/>
              </w:rPr>
            </w:pPr>
            <w:r w:rsidRPr="007D15C3">
              <w:rPr>
                <w:rFonts w:cs="Calibri"/>
              </w:rPr>
              <w:t xml:space="preserve">                 31,176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F87348" w14:textId="77777777">
            <w:pPr>
              <w:jc w:val="right"/>
              <w:rPr>
                <w:rFonts w:cs="Calibri"/>
              </w:rPr>
            </w:pPr>
            <w:r w:rsidRPr="007D15C3">
              <w:rPr>
                <w:rFonts w:cs="Calibri"/>
              </w:rPr>
              <w:t>$244</w:t>
            </w:r>
          </w:p>
        </w:tc>
      </w:tr>
      <w:tr w14:paraId="1352EA7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E62AF4" w14:textId="77777777">
            <w:pPr>
              <w:jc w:val="center"/>
              <w:rPr>
                <w:rFonts w:cs="Calibri"/>
              </w:rPr>
            </w:pPr>
            <w:r w:rsidRPr="007D15C3">
              <w:rPr>
                <w:rFonts w:cs="Calibri"/>
              </w:rPr>
              <w:t>7078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0AC0A2" w14:textId="77777777">
            <w:pPr>
              <w:jc w:val="center"/>
              <w:rPr>
                <w:rFonts w:cs="Calibri"/>
              </w:rPr>
            </w:pPr>
            <w:r w:rsidRPr="007D15C3">
              <w:rPr>
                <w:rFonts w:cs="Calibri"/>
              </w:rPr>
              <w:t>KTPX-TV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8CF991" w14:textId="77777777">
            <w:pPr>
              <w:rPr>
                <w:rFonts w:cs="Calibri"/>
              </w:rPr>
            </w:pPr>
            <w:r w:rsidRPr="007D15C3">
              <w:rPr>
                <w:rFonts w:cs="Calibri"/>
              </w:rPr>
              <w:t xml:space="preserve">          1,066,196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4F0D09" w14:textId="77777777">
            <w:pPr>
              <w:rPr>
                <w:rFonts w:cs="Calibri"/>
              </w:rPr>
            </w:pPr>
            <w:r w:rsidRPr="007D15C3">
              <w:rPr>
                <w:rFonts w:cs="Calibri"/>
              </w:rPr>
              <w:t xml:space="preserve">            1,063,754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B3F88D" w14:textId="77777777">
            <w:pPr>
              <w:jc w:val="right"/>
              <w:rPr>
                <w:rFonts w:cs="Calibri"/>
              </w:rPr>
            </w:pPr>
            <w:r w:rsidRPr="007D15C3">
              <w:rPr>
                <w:rFonts w:cs="Calibri"/>
              </w:rPr>
              <w:t>$8,337</w:t>
            </w:r>
          </w:p>
        </w:tc>
      </w:tr>
      <w:tr w14:paraId="5E31AC8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F92494" w14:textId="77777777">
            <w:pPr>
              <w:jc w:val="center"/>
              <w:rPr>
                <w:rFonts w:cs="Calibri"/>
              </w:rPr>
            </w:pPr>
            <w:r w:rsidRPr="007D15C3">
              <w:rPr>
                <w:rFonts w:cs="Calibri"/>
              </w:rPr>
              <w:t>68541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FD2F32" w14:textId="77777777">
            <w:pPr>
              <w:jc w:val="center"/>
              <w:rPr>
                <w:rFonts w:cs="Calibri"/>
              </w:rPr>
            </w:pPr>
            <w:r w:rsidRPr="007D15C3">
              <w:rPr>
                <w:rFonts w:cs="Calibri"/>
              </w:rPr>
              <w:t>KTRE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088947" w14:textId="77777777">
            <w:pPr>
              <w:rPr>
                <w:rFonts w:cs="Calibri"/>
              </w:rPr>
            </w:pPr>
            <w:r w:rsidRPr="007D15C3">
              <w:rPr>
                <w:rFonts w:cs="Calibri"/>
              </w:rPr>
              <w:t xml:space="preserve">             441,879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8722C9" w14:textId="77777777">
            <w:pPr>
              <w:rPr>
                <w:rFonts w:cs="Calibri"/>
              </w:rPr>
            </w:pPr>
            <w:r w:rsidRPr="007D15C3">
              <w:rPr>
                <w:rFonts w:cs="Calibri"/>
              </w:rPr>
              <w:t xml:space="preserve">               421,406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4E697C" w14:textId="77777777">
            <w:pPr>
              <w:jc w:val="right"/>
              <w:rPr>
                <w:rFonts w:cs="Calibri"/>
              </w:rPr>
            </w:pPr>
            <w:r w:rsidRPr="007D15C3">
              <w:rPr>
                <w:rFonts w:cs="Calibri"/>
              </w:rPr>
              <w:t>$3,303</w:t>
            </w:r>
          </w:p>
        </w:tc>
      </w:tr>
      <w:tr w14:paraId="0D6CDC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B4F297" w14:textId="77777777">
            <w:pPr>
              <w:jc w:val="center"/>
              <w:rPr>
                <w:rFonts w:cs="Calibri"/>
              </w:rPr>
            </w:pPr>
            <w:r w:rsidRPr="007D15C3">
              <w:rPr>
                <w:rFonts w:cs="Calibri"/>
              </w:rPr>
              <w:t>35675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CB5721" w14:textId="77777777">
            <w:pPr>
              <w:jc w:val="center"/>
              <w:rPr>
                <w:rFonts w:cs="Calibri"/>
              </w:rPr>
            </w:pPr>
            <w:r w:rsidRPr="007D15C3">
              <w:rPr>
                <w:rFonts w:cs="Calibri"/>
              </w:rPr>
              <w:t>KTRK-TV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DA89BF" w14:textId="77777777">
            <w:pPr>
              <w:rPr>
                <w:rFonts w:cs="Calibri"/>
              </w:rPr>
            </w:pPr>
            <w:r w:rsidRPr="007D15C3">
              <w:rPr>
                <w:rFonts w:cs="Calibri"/>
              </w:rPr>
              <w:t xml:space="preserve">          6,114,259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E3286C" w14:textId="77777777">
            <w:pPr>
              <w:rPr>
                <w:rFonts w:cs="Calibri"/>
              </w:rPr>
            </w:pPr>
            <w:r w:rsidRPr="007D15C3">
              <w:rPr>
                <w:rFonts w:cs="Calibri"/>
              </w:rPr>
              <w:t xml:space="preserve">            6,112,870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928E61" w14:textId="77777777">
            <w:pPr>
              <w:jc w:val="right"/>
              <w:rPr>
                <w:rFonts w:cs="Calibri"/>
              </w:rPr>
            </w:pPr>
            <w:r w:rsidRPr="007D15C3">
              <w:rPr>
                <w:rFonts w:cs="Calibri"/>
              </w:rPr>
              <w:t>$47,907</w:t>
            </w:r>
          </w:p>
        </w:tc>
      </w:tr>
      <w:tr w14:paraId="4306AB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4997BB" w14:textId="77777777">
            <w:pPr>
              <w:jc w:val="center"/>
              <w:rPr>
                <w:rFonts w:cs="Calibri"/>
              </w:rPr>
            </w:pPr>
            <w:r w:rsidRPr="007D15C3">
              <w:rPr>
                <w:rFonts w:cs="Calibri"/>
              </w:rPr>
              <w:t>28230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4EA1AC" w14:textId="77777777">
            <w:pPr>
              <w:jc w:val="center"/>
              <w:rPr>
                <w:rFonts w:cs="Calibri"/>
              </w:rPr>
            </w:pPr>
            <w:r w:rsidRPr="007D15C3">
              <w:rPr>
                <w:rFonts w:cs="Calibri"/>
              </w:rPr>
              <w:t>KTRV-TV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9D1AEE" w14:textId="77777777">
            <w:pPr>
              <w:rPr>
                <w:rFonts w:cs="Calibri"/>
              </w:rPr>
            </w:pPr>
            <w:r w:rsidRPr="007D15C3">
              <w:rPr>
                <w:rFonts w:cs="Calibri"/>
              </w:rPr>
              <w:t xml:space="preserve">             714,833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1ECEF7" w14:textId="77777777">
            <w:pPr>
              <w:rPr>
                <w:rFonts w:cs="Calibri"/>
              </w:rPr>
            </w:pPr>
            <w:r w:rsidRPr="007D15C3">
              <w:rPr>
                <w:rFonts w:cs="Calibri"/>
              </w:rPr>
              <w:t xml:space="preserve">               707,557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F69D8B" w14:textId="77777777">
            <w:pPr>
              <w:jc w:val="right"/>
              <w:rPr>
                <w:rFonts w:cs="Calibri"/>
              </w:rPr>
            </w:pPr>
            <w:r w:rsidRPr="007D15C3">
              <w:rPr>
                <w:rFonts w:cs="Calibri"/>
              </w:rPr>
              <w:t>$5,545</w:t>
            </w:r>
          </w:p>
        </w:tc>
      </w:tr>
      <w:tr w14:paraId="2364CC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E3DDD5" w14:textId="77777777">
            <w:pPr>
              <w:jc w:val="center"/>
              <w:rPr>
                <w:rFonts w:cs="Calibri"/>
              </w:rPr>
            </w:pPr>
            <w:r w:rsidRPr="007D15C3">
              <w:rPr>
                <w:rFonts w:cs="Calibri"/>
              </w:rPr>
              <w:t>69170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C227B1" w14:textId="77777777">
            <w:pPr>
              <w:jc w:val="center"/>
              <w:rPr>
                <w:rFonts w:cs="Calibri"/>
              </w:rPr>
            </w:pPr>
            <w:r w:rsidRPr="007D15C3">
              <w:rPr>
                <w:rFonts w:cs="Calibri"/>
              </w:rPr>
              <w:t>KTSC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79A01F" w14:textId="77777777">
            <w:pPr>
              <w:rPr>
                <w:rFonts w:cs="Calibri"/>
              </w:rPr>
            </w:pPr>
            <w:r w:rsidRPr="007D15C3">
              <w:rPr>
                <w:rFonts w:cs="Calibri"/>
              </w:rPr>
              <w:t xml:space="preserve">          3,124,536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00918A" w14:textId="77777777">
            <w:pPr>
              <w:rPr>
                <w:rFonts w:cs="Calibri"/>
              </w:rPr>
            </w:pPr>
            <w:r w:rsidRPr="007D15C3">
              <w:rPr>
                <w:rFonts w:cs="Calibri"/>
              </w:rPr>
              <w:t xml:space="preserve">            2,949,795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DC3187" w14:textId="77777777">
            <w:pPr>
              <w:jc w:val="right"/>
              <w:rPr>
                <w:rFonts w:cs="Calibri"/>
              </w:rPr>
            </w:pPr>
            <w:r w:rsidRPr="007D15C3">
              <w:rPr>
                <w:rFonts w:cs="Calibri"/>
              </w:rPr>
              <w:t>$23,118</w:t>
            </w:r>
          </w:p>
        </w:tc>
      </w:tr>
      <w:tr w14:paraId="28A0EA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CF5F268" w14:textId="77777777">
            <w:pPr>
              <w:jc w:val="center"/>
              <w:rPr>
                <w:rFonts w:cs="Calibri"/>
              </w:rPr>
            </w:pPr>
            <w:r w:rsidRPr="007D15C3">
              <w:rPr>
                <w:rFonts w:cs="Calibri"/>
              </w:rPr>
              <w:t>61066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616323" w14:textId="77777777">
            <w:pPr>
              <w:jc w:val="center"/>
              <w:rPr>
                <w:rFonts w:cs="Calibri"/>
              </w:rPr>
            </w:pPr>
            <w:r w:rsidRPr="007D15C3">
              <w:rPr>
                <w:rFonts w:cs="Calibri"/>
              </w:rPr>
              <w:t>KTSD-TV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250A28" w14:textId="77777777">
            <w:pPr>
              <w:rPr>
                <w:rFonts w:cs="Calibri"/>
              </w:rPr>
            </w:pPr>
            <w:r w:rsidRPr="007D15C3">
              <w:rPr>
                <w:rFonts w:cs="Calibri"/>
              </w:rPr>
              <w:t xml:space="preserve">               83,645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039591" w14:textId="77777777">
            <w:pPr>
              <w:rPr>
                <w:rFonts w:cs="Calibri"/>
              </w:rPr>
            </w:pPr>
            <w:r w:rsidRPr="007D15C3">
              <w:rPr>
                <w:rFonts w:cs="Calibri"/>
              </w:rPr>
              <w:t xml:space="preserve">                 82,828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8DD13D" w14:textId="77777777">
            <w:pPr>
              <w:jc w:val="right"/>
              <w:rPr>
                <w:rFonts w:cs="Calibri"/>
              </w:rPr>
            </w:pPr>
            <w:r w:rsidRPr="007D15C3">
              <w:rPr>
                <w:rFonts w:cs="Calibri"/>
              </w:rPr>
              <w:t>$649</w:t>
            </w:r>
          </w:p>
        </w:tc>
      </w:tr>
      <w:tr w14:paraId="06C2C5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5E70EE" w14:textId="77777777">
            <w:pPr>
              <w:jc w:val="center"/>
              <w:rPr>
                <w:rFonts w:cs="Calibri"/>
              </w:rPr>
            </w:pPr>
            <w:r w:rsidRPr="007D15C3">
              <w:rPr>
                <w:rFonts w:cs="Calibri"/>
              </w:rPr>
              <w:t>37511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1F3C19" w14:textId="77777777">
            <w:pPr>
              <w:jc w:val="center"/>
              <w:rPr>
                <w:rFonts w:cs="Calibri"/>
              </w:rPr>
            </w:pPr>
            <w:r w:rsidRPr="007D15C3">
              <w:rPr>
                <w:rFonts w:cs="Calibri"/>
              </w:rPr>
              <w:t>KTSF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513233" w14:textId="77777777">
            <w:pPr>
              <w:rPr>
                <w:rFonts w:cs="Calibri"/>
              </w:rPr>
            </w:pPr>
            <w:r w:rsidRPr="007D15C3">
              <w:rPr>
                <w:rFonts w:cs="Calibri"/>
              </w:rPr>
              <w:t xml:space="preserve">          7,921,124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FF7AF6" w14:textId="77777777">
            <w:pPr>
              <w:rPr>
                <w:rFonts w:cs="Calibri"/>
              </w:rPr>
            </w:pPr>
            <w:r w:rsidRPr="007D15C3">
              <w:rPr>
                <w:rFonts w:cs="Calibri"/>
              </w:rPr>
              <w:t xml:space="preserve">            6,576,672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1D1530" w14:textId="77777777">
            <w:pPr>
              <w:jc w:val="right"/>
              <w:rPr>
                <w:rFonts w:cs="Calibri"/>
              </w:rPr>
            </w:pPr>
            <w:r w:rsidRPr="007D15C3">
              <w:rPr>
                <w:rFonts w:cs="Calibri"/>
              </w:rPr>
              <w:t>$51,541</w:t>
            </w:r>
          </w:p>
        </w:tc>
      </w:tr>
      <w:tr w14:paraId="36491F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152665" w14:textId="77777777">
            <w:pPr>
              <w:jc w:val="center"/>
              <w:rPr>
                <w:rFonts w:cs="Calibri"/>
              </w:rPr>
            </w:pPr>
            <w:r w:rsidRPr="007D15C3">
              <w:rPr>
                <w:rFonts w:cs="Calibri"/>
              </w:rPr>
              <w:t>67760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6EF936" w14:textId="77777777">
            <w:pPr>
              <w:jc w:val="center"/>
              <w:rPr>
                <w:rFonts w:cs="Calibri"/>
              </w:rPr>
            </w:pPr>
            <w:r w:rsidRPr="007D15C3">
              <w:rPr>
                <w:rFonts w:cs="Calibri"/>
              </w:rPr>
              <w:t>KTSM-TV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5B64A9" w14:textId="77777777">
            <w:pPr>
              <w:rPr>
                <w:rFonts w:cs="Calibri"/>
              </w:rPr>
            </w:pPr>
            <w:r w:rsidRPr="007D15C3">
              <w:rPr>
                <w:rFonts w:cs="Calibri"/>
              </w:rPr>
              <w:t xml:space="preserve">          1,015,348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316B47" w14:textId="77777777">
            <w:pPr>
              <w:rPr>
                <w:rFonts w:cs="Calibri"/>
              </w:rPr>
            </w:pPr>
            <w:r w:rsidRPr="007D15C3">
              <w:rPr>
                <w:rFonts w:cs="Calibri"/>
              </w:rPr>
              <w:t xml:space="preserve">            1,011,264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ED725D" w14:textId="77777777">
            <w:pPr>
              <w:jc w:val="right"/>
              <w:rPr>
                <w:rFonts w:cs="Calibri"/>
              </w:rPr>
            </w:pPr>
            <w:r w:rsidRPr="007D15C3">
              <w:rPr>
                <w:rFonts w:cs="Calibri"/>
              </w:rPr>
              <w:t>$7,925</w:t>
            </w:r>
          </w:p>
        </w:tc>
      </w:tr>
      <w:tr w14:paraId="08D5688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3AB63C" w14:textId="77777777">
            <w:pPr>
              <w:jc w:val="center"/>
              <w:rPr>
                <w:rFonts w:cs="Calibri"/>
              </w:rPr>
            </w:pPr>
            <w:r w:rsidRPr="007D15C3">
              <w:rPr>
                <w:rFonts w:cs="Calibri"/>
              </w:rPr>
              <w:t>35678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6DDF76" w14:textId="77777777">
            <w:pPr>
              <w:jc w:val="center"/>
              <w:rPr>
                <w:rFonts w:cs="Calibri"/>
              </w:rPr>
            </w:pPr>
            <w:r w:rsidRPr="007D15C3">
              <w:rPr>
                <w:rFonts w:cs="Calibri"/>
              </w:rPr>
              <w:t>KTTC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22662B" w14:textId="77777777">
            <w:pPr>
              <w:rPr>
                <w:rFonts w:cs="Calibri"/>
              </w:rPr>
            </w:pPr>
            <w:r w:rsidRPr="007D15C3">
              <w:rPr>
                <w:rFonts w:cs="Calibri"/>
              </w:rPr>
              <w:t xml:space="preserve">             815,213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B65139" w14:textId="77777777">
            <w:pPr>
              <w:rPr>
                <w:rFonts w:cs="Calibri"/>
              </w:rPr>
            </w:pPr>
            <w:r w:rsidRPr="007D15C3">
              <w:rPr>
                <w:rFonts w:cs="Calibri"/>
              </w:rPr>
              <w:t xml:space="preserve">               731,919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56A3C4" w14:textId="77777777">
            <w:pPr>
              <w:jc w:val="right"/>
              <w:rPr>
                <w:rFonts w:cs="Calibri"/>
              </w:rPr>
            </w:pPr>
            <w:r w:rsidRPr="007D15C3">
              <w:rPr>
                <w:rFonts w:cs="Calibri"/>
              </w:rPr>
              <w:t>$5,736</w:t>
            </w:r>
          </w:p>
        </w:tc>
      </w:tr>
      <w:tr w14:paraId="5C9C2A1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18B499" w14:textId="77777777">
            <w:pPr>
              <w:jc w:val="center"/>
              <w:rPr>
                <w:rFonts w:cs="Calibri"/>
              </w:rPr>
            </w:pPr>
            <w:r w:rsidRPr="007D15C3">
              <w:rPr>
                <w:rFonts w:cs="Calibri"/>
              </w:rPr>
              <w:t>28501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D54772" w14:textId="77777777">
            <w:pPr>
              <w:jc w:val="center"/>
              <w:rPr>
                <w:rFonts w:cs="Calibri"/>
              </w:rPr>
            </w:pPr>
            <w:r w:rsidRPr="007D15C3">
              <w:rPr>
                <w:rFonts w:cs="Calibri"/>
              </w:rPr>
              <w:t>KTTM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22AF9D" w14:textId="77777777">
            <w:pPr>
              <w:rPr>
                <w:rFonts w:cs="Calibri"/>
              </w:rPr>
            </w:pPr>
            <w:r w:rsidRPr="007D15C3">
              <w:rPr>
                <w:rFonts w:cs="Calibri"/>
              </w:rPr>
              <w:t xml:space="preserve">               76,133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B7F3A7" w14:textId="77777777">
            <w:pPr>
              <w:rPr>
                <w:rFonts w:cs="Calibri"/>
              </w:rPr>
            </w:pPr>
            <w:r w:rsidRPr="007D15C3">
              <w:rPr>
                <w:rFonts w:cs="Calibri"/>
              </w:rPr>
              <w:t xml:space="preserve">                 73,664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0B0A6F" w14:textId="77777777">
            <w:pPr>
              <w:jc w:val="right"/>
              <w:rPr>
                <w:rFonts w:cs="Calibri"/>
              </w:rPr>
            </w:pPr>
            <w:r w:rsidRPr="007D15C3">
              <w:rPr>
                <w:rFonts w:cs="Calibri"/>
              </w:rPr>
              <w:t>$577</w:t>
            </w:r>
          </w:p>
        </w:tc>
      </w:tr>
      <w:tr w14:paraId="254F32B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070E5D" w14:textId="77777777">
            <w:pPr>
              <w:jc w:val="center"/>
              <w:rPr>
                <w:rFonts w:cs="Calibri"/>
              </w:rPr>
            </w:pPr>
            <w:r w:rsidRPr="007D15C3">
              <w:rPr>
                <w:rFonts w:cs="Calibri"/>
              </w:rPr>
              <w:t>11908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BF0278" w14:textId="77777777">
            <w:pPr>
              <w:jc w:val="center"/>
              <w:rPr>
                <w:rFonts w:cs="Calibri"/>
              </w:rPr>
            </w:pPr>
            <w:r w:rsidRPr="007D15C3">
              <w:rPr>
                <w:rFonts w:cs="Calibri"/>
              </w:rPr>
              <w:t>KTTU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CE72A8" w14:textId="77777777">
            <w:pPr>
              <w:rPr>
                <w:rFonts w:cs="Calibri"/>
              </w:rPr>
            </w:pPr>
            <w:r w:rsidRPr="007D15C3">
              <w:rPr>
                <w:rFonts w:cs="Calibri"/>
              </w:rPr>
              <w:t xml:space="preserve">          1,324,801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1198A8" w14:textId="77777777">
            <w:pPr>
              <w:rPr>
                <w:rFonts w:cs="Calibri"/>
              </w:rPr>
            </w:pPr>
            <w:r w:rsidRPr="007D15C3">
              <w:rPr>
                <w:rFonts w:cs="Calibri"/>
              </w:rPr>
              <w:t xml:space="preserve">            1,060,613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1A4829" w14:textId="77777777">
            <w:pPr>
              <w:jc w:val="right"/>
              <w:rPr>
                <w:rFonts w:cs="Calibri"/>
              </w:rPr>
            </w:pPr>
            <w:r w:rsidRPr="007D15C3">
              <w:rPr>
                <w:rFonts w:cs="Calibri"/>
              </w:rPr>
              <w:t>$8,312</w:t>
            </w:r>
          </w:p>
        </w:tc>
      </w:tr>
      <w:tr w14:paraId="7CAAA95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59B746" w14:textId="77777777">
            <w:pPr>
              <w:jc w:val="center"/>
              <w:rPr>
                <w:rFonts w:cs="Calibri"/>
              </w:rPr>
            </w:pPr>
            <w:r w:rsidRPr="007D15C3">
              <w:rPr>
                <w:rFonts w:cs="Calibri"/>
              </w:rPr>
              <w:t>22208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D8F0FE" w14:textId="77777777">
            <w:pPr>
              <w:jc w:val="center"/>
              <w:rPr>
                <w:rFonts w:cs="Calibri"/>
              </w:rPr>
            </w:pPr>
            <w:r w:rsidRPr="007D15C3">
              <w:rPr>
                <w:rFonts w:cs="Calibri"/>
              </w:rPr>
              <w:t>KTTV*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A1FDB7" w14:textId="77777777">
            <w:pPr>
              <w:rPr>
                <w:rFonts w:cs="Calibri"/>
              </w:rPr>
            </w:pPr>
            <w:r w:rsidRPr="007D15C3">
              <w:rPr>
                <w:rFonts w:cs="Calibri"/>
              </w:rPr>
              <w:t xml:space="preserve">        17,380,551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8F2D38" w14:textId="77777777">
            <w:pPr>
              <w:rPr>
                <w:rFonts w:cs="Calibri"/>
              </w:rPr>
            </w:pPr>
            <w:r w:rsidRPr="007D15C3">
              <w:rPr>
                <w:rFonts w:cs="Calibri"/>
              </w:rPr>
              <w:t xml:space="preserve">          16,693,085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C6B215" w14:textId="77777777">
            <w:pPr>
              <w:jc w:val="right"/>
              <w:rPr>
                <w:rFonts w:cs="Calibri"/>
              </w:rPr>
            </w:pPr>
            <w:r w:rsidRPr="007D15C3">
              <w:rPr>
                <w:rFonts w:cs="Calibri"/>
              </w:rPr>
              <w:t>$130,824</w:t>
            </w:r>
          </w:p>
        </w:tc>
      </w:tr>
      <w:tr w14:paraId="375D94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2E7286" w14:textId="77777777">
            <w:pPr>
              <w:jc w:val="center"/>
              <w:rPr>
                <w:rFonts w:cs="Calibri"/>
              </w:rPr>
            </w:pPr>
            <w:r w:rsidRPr="007D15C3">
              <w:rPr>
                <w:rFonts w:cs="Calibri"/>
              </w:rPr>
              <w:t>28521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EC6050" w14:textId="77777777">
            <w:pPr>
              <w:jc w:val="center"/>
              <w:rPr>
                <w:rFonts w:cs="Calibri"/>
              </w:rPr>
            </w:pPr>
            <w:r w:rsidRPr="007D15C3">
              <w:rPr>
                <w:rFonts w:cs="Calibri"/>
              </w:rPr>
              <w:t>KTTW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37AA89" w14:textId="77777777">
            <w:pPr>
              <w:rPr>
                <w:rFonts w:cs="Calibri"/>
              </w:rPr>
            </w:pPr>
            <w:r w:rsidRPr="007D15C3">
              <w:rPr>
                <w:rFonts w:cs="Calibri"/>
              </w:rPr>
              <w:t xml:space="preserve">             329,557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9642EE" w14:textId="77777777">
            <w:pPr>
              <w:rPr>
                <w:rFonts w:cs="Calibri"/>
              </w:rPr>
            </w:pPr>
            <w:r w:rsidRPr="007D15C3">
              <w:rPr>
                <w:rFonts w:cs="Calibri"/>
              </w:rPr>
              <w:t xml:space="preserve">               326,309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927349" w14:textId="77777777">
            <w:pPr>
              <w:jc w:val="right"/>
              <w:rPr>
                <w:rFonts w:cs="Calibri"/>
              </w:rPr>
            </w:pPr>
            <w:r w:rsidRPr="007D15C3">
              <w:rPr>
                <w:rFonts w:cs="Calibri"/>
              </w:rPr>
              <w:t>$2,557</w:t>
            </w:r>
          </w:p>
        </w:tc>
      </w:tr>
      <w:tr w14:paraId="166E01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1CC268" w14:textId="77777777">
            <w:pPr>
              <w:jc w:val="center"/>
              <w:rPr>
                <w:rFonts w:cs="Calibri"/>
              </w:rPr>
            </w:pPr>
            <w:r w:rsidRPr="007D15C3">
              <w:rPr>
                <w:rFonts w:cs="Calibri"/>
              </w:rPr>
              <w:t>65355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5ACD4D" w14:textId="77777777">
            <w:pPr>
              <w:jc w:val="center"/>
              <w:rPr>
                <w:rFonts w:cs="Calibri"/>
              </w:rPr>
            </w:pPr>
            <w:r w:rsidRPr="007D15C3">
              <w:rPr>
                <w:rFonts w:cs="Calibri"/>
              </w:rPr>
              <w:t>KTTZ-TV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82BB52" w14:textId="77777777">
            <w:pPr>
              <w:rPr>
                <w:rFonts w:cs="Calibri"/>
              </w:rPr>
            </w:pPr>
            <w:r w:rsidRPr="007D15C3">
              <w:rPr>
                <w:rFonts w:cs="Calibri"/>
              </w:rPr>
              <w:t xml:space="preserve">             380,240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59030C" w14:textId="77777777">
            <w:pPr>
              <w:rPr>
                <w:rFonts w:cs="Calibri"/>
              </w:rPr>
            </w:pPr>
            <w:r w:rsidRPr="007D15C3">
              <w:rPr>
                <w:rFonts w:cs="Calibri"/>
              </w:rPr>
              <w:t xml:space="preserve">               380,225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D6970F" w14:textId="77777777">
            <w:pPr>
              <w:jc w:val="right"/>
              <w:rPr>
                <w:rFonts w:cs="Calibri"/>
              </w:rPr>
            </w:pPr>
            <w:r w:rsidRPr="007D15C3">
              <w:rPr>
                <w:rFonts w:cs="Calibri"/>
              </w:rPr>
              <w:t>$2,980</w:t>
            </w:r>
          </w:p>
        </w:tc>
      </w:tr>
      <w:tr w14:paraId="19ABE0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2A36A6" w14:textId="77777777">
            <w:pPr>
              <w:jc w:val="center"/>
              <w:rPr>
                <w:rFonts w:cs="Calibri"/>
              </w:rPr>
            </w:pPr>
            <w:r w:rsidRPr="007D15C3">
              <w:rPr>
                <w:rFonts w:cs="Calibri"/>
              </w:rPr>
              <w:t>35685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7F2E43" w14:textId="77777777">
            <w:pPr>
              <w:jc w:val="center"/>
              <w:rPr>
                <w:rFonts w:cs="Calibri"/>
              </w:rPr>
            </w:pPr>
            <w:r w:rsidRPr="007D15C3">
              <w:rPr>
                <w:rFonts w:cs="Calibri"/>
              </w:rPr>
              <w:t>KTUL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1E7D69" w14:textId="77777777">
            <w:pPr>
              <w:rPr>
                <w:rFonts w:cs="Calibri"/>
              </w:rPr>
            </w:pPr>
            <w:r w:rsidRPr="007D15C3">
              <w:rPr>
                <w:rFonts w:cs="Calibri"/>
              </w:rPr>
              <w:t xml:space="preserve">          1,416,959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BDDA0B" w14:textId="77777777">
            <w:pPr>
              <w:rPr>
                <w:rFonts w:cs="Calibri"/>
              </w:rPr>
            </w:pPr>
            <w:r w:rsidRPr="007D15C3">
              <w:rPr>
                <w:rFonts w:cs="Calibri"/>
              </w:rPr>
              <w:t xml:space="preserve">            1,388,183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62BAFA" w14:textId="77777777">
            <w:pPr>
              <w:jc w:val="right"/>
              <w:rPr>
                <w:rFonts w:cs="Calibri"/>
              </w:rPr>
            </w:pPr>
            <w:r w:rsidRPr="007D15C3">
              <w:rPr>
                <w:rFonts w:cs="Calibri"/>
              </w:rPr>
              <w:t>$10,879</w:t>
            </w:r>
          </w:p>
        </w:tc>
      </w:tr>
      <w:tr w14:paraId="4EFAD6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D5A28E" w14:textId="77777777">
            <w:pPr>
              <w:jc w:val="center"/>
              <w:rPr>
                <w:rFonts w:cs="Calibri"/>
              </w:rPr>
            </w:pPr>
            <w:r w:rsidRPr="007D15C3">
              <w:rPr>
                <w:rFonts w:cs="Calibri"/>
              </w:rPr>
              <w:t>10173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CA1D85" w14:textId="77777777">
            <w:pPr>
              <w:jc w:val="center"/>
              <w:rPr>
                <w:rFonts w:cs="Calibri"/>
              </w:rPr>
            </w:pPr>
            <w:r w:rsidRPr="007D15C3">
              <w:rPr>
                <w:rFonts w:cs="Calibri"/>
              </w:rPr>
              <w:t>KTUU-TV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DB3B95" w14:textId="77777777">
            <w:pPr>
              <w:rPr>
                <w:rFonts w:cs="Calibri"/>
              </w:rPr>
            </w:pPr>
            <w:r w:rsidRPr="007D15C3">
              <w:rPr>
                <w:rFonts w:cs="Calibri"/>
              </w:rPr>
              <w:t xml:space="preserve">             380,240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896274" w14:textId="77777777">
            <w:pPr>
              <w:rPr>
                <w:rFonts w:cs="Calibri"/>
              </w:rPr>
            </w:pPr>
            <w:r w:rsidRPr="007D15C3">
              <w:rPr>
                <w:rFonts w:cs="Calibri"/>
              </w:rPr>
              <w:t xml:space="preserve">               379,047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92ACC6" w14:textId="77777777">
            <w:pPr>
              <w:jc w:val="right"/>
              <w:rPr>
                <w:rFonts w:cs="Calibri"/>
              </w:rPr>
            </w:pPr>
            <w:r w:rsidRPr="007D15C3">
              <w:rPr>
                <w:rFonts w:cs="Calibri"/>
              </w:rPr>
              <w:t>$2,971</w:t>
            </w:r>
          </w:p>
        </w:tc>
      </w:tr>
      <w:tr w14:paraId="33D6AC4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165E16" w14:textId="77777777">
            <w:pPr>
              <w:jc w:val="center"/>
              <w:rPr>
                <w:rFonts w:cs="Calibri"/>
              </w:rPr>
            </w:pPr>
            <w:r w:rsidRPr="007D15C3">
              <w:rPr>
                <w:rFonts w:cs="Calibri"/>
              </w:rPr>
              <w:t>77480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2431FB" w14:textId="77777777">
            <w:pPr>
              <w:jc w:val="center"/>
              <w:rPr>
                <w:rFonts w:cs="Calibri"/>
              </w:rPr>
            </w:pPr>
            <w:r w:rsidRPr="007D15C3">
              <w:rPr>
                <w:rFonts w:cs="Calibri"/>
              </w:rPr>
              <w:t>KTUZ-TV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9E48AB" w14:textId="77777777">
            <w:pPr>
              <w:rPr>
                <w:rFonts w:cs="Calibri"/>
              </w:rPr>
            </w:pPr>
            <w:r w:rsidRPr="007D15C3">
              <w:rPr>
                <w:rFonts w:cs="Calibri"/>
              </w:rPr>
              <w:t xml:space="preserve">          1,668,531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56A3D5" w14:textId="77777777">
            <w:pPr>
              <w:rPr>
                <w:rFonts w:cs="Calibri"/>
              </w:rPr>
            </w:pPr>
            <w:r w:rsidRPr="007D15C3">
              <w:rPr>
                <w:rFonts w:cs="Calibri"/>
              </w:rPr>
              <w:t xml:space="preserve">            1,666,026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D808CF" w14:textId="77777777">
            <w:pPr>
              <w:jc w:val="right"/>
              <w:rPr>
                <w:rFonts w:cs="Calibri"/>
              </w:rPr>
            </w:pPr>
            <w:r w:rsidRPr="007D15C3">
              <w:rPr>
                <w:rFonts w:cs="Calibri"/>
              </w:rPr>
              <w:t>$13,057</w:t>
            </w:r>
          </w:p>
        </w:tc>
      </w:tr>
      <w:tr w14:paraId="79C6A1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9C6A79" w14:textId="77777777">
            <w:pPr>
              <w:jc w:val="center"/>
              <w:rPr>
                <w:rFonts w:cs="Calibri"/>
              </w:rPr>
            </w:pPr>
            <w:r w:rsidRPr="007D15C3">
              <w:rPr>
                <w:rFonts w:cs="Calibri"/>
              </w:rPr>
              <w:t>49632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AD8AC3" w14:textId="77777777">
            <w:pPr>
              <w:jc w:val="center"/>
              <w:rPr>
                <w:rFonts w:cs="Calibri"/>
              </w:rPr>
            </w:pPr>
            <w:r w:rsidRPr="007D15C3">
              <w:rPr>
                <w:rFonts w:cs="Calibri"/>
              </w:rPr>
              <w:t>KTVA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B11669" w14:textId="77777777">
            <w:pPr>
              <w:rPr>
                <w:rFonts w:cs="Calibri"/>
              </w:rPr>
            </w:pPr>
            <w:r w:rsidRPr="007D15C3">
              <w:rPr>
                <w:rFonts w:cs="Calibri"/>
              </w:rPr>
              <w:t xml:space="preserve">             342,517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B57D21" w14:textId="77777777">
            <w:pPr>
              <w:rPr>
                <w:rFonts w:cs="Calibri"/>
              </w:rPr>
            </w:pPr>
            <w:r w:rsidRPr="007D15C3">
              <w:rPr>
                <w:rFonts w:cs="Calibri"/>
              </w:rPr>
              <w:t xml:space="preserve">               342,300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8E43A9" w14:textId="77777777">
            <w:pPr>
              <w:jc w:val="right"/>
              <w:rPr>
                <w:rFonts w:cs="Calibri"/>
              </w:rPr>
            </w:pPr>
            <w:r w:rsidRPr="007D15C3">
              <w:rPr>
                <w:rFonts w:cs="Calibri"/>
              </w:rPr>
              <w:t>$2,683</w:t>
            </w:r>
          </w:p>
        </w:tc>
      </w:tr>
      <w:tr w14:paraId="43239F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21519F" w14:textId="77777777">
            <w:pPr>
              <w:jc w:val="center"/>
              <w:rPr>
                <w:rFonts w:cs="Calibri"/>
              </w:rPr>
            </w:pPr>
            <w:r w:rsidRPr="007D15C3">
              <w:rPr>
                <w:rFonts w:cs="Calibri"/>
              </w:rPr>
              <w:t>34858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4535BA" w14:textId="77777777">
            <w:pPr>
              <w:jc w:val="center"/>
              <w:rPr>
                <w:rFonts w:cs="Calibri"/>
              </w:rPr>
            </w:pPr>
            <w:r w:rsidRPr="007D15C3">
              <w:rPr>
                <w:rFonts w:cs="Calibri"/>
              </w:rPr>
              <w:t>KTVB*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2AE8CE" w14:textId="77777777">
            <w:pPr>
              <w:rPr>
                <w:rFonts w:cs="Calibri"/>
              </w:rPr>
            </w:pPr>
            <w:r w:rsidRPr="007D15C3">
              <w:rPr>
                <w:rFonts w:cs="Calibri"/>
              </w:rPr>
              <w:t xml:space="preserve">             714,865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31DE36" w14:textId="77777777">
            <w:pPr>
              <w:rPr>
                <w:rFonts w:cs="Calibri"/>
              </w:rPr>
            </w:pPr>
            <w:r w:rsidRPr="007D15C3">
              <w:rPr>
                <w:rFonts w:cs="Calibri"/>
              </w:rPr>
              <w:t xml:space="preserve">               707,882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267A03" w14:textId="77777777">
            <w:pPr>
              <w:jc w:val="right"/>
              <w:rPr>
                <w:rFonts w:cs="Calibri"/>
              </w:rPr>
            </w:pPr>
            <w:r w:rsidRPr="007D15C3">
              <w:rPr>
                <w:rFonts w:cs="Calibri"/>
              </w:rPr>
              <w:t>$5,548</w:t>
            </w:r>
          </w:p>
        </w:tc>
      </w:tr>
      <w:tr w14:paraId="61E2E9E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97C201" w14:textId="77777777">
            <w:pPr>
              <w:jc w:val="center"/>
              <w:rPr>
                <w:rFonts w:cs="Calibri"/>
              </w:rPr>
            </w:pPr>
            <w:r w:rsidRPr="007D15C3">
              <w:rPr>
                <w:rFonts w:cs="Calibri"/>
              </w:rPr>
              <w:t>31437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FA75A3" w14:textId="77777777">
            <w:pPr>
              <w:jc w:val="center"/>
              <w:rPr>
                <w:rFonts w:cs="Calibri"/>
              </w:rPr>
            </w:pPr>
            <w:r w:rsidRPr="007D15C3">
              <w:rPr>
                <w:rFonts w:cs="Calibri"/>
              </w:rPr>
              <w:t>KTVC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7F9674" w14:textId="77777777">
            <w:pPr>
              <w:rPr>
                <w:rFonts w:cs="Calibri"/>
              </w:rPr>
            </w:pPr>
            <w:r w:rsidRPr="007D15C3">
              <w:rPr>
                <w:rFonts w:cs="Calibri"/>
              </w:rPr>
              <w:t xml:space="preserve">             137,239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BBA85F" w14:textId="77777777">
            <w:pPr>
              <w:rPr>
                <w:rFonts w:cs="Calibri"/>
              </w:rPr>
            </w:pPr>
            <w:r w:rsidRPr="007D15C3">
              <w:rPr>
                <w:rFonts w:cs="Calibri"/>
              </w:rPr>
              <w:t xml:space="preserve">               100,204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372DBF" w14:textId="77777777">
            <w:pPr>
              <w:jc w:val="right"/>
              <w:rPr>
                <w:rFonts w:cs="Calibri"/>
              </w:rPr>
            </w:pPr>
            <w:r w:rsidRPr="007D15C3">
              <w:rPr>
                <w:rFonts w:cs="Calibri"/>
              </w:rPr>
              <w:t>$785</w:t>
            </w:r>
          </w:p>
        </w:tc>
      </w:tr>
      <w:tr w14:paraId="6387E0B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3423E0" w14:textId="77777777">
            <w:pPr>
              <w:jc w:val="center"/>
              <w:rPr>
                <w:rFonts w:cs="Calibri"/>
              </w:rPr>
            </w:pPr>
            <w:r w:rsidRPr="007D15C3">
              <w:rPr>
                <w:rFonts w:cs="Calibri"/>
              </w:rPr>
              <w:t>68581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5123DD" w14:textId="77777777">
            <w:pPr>
              <w:jc w:val="center"/>
              <w:rPr>
                <w:rFonts w:cs="Calibri"/>
              </w:rPr>
            </w:pPr>
            <w:r w:rsidRPr="007D15C3">
              <w:rPr>
                <w:rFonts w:cs="Calibri"/>
              </w:rPr>
              <w:t>KTVD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D9A6D0" w14:textId="77777777">
            <w:pPr>
              <w:rPr>
                <w:rFonts w:cs="Calibri"/>
              </w:rPr>
            </w:pPr>
            <w:r w:rsidRPr="007D15C3">
              <w:rPr>
                <w:rFonts w:cs="Calibri"/>
              </w:rPr>
              <w:t xml:space="preserve">          3,800,970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E11EA7" w14:textId="77777777">
            <w:pPr>
              <w:rPr>
                <w:rFonts w:cs="Calibri"/>
              </w:rPr>
            </w:pPr>
            <w:r w:rsidRPr="007D15C3">
              <w:rPr>
                <w:rFonts w:cs="Calibri"/>
              </w:rPr>
              <w:t xml:space="preserve">            3,547,607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1C324" w14:textId="77777777">
            <w:pPr>
              <w:jc w:val="right"/>
              <w:rPr>
                <w:rFonts w:cs="Calibri"/>
              </w:rPr>
            </w:pPr>
            <w:r w:rsidRPr="007D15C3">
              <w:rPr>
                <w:rFonts w:cs="Calibri"/>
              </w:rPr>
              <w:t>$27,803</w:t>
            </w:r>
          </w:p>
        </w:tc>
      </w:tr>
      <w:tr w14:paraId="44C27E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C4C5DD" w14:textId="77777777">
            <w:pPr>
              <w:jc w:val="center"/>
              <w:rPr>
                <w:rFonts w:cs="Calibri"/>
              </w:rPr>
            </w:pPr>
            <w:r w:rsidRPr="007D15C3">
              <w:rPr>
                <w:rFonts w:cs="Calibri"/>
              </w:rPr>
              <w:t>35692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E79305" w14:textId="77777777">
            <w:pPr>
              <w:jc w:val="center"/>
              <w:rPr>
                <w:rFonts w:cs="Calibri"/>
              </w:rPr>
            </w:pPr>
            <w:r w:rsidRPr="007D15C3">
              <w:rPr>
                <w:rFonts w:cs="Calibri"/>
              </w:rPr>
              <w:t>KTVE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FFD14E" w14:textId="77777777">
            <w:pPr>
              <w:rPr>
                <w:rFonts w:cs="Calibri"/>
              </w:rPr>
            </w:pPr>
            <w:r w:rsidRPr="007D15C3">
              <w:rPr>
                <w:rFonts w:cs="Calibri"/>
              </w:rPr>
              <w:t xml:space="preserve">             641,139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0D506F" w14:textId="77777777">
            <w:pPr>
              <w:rPr>
                <w:rFonts w:cs="Calibri"/>
              </w:rPr>
            </w:pPr>
            <w:r w:rsidRPr="007D15C3">
              <w:rPr>
                <w:rFonts w:cs="Calibri"/>
              </w:rPr>
              <w:t xml:space="preserve">               640,201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D3ADE2" w14:textId="77777777">
            <w:pPr>
              <w:jc w:val="right"/>
              <w:rPr>
                <w:rFonts w:cs="Calibri"/>
              </w:rPr>
            </w:pPr>
            <w:r w:rsidRPr="007D15C3">
              <w:rPr>
                <w:rFonts w:cs="Calibri"/>
              </w:rPr>
              <w:t>$5,017</w:t>
            </w:r>
          </w:p>
        </w:tc>
      </w:tr>
      <w:tr w14:paraId="7B7AAAA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879E84" w14:textId="77777777">
            <w:pPr>
              <w:jc w:val="center"/>
              <w:rPr>
                <w:rFonts w:cs="Calibri"/>
              </w:rPr>
            </w:pPr>
            <w:r w:rsidRPr="007D15C3">
              <w:rPr>
                <w:rFonts w:cs="Calibri"/>
              </w:rPr>
              <w:t>49621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D92D8F" w14:textId="77777777">
            <w:pPr>
              <w:jc w:val="center"/>
              <w:rPr>
                <w:rFonts w:cs="Calibri"/>
              </w:rPr>
            </w:pPr>
            <w:r w:rsidRPr="007D15C3">
              <w:rPr>
                <w:rFonts w:cs="Calibri"/>
              </w:rPr>
              <w:t>KTVF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58750" w14:textId="77777777">
            <w:pPr>
              <w:rPr>
                <w:rFonts w:cs="Calibri"/>
              </w:rPr>
            </w:pPr>
            <w:r w:rsidRPr="007D15C3">
              <w:rPr>
                <w:rFonts w:cs="Calibri"/>
              </w:rPr>
              <w:t xml:space="preserve">               98,068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14E306" w14:textId="77777777">
            <w:pPr>
              <w:rPr>
                <w:rFonts w:cs="Calibri"/>
              </w:rPr>
            </w:pPr>
            <w:r w:rsidRPr="007D15C3">
              <w:rPr>
                <w:rFonts w:cs="Calibri"/>
              </w:rPr>
              <w:t xml:space="preserve">                 97,929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564AA7" w14:textId="77777777">
            <w:pPr>
              <w:jc w:val="right"/>
              <w:rPr>
                <w:rFonts w:cs="Calibri"/>
              </w:rPr>
            </w:pPr>
            <w:r w:rsidRPr="007D15C3">
              <w:rPr>
                <w:rFonts w:cs="Calibri"/>
              </w:rPr>
              <w:t>$767</w:t>
            </w:r>
          </w:p>
        </w:tc>
      </w:tr>
      <w:tr w14:paraId="3A9FD5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F2B007" w14:textId="77777777">
            <w:pPr>
              <w:jc w:val="center"/>
              <w:rPr>
                <w:rFonts w:cs="Calibri"/>
              </w:rPr>
            </w:pPr>
            <w:r w:rsidRPr="007D15C3">
              <w:rPr>
                <w:rFonts w:cs="Calibri"/>
              </w:rPr>
              <w:t>5290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57B5B7" w14:textId="77777777">
            <w:pPr>
              <w:jc w:val="center"/>
              <w:rPr>
                <w:rFonts w:cs="Calibri"/>
              </w:rPr>
            </w:pPr>
            <w:r w:rsidRPr="007D15C3">
              <w:rPr>
                <w:rFonts w:cs="Calibri"/>
              </w:rPr>
              <w:t>KTVH-DT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E2F7A8" w14:textId="77777777">
            <w:pPr>
              <w:rPr>
                <w:rFonts w:cs="Calibri"/>
              </w:rPr>
            </w:pPr>
            <w:r w:rsidRPr="007D15C3">
              <w:rPr>
                <w:rFonts w:cs="Calibri"/>
              </w:rPr>
              <w:t xml:space="preserve">             228,832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43E17D" w14:textId="77777777">
            <w:pPr>
              <w:rPr>
                <w:rFonts w:cs="Calibri"/>
              </w:rPr>
            </w:pPr>
            <w:r w:rsidRPr="007D15C3">
              <w:rPr>
                <w:rFonts w:cs="Calibri"/>
              </w:rPr>
              <w:t xml:space="preserve">               184,264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2E632F" w14:textId="77777777">
            <w:pPr>
              <w:jc w:val="right"/>
              <w:rPr>
                <w:rFonts w:cs="Calibri"/>
              </w:rPr>
            </w:pPr>
            <w:r w:rsidRPr="007D15C3">
              <w:rPr>
                <w:rFonts w:cs="Calibri"/>
              </w:rPr>
              <w:t>$1,444</w:t>
            </w:r>
          </w:p>
        </w:tc>
      </w:tr>
      <w:tr w14:paraId="18F555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D5DC6A" w14:textId="77777777">
            <w:pPr>
              <w:jc w:val="center"/>
              <w:rPr>
                <w:rFonts w:cs="Calibri"/>
              </w:rPr>
            </w:pPr>
            <w:r w:rsidRPr="007D15C3">
              <w:rPr>
                <w:rFonts w:cs="Calibri"/>
              </w:rPr>
              <w:t>35693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75A4AD" w14:textId="77777777">
            <w:pPr>
              <w:jc w:val="center"/>
              <w:rPr>
                <w:rFonts w:cs="Calibri"/>
              </w:rPr>
            </w:pPr>
            <w:r w:rsidRPr="007D15C3">
              <w:rPr>
                <w:rFonts w:cs="Calibri"/>
              </w:rPr>
              <w:t>KTVI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3B5658" w14:textId="77777777">
            <w:pPr>
              <w:rPr>
                <w:rFonts w:cs="Calibri"/>
              </w:rPr>
            </w:pPr>
            <w:r w:rsidRPr="007D15C3">
              <w:rPr>
                <w:rFonts w:cs="Calibri"/>
              </w:rPr>
              <w:t xml:space="preserve">          2,979,889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C2B1D" w14:textId="77777777">
            <w:pPr>
              <w:rPr>
                <w:rFonts w:cs="Calibri"/>
              </w:rPr>
            </w:pPr>
            <w:r w:rsidRPr="007D15C3">
              <w:rPr>
                <w:rFonts w:cs="Calibri"/>
              </w:rPr>
              <w:t xml:space="preserve">            2,976,494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BEB366" w14:textId="77777777">
            <w:pPr>
              <w:jc w:val="right"/>
              <w:rPr>
                <w:rFonts w:cs="Calibri"/>
              </w:rPr>
            </w:pPr>
            <w:r w:rsidRPr="007D15C3">
              <w:rPr>
                <w:rFonts w:cs="Calibri"/>
              </w:rPr>
              <w:t>$23,327</w:t>
            </w:r>
          </w:p>
        </w:tc>
      </w:tr>
      <w:tr w14:paraId="7E824E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D55D23" w14:textId="77777777">
            <w:pPr>
              <w:jc w:val="center"/>
              <w:rPr>
                <w:rFonts w:cs="Calibri"/>
              </w:rPr>
            </w:pPr>
            <w:r w:rsidRPr="007D15C3">
              <w:rPr>
                <w:rFonts w:cs="Calibri"/>
              </w:rPr>
              <w:t>40993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62C11D" w14:textId="77777777">
            <w:pPr>
              <w:jc w:val="center"/>
              <w:rPr>
                <w:rFonts w:cs="Calibri"/>
              </w:rPr>
            </w:pPr>
            <w:r w:rsidRPr="007D15C3">
              <w:rPr>
                <w:rFonts w:cs="Calibri"/>
              </w:rPr>
              <w:t>KTVK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972E41" w14:textId="77777777">
            <w:pPr>
              <w:rPr>
                <w:rFonts w:cs="Calibri"/>
              </w:rPr>
            </w:pPr>
            <w:r w:rsidRPr="007D15C3">
              <w:rPr>
                <w:rFonts w:cs="Calibri"/>
              </w:rPr>
              <w:t xml:space="preserve">          4,184,825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660B5" w14:textId="77777777">
            <w:pPr>
              <w:rPr>
                <w:rFonts w:cs="Calibri"/>
              </w:rPr>
            </w:pPr>
            <w:r w:rsidRPr="007D15C3">
              <w:rPr>
                <w:rFonts w:cs="Calibri"/>
              </w:rPr>
              <w:t xml:space="preserve">            4,173,024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48EB93" w14:textId="77777777">
            <w:pPr>
              <w:jc w:val="right"/>
              <w:rPr>
                <w:rFonts w:cs="Calibri"/>
              </w:rPr>
            </w:pPr>
            <w:r w:rsidRPr="007D15C3">
              <w:rPr>
                <w:rFonts w:cs="Calibri"/>
              </w:rPr>
              <w:t>$32,704</w:t>
            </w:r>
          </w:p>
        </w:tc>
      </w:tr>
      <w:tr w14:paraId="57BC3D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17E320" w14:textId="77777777">
            <w:pPr>
              <w:jc w:val="center"/>
              <w:rPr>
                <w:rFonts w:cs="Calibri"/>
              </w:rPr>
            </w:pPr>
            <w:r w:rsidRPr="007D15C3">
              <w:rPr>
                <w:rFonts w:cs="Calibri"/>
              </w:rPr>
              <w:t>22570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712C0C" w14:textId="77777777">
            <w:pPr>
              <w:jc w:val="center"/>
              <w:rPr>
                <w:rFonts w:cs="Calibri"/>
              </w:rPr>
            </w:pPr>
            <w:r w:rsidRPr="007D15C3">
              <w:rPr>
                <w:rFonts w:cs="Calibri"/>
              </w:rPr>
              <w:t>KTVL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B3B801" w14:textId="77777777">
            <w:pPr>
              <w:rPr>
                <w:rFonts w:cs="Calibri"/>
              </w:rPr>
            </w:pPr>
            <w:r w:rsidRPr="007D15C3">
              <w:rPr>
                <w:rFonts w:cs="Calibri"/>
              </w:rPr>
              <w:t xml:space="preserve">             415,327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A6CAB7" w14:textId="77777777">
            <w:pPr>
              <w:rPr>
                <w:rFonts w:cs="Calibri"/>
              </w:rPr>
            </w:pPr>
            <w:r w:rsidRPr="007D15C3">
              <w:rPr>
                <w:rFonts w:cs="Calibri"/>
              </w:rPr>
              <w:t xml:space="preserve">               358,979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BBABD7" w14:textId="77777777">
            <w:pPr>
              <w:jc w:val="right"/>
              <w:rPr>
                <w:rFonts w:cs="Calibri"/>
              </w:rPr>
            </w:pPr>
            <w:r w:rsidRPr="007D15C3">
              <w:rPr>
                <w:rFonts w:cs="Calibri"/>
              </w:rPr>
              <w:t>$2,813</w:t>
            </w:r>
          </w:p>
        </w:tc>
      </w:tr>
      <w:tr w14:paraId="3D7359B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8BB01E" w14:textId="77777777">
            <w:pPr>
              <w:jc w:val="center"/>
              <w:rPr>
                <w:rFonts w:cs="Calibri"/>
              </w:rPr>
            </w:pPr>
            <w:r w:rsidRPr="007D15C3">
              <w:rPr>
                <w:rFonts w:cs="Calibri"/>
              </w:rPr>
              <w:t>18066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F04EBB" w14:textId="77777777">
            <w:pPr>
              <w:jc w:val="center"/>
              <w:rPr>
                <w:rFonts w:cs="Calibri"/>
              </w:rPr>
            </w:pPr>
            <w:r w:rsidRPr="007D15C3">
              <w:rPr>
                <w:rFonts w:cs="Calibri"/>
              </w:rPr>
              <w:t>KTVM-TV*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09420F" w14:textId="77777777">
            <w:pPr>
              <w:rPr>
                <w:rFonts w:cs="Calibri"/>
              </w:rPr>
            </w:pPr>
            <w:r w:rsidRPr="007D15C3">
              <w:rPr>
                <w:rFonts w:cs="Calibri"/>
              </w:rPr>
              <w:t xml:space="preserve">             260,105</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382965" w14:textId="77777777">
            <w:pPr>
              <w:rPr>
                <w:rFonts w:cs="Calibri"/>
              </w:rPr>
            </w:pPr>
            <w:r w:rsidRPr="007D15C3">
              <w:rPr>
                <w:rFonts w:cs="Calibri"/>
              </w:rPr>
              <w:t xml:space="preserve">               217,694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98C967" w14:textId="77777777">
            <w:pPr>
              <w:jc w:val="right"/>
              <w:rPr>
                <w:rFonts w:cs="Calibri"/>
              </w:rPr>
            </w:pPr>
            <w:r w:rsidRPr="007D15C3">
              <w:rPr>
                <w:rFonts w:cs="Calibri"/>
              </w:rPr>
              <w:t>$1,706</w:t>
            </w:r>
          </w:p>
        </w:tc>
      </w:tr>
      <w:tr w14:paraId="2B5C245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45D7DD" w14:textId="77777777">
            <w:pPr>
              <w:jc w:val="center"/>
              <w:rPr>
                <w:rFonts w:cs="Calibri"/>
              </w:rPr>
            </w:pPr>
            <w:r w:rsidRPr="007D15C3">
              <w:rPr>
                <w:rFonts w:cs="Calibri"/>
              </w:rPr>
              <w:t>59139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7701F7" w14:textId="77777777">
            <w:pPr>
              <w:jc w:val="center"/>
              <w:rPr>
                <w:rFonts w:cs="Calibri"/>
              </w:rPr>
            </w:pPr>
            <w:r w:rsidRPr="007D15C3">
              <w:rPr>
                <w:rFonts w:cs="Calibri"/>
              </w:rPr>
              <w:t>KTVN*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9341EA" w14:textId="77777777">
            <w:pPr>
              <w:rPr>
                <w:rFonts w:cs="Calibri"/>
              </w:rPr>
            </w:pPr>
            <w:r w:rsidRPr="007D15C3">
              <w:rPr>
                <w:rFonts w:cs="Calibri"/>
              </w:rPr>
              <w:t xml:space="preserve">             955,490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54780A" w14:textId="77777777">
            <w:pPr>
              <w:rPr>
                <w:rFonts w:cs="Calibri"/>
              </w:rPr>
            </w:pPr>
            <w:r w:rsidRPr="007D15C3">
              <w:rPr>
                <w:rFonts w:cs="Calibri"/>
              </w:rPr>
              <w:t xml:space="preserve">               800,420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8DDCCB" w14:textId="77777777">
            <w:pPr>
              <w:jc w:val="right"/>
              <w:rPr>
                <w:rFonts w:cs="Calibri"/>
              </w:rPr>
            </w:pPr>
            <w:r w:rsidRPr="007D15C3">
              <w:rPr>
                <w:rFonts w:cs="Calibri"/>
              </w:rPr>
              <w:t>$6,273</w:t>
            </w:r>
          </w:p>
        </w:tc>
      </w:tr>
      <w:tr w14:paraId="01B2E48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EA500F" w14:textId="77777777">
            <w:pPr>
              <w:jc w:val="center"/>
              <w:rPr>
                <w:rFonts w:cs="Calibri"/>
              </w:rPr>
            </w:pPr>
            <w:r w:rsidRPr="007D15C3">
              <w:rPr>
                <w:rFonts w:cs="Calibri"/>
              </w:rPr>
              <w:t>21251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0E0301" w14:textId="77777777">
            <w:pPr>
              <w:jc w:val="center"/>
              <w:rPr>
                <w:rFonts w:cs="Calibri"/>
              </w:rPr>
            </w:pPr>
            <w:r w:rsidRPr="007D15C3">
              <w:rPr>
                <w:rFonts w:cs="Calibri"/>
              </w:rPr>
              <w:t>KTVO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95EFA4" w14:textId="77777777">
            <w:pPr>
              <w:rPr>
                <w:rFonts w:cs="Calibri"/>
              </w:rPr>
            </w:pPr>
            <w:r w:rsidRPr="007D15C3">
              <w:rPr>
                <w:rFonts w:cs="Calibri"/>
              </w:rPr>
              <w:t xml:space="preserve">             148,780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173BD9" w14:textId="77777777">
            <w:pPr>
              <w:rPr>
                <w:rFonts w:cs="Calibri"/>
              </w:rPr>
            </w:pPr>
            <w:r w:rsidRPr="007D15C3">
              <w:rPr>
                <w:rFonts w:cs="Calibri"/>
              </w:rPr>
              <w:t xml:space="preserve">               148,647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5FC26E" w14:textId="77777777">
            <w:pPr>
              <w:jc w:val="right"/>
              <w:rPr>
                <w:rFonts w:cs="Calibri"/>
              </w:rPr>
            </w:pPr>
            <w:r w:rsidRPr="007D15C3">
              <w:rPr>
                <w:rFonts w:cs="Calibri"/>
              </w:rPr>
              <w:t>$1,165</w:t>
            </w:r>
          </w:p>
        </w:tc>
      </w:tr>
      <w:tr w14:paraId="1298FC4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F6F952" w14:textId="77777777">
            <w:pPr>
              <w:jc w:val="center"/>
              <w:rPr>
                <w:rFonts w:cs="Calibri"/>
              </w:rPr>
            </w:pPr>
            <w:r w:rsidRPr="007D15C3">
              <w:rPr>
                <w:rFonts w:cs="Calibri"/>
              </w:rPr>
              <w:t>35694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C7A18D" w14:textId="77777777">
            <w:pPr>
              <w:jc w:val="center"/>
              <w:rPr>
                <w:rFonts w:cs="Calibri"/>
              </w:rPr>
            </w:pPr>
            <w:r w:rsidRPr="007D15C3">
              <w:rPr>
                <w:rFonts w:cs="Calibri"/>
              </w:rPr>
              <w:t>KTVQ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8D51C7" w14:textId="77777777">
            <w:pPr>
              <w:rPr>
                <w:rFonts w:cs="Calibri"/>
              </w:rPr>
            </w:pPr>
            <w:r w:rsidRPr="007D15C3">
              <w:rPr>
                <w:rFonts w:cs="Calibri"/>
              </w:rPr>
              <w:t xml:space="preserve">             179,797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86F192" w14:textId="77777777">
            <w:pPr>
              <w:rPr>
                <w:rFonts w:cs="Calibri"/>
              </w:rPr>
            </w:pPr>
            <w:r w:rsidRPr="007D15C3">
              <w:rPr>
                <w:rFonts w:cs="Calibri"/>
              </w:rPr>
              <w:t xml:space="preserve">               173,271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EE434F" w14:textId="77777777">
            <w:pPr>
              <w:jc w:val="right"/>
              <w:rPr>
                <w:rFonts w:cs="Calibri"/>
              </w:rPr>
            </w:pPr>
            <w:r w:rsidRPr="007D15C3">
              <w:rPr>
                <w:rFonts w:cs="Calibri"/>
              </w:rPr>
              <w:t>$1,358</w:t>
            </w:r>
          </w:p>
        </w:tc>
      </w:tr>
      <w:tr w14:paraId="176E59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13DE35" w14:textId="77777777">
            <w:pPr>
              <w:jc w:val="center"/>
              <w:rPr>
                <w:rFonts w:cs="Calibri"/>
              </w:rPr>
            </w:pPr>
            <w:r w:rsidRPr="007D15C3">
              <w:rPr>
                <w:rFonts w:cs="Calibri"/>
              </w:rPr>
              <w:t>50592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404EA1" w14:textId="77777777">
            <w:pPr>
              <w:jc w:val="center"/>
              <w:rPr>
                <w:rFonts w:cs="Calibri"/>
              </w:rPr>
            </w:pPr>
            <w:r w:rsidRPr="007D15C3">
              <w:rPr>
                <w:rFonts w:cs="Calibri"/>
              </w:rPr>
              <w:t>KTVR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1532E2" w14:textId="77777777">
            <w:pPr>
              <w:rPr>
                <w:rFonts w:cs="Calibri"/>
              </w:rPr>
            </w:pPr>
            <w:r w:rsidRPr="007D15C3">
              <w:rPr>
                <w:rFonts w:cs="Calibri"/>
              </w:rPr>
              <w:t xml:space="preserve">             147,808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4DCB04" w14:textId="77777777">
            <w:pPr>
              <w:rPr>
                <w:rFonts w:cs="Calibri"/>
              </w:rPr>
            </w:pPr>
            <w:r w:rsidRPr="007D15C3">
              <w:rPr>
                <w:rFonts w:cs="Calibri"/>
              </w:rPr>
              <w:t xml:space="preserve">                 54,480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7213CC" w14:textId="77777777">
            <w:pPr>
              <w:jc w:val="right"/>
              <w:rPr>
                <w:rFonts w:cs="Calibri"/>
              </w:rPr>
            </w:pPr>
            <w:r w:rsidRPr="007D15C3">
              <w:rPr>
                <w:rFonts w:cs="Calibri"/>
              </w:rPr>
              <w:t>$427</w:t>
            </w:r>
          </w:p>
        </w:tc>
      </w:tr>
      <w:tr w14:paraId="3791A0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5B4B68" w14:textId="77777777">
            <w:pPr>
              <w:jc w:val="center"/>
              <w:rPr>
                <w:rFonts w:cs="Calibri"/>
              </w:rPr>
            </w:pPr>
            <w:r w:rsidRPr="007D15C3">
              <w:rPr>
                <w:rFonts w:cs="Calibri"/>
              </w:rPr>
              <w:t>23422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68CAC1" w14:textId="77777777">
            <w:pPr>
              <w:jc w:val="center"/>
              <w:rPr>
                <w:rFonts w:cs="Calibri"/>
              </w:rPr>
            </w:pPr>
            <w:r w:rsidRPr="007D15C3">
              <w:rPr>
                <w:rFonts w:cs="Calibri"/>
              </w:rPr>
              <w:t>KTVT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373AFD" w14:textId="77777777">
            <w:pPr>
              <w:rPr>
                <w:rFonts w:cs="Calibri"/>
              </w:rPr>
            </w:pPr>
            <w:r w:rsidRPr="007D15C3">
              <w:rPr>
                <w:rFonts w:cs="Calibri"/>
              </w:rPr>
              <w:t xml:space="preserve">          6,912,366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DEAC89" w14:textId="77777777">
            <w:pPr>
              <w:rPr>
                <w:rFonts w:cs="Calibri"/>
              </w:rPr>
            </w:pPr>
            <w:r w:rsidRPr="007D15C3">
              <w:rPr>
                <w:rFonts w:cs="Calibri"/>
              </w:rPr>
              <w:t xml:space="preserve">            6,908,715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8DFF8D" w14:textId="77777777">
            <w:pPr>
              <w:jc w:val="right"/>
              <w:rPr>
                <w:rFonts w:cs="Calibri"/>
              </w:rPr>
            </w:pPr>
            <w:r w:rsidRPr="007D15C3">
              <w:rPr>
                <w:rFonts w:cs="Calibri"/>
              </w:rPr>
              <w:t>$54,144</w:t>
            </w:r>
          </w:p>
        </w:tc>
      </w:tr>
      <w:tr w14:paraId="16B37D5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D118D4" w14:textId="77777777">
            <w:pPr>
              <w:jc w:val="center"/>
              <w:rPr>
                <w:rFonts w:cs="Calibri"/>
              </w:rPr>
            </w:pPr>
            <w:r w:rsidRPr="007D15C3">
              <w:rPr>
                <w:rFonts w:cs="Calibri"/>
              </w:rPr>
              <w:t>35703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B25B80" w14:textId="77777777">
            <w:pPr>
              <w:jc w:val="center"/>
              <w:rPr>
                <w:rFonts w:cs="Calibri"/>
              </w:rPr>
            </w:pPr>
            <w:r w:rsidRPr="007D15C3">
              <w:rPr>
                <w:rFonts w:cs="Calibri"/>
              </w:rPr>
              <w:t>KTVU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6D1937" w14:textId="77777777">
            <w:pPr>
              <w:rPr>
                <w:rFonts w:cs="Calibri"/>
              </w:rPr>
            </w:pPr>
            <w:r w:rsidRPr="007D15C3">
              <w:rPr>
                <w:rFonts w:cs="Calibri"/>
              </w:rPr>
              <w:t xml:space="preserve">          7,913,996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6D130B" w14:textId="77777777">
            <w:pPr>
              <w:rPr>
                <w:rFonts w:cs="Calibri"/>
              </w:rPr>
            </w:pPr>
            <w:r w:rsidRPr="007D15C3">
              <w:rPr>
                <w:rFonts w:cs="Calibri"/>
              </w:rPr>
              <w:t xml:space="preserve">            6,825,643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807272" w14:textId="77777777">
            <w:pPr>
              <w:jc w:val="right"/>
              <w:rPr>
                <w:rFonts w:cs="Calibri"/>
              </w:rPr>
            </w:pPr>
            <w:r w:rsidRPr="007D15C3">
              <w:rPr>
                <w:rFonts w:cs="Calibri"/>
              </w:rPr>
              <w:t>$53,493</w:t>
            </w:r>
          </w:p>
        </w:tc>
      </w:tr>
      <w:tr w14:paraId="4C189CF3"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DD6605" w14:textId="77777777">
            <w:pPr>
              <w:jc w:val="center"/>
              <w:rPr>
                <w:rFonts w:cs="Calibri"/>
              </w:rPr>
            </w:pPr>
            <w:r w:rsidRPr="007D15C3">
              <w:rPr>
                <w:rFonts w:cs="Calibri"/>
              </w:rPr>
              <w:t>35705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0E9FDD15" w14:textId="77777777">
            <w:pPr>
              <w:jc w:val="center"/>
              <w:rPr>
                <w:rFonts w:cs="Calibri"/>
              </w:rPr>
            </w:pPr>
            <w:r w:rsidRPr="007D15C3">
              <w:rPr>
                <w:rFonts w:cs="Calibri"/>
              </w:rPr>
              <w:t>KTVW-DT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5F12D7F" w14:textId="77777777">
            <w:pPr>
              <w:rPr>
                <w:rFonts w:cs="Calibri"/>
              </w:rPr>
            </w:pPr>
            <w:r w:rsidRPr="007D15C3">
              <w:rPr>
                <w:rFonts w:cs="Calibri"/>
              </w:rPr>
              <w:t xml:space="preserve">          4,173,111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06B23D3" w14:textId="77777777">
            <w:pPr>
              <w:rPr>
                <w:rFonts w:cs="Calibri"/>
              </w:rPr>
            </w:pPr>
            <w:r w:rsidRPr="007D15C3">
              <w:rPr>
                <w:rFonts w:cs="Calibri"/>
              </w:rPr>
              <w:t xml:space="preserve">            4,159,807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94A2275" w14:textId="77777777">
            <w:pPr>
              <w:jc w:val="right"/>
              <w:rPr>
                <w:rFonts w:cs="Calibri"/>
              </w:rPr>
            </w:pPr>
            <w:r w:rsidRPr="007D15C3">
              <w:rPr>
                <w:rFonts w:cs="Calibri"/>
              </w:rPr>
              <w:t>$32,600</w:t>
            </w:r>
          </w:p>
        </w:tc>
      </w:tr>
      <w:tr w14:paraId="3A066C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49E3D3" w14:textId="77777777">
            <w:pPr>
              <w:jc w:val="center"/>
              <w:rPr>
                <w:rFonts w:cs="Calibri"/>
              </w:rPr>
            </w:pPr>
            <w:r w:rsidRPr="007D15C3">
              <w:rPr>
                <w:rFonts w:cs="Calibri"/>
              </w:rPr>
              <w:t>68889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B615C8" w14:textId="77777777">
            <w:pPr>
              <w:jc w:val="center"/>
              <w:rPr>
                <w:rFonts w:cs="Calibri"/>
              </w:rPr>
            </w:pPr>
            <w:r w:rsidRPr="007D15C3">
              <w:rPr>
                <w:rFonts w:cs="Calibri"/>
              </w:rPr>
              <w:t>KTVX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6E645D" w14:textId="77777777">
            <w:pPr>
              <w:rPr>
                <w:rFonts w:cs="Calibri"/>
              </w:rPr>
            </w:pPr>
            <w:r w:rsidRPr="007D15C3">
              <w:rPr>
                <w:rFonts w:cs="Calibri"/>
              </w:rPr>
              <w:t xml:space="preserve">          2,389,392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0CFAEE" w14:textId="77777777">
            <w:pPr>
              <w:rPr>
                <w:rFonts w:cs="Calibri"/>
              </w:rPr>
            </w:pPr>
            <w:r w:rsidRPr="007D15C3">
              <w:rPr>
                <w:rFonts w:cs="Calibri"/>
              </w:rPr>
              <w:t xml:space="preserve">            2,200,520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0370AC" w14:textId="77777777">
            <w:pPr>
              <w:jc w:val="right"/>
              <w:rPr>
                <w:rFonts w:cs="Calibri"/>
              </w:rPr>
            </w:pPr>
            <w:r w:rsidRPr="007D15C3">
              <w:rPr>
                <w:rFonts w:cs="Calibri"/>
              </w:rPr>
              <w:t>$17,245</w:t>
            </w:r>
          </w:p>
        </w:tc>
      </w:tr>
      <w:tr w14:paraId="242C338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6EC1D9" w14:textId="77777777">
            <w:pPr>
              <w:jc w:val="center"/>
              <w:rPr>
                <w:rFonts w:cs="Calibri"/>
              </w:rPr>
            </w:pPr>
            <w:r w:rsidRPr="007D15C3">
              <w:rPr>
                <w:rFonts w:cs="Calibri"/>
              </w:rPr>
              <w:t>55907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0F5A7A" w14:textId="77777777">
            <w:pPr>
              <w:jc w:val="center"/>
              <w:rPr>
                <w:rFonts w:cs="Calibri"/>
              </w:rPr>
            </w:pPr>
            <w:r w:rsidRPr="007D15C3">
              <w:rPr>
                <w:rFonts w:cs="Calibri"/>
              </w:rPr>
              <w:t>KTVZ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0EE073" w14:textId="77777777">
            <w:pPr>
              <w:rPr>
                <w:rFonts w:cs="Calibri"/>
              </w:rPr>
            </w:pPr>
            <w:r w:rsidRPr="007D15C3">
              <w:rPr>
                <w:rFonts w:cs="Calibri"/>
              </w:rPr>
              <w:t xml:space="preserve">             201,828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C5656F" w14:textId="77777777">
            <w:pPr>
              <w:rPr>
                <w:rFonts w:cs="Calibri"/>
              </w:rPr>
            </w:pPr>
            <w:r w:rsidRPr="007D15C3">
              <w:rPr>
                <w:rFonts w:cs="Calibri"/>
              </w:rPr>
              <w:t xml:space="preserve">               198,558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11C01" w14:textId="77777777">
            <w:pPr>
              <w:jc w:val="right"/>
              <w:rPr>
                <w:rFonts w:cs="Calibri"/>
              </w:rPr>
            </w:pPr>
            <w:r w:rsidRPr="007D15C3">
              <w:rPr>
                <w:rFonts w:cs="Calibri"/>
              </w:rPr>
              <w:t>$1,556</w:t>
            </w:r>
          </w:p>
        </w:tc>
      </w:tr>
      <w:tr w14:paraId="1D03287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C24BE3" w14:textId="77777777">
            <w:pPr>
              <w:jc w:val="center"/>
              <w:rPr>
                <w:rFonts w:cs="Calibri"/>
              </w:rPr>
            </w:pPr>
            <w:r w:rsidRPr="007D15C3">
              <w:rPr>
                <w:rFonts w:cs="Calibri"/>
              </w:rPr>
              <w:t>18286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E62EFE" w14:textId="77777777">
            <w:pPr>
              <w:jc w:val="center"/>
              <w:rPr>
                <w:rFonts w:cs="Calibri"/>
              </w:rPr>
            </w:pPr>
            <w:r w:rsidRPr="007D15C3">
              <w:rPr>
                <w:rFonts w:cs="Calibri"/>
              </w:rPr>
              <w:t>KTWO-TV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A56C7D" w14:textId="77777777">
            <w:pPr>
              <w:rPr>
                <w:rFonts w:cs="Calibri"/>
              </w:rPr>
            </w:pPr>
            <w:r w:rsidRPr="007D15C3">
              <w:rPr>
                <w:rFonts w:cs="Calibri"/>
              </w:rPr>
              <w:t xml:space="preserve">               80,426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3FC34F" w14:textId="77777777">
            <w:pPr>
              <w:rPr>
                <w:rFonts w:cs="Calibri"/>
              </w:rPr>
            </w:pPr>
            <w:r w:rsidRPr="007D15C3">
              <w:rPr>
                <w:rFonts w:cs="Calibri"/>
              </w:rPr>
              <w:t xml:space="preserve">                 79,905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34ADFA" w14:textId="77777777">
            <w:pPr>
              <w:jc w:val="right"/>
              <w:rPr>
                <w:rFonts w:cs="Calibri"/>
              </w:rPr>
            </w:pPr>
            <w:r w:rsidRPr="007D15C3">
              <w:rPr>
                <w:rFonts w:cs="Calibri"/>
              </w:rPr>
              <w:t>$626</w:t>
            </w:r>
          </w:p>
        </w:tc>
      </w:tr>
      <w:tr w14:paraId="327F47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340C23" w14:textId="77777777">
            <w:pPr>
              <w:jc w:val="center"/>
              <w:rPr>
                <w:rFonts w:cs="Calibri"/>
              </w:rPr>
            </w:pPr>
            <w:r w:rsidRPr="007D15C3">
              <w:rPr>
                <w:rFonts w:cs="Calibri"/>
              </w:rPr>
              <w:t>70938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C26950" w14:textId="77777777">
            <w:pPr>
              <w:jc w:val="center"/>
              <w:rPr>
                <w:rFonts w:cs="Calibri"/>
              </w:rPr>
            </w:pPr>
            <w:r w:rsidRPr="007D15C3">
              <w:rPr>
                <w:rFonts w:cs="Calibri"/>
              </w:rPr>
              <w:t>KTWU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4F10A7" w14:textId="77777777">
            <w:pPr>
              <w:rPr>
                <w:rFonts w:cs="Calibri"/>
              </w:rPr>
            </w:pPr>
            <w:r w:rsidRPr="007D15C3">
              <w:rPr>
                <w:rFonts w:cs="Calibri"/>
              </w:rPr>
              <w:t xml:space="preserve">          1,703,798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3EDAC5" w14:textId="77777777">
            <w:pPr>
              <w:rPr>
                <w:rFonts w:cs="Calibri"/>
              </w:rPr>
            </w:pPr>
            <w:r w:rsidRPr="007D15C3">
              <w:rPr>
                <w:rFonts w:cs="Calibri"/>
              </w:rPr>
              <w:t xml:space="preserve">            1,562,305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5B7409" w14:textId="77777777">
            <w:pPr>
              <w:jc w:val="right"/>
              <w:rPr>
                <w:rFonts w:cs="Calibri"/>
              </w:rPr>
            </w:pPr>
            <w:r w:rsidRPr="007D15C3">
              <w:rPr>
                <w:rFonts w:cs="Calibri"/>
              </w:rPr>
              <w:t>$12,244</w:t>
            </w:r>
          </w:p>
        </w:tc>
      </w:tr>
      <w:tr w14:paraId="3A5169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D95A64" w14:textId="77777777">
            <w:pPr>
              <w:jc w:val="center"/>
              <w:rPr>
                <w:rFonts w:cs="Calibri"/>
              </w:rPr>
            </w:pPr>
            <w:r w:rsidRPr="007D15C3">
              <w:rPr>
                <w:rFonts w:cs="Calibri"/>
              </w:rPr>
              <w:t>51517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6D8326" w14:textId="77777777">
            <w:pPr>
              <w:jc w:val="center"/>
              <w:rPr>
                <w:rFonts w:cs="Calibri"/>
              </w:rPr>
            </w:pPr>
            <w:r w:rsidRPr="007D15C3">
              <w:rPr>
                <w:rFonts w:cs="Calibri"/>
              </w:rPr>
              <w:t>KTXA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4D13F6" w14:textId="77777777">
            <w:pPr>
              <w:rPr>
                <w:rFonts w:cs="Calibri"/>
              </w:rPr>
            </w:pPr>
            <w:r w:rsidRPr="007D15C3">
              <w:rPr>
                <w:rFonts w:cs="Calibri"/>
              </w:rPr>
              <w:t xml:space="preserve">          6,876,811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037EF7" w14:textId="77777777">
            <w:pPr>
              <w:rPr>
                <w:rFonts w:cs="Calibri"/>
              </w:rPr>
            </w:pPr>
            <w:r w:rsidRPr="007D15C3">
              <w:rPr>
                <w:rFonts w:cs="Calibri"/>
              </w:rPr>
              <w:t xml:space="preserve">            6,873,221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2A7EDB" w14:textId="77777777">
            <w:pPr>
              <w:jc w:val="right"/>
              <w:rPr>
                <w:rFonts w:cs="Calibri"/>
              </w:rPr>
            </w:pPr>
            <w:r w:rsidRPr="007D15C3">
              <w:rPr>
                <w:rFonts w:cs="Calibri"/>
              </w:rPr>
              <w:t>$53,865</w:t>
            </w:r>
          </w:p>
        </w:tc>
      </w:tr>
      <w:tr w14:paraId="5DE8AA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391614" w14:textId="77777777">
            <w:pPr>
              <w:jc w:val="center"/>
              <w:rPr>
                <w:rFonts w:cs="Calibri"/>
              </w:rPr>
            </w:pPr>
            <w:r w:rsidRPr="007D15C3">
              <w:rPr>
                <w:rFonts w:cs="Calibri"/>
              </w:rPr>
              <w:t>42359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10FA1A" w14:textId="77777777">
            <w:pPr>
              <w:jc w:val="center"/>
              <w:rPr>
                <w:rFonts w:cs="Calibri"/>
              </w:rPr>
            </w:pPr>
            <w:r w:rsidRPr="007D15C3">
              <w:rPr>
                <w:rFonts w:cs="Calibri"/>
              </w:rPr>
              <w:t>KTXD-TV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575C15" w14:textId="77777777">
            <w:pPr>
              <w:rPr>
                <w:rFonts w:cs="Calibri"/>
              </w:rPr>
            </w:pPr>
            <w:r w:rsidRPr="007D15C3">
              <w:rPr>
                <w:rFonts w:cs="Calibri"/>
              </w:rPr>
              <w:t xml:space="preserve">          6,706,651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748B04" w14:textId="77777777">
            <w:pPr>
              <w:rPr>
                <w:rFonts w:cs="Calibri"/>
              </w:rPr>
            </w:pPr>
            <w:r w:rsidRPr="007D15C3">
              <w:rPr>
                <w:rFonts w:cs="Calibri"/>
              </w:rPr>
              <w:t xml:space="preserve">            6,704,781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05D5D2" w14:textId="77777777">
            <w:pPr>
              <w:jc w:val="right"/>
              <w:rPr>
                <w:rFonts w:cs="Calibri"/>
              </w:rPr>
            </w:pPr>
            <w:r w:rsidRPr="007D15C3">
              <w:rPr>
                <w:rFonts w:cs="Calibri"/>
              </w:rPr>
              <w:t>$52,545</w:t>
            </w:r>
          </w:p>
        </w:tc>
      </w:tr>
      <w:tr w14:paraId="186D83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1D0FA4F" w14:textId="77777777">
            <w:pPr>
              <w:jc w:val="center"/>
              <w:rPr>
                <w:rFonts w:cs="Calibri"/>
              </w:rPr>
            </w:pPr>
            <w:r w:rsidRPr="007D15C3">
              <w:rPr>
                <w:rFonts w:cs="Calibri"/>
              </w:rPr>
              <w:t>51569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1F8204" w14:textId="77777777">
            <w:pPr>
              <w:jc w:val="center"/>
              <w:rPr>
                <w:rFonts w:cs="Calibri"/>
              </w:rPr>
            </w:pPr>
            <w:r w:rsidRPr="007D15C3">
              <w:rPr>
                <w:rFonts w:cs="Calibri"/>
              </w:rPr>
              <w:t>KTXH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CB9AB6" w14:textId="77777777">
            <w:pPr>
              <w:rPr>
                <w:rFonts w:cs="Calibri"/>
              </w:rPr>
            </w:pPr>
            <w:r w:rsidRPr="007D15C3">
              <w:rPr>
                <w:rFonts w:cs="Calibri"/>
              </w:rPr>
              <w:t xml:space="preserve">          6,092,710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FB07FD" w14:textId="77777777">
            <w:pPr>
              <w:rPr>
                <w:rFonts w:cs="Calibri"/>
              </w:rPr>
            </w:pPr>
            <w:r w:rsidRPr="007D15C3">
              <w:rPr>
                <w:rFonts w:cs="Calibri"/>
              </w:rPr>
              <w:t xml:space="preserve">            6,092,525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6E66E1" w14:textId="77777777">
            <w:pPr>
              <w:jc w:val="right"/>
              <w:rPr>
                <w:rFonts w:cs="Calibri"/>
              </w:rPr>
            </w:pPr>
            <w:r w:rsidRPr="007D15C3">
              <w:rPr>
                <w:rFonts w:cs="Calibri"/>
              </w:rPr>
              <w:t>$47,747</w:t>
            </w:r>
          </w:p>
        </w:tc>
      </w:tr>
      <w:tr w14:paraId="1901646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65526B" w14:textId="77777777">
            <w:pPr>
              <w:jc w:val="center"/>
              <w:rPr>
                <w:rFonts w:cs="Calibri"/>
              </w:rPr>
            </w:pPr>
            <w:r w:rsidRPr="007D15C3">
              <w:rPr>
                <w:rFonts w:cs="Calibri"/>
              </w:rPr>
              <w:t>10205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17A6A5" w14:textId="77777777">
            <w:pPr>
              <w:jc w:val="center"/>
              <w:rPr>
                <w:rFonts w:cs="Calibri"/>
              </w:rPr>
            </w:pPr>
            <w:r w:rsidRPr="007D15C3">
              <w:rPr>
                <w:rFonts w:cs="Calibri"/>
              </w:rPr>
              <w:t>KTXL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60BE44" w14:textId="77777777">
            <w:pPr>
              <w:rPr>
                <w:rFonts w:cs="Calibri"/>
              </w:rPr>
            </w:pPr>
            <w:r w:rsidRPr="007D15C3">
              <w:rPr>
                <w:rFonts w:cs="Calibri"/>
              </w:rPr>
              <w:t xml:space="preserve">          7,355,088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7004A1" w14:textId="77777777">
            <w:pPr>
              <w:rPr>
                <w:rFonts w:cs="Calibri"/>
              </w:rPr>
            </w:pPr>
            <w:r w:rsidRPr="007D15C3">
              <w:rPr>
                <w:rFonts w:cs="Calibri"/>
              </w:rPr>
              <w:t xml:space="preserve">            5,411,484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6E6ABC" w14:textId="77777777">
            <w:pPr>
              <w:jc w:val="right"/>
              <w:rPr>
                <w:rFonts w:cs="Calibri"/>
              </w:rPr>
            </w:pPr>
            <w:r w:rsidRPr="007D15C3">
              <w:rPr>
                <w:rFonts w:cs="Calibri"/>
              </w:rPr>
              <w:t>$42,410</w:t>
            </w:r>
          </w:p>
        </w:tc>
      </w:tr>
      <w:tr w14:paraId="241AB9F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755613" w14:textId="77777777">
            <w:pPr>
              <w:jc w:val="center"/>
              <w:rPr>
                <w:rFonts w:cs="Calibri"/>
              </w:rPr>
            </w:pPr>
            <w:r w:rsidRPr="007D15C3">
              <w:rPr>
                <w:rFonts w:cs="Calibri"/>
              </w:rPr>
              <w:t>308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73F982" w14:textId="77777777">
            <w:pPr>
              <w:jc w:val="center"/>
              <w:rPr>
                <w:rFonts w:cs="Calibri"/>
              </w:rPr>
            </w:pPr>
            <w:r w:rsidRPr="007D15C3">
              <w:rPr>
                <w:rFonts w:cs="Calibri"/>
              </w:rPr>
              <w:t>KTXS-TV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37CB91" w14:textId="77777777">
            <w:pPr>
              <w:rPr>
                <w:rFonts w:cs="Calibri"/>
              </w:rPr>
            </w:pPr>
            <w:r w:rsidRPr="007D15C3">
              <w:rPr>
                <w:rFonts w:cs="Calibri"/>
              </w:rPr>
              <w:t xml:space="preserve">             247,603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893D43" w14:textId="77777777">
            <w:pPr>
              <w:rPr>
                <w:rFonts w:cs="Calibri"/>
              </w:rPr>
            </w:pPr>
            <w:r w:rsidRPr="007D15C3">
              <w:rPr>
                <w:rFonts w:cs="Calibri"/>
              </w:rPr>
              <w:t xml:space="preserve">               246,760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000709" w14:textId="77777777">
            <w:pPr>
              <w:jc w:val="right"/>
              <w:rPr>
                <w:rFonts w:cs="Calibri"/>
              </w:rPr>
            </w:pPr>
            <w:r w:rsidRPr="007D15C3">
              <w:rPr>
                <w:rFonts w:cs="Calibri"/>
              </w:rPr>
              <w:t>$1,934</w:t>
            </w:r>
          </w:p>
        </w:tc>
      </w:tr>
      <w:tr w14:paraId="0FFD10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5DF0F5" w14:textId="77777777">
            <w:pPr>
              <w:jc w:val="center"/>
              <w:rPr>
                <w:rFonts w:cs="Calibri"/>
              </w:rPr>
            </w:pPr>
            <w:r w:rsidRPr="007D15C3">
              <w:rPr>
                <w:rFonts w:cs="Calibri"/>
              </w:rPr>
              <w:t>69315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F1BCE0" w14:textId="77777777">
            <w:pPr>
              <w:jc w:val="center"/>
              <w:rPr>
                <w:rFonts w:cs="Calibri"/>
              </w:rPr>
            </w:pPr>
            <w:r w:rsidRPr="007D15C3">
              <w:rPr>
                <w:rFonts w:cs="Calibri"/>
              </w:rPr>
              <w:t>KUAC-TV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E796FF" w14:textId="77777777">
            <w:pPr>
              <w:rPr>
                <w:rFonts w:cs="Calibri"/>
              </w:rPr>
            </w:pPr>
            <w:r w:rsidRPr="007D15C3">
              <w:rPr>
                <w:rFonts w:cs="Calibri"/>
              </w:rPr>
              <w:t xml:space="preserve">               98,717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988243" w14:textId="77777777">
            <w:pPr>
              <w:rPr>
                <w:rFonts w:cs="Calibri"/>
              </w:rPr>
            </w:pPr>
            <w:r w:rsidRPr="007D15C3">
              <w:rPr>
                <w:rFonts w:cs="Calibri"/>
              </w:rPr>
              <w:t xml:space="preserve">                 98,189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CA2513" w14:textId="77777777">
            <w:pPr>
              <w:jc w:val="right"/>
              <w:rPr>
                <w:rFonts w:cs="Calibri"/>
              </w:rPr>
            </w:pPr>
            <w:r w:rsidRPr="007D15C3">
              <w:rPr>
                <w:rFonts w:cs="Calibri"/>
              </w:rPr>
              <w:t>$770</w:t>
            </w:r>
          </w:p>
        </w:tc>
      </w:tr>
      <w:tr w14:paraId="40C047D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6E42EE" w14:textId="77777777">
            <w:pPr>
              <w:jc w:val="center"/>
              <w:rPr>
                <w:rFonts w:cs="Calibri"/>
              </w:rPr>
            </w:pPr>
            <w:r w:rsidRPr="007D15C3">
              <w:rPr>
                <w:rFonts w:cs="Calibri"/>
              </w:rPr>
              <w:t>51233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0A9526" w14:textId="77777777">
            <w:pPr>
              <w:jc w:val="center"/>
              <w:rPr>
                <w:rFonts w:cs="Calibri"/>
              </w:rPr>
            </w:pPr>
            <w:r w:rsidRPr="007D15C3">
              <w:rPr>
                <w:rFonts w:cs="Calibri"/>
              </w:rPr>
              <w:t>KUAM-TV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08DA32" w14:textId="77777777">
            <w:pPr>
              <w:rPr>
                <w:rFonts w:cs="Calibri"/>
              </w:rPr>
            </w:pPr>
            <w:r w:rsidRPr="007D15C3">
              <w:rPr>
                <w:rFonts w:cs="Calibri"/>
              </w:rPr>
              <w:t xml:space="preserve">             159,358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A7B910" w14:textId="77777777">
            <w:pPr>
              <w:rPr>
                <w:rFonts w:cs="Calibri"/>
              </w:rPr>
            </w:pPr>
            <w:r w:rsidRPr="007D15C3">
              <w:rPr>
                <w:rFonts w:cs="Calibri"/>
              </w:rPr>
              <w:t xml:space="preserve">               159,358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7348E4" w14:textId="77777777">
            <w:pPr>
              <w:jc w:val="right"/>
              <w:rPr>
                <w:rFonts w:cs="Calibri"/>
              </w:rPr>
            </w:pPr>
            <w:r w:rsidRPr="007D15C3">
              <w:rPr>
                <w:rFonts w:cs="Calibri"/>
              </w:rPr>
              <w:t>$1,249</w:t>
            </w:r>
          </w:p>
        </w:tc>
      </w:tr>
      <w:tr w14:paraId="32F252D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91DF00" w14:textId="77777777">
            <w:pPr>
              <w:jc w:val="center"/>
              <w:rPr>
                <w:rFonts w:cs="Calibri"/>
              </w:rPr>
            </w:pPr>
            <w:r w:rsidRPr="007D15C3">
              <w:rPr>
                <w:rFonts w:cs="Calibri"/>
              </w:rPr>
              <w:t>2722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24C431" w14:textId="77777777">
            <w:pPr>
              <w:jc w:val="center"/>
              <w:rPr>
                <w:rFonts w:cs="Calibri"/>
              </w:rPr>
            </w:pPr>
            <w:r w:rsidRPr="007D15C3">
              <w:rPr>
                <w:rFonts w:cs="Calibri"/>
              </w:rPr>
              <w:t>KUAS-TV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874054" w14:textId="77777777">
            <w:pPr>
              <w:rPr>
                <w:rFonts w:cs="Calibri"/>
              </w:rPr>
            </w:pPr>
            <w:r w:rsidRPr="007D15C3">
              <w:rPr>
                <w:rFonts w:cs="Calibri"/>
              </w:rPr>
              <w:t xml:space="preserve">             994,802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BB96A8" w14:textId="77777777">
            <w:pPr>
              <w:rPr>
                <w:rFonts w:cs="Calibri"/>
              </w:rPr>
            </w:pPr>
            <w:r w:rsidRPr="007D15C3">
              <w:rPr>
                <w:rFonts w:cs="Calibri"/>
              </w:rPr>
              <w:t xml:space="preserve">               977,391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8F7116" w14:textId="77777777">
            <w:pPr>
              <w:jc w:val="right"/>
              <w:rPr>
                <w:rFonts w:cs="Calibri"/>
              </w:rPr>
            </w:pPr>
            <w:r w:rsidRPr="007D15C3">
              <w:rPr>
                <w:rFonts w:cs="Calibri"/>
              </w:rPr>
              <w:t>$7,660</w:t>
            </w:r>
          </w:p>
        </w:tc>
      </w:tr>
      <w:tr w14:paraId="6FD916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604FFB" w14:textId="77777777">
            <w:pPr>
              <w:jc w:val="center"/>
              <w:rPr>
                <w:rFonts w:cs="Calibri"/>
              </w:rPr>
            </w:pPr>
            <w:r w:rsidRPr="007D15C3">
              <w:rPr>
                <w:rFonts w:cs="Calibri"/>
              </w:rPr>
              <w:t>2731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E9162B" w14:textId="77777777">
            <w:pPr>
              <w:jc w:val="center"/>
              <w:rPr>
                <w:rFonts w:cs="Calibri"/>
              </w:rPr>
            </w:pPr>
            <w:r w:rsidRPr="007D15C3">
              <w:rPr>
                <w:rFonts w:cs="Calibri"/>
              </w:rPr>
              <w:t>KUAT-TV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043C1F" w14:textId="77777777">
            <w:pPr>
              <w:rPr>
                <w:rFonts w:cs="Calibri"/>
              </w:rPr>
            </w:pPr>
            <w:r w:rsidRPr="007D15C3">
              <w:rPr>
                <w:rFonts w:cs="Calibri"/>
              </w:rPr>
              <w:t xml:space="preserve">          1,485,024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835C8E" w14:textId="77777777">
            <w:pPr>
              <w:rPr>
                <w:rFonts w:cs="Calibri"/>
              </w:rPr>
            </w:pPr>
            <w:r w:rsidRPr="007D15C3">
              <w:rPr>
                <w:rFonts w:cs="Calibri"/>
              </w:rPr>
              <w:t xml:space="preserve">            1,253,342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82B7FC" w14:textId="77777777">
            <w:pPr>
              <w:jc w:val="right"/>
              <w:rPr>
                <w:rFonts w:cs="Calibri"/>
              </w:rPr>
            </w:pPr>
            <w:r w:rsidRPr="007D15C3">
              <w:rPr>
                <w:rFonts w:cs="Calibri"/>
              </w:rPr>
              <w:t>$9,822</w:t>
            </w:r>
          </w:p>
        </w:tc>
      </w:tr>
      <w:tr w14:paraId="6C7B3FA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4FE238" w14:textId="77777777">
            <w:pPr>
              <w:jc w:val="center"/>
              <w:rPr>
                <w:rFonts w:cs="Calibri"/>
              </w:rPr>
            </w:pPr>
            <w:r w:rsidRPr="007D15C3">
              <w:rPr>
                <w:rFonts w:cs="Calibri"/>
              </w:rPr>
              <w:t>60520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A683F0" w14:textId="77777777">
            <w:pPr>
              <w:jc w:val="center"/>
              <w:rPr>
                <w:rFonts w:cs="Calibri"/>
              </w:rPr>
            </w:pPr>
            <w:r w:rsidRPr="007D15C3">
              <w:rPr>
                <w:rFonts w:cs="Calibri"/>
              </w:rPr>
              <w:t>KUBD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20894C" w14:textId="77777777">
            <w:pPr>
              <w:rPr>
                <w:rFonts w:cs="Calibri"/>
              </w:rPr>
            </w:pPr>
            <w:r w:rsidRPr="007D15C3">
              <w:rPr>
                <w:rFonts w:cs="Calibri"/>
              </w:rPr>
              <w:t xml:space="preserve">               14,817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3FECDF" w14:textId="77777777">
            <w:pPr>
              <w:rPr>
                <w:rFonts w:cs="Calibri"/>
              </w:rPr>
            </w:pPr>
            <w:r w:rsidRPr="007D15C3">
              <w:rPr>
                <w:rFonts w:cs="Calibri"/>
              </w:rPr>
              <w:t xml:space="preserve">                 13,363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6EECB2" w14:textId="77777777">
            <w:pPr>
              <w:jc w:val="right"/>
              <w:rPr>
                <w:rFonts w:cs="Calibri"/>
              </w:rPr>
            </w:pPr>
            <w:r w:rsidRPr="007D15C3">
              <w:rPr>
                <w:rFonts w:cs="Calibri"/>
              </w:rPr>
              <w:t>$105</w:t>
            </w:r>
          </w:p>
        </w:tc>
      </w:tr>
      <w:tr w14:paraId="7DD5D0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45E573" w14:textId="77777777">
            <w:pPr>
              <w:jc w:val="center"/>
              <w:rPr>
                <w:rFonts w:cs="Calibri"/>
              </w:rPr>
            </w:pPr>
            <w:r w:rsidRPr="007D15C3">
              <w:rPr>
                <w:rFonts w:cs="Calibri"/>
              </w:rPr>
              <w:t>70492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804950" w14:textId="77777777">
            <w:pPr>
              <w:jc w:val="center"/>
              <w:rPr>
                <w:rFonts w:cs="Calibri"/>
              </w:rPr>
            </w:pPr>
            <w:r w:rsidRPr="007D15C3">
              <w:rPr>
                <w:rFonts w:cs="Calibri"/>
              </w:rPr>
              <w:t>KUBE-TV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89686B" w14:textId="77777777">
            <w:pPr>
              <w:rPr>
                <w:rFonts w:cs="Calibri"/>
              </w:rPr>
            </w:pPr>
            <w:r w:rsidRPr="007D15C3">
              <w:rPr>
                <w:rFonts w:cs="Calibri"/>
              </w:rPr>
              <w:t xml:space="preserve">          6,090,970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7788FD" w14:textId="77777777">
            <w:pPr>
              <w:rPr>
                <w:rFonts w:cs="Calibri"/>
              </w:rPr>
            </w:pPr>
            <w:r w:rsidRPr="007D15C3">
              <w:rPr>
                <w:rFonts w:cs="Calibri"/>
              </w:rPr>
              <w:t xml:space="preserve">            6,090,817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CF53FD" w14:textId="77777777">
            <w:pPr>
              <w:jc w:val="right"/>
              <w:rPr>
                <w:rFonts w:cs="Calibri"/>
              </w:rPr>
            </w:pPr>
            <w:r w:rsidRPr="007D15C3">
              <w:rPr>
                <w:rFonts w:cs="Calibri"/>
              </w:rPr>
              <w:t>$47,734</w:t>
            </w:r>
          </w:p>
        </w:tc>
      </w:tr>
      <w:tr w14:paraId="63954E7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BEC5EA" w14:textId="77777777">
            <w:pPr>
              <w:jc w:val="center"/>
              <w:rPr>
                <w:rFonts w:cs="Calibri"/>
              </w:rPr>
            </w:pPr>
            <w:r w:rsidRPr="007D15C3">
              <w:rPr>
                <w:rFonts w:cs="Calibri"/>
              </w:rPr>
              <w:t>1136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BB5363" w14:textId="77777777">
            <w:pPr>
              <w:jc w:val="center"/>
              <w:rPr>
                <w:rFonts w:cs="Calibri"/>
              </w:rPr>
            </w:pPr>
            <w:r w:rsidRPr="007D15C3">
              <w:rPr>
                <w:rFonts w:cs="Calibri"/>
              </w:rPr>
              <w:t>KUCW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7ACB56" w14:textId="77777777">
            <w:pPr>
              <w:rPr>
                <w:rFonts w:cs="Calibri"/>
              </w:rPr>
            </w:pPr>
            <w:r w:rsidRPr="007D15C3">
              <w:rPr>
                <w:rFonts w:cs="Calibri"/>
              </w:rPr>
              <w:t xml:space="preserve">          2,388,889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D7A24C" w14:textId="77777777">
            <w:pPr>
              <w:rPr>
                <w:rFonts w:cs="Calibri"/>
              </w:rPr>
            </w:pPr>
            <w:r w:rsidRPr="007D15C3">
              <w:rPr>
                <w:rFonts w:cs="Calibri"/>
              </w:rPr>
              <w:t xml:space="preserve">            2,199,787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7A016C" w14:textId="77777777">
            <w:pPr>
              <w:jc w:val="right"/>
              <w:rPr>
                <w:rFonts w:cs="Calibri"/>
              </w:rPr>
            </w:pPr>
            <w:r w:rsidRPr="007D15C3">
              <w:rPr>
                <w:rFonts w:cs="Calibri"/>
              </w:rPr>
              <w:t>$17,240</w:t>
            </w:r>
          </w:p>
        </w:tc>
      </w:tr>
      <w:tr w14:paraId="7B22C6D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F0414F" w14:textId="77777777">
            <w:pPr>
              <w:jc w:val="center"/>
              <w:rPr>
                <w:rFonts w:cs="Calibri"/>
              </w:rPr>
            </w:pPr>
            <w:r w:rsidRPr="007D15C3">
              <w:rPr>
                <w:rFonts w:cs="Calibri"/>
              </w:rPr>
              <w:t>69396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0678B3" w14:textId="77777777">
            <w:pPr>
              <w:jc w:val="center"/>
              <w:rPr>
                <w:rFonts w:cs="Calibri"/>
              </w:rPr>
            </w:pPr>
            <w:r w:rsidRPr="007D15C3">
              <w:rPr>
                <w:rFonts w:cs="Calibri"/>
              </w:rPr>
              <w:t>KUED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512E63" w14:textId="77777777">
            <w:pPr>
              <w:rPr>
                <w:rFonts w:cs="Calibri"/>
              </w:rPr>
            </w:pPr>
            <w:r w:rsidRPr="007D15C3">
              <w:rPr>
                <w:rFonts w:cs="Calibri"/>
              </w:rPr>
              <w:t xml:space="preserve">          2,388,995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6D711E" w14:textId="77777777">
            <w:pPr>
              <w:rPr>
                <w:rFonts w:cs="Calibri"/>
              </w:rPr>
            </w:pPr>
            <w:r w:rsidRPr="007D15C3">
              <w:rPr>
                <w:rFonts w:cs="Calibri"/>
              </w:rPr>
              <w:t xml:space="preserve">            2,203,093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996E21" w14:textId="77777777">
            <w:pPr>
              <w:jc w:val="right"/>
              <w:rPr>
                <w:rFonts w:cs="Calibri"/>
              </w:rPr>
            </w:pPr>
            <w:r w:rsidRPr="007D15C3">
              <w:rPr>
                <w:rFonts w:cs="Calibri"/>
              </w:rPr>
              <w:t>$17,266</w:t>
            </w:r>
          </w:p>
        </w:tc>
      </w:tr>
      <w:tr w14:paraId="04B9A28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334B07" w14:textId="77777777">
            <w:pPr>
              <w:jc w:val="center"/>
              <w:rPr>
                <w:rFonts w:cs="Calibri"/>
              </w:rPr>
            </w:pPr>
            <w:r w:rsidRPr="007D15C3">
              <w:rPr>
                <w:rFonts w:cs="Calibri"/>
              </w:rPr>
              <w:t>69582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D1F713" w14:textId="77777777">
            <w:pPr>
              <w:jc w:val="center"/>
              <w:rPr>
                <w:rFonts w:cs="Calibri"/>
              </w:rPr>
            </w:pPr>
            <w:r w:rsidRPr="007D15C3">
              <w:rPr>
                <w:rFonts w:cs="Calibri"/>
              </w:rPr>
              <w:t>KUEN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008232" w14:textId="77777777">
            <w:pPr>
              <w:rPr>
                <w:rFonts w:cs="Calibri"/>
              </w:rPr>
            </w:pPr>
            <w:r w:rsidRPr="007D15C3">
              <w:rPr>
                <w:rFonts w:cs="Calibri"/>
              </w:rPr>
              <w:t xml:space="preserve">          2,364,481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8FAEC6" w14:textId="77777777">
            <w:pPr>
              <w:rPr>
                <w:rFonts w:cs="Calibri"/>
              </w:rPr>
            </w:pPr>
            <w:r w:rsidRPr="007D15C3">
              <w:rPr>
                <w:rFonts w:cs="Calibri"/>
              </w:rPr>
              <w:t xml:space="preserve">            2,184,483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30D072" w14:textId="77777777">
            <w:pPr>
              <w:jc w:val="right"/>
              <w:rPr>
                <w:rFonts w:cs="Calibri"/>
              </w:rPr>
            </w:pPr>
            <w:r w:rsidRPr="007D15C3">
              <w:rPr>
                <w:rFonts w:cs="Calibri"/>
              </w:rPr>
              <w:t>$17,120</w:t>
            </w:r>
          </w:p>
        </w:tc>
      </w:tr>
      <w:tr w14:paraId="461454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9D9585" w14:textId="77777777">
            <w:pPr>
              <w:jc w:val="center"/>
              <w:rPr>
                <w:rFonts w:cs="Calibri"/>
              </w:rPr>
            </w:pPr>
            <w:r w:rsidRPr="007D15C3">
              <w:rPr>
                <w:rFonts w:cs="Calibri"/>
              </w:rPr>
              <w:t>82576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7E0628" w14:textId="77777777">
            <w:pPr>
              <w:jc w:val="center"/>
              <w:rPr>
                <w:rFonts w:cs="Calibri"/>
              </w:rPr>
            </w:pPr>
            <w:r w:rsidRPr="007D15C3">
              <w:rPr>
                <w:rFonts w:cs="Calibri"/>
              </w:rPr>
              <w:t>KUES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BEE328" w14:textId="77777777">
            <w:pPr>
              <w:rPr>
                <w:rFonts w:cs="Calibri"/>
              </w:rPr>
            </w:pPr>
            <w:r w:rsidRPr="007D15C3">
              <w:rPr>
                <w:rFonts w:cs="Calibri"/>
              </w:rPr>
              <w:t xml:space="preserve">               30,925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1D38F7" w14:textId="77777777">
            <w:pPr>
              <w:rPr>
                <w:rFonts w:cs="Calibri"/>
              </w:rPr>
            </w:pPr>
            <w:r w:rsidRPr="007D15C3">
              <w:rPr>
                <w:rFonts w:cs="Calibri"/>
              </w:rPr>
              <w:t xml:space="preserve">                 25,978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1F47DA" w14:textId="77777777">
            <w:pPr>
              <w:jc w:val="right"/>
              <w:rPr>
                <w:rFonts w:cs="Calibri"/>
              </w:rPr>
            </w:pPr>
            <w:r w:rsidRPr="007D15C3">
              <w:rPr>
                <w:rFonts w:cs="Calibri"/>
              </w:rPr>
              <w:t>$204</w:t>
            </w:r>
          </w:p>
        </w:tc>
      </w:tr>
      <w:tr w14:paraId="320D31C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F033B4" w14:textId="77777777">
            <w:pPr>
              <w:jc w:val="center"/>
              <w:rPr>
                <w:rFonts w:cs="Calibri"/>
              </w:rPr>
            </w:pPr>
            <w:r w:rsidRPr="007D15C3">
              <w:rPr>
                <w:rFonts w:cs="Calibri"/>
              </w:rPr>
              <w:t>82585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FC32D1" w14:textId="77777777">
            <w:pPr>
              <w:jc w:val="center"/>
              <w:rPr>
                <w:rFonts w:cs="Calibri"/>
              </w:rPr>
            </w:pPr>
            <w:r w:rsidRPr="007D15C3">
              <w:rPr>
                <w:rFonts w:cs="Calibri"/>
              </w:rPr>
              <w:t>KUEW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365F22" w14:textId="77777777">
            <w:pPr>
              <w:rPr>
                <w:rFonts w:cs="Calibri"/>
              </w:rPr>
            </w:pPr>
            <w:r w:rsidRPr="007D15C3">
              <w:rPr>
                <w:rFonts w:cs="Calibri"/>
              </w:rPr>
              <w:t xml:space="preserve">             132,168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EC61B5" w14:textId="77777777">
            <w:pPr>
              <w:rPr>
                <w:rFonts w:cs="Calibri"/>
              </w:rPr>
            </w:pPr>
            <w:r w:rsidRPr="007D15C3">
              <w:rPr>
                <w:rFonts w:cs="Calibri"/>
              </w:rPr>
              <w:t xml:space="preserve">               120,411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6D4C19" w14:textId="77777777">
            <w:pPr>
              <w:jc w:val="right"/>
              <w:rPr>
                <w:rFonts w:cs="Calibri"/>
              </w:rPr>
            </w:pPr>
            <w:r w:rsidRPr="007D15C3">
              <w:rPr>
                <w:rFonts w:cs="Calibri"/>
              </w:rPr>
              <w:t>$944</w:t>
            </w:r>
          </w:p>
        </w:tc>
      </w:tr>
      <w:tr w14:paraId="27516C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3B58D7" w14:textId="77777777">
            <w:pPr>
              <w:jc w:val="center"/>
              <w:rPr>
                <w:rFonts w:cs="Calibri"/>
              </w:rPr>
            </w:pPr>
            <w:r w:rsidRPr="007D15C3">
              <w:rPr>
                <w:rFonts w:cs="Calibri"/>
              </w:rPr>
              <w:t>66611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CBF6C3" w14:textId="77777777">
            <w:pPr>
              <w:jc w:val="center"/>
              <w:rPr>
                <w:rFonts w:cs="Calibri"/>
              </w:rPr>
            </w:pPr>
            <w:r w:rsidRPr="007D15C3">
              <w:rPr>
                <w:rFonts w:cs="Calibri"/>
              </w:rPr>
              <w:t>KUFM-TV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C67BB1" w14:textId="77777777">
            <w:pPr>
              <w:rPr>
                <w:rFonts w:cs="Calibri"/>
              </w:rPr>
            </w:pPr>
            <w:r w:rsidRPr="007D15C3">
              <w:rPr>
                <w:rFonts w:cs="Calibri"/>
              </w:rPr>
              <w:t xml:space="preserve">             187,680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8421DF" w14:textId="77777777">
            <w:pPr>
              <w:rPr>
                <w:rFonts w:cs="Calibri"/>
              </w:rPr>
            </w:pPr>
            <w:r w:rsidRPr="007D15C3">
              <w:rPr>
                <w:rFonts w:cs="Calibri"/>
              </w:rPr>
              <w:t xml:space="preserve">               166,697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14496B" w14:textId="77777777">
            <w:pPr>
              <w:jc w:val="right"/>
              <w:rPr>
                <w:rFonts w:cs="Calibri"/>
              </w:rPr>
            </w:pPr>
            <w:r w:rsidRPr="007D15C3">
              <w:rPr>
                <w:rFonts w:cs="Calibri"/>
              </w:rPr>
              <w:t>$1,306</w:t>
            </w:r>
          </w:p>
        </w:tc>
      </w:tr>
      <w:tr w14:paraId="456763B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C7F9FE" w14:textId="77777777">
            <w:pPr>
              <w:jc w:val="center"/>
              <w:rPr>
                <w:rFonts w:cs="Calibri"/>
              </w:rPr>
            </w:pPr>
            <w:r w:rsidRPr="007D15C3">
              <w:rPr>
                <w:rFonts w:cs="Calibri"/>
              </w:rPr>
              <w:t>169028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CE7957" w14:textId="77777777">
            <w:pPr>
              <w:jc w:val="center"/>
              <w:rPr>
                <w:rFonts w:cs="Calibri"/>
              </w:rPr>
            </w:pPr>
            <w:r w:rsidRPr="007D15C3">
              <w:rPr>
                <w:rFonts w:cs="Calibri"/>
              </w:rPr>
              <w:t>KUGF-TV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11C005" w14:textId="77777777">
            <w:pPr>
              <w:rPr>
                <w:rFonts w:cs="Calibri"/>
              </w:rPr>
            </w:pPr>
            <w:r w:rsidRPr="007D15C3">
              <w:rPr>
                <w:rFonts w:cs="Calibri"/>
              </w:rPr>
              <w:t xml:space="preserve">               86,622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004940" w14:textId="77777777">
            <w:pPr>
              <w:rPr>
                <w:rFonts w:cs="Calibri"/>
              </w:rPr>
            </w:pPr>
            <w:r w:rsidRPr="007D15C3">
              <w:rPr>
                <w:rFonts w:cs="Calibri"/>
              </w:rPr>
              <w:t xml:space="preserve">                 85,986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06D006" w14:textId="77777777">
            <w:pPr>
              <w:jc w:val="right"/>
              <w:rPr>
                <w:rFonts w:cs="Calibri"/>
              </w:rPr>
            </w:pPr>
            <w:r w:rsidRPr="007D15C3">
              <w:rPr>
                <w:rFonts w:cs="Calibri"/>
              </w:rPr>
              <w:t>$674</w:t>
            </w:r>
          </w:p>
        </w:tc>
      </w:tr>
      <w:tr w14:paraId="64DE11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699F7A" w14:textId="77777777">
            <w:pPr>
              <w:jc w:val="center"/>
              <w:rPr>
                <w:rFonts w:cs="Calibri"/>
              </w:rPr>
            </w:pPr>
            <w:r w:rsidRPr="007D15C3">
              <w:rPr>
                <w:rFonts w:cs="Calibri"/>
              </w:rPr>
              <w:t>68717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17DB0C" w14:textId="77777777">
            <w:pPr>
              <w:jc w:val="center"/>
              <w:rPr>
                <w:rFonts w:cs="Calibri"/>
              </w:rPr>
            </w:pPr>
            <w:r w:rsidRPr="007D15C3">
              <w:rPr>
                <w:rFonts w:cs="Calibri"/>
              </w:rPr>
              <w:t>KUHM-TV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3B1906" w14:textId="77777777">
            <w:pPr>
              <w:rPr>
                <w:rFonts w:cs="Calibri"/>
              </w:rPr>
            </w:pPr>
            <w:r w:rsidRPr="007D15C3">
              <w:rPr>
                <w:rFonts w:cs="Calibri"/>
              </w:rPr>
              <w:t xml:space="preserve">             154,836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3BE7D4" w14:textId="77777777">
            <w:pPr>
              <w:rPr>
                <w:rFonts w:cs="Calibri"/>
              </w:rPr>
            </w:pPr>
            <w:r w:rsidRPr="007D15C3">
              <w:rPr>
                <w:rFonts w:cs="Calibri"/>
              </w:rPr>
              <w:t xml:space="preserve">               145,241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39722E" w14:textId="77777777">
            <w:pPr>
              <w:jc w:val="right"/>
              <w:rPr>
                <w:rFonts w:cs="Calibri"/>
              </w:rPr>
            </w:pPr>
            <w:r w:rsidRPr="007D15C3">
              <w:rPr>
                <w:rFonts w:cs="Calibri"/>
              </w:rPr>
              <w:t>$1,138</w:t>
            </w:r>
          </w:p>
        </w:tc>
      </w:tr>
      <w:tr w14:paraId="77599DA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42C360" w14:textId="77777777">
            <w:pPr>
              <w:jc w:val="center"/>
              <w:rPr>
                <w:rFonts w:cs="Calibri"/>
              </w:rPr>
            </w:pPr>
            <w:r w:rsidRPr="007D15C3">
              <w:rPr>
                <w:rFonts w:cs="Calibri"/>
              </w:rPr>
              <w:t>69269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4E04CE" w14:textId="77777777">
            <w:pPr>
              <w:jc w:val="center"/>
              <w:rPr>
                <w:rFonts w:cs="Calibri"/>
              </w:rPr>
            </w:pPr>
            <w:r w:rsidRPr="007D15C3">
              <w:rPr>
                <w:rFonts w:cs="Calibri"/>
              </w:rPr>
              <w:t>KUHT*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1B1EE3" w14:textId="77777777">
            <w:pPr>
              <w:rPr>
                <w:rFonts w:cs="Calibri"/>
              </w:rPr>
            </w:pPr>
            <w:r w:rsidRPr="007D15C3">
              <w:rPr>
                <w:rFonts w:cs="Calibri"/>
              </w:rPr>
              <w:t xml:space="preserve">          6,090,213</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7CD251" w14:textId="77777777">
            <w:pPr>
              <w:rPr>
                <w:rFonts w:cs="Calibri"/>
              </w:rPr>
            </w:pPr>
            <w:r w:rsidRPr="007D15C3">
              <w:rPr>
                <w:rFonts w:cs="Calibri"/>
              </w:rPr>
              <w:t xml:space="preserve">            6,089,665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9D3DD3" w14:textId="77777777">
            <w:pPr>
              <w:jc w:val="right"/>
              <w:rPr>
                <w:rFonts w:cs="Calibri"/>
              </w:rPr>
            </w:pPr>
            <w:r w:rsidRPr="007D15C3">
              <w:rPr>
                <w:rFonts w:cs="Calibri"/>
              </w:rPr>
              <w:t>$47,725</w:t>
            </w:r>
          </w:p>
        </w:tc>
      </w:tr>
      <w:tr w14:paraId="76BEBD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02970A" w14:textId="77777777">
            <w:pPr>
              <w:jc w:val="center"/>
              <w:rPr>
                <w:rFonts w:cs="Calibri"/>
              </w:rPr>
            </w:pPr>
            <w:r w:rsidRPr="007D15C3">
              <w:rPr>
                <w:rFonts w:cs="Calibri"/>
              </w:rPr>
              <w:t>62382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694675" w14:textId="77777777">
            <w:pPr>
              <w:jc w:val="center"/>
              <w:rPr>
                <w:rFonts w:cs="Calibri"/>
              </w:rPr>
            </w:pPr>
            <w:r w:rsidRPr="007D15C3">
              <w:rPr>
                <w:rFonts w:cs="Calibri"/>
              </w:rPr>
              <w:t>KUID-TV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C0B898" w14:textId="77777777">
            <w:pPr>
              <w:rPr>
                <w:rFonts w:cs="Calibri"/>
              </w:rPr>
            </w:pPr>
            <w:r w:rsidRPr="007D15C3">
              <w:rPr>
                <w:rFonts w:cs="Calibri"/>
              </w:rPr>
              <w:t xml:space="preserve">             432,855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765AA2" w14:textId="77777777">
            <w:pPr>
              <w:rPr>
                <w:rFonts w:cs="Calibri"/>
              </w:rPr>
            </w:pPr>
            <w:r w:rsidRPr="007D15C3">
              <w:rPr>
                <w:rFonts w:cs="Calibri"/>
              </w:rPr>
              <w:t xml:space="preserve">               284,023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7FFAA2" w14:textId="77777777">
            <w:pPr>
              <w:jc w:val="right"/>
              <w:rPr>
                <w:rFonts w:cs="Calibri"/>
              </w:rPr>
            </w:pPr>
            <w:r w:rsidRPr="007D15C3">
              <w:rPr>
                <w:rFonts w:cs="Calibri"/>
              </w:rPr>
              <w:t>$2,226</w:t>
            </w:r>
          </w:p>
        </w:tc>
      </w:tr>
      <w:tr w14:paraId="5AD8AB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671E93" w14:textId="77777777">
            <w:pPr>
              <w:jc w:val="center"/>
              <w:rPr>
                <w:rFonts w:cs="Calibri"/>
              </w:rPr>
            </w:pPr>
            <w:r w:rsidRPr="007D15C3">
              <w:rPr>
                <w:rFonts w:cs="Calibri"/>
              </w:rPr>
              <w:t>169027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0C9D49" w14:textId="77777777">
            <w:pPr>
              <w:jc w:val="center"/>
              <w:rPr>
                <w:rFonts w:cs="Calibri"/>
              </w:rPr>
            </w:pPr>
            <w:r w:rsidRPr="007D15C3">
              <w:rPr>
                <w:rFonts w:cs="Calibri"/>
              </w:rPr>
              <w:t>KUKL-TV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FAAF9D" w14:textId="77777777">
            <w:pPr>
              <w:rPr>
                <w:rFonts w:cs="Calibri"/>
              </w:rPr>
            </w:pPr>
            <w:r w:rsidRPr="007D15C3">
              <w:rPr>
                <w:rFonts w:cs="Calibri"/>
              </w:rPr>
              <w:t xml:space="preserve">             124,505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301FC7" w14:textId="77777777">
            <w:pPr>
              <w:rPr>
                <w:rFonts w:cs="Calibri"/>
              </w:rPr>
            </w:pPr>
            <w:r w:rsidRPr="007D15C3">
              <w:rPr>
                <w:rFonts w:cs="Calibri"/>
              </w:rPr>
              <w:t xml:space="preserve">               115,844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401E55" w14:textId="77777777">
            <w:pPr>
              <w:jc w:val="right"/>
              <w:rPr>
                <w:rFonts w:cs="Calibri"/>
              </w:rPr>
            </w:pPr>
            <w:r w:rsidRPr="007D15C3">
              <w:rPr>
                <w:rFonts w:cs="Calibri"/>
              </w:rPr>
              <w:t>$908</w:t>
            </w:r>
          </w:p>
        </w:tc>
      </w:tr>
      <w:tr w14:paraId="1D08D9D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3CDFA2" w14:textId="77777777">
            <w:pPr>
              <w:jc w:val="center"/>
              <w:rPr>
                <w:rFonts w:cs="Calibri"/>
              </w:rPr>
            </w:pPr>
            <w:r w:rsidRPr="007D15C3">
              <w:rPr>
                <w:rFonts w:cs="Calibri"/>
              </w:rPr>
              <w:t>35724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5C20C5" w14:textId="77777777">
            <w:pPr>
              <w:jc w:val="center"/>
              <w:rPr>
                <w:rFonts w:cs="Calibri"/>
              </w:rPr>
            </w:pPr>
            <w:r w:rsidRPr="007D15C3">
              <w:rPr>
                <w:rFonts w:cs="Calibri"/>
              </w:rPr>
              <w:t>KULR-TV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61F405" w14:textId="77777777">
            <w:pPr>
              <w:rPr>
                <w:rFonts w:cs="Calibri"/>
              </w:rPr>
            </w:pPr>
            <w:r w:rsidRPr="007D15C3">
              <w:rPr>
                <w:rFonts w:cs="Calibri"/>
              </w:rPr>
              <w:t xml:space="preserve">             177,242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DB1E1C" w14:textId="77777777">
            <w:pPr>
              <w:rPr>
                <w:rFonts w:cs="Calibri"/>
              </w:rPr>
            </w:pPr>
            <w:r w:rsidRPr="007D15C3">
              <w:rPr>
                <w:rFonts w:cs="Calibri"/>
              </w:rPr>
              <w:t xml:space="preserve">               170,142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1EFE27" w14:textId="77777777">
            <w:pPr>
              <w:jc w:val="right"/>
              <w:rPr>
                <w:rFonts w:cs="Calibri"/>
              </w:rPr>
            </w:pPr>
            <w:r w:rsidRPr="007D15C3">
              <w:rPr>
                <w:rFonts w:cs="Calibri"/>
              </w:rPr>
              <w:t>$1,333</w:t>
            </w:r>
          </w:p>
        </w:tc>
      </w:tr>
      <w:tr w14:paraId="35ABAD7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98CA84" w14:textId="77777777">
            <w:pPr>
              <w:jc w:val="center"/>
              <w:rPr>
                <w:rFonts w:cs="Calibri"/>
              </w:rPr>
            </w:pPr>
            <w:r w:rsidRPr="007D15C3">
              <w:rPr>
                <w:rFonts w:cs="Calibri"/>
              </w:rPr>
              <w:t>41429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9E1A02" w14:textId="77777777">
            <w:pPr>
              <w:jc w:val="center"/>
              <w:rPr>
                <w:rFonts w:cs="Calibri"/>
              </w:rPr>
            </w:pPr>
            <w:r w:rsidRPr="007D15C3">
              <w:rPr>
                <w:rFonts w:cs="Calibri"/>
              </w:rPr>
              <w:t>KUMV-TV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589E1C" w14:textId="77777777">
            <w:pPr>
              <w:rPr>
                <w:rFonts w:cs="Calibri"/>
              </w:rPr>
            </w:pPr>
            <w:r w:rsidRPr="007D15C3">
              <w:rPr>
                <w:rFonts w:cs="Calibri"/>
              </w:rPr>
              <w:t xml:space="preserve">               41,607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B67AC7" w14:textId="77777777">
            <w:pPr>
              <w:rPr>
                <w:rFonts w:cs="Calibri"/>
              </w:rPr>
            </w:pPr>
            <w:r w:rsidRPr="007D15C3">
              <w:rPr>
                <w:rFonts w:cs="Calibri"/>
              </w:rPr>
              <w:t xml:space="preserve">                 41,224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90FFA1" w14:textId="77777777">
            <w:pPr>
              <w:jc w:val="right"/>
              <w:rPr>
                <w:rFonts w:cs="Calibri"/>
              </w:rPr>
            </w:pPr>
            <w:r w:rsidRPr="007D15C3">
              <w:rPr>
                <w:rFonts w:cs="Calibri"/>
              </w:rPr>
              <w:t>$323</w:t>
            </w:r>
          </w:p>
        </w:tc>
      </w:tr>
      <w:tr w14:paraId="647B06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297563" w14:textId="77777777">
            <w:pPr>
              <w:jc w:val="center"/>
              <w:rPr>
                <w:rFonts w:cs="Calibri"/>
              </w:rPr>
            </w:pPr>
            <w:r w:rsidRPr="007D15C3">
              <w:rPr>
                <w:rFonts w:cs="Calibri"/>
              </w:rPr>
              <w:t>81447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890652" w14:textId="77777777">
            <w:pPr>
              <w:jc w:val="center"/>
              <w:rPr>
                <w:rFonts w:cs="Calibri"/>
              </w:rPr>
            </w:pPr>
            <w:r w:rsidRPr="007D15C3">
              <w:rPr>
                <w:rFonts w:cs="Calibri"/>
              </w:rPr>
              <w:t>KUNP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C449D6" w14:textId="77777777">
            <w:pPr>
              <w:rPr>
                <w:rFonts w:cs="Calibri"/>
              </w:rPr>
            </w:pPr>
            <w:r w:rsidRPr="007D15C3">
              <w:rPr>
                <w:rFonts w:cs="Calibri"/>
              </w:rPr>
              <w:t xml:space="preserve">             130,559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516C9C" w14:textId="77777777">
            <w:pPr>
              <w:rPr>
                <w:rFonts w:cs="Calibri"/>
              </w:rPr>
            </w:pPr>
            <w:r w:rsidRPr="007D15C3">
              <w:rPr>
                <w:rFonts w:cs="Calibri"/>
              </w:rPr>
              <w:t xml:space="preserve">                 43,472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C07CA8" w14:textId="77777777">
            <w:pPr>
              <w:jc w:val="right"/>
              <w:rPr>
                <w:rFonts w:cs="Calibri"/>
              </w:rPr>
            </w:pPr>
            <w:r w:rsidRPr="007D15C3">
              <w:rPr>
                <w:rFonts w:cs="Calibri"/>
              </w:rPr>
              <w:t>$341</w:t>
            </w:r>
          </w:p>
        </w:tc>
      </w:tr>
      <w:tr w14:paraId="1ED1B6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BB3BC3" w14:textId="77777777">
            <w:pPr>
              <w:jc w:val="center"/>
              <w:rPr>
                <w:rFonts w:cs="Calibri"/>
              </w:rPr>
            </w:pPr>
            <w:r w:rsidRPr="007D15C3">
              <w:rPr>
                <w:rFonts w:cs="Calibri"/>
              </w:rPr>
              <w:t>4624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F094C9" w14:textId="77777777">
            <w:pPr>
              <w:jc w:val="center"/>
              <w:rPr>
                <w:rFonts w:cs="Calibri"/>
              </w:rPr>
            </w:pPr>
            <w:r w:rsidRPr="007D15C3">
              <w:rPr>
                <w:rFonts w:cs="Calibri"/>
              </w:rPr>
              <w:t>KUNS-TV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88C0E7" w14:textId="77777777">
            <w:pPr>
              <w:rPr>
                <w:rFonts w:cs="Calibri"/>
              </w:rPr>
            </w:pPr>
            <w:r w:rsidRPr="007D15C3">
              <w:rPr>
                <w:rFonts w:cs="Calibri"/>
              </w:rPr>
              <w:t xml:space="preserve">          4,023,436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5D4E9D" w14:textId="77777777">
            <w:pPr>
              <w:rPr>
                <w:rFonts w:cs="Calibri"/>
              </w:rPr>
            </w:pPr>
            <w:r w:rsidRPr="007D15C3">
              <w:rPr>
                <w:rFonts w:cs="Calibri"/>
              </w:rPr>
              <w:t xml:space="preserve">            4,002,433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9D97B5" w14:textId="77777777">
            <w:pPr>
              <w:jc w:val="right"/>
              <w:rPr>
                <w:rFonts w:cs="Calibri"/>
              </w:rPr>
            </w:pPr>
            <w:r w:rsidRPr="007D15C3">
              <w:rPr>
                <w:rFonts w:cs="Calibri"/>
              </w:rPr>
              <w:t>$31,367</w:t>
            </w:r>
          </w:p>
        </w:tc>
      </w:tr>
      <w:tr w14:paraId="5ED64D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60703B" w14:textId="77777777">
            <w:pPr>
              <w:jc w:val="center"/>
              <w:rPr>
                <w:rFonts w:cs="Calibri"/>
              </w:rPr>
            </w:pPr>
            <w:r w:rsidRPr="007D15C3">
              <w:rPr>
                <w:rFonts w:cs="Calibri"/>
              </w:rPr>
              <w:t>86532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BE79A1" w14:textId="77777777">
            <w:pPr>
              <w:jc w:val="center"/>
              <w:rPr>
                <w:rFonts w:cs="Calibri"/>
              </w:rPr>
            </w:pPr>
            <w:r w:rsidRPr="007D15C3">
              <w:rPr>
                <w:rFonts w:cs="Calibri"/>
              </w:rPr>
              <w:t>KUOK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4CC213" w14:textId="77777777">
            <w:pPr>
              <w:rPr>
                <w:rFonts w:cs="Calibri"/>
              </w:rPr>
            </w:pPr>
            <w:r w:rsidRPr="007D15C3">
              <w:rPr>
                <w:rFonts w:cs="Calibri"/>
              </w:rPr>
              <w:t xml:space="preserve">               28,974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BE094E" w14:textId="77777777">
            <w:pPr>
              <w:rPr>
                <w:rFonts w:cs="Calibri"/>
              </w:rPr>
            </w:pPr>
            <w:r w:rsidRPr="007D15C3">
              <w:rPr>
                <w:rFonts w:cs="Calibri"/>
              </w:rPr>
              <w:t xml:space="preserve">                 28,945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77A3DE" w14:textId="77777777">
            <w:pPr>
              <w:jc w:val="right"/>
              <w:rPr>
                <w:rFonts w:cs="Calibri"/>
              </w:rPr>
            </w:pPr>
            <w:r w:rsidRPr="007D15C3">
              <w:rPr>
                <w:rFonts w:cs="Calibri"/>
              </w:rPr>
              <w:t>$227</w:t>
            </w:r>
          </w:p>
        </w:tc>
      </w:tr>
      <w:tr w14:paraId="14CEA18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725B67" w14:textId="77777777">
            <w:pPr>
              <w:jc w:val="center"/>
              <w:rPr>
                <w:rFonts w:cs="Calibri"/>
              </w:rPr>
            </w:pPr>
            <w:r w:rsidRPr="007D15C3">
              <w:rPr>
                <w:rFonts w:cs="Calibri"/>
              </w:rPr>
              <w:t>66589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295A47" w14:textId="77777777">
            <w:pPr>
              <w:jc w:val="center"/>
              <w:rPr>
                <w:rFonts w:cs="Calibri"/>
              </w:rPr>
            </w:pPr>
            <w:r w:rsidRPr="007D15C3">
              <w:rPr>
                <w:rFonts w:cs="Calibri"/>
              </w:rPr>
              <w:t>KUON-TV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794A29" w14:textId="77777777">
            <w:pPr>
              <w:rPr>
                <w:rFonts w:cs="Calibri"/>
              </w:rPr>
            </w:pPr>
            <w:r w:rsidRPr="007D15C3">
              <w:rPr>
                <w:rFonts w:cs="Calibri"/>
              </w:rPr>
              <w:t xml:space="preserve">          1,375,257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1EBDBE" w14:textId="77777777">
            <w:pPr>
              <w:rPr>
                <w:rFonts w:cs="Calibri"/>
              </w:rPr>
            </w:pPr>
            <w:r w:rsidRPr="007D15C3">
              <w:rPr>
                <w:rFonts w:cs="Calibri"/>
              </w:rPr>
              <w:t xml:space="preserve">            1,360,005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61FA5D" w14:textId="77777777">
            <w:pPr>
              <w:jc w:val="right"/>
              <w:rPr>
                <w:rFonts w:cs="Calibri"/>
              </w:rPr>
            </w:pPr>
            <w:r w:rsidRPr="007D15C3">
              <w:rPr>
                <w:rFonts w:cs="Calibri"/>
              </w:rPr>
              <w:t>$10,658</w:t>
            </w:r>
          </w:p>
        </w:tc>
      </w:tr>
      <w:tr w14:paraId="5642D0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183094" w14:textId="77777777">
            <w:pPr>
              <w:jc w:val="center"/>
              <w:rPr>
                <w:rFonts w:cs="Calibri"/>
              </w:rPr>
            </w:pPr>
            <w:r w:rsidRPr="007D15C3">
              <w:rPr>
                <w:rFonts w:cs="Calibri"/>
              </w:rPr>
              <w:t>86263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0C8ADC" w14:textId="77777777">
            <w:pPr>
              <w:jc w:val="center"/>
              <w:rPr>
                <w:rFonts w:cs="Calibri"/>
              </w:rPr>
            </w:pPr>
            <w:r w:rsidRPr="007D15C3">
              <w:rPr>
                <w:rFonts w:cs="Calibri"/>
              </w:rPr>
              <w:t>KUPB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3805BE" w14:textId="77777777">
            <w:pPr>
              <w:rPr>
                <w:rFonts w:cs="Calibri"/>
              </w:rPr>
            </w:pPr>
            <w:r w:rsidRPr="007D15C3">
              <w:rPr>
                <w:rFonts w:cs="Calibri"/>
              </w:rPr>
              <w:t xml:space="preserve">             318,914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41328D" w14:textId="77777777">
            <w:pPr>
              <w:rPr>
                <w:rFonts w:cs="Calibri"/>
              </w:rPr>
            </w:pPr>
            <w:r w:rsidRPr="007D15C3">
              <w:rPr>
                <w:rFonts w:cs="Calibri"/>
              </w:rPr>
              <w:t xml:space="preserve">               318,914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3D0DB0" w14:textId="77777777">
            <w:pPr>
              <w:jc w:val="right"/>
              <w:rPr>
                <w:rFonts w:cs="Calibri"/>
              </w:rPr>
            </w:pPr>
            <w:r w:rsidRPr="007D15C3">
              <w:rPr>
                <w:rFonts w:cs="Calibri"/>
              </w:rPr>
              <w:t>$2,499</w:t>
            </w:r>
          </w:p>
        </w:tc>
      </w:tr>
      <w:tr w14:paraId="674F27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52688C" w14:textId="77777777">
            <w:pPr>
              <w:jc w:val="center"/>
              <w:rPr>
                <w:rFonts w:cs="Calibri"/>
              </w:rPr>
            </w:pPr>
            <w:r w:rsidRPr="007D15C3">
              <w:rPr>
                <w:rFonts w:cs="Calibri"/>
              </w:rPr>
              <w:t>65535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81B5A6" w14:textId="77777777">
            <w:pPr>
              <w:jc w:val="center"/>
              <w:rPr>
                <w:rFonts w:cs="Calibri"/>
              </w:rPr>
            </w:pPr>
            <w:r w:rsidRPr="007D15C3">
              <w:rPr>
                <w:rFonts w:cs="Calibri"/>
              </w:rPr>
              <w:t>KUPK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2285A2" w14:textId="77777777">
            <w:pPr>
              <w:rPr>
                <w:rFonts w:cs="Calibri"/>
              </w:rPr>
            </w:pPr>
            <w:r w:rsidRPr="007D15C3">
              <w:rPr>
                <w:rFonts w:cs="Calibri"/>
              </w:rPr>
              <w:t xml:space="preserve">             149,642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6D7A02" w14:textId="77777777">
            <w:pPr>
              <w:rPr>
                <w:rFonts w:cs="Calibri"/>
              </w:rPr>
            </w:pPr>
            <w:r w:rsidRPr="007D15C3">
              <w:rPr>
                <w:rFonts w:cs="Calibri"/>
              </w:rPr>
              <w:t xml:space="preserve">               148,180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EE76C4" w14:textId="77777777">
            <w:pPr>
              <w:jc w:val="right"/>
              <w:rPr>
                <w:rFonts w:cs="Calibri"/>
              </w:rPr>
            </w:pPr>
            <w:r w:rsidRPr="007D15C3">
              <w:rPr>
                <w:rFonts w:cs="Calibri"/>
              </w:rPr>
              <w:t>$1,161</w:t>
            </w:r>
          </w:p>
        </w:tc>
      </w:tr>
      <w:tr w14:paraId="0CC259E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A95658" w14:textId="77777777">
            <w:pPr>
              <w:jc w:val="center"/>
              <w:rPr>
                <w:rFonts w:cs="Calibri"/>
              </w:rPr>
            </w:pPr>
            <w:r w:rsidRPr="007D15C3">
              <w:rPr>
                <w:rFonts w:cs="Calibri"/>
              </w:rPr>
              <w:t>27431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625992" w14:textId="77777777">
            <w:pPr>
              <w:jc w:val="center"/>
              <w:rPr>
                <w:rFonts w:cs="Calibri"/>
              </w:rPr>
            </w:pPr>
            <w:r w:rsidRPr="007D15C3">
              <w:rPr>
                <w:rFonts w:cs="Calibri"/>
              </w:rPr>
              <w:t>KUPT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12E338" w14:textId="77777777">
            <w:pPr>
              <w:rPr>
                <w:rFonts w:cs="Calibri"/>
              </w:rPr>
            </w:pPr>
            <w:r w:rsidRPr="007D15C3">
              <w:rPr>
                <w:rFonts w:cs="Calibri"/>
              </w:rPr>
              <w:t xml:space="preserve">               87,602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A3C97D" w14:textId="77777777">
            <w:pPr>
              <w:rPr>
                <w:rFonts w:cs="Calibri"/>
              </w:rPr>
            </w:pPr>
            <w:r w:rsidRPr="007D15C3">
              <w:rPr>
                <w:rFonts w:cs="Calibri"/>
              </w:rPr>
              <w:t xml:space="preserve">                 87,602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759AD8" w14:textId="77777777">
            <w:pPr>
              <w:jc w:val="right"/>
              <w:rPr>
                <w:rFonts w:cs="Calibri"/>
              </w:rPr>
            </w:pPr>
            <w:r w:rsidRPr="007D15C3">
              <w:rPr>
                <w:rFonts w:cs="Calibri"/>
              </w:rPr>
              <w:t>$687</w:t>
            </w:r>
          </w:p>
        </w:tc>
      </w:tr>
      <w:tr w14:paraId="797981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FF3867" w14:textId="77777777">
            <w:pPr>
              <w:jc w:val="center"/>
              <w:rPr>
                <w:rFonts w:cs="Calibri"/>
              </w:rPr>
            </w:pPr>
            <w:r w:rsidRPr="007D15C3">
              <w:rPr>
                <w:rFonts w:cs="Calibri"/>
              </w:rPr>
              <w:t>89714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238036" w14:textId="77777777">
            <w:pPr>
              <w:jc w:val="center"/>
              <w:rPr>
                <w:rFonts w:cs="Calibri"/>
              </w:rPr>
            </w:pPr>
            <w:r w:rsidRPr="007D15C3">
              <w:rPr>
                <w:rFonts w:cs="Calibri"/>
              </w:rPr>
              <w:t>KUPU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FA8BAE" w14:textId="77777777">
            <w:pPr>
              <w:rPr>
                <w:rFonts w:cs="Calibri"/>
              </w:rPr>
            </w:pPr>
            <w:r w:rsidRPr="007D15C3">
              <w:rPr>
                <w:rFonts w:cs="Calibri"/>
              </w:rPr>
              <w:t xml:space="preserve">             956,178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CD79E9" w14:textId="77777777">
            <w:pPr>
              <w:rPr>
                <w:rFonts w:cs="Calibri"/>
              </w:rPr>
            </w:pPr>
            <w:r w:rsidRPr="007D15C3">
              <w:rPr>
                <w:rFonts w:cs="Calibri"/>
              </w:rPr>
              <w:t xml:space="preserve">               948,005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CAC878" w14:textId="77777777">
            <w:pPr>
              <w:jc w:val="right"/>
              <w:rPr>
                <w:rFonts w:cs="Calibri"/>
              </w:rPr>
            </w:pPr>
            <w:r w:rsidRPr="007D15C3">
              <w:rPr>
                <w:rFonts w:cs="Calibri"/>
              </w:rPr>
              <w:t>$7,430</w:t>
            </w:r>
          </w:p>
        </w:tc>
      </w:tr>
      <w:tr w14:paraId="4521BC0C"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7A553D" w14:textId="77777777">
            <w:pPr>
              <w:jc w:val="center"/>
              <w:rPr>
                <w:rFonts w:cs="Calibri"/>
              </w:rPr>
            </w:pPr>
            <w:r w:rsidRPr="007D15C3">
              <w:rPr>
                <w:rFonts w:cs="Calibri"/>
              </w:rPr>
              <w:t>57884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0124CD9F" w14:textId="77777777">
            <w:pPr>
              <w:jc w:val="center"/>
              <w:rPr>
                <w:rFonts w:cs="Calibri"/>
              </w:rPr>
            </w:pPr>
            <w:r w:rsidRPr="007D15C3">
              <w:rPr>
                <w:rFonts w:cs="Calibri"/>
              </w:rPr>
              <w:t>KUPX-TV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BF0F2AC" w14:textId="77777777">
            <w:pPr>
              <w:rPr>
                <w:rFonts w:cs="Calibri"/>
              </w:rPr>
            </w:pPr>
            <w:r w:rsidRPr="007D15C3">
              <w:rPr>
                <w:rFonts w:cs="Calibri"/>
              </w:rPr>
              <w:t xml:space="preserve">          2,374,672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59AAD3D" w14:textId="77777777">
            <w:pPr>
              <w:rPr>
                <w:rFonts w:cs="Calibri"/>
              </w:rPr>
            </w:pPr>
            <w:r w:rsidRPr="007D15C3">
              <w:rPr>
                <w:rFonts w:cs="Calibri"/>
              </w:rPr>
              <w:t xml:space="preserve">            2,191,229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9F4F32B" w14:textId="77777777">
            <w:pPr>
              <w:jc w:val="right"/>
              <w:rPr>
                <w:rFonts w:cs="Calibri"/>
              </w:rPr>
            </w:pPr>
            <w:r w:rsidRPr="007D15C3">
              <w:rPr>
                <w:rFonts w:cs="Calibri"/>
              </w:rPr>
              <w:t>$17,173</w:t>
            </w:r>
          </w:p>
        </w:tc>
      </w:tr>
      <w:tr w14:paraId="3931514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37E2EA" w14:textId="77777777">
            <w:pPr>
              <w:jc w:val="center"/>
              <w:rPr>
                <w:rFonts w:cs="Calibri"/>
              </w:rPr>
            </w:pPr>
            <w:r w:rsidRPr="007D15C3">
              <w:rPr>
                <w:rFonts w:cs="Calibri"/>
              </w:rPr>
              <w:t>23074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08FA96" w14:textId="77777777">
            <w:pPr>
              <w:jc w:val="center"/>
              <w:rPr>
                <w:rFonts w:cs="Calibri"/>
              </w:rPr>
            </w:pPr>
            <w:r w:rsidRPr="007D15C3">
              <w:rPr>
                <w:rFonts w:cs="Calibri"/>
              </w:rPr>
              <w:t>KUSA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81FC39" w14:textId="77777777">
            <w:pPr>
              <w:rPr>
                <w:rFonts w:cs="Calibri"/>
              </w:rPr>
            </w:pPr>
            <w:r w:rsidRPr="007D15C3">
              <w:rPr>
                <w:rFonts w:cs="Calibri"/>
              </w:rPr>
              <w:t xml:space="preserve">          3,803,461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B5E53C" w14:textId="77777777">
            <w:pPr>
              <w:rPr>
                <w:rFonts w:cs="Calibri"/>
              </w:rPr>
            </w:pPr>
            <w:r w:rsidRPr="007D15C3">
              <w:rPr>
                <w:rFonts w:cs="Calibri"/>
              </w:rPr>
              <w:t xml:space="preserve">            3,561,587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27F010" w14:textId="77777777">
            <w:pPr>
              <w:jc w:val="right"/>
              <w:rPr>
                <w:rFonts w:cs="Calibri"/>
              </w:rPr>
            </w:pPr>
            <w:r w:rsidRPr="007D15C3">
              <w:rPr>
                <w:rFonts w:cs="Calibri"/>
              </w:rPr>
              <w:t>$27,912</w:t>
            </w:r>
          </w:p>
        </w:tc>
      </w:tr>
      <w:tr w14:paraId="4A4DA10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08FFB8" w14:textId="77777777">
            <w:pPr>
              <w:jc w:val="center"/>
              <w:rPr>
                <w:rFonts w:cs="Calibri"/>
              </w:rPr>
            </w:pPr>
            <w:r w:rsidRPr="007D15C3">
              <w:rPr>
                <w:rFonts w:cs="Calibri"/>
              </w:rPr>
              <w:t>61072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46FC46" w14:textId="77777777">
            <w:pPr>
              <w:jc w:val="center"/>
              <w:rPr>
                <w:rFonts w:cs="Calibri"/>
              </w:rPr>
            </w:pPr>
            <w:r w:rsidRPr="007D15C3">
              <w:rPr>
                <w:rFonts w:cs="Calibri"/>
              </w:rPr>
              <w:t>KUSD-TV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48FFBE" w14:textId="77777777">
            <w:pPr>
              <w:rPr>
                <w:rFonts w:cs="Calibri"/>
              </w:rPr>
            </w:pPr>
            <w:r w:rsidRPr="007D15C3">
              <w:rPr>
                <w:rFonts w:cs="Calibri"/>
              </w:rPr>
              <w:t xml:space="preserve">             460,480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7EE99" w14:textId="77777777">
            <w:pPr>
              <w:rPr>
                <w:rFonts w:cs="Calibri"/>
              </w:rPr>
            </w:pPr>
            <w:r w:rsidRPr="007D15C3">
              <w:rPr>
                <w:rFonts w:cs="Calibri"/>
              </w:rPr>
              <w:t xml:space="preserve">               460,277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D91D80" w14:textId="77777777">
            <w:pPr>
              <w:jc w:val="right"/>
              <w:rPr>
                <w:rFonts w:cs="Calibri"/>
              </w:rPr>
            </w:pPr>
            <w:r w:rsidRPr="007D15C3">
              <w:rPr>
                <w:rFonts w:cs="Calibri"/>
              </w:rPr>
              <w:t>$3,607</w:t>
            </w:r>
          </w:p>
        </w:tc>
      </w:tr>
      <w:tr w14:paraId="45A0CA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264D40" w14:textId="77777777">
            <w:pPr>
              <w:jc w:val="center"/>
              <w:rPr>
                <w:rFonts w:cs="Calibri"/>
              </w:rPr>
            </w:pPr>
            <w:r w:rsidRPr="007D15C3">
              <w:rPr>
                <w:rFonts w:cs="Calibri"/>
              </w:rPr>
              <w:t>10238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6E5855" w14:textId="77777777">
            <w:pPr>
              <w:jc w:val="center"/>
              <w:rPr>
                <w:rFonts w:cs="Calibri"/>
              </w:rPr>
            </w:pPr>
            <w:r w:rsidRPr="007D15C3">
              <w:rPr>
                <w:rFonts w:cs="Calibri"/>
              </w:rPr>
              <w:t>KUSI-TV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3F84AD" w14:textId="77777777">
            <w:pPr>
              <w:rPr>
                <w:rFonts w:cs="Calibri"/>
              </w:rPr>
            </w:pPr>
            <w:r w:rsidRPr="007D15C3">
              <w:rPr>
                <w:rFonts w:cs="Calibri"/>
              </w:rPr>
              <w:t xml:space="preserve">          3,572,818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D1CBD8" w14:textId="77777777">
            <w:pPr>
              <w:rPr>
                <w:rFonts w:cs="Calibri"/>
              </w:rPr>
            </w:pPr>
            <w:r w:rsidRPr="007D15C3">
              <w:rPr>
                <w:rFonts w:cs="Calibri"/>
              </w:rPr>
              <w:t xml:space="preserve">            3,435,670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8605FF" w14:textId="77777777">
            <w:pPr>
              <w:jc w:val="right"/>
              <w:rPr>
                <w:rFonts w:cs="Calibri"/>
              </w:rPr>
            </w:pPr>
            <w:r w:rsidRPr="007D15C3">
              <w:rPr>
                <w:rFonts w:cs="Calibri"/>
              </w:rPr>
              <w:t>$26,925</w:t>
            </w:r>
          </w:p>
        </w:tc>
      </w:tr>
      <w:tr w14:paraId="0FBF3C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731F79" w14:textId="77777777">
            <w:pPr>
              <w:jc w:val="center"/>
              <w:rPr>
                <w:rFonts w:cs="Calibri"/>
              </w:rPr>
            </w:pPr>
            <w:r w:rsidRPr="007D15C3">
              <w:rPr>
                <w:rFonts w:cs="Calibri"/>
              </w:rPr>
              <w:t>43567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8B2FE3" w14:textId="77777777">
            <w:pPr>
              <w:jc w:val="center"/>
              <w:rPr>
                <w:rFonts w:cs="Calibri"/>
              </w:rPr>
            </w:pPr>
            <w:r w:rsidRPr="007D15C3">
              <w:rPr>
                <w:rFonts w:cs="Calibri"/>
              </w:rPr>
              <w:t>KUSM-TV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B8E384" w14:textId="77777777">
            <w:pPr>
              <w:rPr>
                <w:rFonts w:cs="Calibri"/>
              </w:rPr>
            </w:pPr>
            <w:r w:rsidRPr="007D15C3">
              <w:rPr>
                <w:rFonts w:cs="Calibri"/>
              </w:rPr>
              <w:t xml:space="preserve">             115,864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FD26CD" w14:textId="77777777">
            <w:pPr>
              <w:rPr>
                <w:rFonts w:cs="Calibri"/>
              </w:rPr>
            </w:pPr>
            <w:r w:rsidRPr="007D15C3">
              <w:rPr>
                <w:rFonts w:cs="Calibri"/>
              </w:rPr>
              <w:t xml:space="preserve">               106,398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C67D3C" w14:textId="77777777">
            <w:pPr>
              <w:jc w:val="right"/>
              <w:rPr>
                <w:rFonts w:cs="Calibri"/>
              </w:rPr>
            </w:pPr>
            <w:r w:rsidRPr="007D15C3">
              <w:rPr>
                <w:rFonts w:cs="Calibri"/>
              </w:rPr>
              <w:t>$834</w:t>
            </w:r>
          </w:p>
        </w:tc>
      </w:tr>
      <w:tr w14:paraId="08A6407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8FC55B" w14:textId="77777777">
            <w:pPr>
              <w:jc w:val="center"/>
              <w:rPr>
                <w:rFonts w:cs="Calibri"/>
              </w:rPr>
            </w:pPr>
            <w:r w:rsidRPr="007D15C3">
              <w:rPr>
                <w:rFonts w:cs="Calibri"/>
              </w:rPr>
              <w:t>69694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92F552" w14:textId="77777777">
            <w:pPr>
              <w:jc w:val="center"/>
              <w:rPr>
                <w:rFonts w:cs="Calibri"/>
              </w:rPr>
            </w:pPr>
            <w:r w:rsidRPr="007D15C3">
              <w:rPr>
                <w:rFonts w:cs="Calibri"/>
              </w:rPr>
              <w:t>KUTF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DA2CA5" w14:textId="77777777">
            <w:pPr>
              <w:rPr>
                <w:rFonts w:cs="Calibri"/>
              </w:rPr>
            </w:pPr>
            <w:r w:rsidRPr="007D15C3">
              <w:rPr>
                <w:rFonts w:cs="Calibri"/>
              </w:rPr>
              <w:t xml:space="preserve">          1,210,774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EF9852" w14:textId="77777777">
            <w:pPr>
              <w:rPr>
                <w:rFonts w:cs="Calibri"/>
              </w:rPr>
            </w:pPr>
            <w:r w:rsidRPr="007D15C3">
              <w:rPr>
                <w:rFonts w:cs="Calibri"/>
              </w:rPr>
              <w:t xml:space="preserve">            1,031,870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B36E97" w14:textId="77777777">
            <w:pPr>
              <w:jc w:val="right"/>
              <w:rPr>
                <w:rFonts w:cs="Calibri"/>
              </w:rPr>
            </w:pPr>
            <w:r w:rsidRPr="007D15C3">
              <w:rPr>
                <w:rFonts w:cs="Calibri"/>
              </w:rPr>
              <w:t>$8,087</w:t>
            </w:r>
          </w:p>
        </w:tc>
      </w:tr>
      <w:tr w14:paraId="0737965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03019F" w14:textId="77777777">
            <w:pPr>
              <w:jc w:val="center"/>
              <w:rPr>
                <w:rFonts w:cs="Calibri"/>
              </w:rPr>
            </w:pPr>
            <w:r w:rsidRPr="007D15C3">
              <w:rPr>
                <w:rFonts w:cs="Calibri"/>
              </w:rPr>
              <w:t>81451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62110C" w14:textId="77777777">
            <w:pPr>
              <w:jc w:val="center"/>
              <w:rPr>
                <w:rFonts w:cs="Calibri"/>
              </w:rPr>
            </w:pPr>
            <w:r w:rsidRPr="007D15C3">
              <w:rPr>
                <w:rFonts w:cs="Calibri"/>
              </w:rPr>
              <w:t>KUTH-DT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34BC91" w14:textId="77777777">
            <w:pPr>
              <w:rPr>
                <w:rFonts w:cs="Calibri"/>
              </w:rPr>
            </w:pPr>
            <w:r w:rsidRPr="007D15C3">
              <w:rPr>
                <w:rFonts w:cs="Calibri"/>
              </w:rPr>
              <w:t xml:space="preserve">          2,219,788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330442" w14:textId="77777777">
            <w:pPr>
              <w:rPr>
                <w:rFonts w:cs="Calibri"/>
              </w:rPr>
            </w:pPr>
            <w:r w:rsidRPr="007D15C3">
              <w:rPr>
                <w:rFonts w:cs="Calibri"/>
              </w:rPr>
              <w:t xml:space="preserve">            2,027,174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371BF0" w14:textId="77777777">
            <w:pPr>
              <w:jc w:val="right"/>
              <w:rPr>
                <w:rFonts w:cs="Calibri"/>
              </w:rPr>
            </w:pPr>
            <w:r w:rsidRPr="007D15C3">
              <w:rPr>
                <w:rFonts w:cs="Calibri"/>
              </w:rPr>
              <w:t>$15,887</w:t>
            </w:r>
          </w:p>
        </w:tc>
      </w:tr>
      <w:tr w14:paraId="447B44B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902EE5" w14:textId="77777777">
            <w:pPr>
              <w:jc w:val="center"/>
              <w:rPr>
                <w:rFonts w:cs="Calibri"/>
              </w:rPr>
            </w:pPr>
            <w:r w:rsidRPr="007D15C3">
              <w:rPr>
                <w:rFonts w:cs="Calibri"/>
              </w:rPr>
              <w:t>68886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64017A" w14:textId="77777777">
            <w:pPr>
              <w:jc w:val="center"/>
              <w:rPr>
                <w:rFonts w:cs="Calibri"/>
              </w:rPr>
            </w:pPr>
            <w:r w:rsidRPr="007D15C3">
              <w:rPr>
                <w:rFonts w:cs="Calibri"/>
              </w:rPr>
              <w:t>KUTP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996994" w14:textId="77777777">
            <w:pPr>
              <w:rPr>
                <w:rFonts w:cs="Calibri"/>
              </w:rPr>
            </w:pPr>
            <w:r w:rsidRPr="007D15C3">
              <w:rPr>
                <w:rFonts w:cs="Calibri"/>
              </w:rPr>
              <w:t xml:space="preserve">          4,191,015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743ED0" w14:textId="77777777">
            <w:pPr>
              <w:rPr>
                <w:rFonts w:cs="Calibri"/>
              </w:rPr>
            </w:pPr>
            <w:r w:rsidRPr="007D15C3">
              <w:rPr>
                <w:rFonts w:cs="Calibri"/>
              </w:rPr>
              <w:t xml:space="preserve">            4,176,014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9A88B3" w14:textId="77777777">
            <w:pPr>
              <w:jc w:val="right"/>
              <w:rPr>
                <w:rFonts w:cs="Calibri"/>
              </w:rPr>
            </w:pPr>
            <w:r w:rsidRPr="007D15C3">
              <w:rPr>
                <w:rFonts w:cs="Calibri"/>
              </w:rPr>
              <w:t>$32,727</w:t>
            </w:r>
          </w:p>
        </w:tc>
      </w:tr>
      <w:tr w14:paraId="65BA9A8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0927D5" w14:textId="77777777">
            <w:pPr>
              <w:jc w:val="center"/>
              <w:rPr>
                <w:rFonts w:cs="Calibri"/>
              </w:rPr>
            </w:pPr>
            <w:r w:rsidRPr="007D15C3">
              <w:rPr>
                <w:rFonts w:cs="Calibri"/>
              </w:rPr>
              <w:t>35823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49E50E" w14:textId="77777777">
            <w:pPr>
              <w:jc w:val="center"/>
              <w:rPr>
                <w:rFonts w:cs="Calibri"/>
              </w:rPr>
            </w:pPr>
            <w:r w:rsidRPr="007D15C3">
              <w:rPr>
                <w:rFonts w:cs="Calibri"/>
              </w:rPr>
              <w:t>KUTV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E5194A" w14:textId="77777777">
            <w:pPr>
              <w:rPr>
                <w:rFonts w:cs="Calibri"/>
              </w:rPr>
            </w:pPr>
            <w:r w:rsidRPr="007D15C3">
              <w:rPr>
                <w:rFonts w:cs="Calibri"/>
              </w:rPr>
              <w:t xml:space="preserve">          2,388,211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07DF21" w14:textId="77777777">
            <w:pPr>
              <w:rPr>
                <w:rFonts w:cs="Calibri"/>
              </w:rPr>
            </w:pPr>
            <w:r w:rsidRPr="007D15C3">
              <w:rPr>
                <w:rFonts w:cs="Calibri"/>
              </w:rPr>
              <w:t xml:space="preserve">            2,192,182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07FE7B" w14:textId="77777777">
            <w:pPr>
              <w:jc w:val="right"/>
              <w:rPr>
                <w:rFonts w:cs="Calibri"/>
              </w:rPr>
            </w:pPr>
            <w:r w:rsidRPr="007D15C3">
              <w:rPr>
                <w:rFonts w:cs="Calibri"/>
              </w:rPr>
              <w:t>$17,180</w:t>
            </w:r>
          </w:p>
        </w:tc>
      </w:tr>
      <w:tr w14:paraId="37D42EF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C667BC" w14:textId="77777777">
            <w:pPr>
              <w:jc w:val="center"/>
              <w:rPr>
                <w:rFonts w:cs="Calibri"/>
              </w:rPr>
            </w:pPr>
            <w:r w:rsidRPr="007D15C3">
              <w:rPr>
                <w:rFonts w:cs="Calibri"/>
              </w:rPr>
              <w:t>63927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867076" w14:textId="77777777">
            <w:pPr>
              <w:jc w:val="center"/>
              <w:rPr>
                <w:rFonts w:cs="Calibri"/>
              </w:rPr>
            </w:pPr>
            <w:r w:rsidRPr="007D15C3">
              <w:rPr>
                <w:rFonts w:cs="Calibri"/>
              </w:rPr>
              <w:t>KUVE-DT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953E8D" w14:textId="77777777">
            <w:pPr>
              <w:rPr>
                <w:rFonts w:cs="Calibri"/>
              </w:rPr>
            </w:pPr>
            <w:r w:rsidRPr="007D15C3">
              <w:rPr>
                <w:rFonts w:cs="Calibri"/>
              </w:rPr>
              <w:t xml:space="preserve">          1,294,971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8D7F58" w14:textId="77777777">
            <w:pPr>
              <w:rPr>
                <w:rFonts w:cs="Calibri"/>
              </w:rPr>
            </w:pPr>
            <w:r w:rsidRPr="007D15C3">
              <w:rPr>
                <w:rFonts w:cs="Calibri"/>
              </w:rPr>
              <w:t xml:space="preserve">               964,396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5AF776" w14:textId="77777777">
            <w:pPr>
              <w:jc w:val="right"/>
              <w:rPr>
                <w:rFonts w:cs="Calibri"/>
              </w:rPr>
            </w:pPr>
            <w:r w:rsidRPr="007D15C3">
              <w:rPr>
                <w:rFonts w:cs="Calibri"/>
              </w:rPr>
              <w:t>$7,558</w:t>
            </w:r>
          </w:p>
        </w:tc>
      </w:tr>
      <w:tr w14:paraId="522B89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1A0C3F" w14:textId="77777777">
            <w:pPr>
              <w:jc w:val="center"/>
              <w:rPr>
                <w:rFonts w:cs="Calibri"/>
              </w:rPr>
            </w:pPr>
            <w:r w:rsidRPr="007D15C3">
              <w:rPr>
                <w:rFonts w:cs="Calibri"/>
              </w:rPr>
              <w:t>7700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54C347" w14:textId="77777777">
            <w:pPr>
              <w:jc w:val="center"/>
              <w:rPr>
                <w:rFonts w:cs="Calibri"/>
              </w:rPr>
            </w:pPr>
            <w:r w:rsidRPr="007D15C3">
              <w:rPr>
                <w:rFonts w:cs="Calibri"/>
              </w:rPr>
              <w:t>KUVI-DT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D42DF7" w14:textId="77777777">
            <w:pPr>
              <w:rPr>
                <w:rFonts w:cs="Calibri"/>
              </w:rPr>
            </w:pPr>
            <w:r w:rsidRPr="007D15C3">
              <w:rPr>
                <w:rFonts w:cs="Calibri"/>
              </w:rPr>
              <w:t xml:space="preserve">          1,204,490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F45F42" w14:textId="77777777">
            <w:pPr>
              <w:rPr>
                <w:rFonts w:cs="Calibri"/>
              </w:rPr>
            </w:pPr>
            <w:r w:rsidRPr="007D15C3">
              <w:rPr>
                <w:rFonts w:cs="Calibri"/>
              </w:rPr>
              <w:t xml:space="preserve">            1,009,943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F72AA4" w14:textId="77777777">
            <w:pPr>
              <w:jc w:val="right"/>
              <w:rPr>
                <w:rFonts w:cs="Calibri"/>
              </w:rPr>
            </w:pPr>
            <w:r w:rsidRPr="007D15C3">
              <w:rPr>
                <w:rFonts w:cs="Calibri"/>
              </w:rPr>
              <w:t>$7,915</w:t>
            </w:r>
          </w:p>
        </w:tc>
      </w:tr>
      <w:tr w14:paraId="37990C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554E55" w14:textId="77777777">
            <w:pPr>
              <w:jc w:val="center"/>
              <w:rPr>
                <w:rFonts w:cs="Calibri"/>
              </w:rPr>
            </w:pPr>
            <w:r w:rsidRPr="007D15C3">
              <w:rPr>
                <w:rFonts w:cs="Calibri"/>
              </w:rPr>
              <w:t>35841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AB0BAA" w14:textId="77777777">
            <w:pPr>
              <w:jc w:val="center"/>
              <w:rPr>
                <w:rFonts w:cs="Calibri"/>
              </w:rPr>
            </w:pPr>
            <w:r w:rsidRPr="007D15C3">
              <w:rPr>
                <w:rFonts w:cs="Calibri"/>
              </w:rPr>
              <w:t>KUVN-DT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EB4B1B" w14:textId="77777777">
            <w:pPr>
              <w:rPr>
                <w:rFonts w:cs="Calibri"/>
              </w:rPr>
            </w:pPr>
            <w:r w:rsidRPr="007D15C3">
              <w:rPr>
                <w:rFonts w:cs="Calibri"/>
              </w:rPr>
              <w:t xml:space="preserve">          6,680,126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AD162F" w14:textId="77777777">
            <w:pPr>
              <w:rPr>
                <w:rFonts w:cs="Calibri"/>
              </w:rPr>
            </w:pPr>
            <w:r w:rsidRPr="007D15C3">
              <w:rPr>
                <w:rFonts w:cs="Calibri"/>
              </w:rPr>
              <w:t xml:space="preserve">            6,678,157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38FEF0" w14:textId="77777777">
            <w:pPr>
              <w:jc w:val="right"/>
              <w:rPr>
                <w:rFonts w:cs="Calibri"/>
              </w:rPr>
            </w:pPr>
            <w:r w:rsidRPr="007D15C3">
              <w:rPr>
                <w:rFonts w:cs="Calibri"/>
              </w:rPr>
              <w:t>$52,337</w:t>
            </w:r>
          </w:p>
        </w:tc>
      </w:tr>
      <w:tr w14:paraId="419C6D8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7D0B95" w14:textId="77777777">
            <w:pPr>
              <w:jc w:val="center"/>
              <w:rPr>
                <w:rFonts w:cs="Calibri"/>
              </w:rPr>
            </w:pPr>
            <w:r w:rsidRPr="007D15C3">
              <w:rPr>
                <w:rFonts w:cs="Calibri"/>
              </w:rPr>
              <w:t>58609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320FE6" w14:textId="77777777">
            <w:pPr>
              <w:jc w:val="center"/>
              <w:rPr>
                <w:rFonts w:cs="Calibri"/>
              </w:rPr>
            </w:pPr>
            <w:r w:rsidRPr="007D15C3">
              <w:rPr>
                <w:rFonts w:cs="Calibri"/>
              </w:rPr>
              <w:t>KUVS-DT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98A9F3" w14:textId="77777777">
            <w:pPr>
              <w:rPr>
                <w:rFonts w:cs="Calibri"/>
              </w:rPr>
            </w:pPr>
            <w:r w:rsidRPr="007D15C3">
              <w:rPr>
                <w:rFonts w:cs="Calibri"/>
              </w:rPr>
              <w:t xml:space="preserve">          4,043,413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BC7603" w14:textId="77777777">
            <w:pPr>
              <w:rPr>
                <w:rFonts w:cs="Calibri"/>
              </w:rPr>
            </w:pPr>
            <w:r w:rsidRPr="007D15C3">
              <w:rPr>
                <w:rFonts w:cs="Calibri"/>
              </w:rPr>
              <w:t xml:space="preserve">            4,005,657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084DC7" w14:textId="77777777">
            <w:pPr>
              <w:jc w:val="right"/>
              <w:rPr>
                <w:rFonts w:cs="Calibri"/>
              </w:rPr>
            </w:pPr>
            <w:r w:rsidRPr="007D15C3">
              <w:rPr>
                <w:rFonts w:cs="Calibri"/>
              </w:rPr>
              <w:t>$31,392</w:t>
            </w:r>
          </w:p>
        </w:tc>
      </w:tr>
      <w:tr w14:paraId="7ECFD5F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22FAFC" w14:textId="77777777">
            <w:pPr>
              <w:jc w:val="center"/>
              <w:rPr>
                <w:rFonts w:cs="Calibri"/>
              </w:rPr>
            </w:pPr>
            <w:r w:rsidRPr="007D15C3">
              <w:rPr>
                <w:rFonts w:cs="Calibri"/>
              </w:rPr>
              <w:t>49766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0363B3" w14:textId="77777777">
            <w:pPr>
              <w:jc w:val="center"/>
              <w:rPr>
                <w:rFonts w:cs="Calibri"/>
              </w:rPr>
            </w:pPr>
            <w:r w:rsidRPr="007D15C3">
              <w:rPr>
                <w:rFonts w:cs="Calibri"/>
              </w:rPr>
              <w:t>KVAL-TV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148ED0" w14:textId="77777777">
            <w:pPr>
              <w:rPr>
                <w:rFonts w:cs="Calibri"/>
              </w:rPr>
            </w:pPr>
            <w:r w:rsidRPr="007D15C3">
              <w:rPr>
                <w:rFonts w:cs="Calibri"/>
              </w:rPr>
              <w:t xml:space="preserve">          1,016,673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B791A9" w14:textId="77777777">
            <w:pPr>
              <w:rPr>
                <w:rFonts w:cs="Calibri"/>
              </w:rPr>
            </w:pPr>
            <w:r w:rsidRPr="007D15C3">
              <w:rPr>
                <w:rFonts w:cs="Calibri"/>
              </w:rPr>
              <w:t xml:space="preserve">               866,173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5BE0E7" w14:textId="77777777">
            <w:pPr>
              <w:jc w:val="right"/>
              <w:rPr>
                <w:rFonts w:cs="Calibri"/>
              </w:rPr>
            </w:pPr>
            <w:r w:rsidRPr="007D15C3">
              <w:rPr>
                <w:rFonts w:cs="Calibri"/>
              </w:rPr>
              <w:t>$6,788</w:t>
            </w:r>
          </w:p>
        </w:tc>
      </w:tr>
      <w:tr w14:paraId="208665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500242" w14:textId="77777777">
            <w:pPr>
              <w:jc w:val="center"/>
              <w:rPr>
                <w:rFonts w:cs="Calibri"/>
              </w:rPr>
            </w:pPr>
            <w:r w:rsidRPr="007D15C3">
              <w:rPr>
                <w:rFonts w:cs="Calibri"/>
              </w:rPr>
              <w:t>32621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7340F8" w14:textId="77777777">
            <w:pPr>
              <w:jc w:val="center"/>
              <w:rPr>
                <w:rFonts w:cs="Calibri"/>
              </w:rPr>
            </w:pPr>
            <w:r w:rsidRPr="007D15C3">
              <w:rPr>
                <w:rFonts w:cs="Calibri"/>
              </w:rPr>
              <w:t>KVAW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903D43" w14:textId="77777777">
            <w:pPr>
              <w:rPr>
                <w:rFonts w:cs="Calibri"/>
              </w:rPr>
            </w:pPr>
            <w:r w:rsidRPr="007D15C3">
              <w:rPr>
                <w:rFonts w:cs="Calibri"/>
              </w:rPr>
              <w:t xml:space="preserve">               76,153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8B2502" w14:textId="77777777">
            <w:pPr>
              <w:rPr>
                <w:rFonts w:cs="Calibri"/>
              </w:rPr>
            </w:pPr>
            <w:r w:rsidRPr="007D15C3">
              <w:rPr>
                <w:rFonts w:cs="Calibri"/>
              </w:rPr>
              <w:t xml:space="preserve">                 76,153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178643" w14:textId="77777777">
            <w:pPr>
              <w:jc w:val="right"/>
              <w:rPr>
                <w:rFonts w:cs="Calibri"/>
              </w:rPr>
            </w:pPr>
            <w:r w:rsidRPr="007D15C3">
              <w:rPr>
                <w:rFonts w:cs="Calibri"/>
              </w:rPr>
              <w:t>$597</w:t>
            </w:r>
          </w:p>
        </w:tc>
      </w:tr>
      <w:tr w14:paraId="510052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E60DFA" w14:textId="77777777">
            <w:pPr>
              <w:jc w:val="center"/>
              <w:rPr>
                <w:rFonts w:cs="Calibri"/>
              </w:rPr>
            </w:pPr>
            <w:r w:rsidRPr="007D15C3">
              <w:rPr>
                <w:rFonts w:cs="Calibri"/>
              </w:rPr>
              <w:t>58795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B31A98" w14:textId="77777777">
            <w:pPr>
              <w:jc w:val="center"/>
              <w:rPr>
                <w:rFonts w:cs="Calibri"/>
              </w:rPr>
            </w:pPr>
            <w:r w:rsidRPr="007D15C3">
              <w:rPr>
                <w:rFonts w:cs="Calibri"/>
              </w:rPr>
              <w:t>KVCR-DT*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100CD8" w14:textId="77777777">
            <w:pPr>
              <w:rPr>
                <w:rFonts w:cs="Calibri"/>
              </w:rPr>
            </w:pPr>
            <w:r w:rsidRPr="007D15C3">
              <w:rPr>
                <w:rFonts w:cs="Calibri"/>
              </w:rPr>
              <w:t xml:space="preserve">        18,215,524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C962DA" w14:textId="77777777">
            <w:pPr>
              <w:rPr>
                <w:rFonts w:cs="Calibri"/>
              </w:rPr>
            </w:pPr>
            <w:r w:rsidRPr="007D15C3">
              <w:rPr>
                <w:rFonts w:cs="Calibri"/>
              </w:rPr>
              <w:t xml:space="preserve">          17,467,140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E241BA" w14:textId="77777777">
            <w:pPr>
              <w:jc w:val="right"/>
              <w:rPr>
                <w:rFonts w:cs="Calibri"/>
              </w:rPr>
            </w:pPr>
            <w:r w:rsidRPr="007D15C3">
              <w:rPr>
                <w:rFonts w:cs="Calibri"/>
              </w:rPr>
              <w:t>$136,890</w:t>
            </w:r>
          </w:p>
        </w:tc>
      </w:tr>
      <w:tr w14:paraId="7F13BF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5ED310" w14:textId="77777777">
            <w:pPr>
              <w:jc w:val="center"/>
              <w:rPr>
                <w:rFonts w:cs="Calibri"/>
              </w:rPr>
            </w:pPr>
            <w:r w:rsidRPr="007D15C3">
              <w:rPr>
                <w:rFonts w:cs="Calibri"/>
              </w:rPr>
              <w:t>35846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D3C071" w14:textId="77777777">
            <w:pPr>
              <w:jc w:val="center"/>
              <w:rPr>
                <w:rFonts w:cs="Calibri"/>
              </w:rPr>
            </w:pPr>
            <w:r w:rsidRPr="007D15C3">
              <w:rPr>
                <w:rFonts w:cs="Calibri"/>
              </w:rPr>
              <w:t>KVCT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8A684C" w14:textId="77777777">
            <w:pPr>
              <w:rPr>
                <w:rFonts w:cs="Calibri"/>
              </w:rPr>
            </w:pPr>
            <w:r w:rsidRPr="007D15C3">
              <w:rPr>
                <w:rFonts w:cs="Calibri"/>
              </w:rPr>
              <w:t xml:space="preserve">             288,221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CFFCC2" w14:textId="77777777">
            <w:pPr>
              <w:rPr>
                <w:rFonts w:cs="Calibri"/>
              </w:rPr>
            </w:pPr>
            <w:r w:rsidRPr="007D15C3">
              <w:rPr>
                <w:rFonts w:cs="Calibri"/>
              </w:rPr>
              <w:t xml:space="preserve">               287,446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206D74" w14:textId="77777777">
            <w:pPr>
              <w:jc w:val="right"/>
              <w:rPr>
                <w:rFonts w:cs="Calibri"/>
              </w:rPr>
            </w:pPr>
            <w:r w:rsidRPr="007D15C3">
              <w:rPr>
                <w:rFonts w:cs="Calibri"/>
              </w:rPr>
              <w:t>$2,253</w:t>
            </w:r>
          </w:p>
        </w:tc>
      </w:tr>
      <w:tr w14:paraId="475CF9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B3D754" w14:textId="77777777">
            <w:pPr>
              <w:jc w:val="center"/>
              <w:rPr>
                <w:rFonts w:cs="Calibri"/>
              </w:rPr>
            </w:pPr>
            <w:r w:rsidRPr="007D15C3">
              <w:rPr>
                <w:rFonts w:cs="Calibri"/>
              </w:rPr>
              <w:t>10195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586FC9" w14:textId="77777777">
            <w:pPr>
              <w:jc w:val="center"/>
              <w:rPr>
                <w:rFonts w:cs="Calibri"/>
              </w:rPr>
            </w:pPr>
            <w:r w:rsidRPr="007D15C3">
              <w:rPr>
                <w:rFonts w:cs="Calibri"/>
              </w:rPr>
              <w:t>KVCW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C52352" w14:textId="77777777">
            <w:pPr>
              <w:rPr>
                <w:rFonts w:cs="Calibri"/>
              </w:rPr>
            </w:pPr>
            <w:r w:rsidRPr="007D15C3">
              <w:rPr>
                <w:rFonts w:cs="Calibri"/>
              </w:rPr>
              <w:t xml:space="preserve">          1,967,550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E8EE8F" w14:textId="77777777">
            <w:pPr>
              <w:rPr>
                <w:rFonts w:cs="Calibri"/>
              </w:rPr>
            </w:pPr>
            <w:r w:rsidRPr="007D15C3">
              <w:rPr>
                <w:rFonts w:cs="Calibri"/>
              </w:rPr>
              <w:t xml:space="preserve">            1,918,811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14C1D5" w14:textId="77777777">
            <w:pPr>
              <w:jc w:val="right"/>
              <w:rPr>
                <w:rFonts w:cs="Calibri"/>
              </w:rPr>
            </w:pPr>
            <w:r w:rsidRPr="007D15C3">
              <w:rPr>
                <w:rFonts w:cs="Calibri"/>
              </w:rPr>
              <w:t>$15,038</w:t>
            </w:r>
          </w:p>
        </w:tc>
      </w:tr>
      <w:tr w14:paraId="66838ED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CC0892" w14:textId="77777777">
            <w:pPr>
              <w:jc w:val="center"/>
              <w:rPr>
                <w:rFonts w:cs="Calibri"/>
              </w:rPr>
            </w:pPr>
            <w:r w:rsidRPr="007D15C3">
              <w:rPr>
                <w:rFonts w:cs="Calibri"/>
              </w:rPr>
              <w:t>64969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71AB7F" w14:textId="77777777">
            <w:pPr>
              <w:jc w:val="center"/>
              <w:rPr>
                <w:rFonts w:cs="Calibri"/>
              </w:rPr>
            </w:pPr>
            <w:r w:rsidRPr="007D15C3">
              <w:rPr>
                <w:rFonts w:cs="Calibri"/>
              </w:rPr>
              <w:t>KVDA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CCF48A" w14:textId="77777777">
            <w:pPr>
              <w:rPr>
                <w:rFonts w:cs="Calibri"/>
              </w:rPr>
            </w:pPr>
            <w:r w:rsidRPr="007D15C3">
              <w:rPr>
                <w:rFonts w:cs="Calibri"/>
              </w:rPr>
              <w:t xml:space="preserve">          2,400,582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CE1DF6" w14:textId="77777777">
            <w:pPr>
              <w:rPr>
                <w:rFonts w:cs="Calibri"/>
              </w:rPr>
            </w:pPr>
            <w:r w:rsidRPr="007D15C3">
              <w:rPr>
                <w:rFonts w:cs="Calibri"/>
              </w:rPr>
              <w:t xml:space="preserve">            2,391,810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603950" w14:textId="77777777">
            <w:pPr>
              <w:jc w:val="right"/>
              <w:rPr>
                <w:rFonts w:cs="Calibri"/>
              </w:rPr>
            </w:pPr>
            <w:r w:rsidRPr="007D15C3">
              <w:rPr>
                <w:rFonts w:cs="Calibri"/>
              </w:rPr>
              <w:t>$18,745</w:t>
            </w:r>
          </w:p>
        </w:tc>
      </w:tr>
      <w:tr w14:paraId="1383A7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0B098B" w14:textId="77777777">
            <w:pPr>
              <w:jc w:val="center"/>
              <w:rPr>
                <w:rFonts w:cs="Calibri"/>
              </w:rPr>
            </w:pPr>
            <w:r w:rsidRPr="007D15C3">
              <w:rPr>
                <w:rFonts w:cs="Calibri"/>
              </w:rPr>
              <w:t>19783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7A11FC" w14:textId="77777777">
            <w:pPr>
              <w:jc w:val="center"/>
              <w:rPr>
                <w:rFonts w:cs="Calibri"/>
              </w:rPr>
            </w:pPr>
            <w:r w:rsidRPr="007D15C3">
              <w:rPr>
                <w:rFonts w:cs="Calibri"/>
              </w:rPr>
              <w:t>KVEA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10A705" w14:textId="77777777">
            <w:pPr>
              <w:rPr>
                <w:rFonts w:cs="Calibri"/>
              </w:rPr>
            </w:pPr>
            <w:r w:rsidRPr="007D15C3">
              <w:rPr>
                <w:rFonts w:cs="Calibri"/>
              </w:rPr>
              <w:t xml:space="preserve">        17,423,429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E446AD" w14:textId="77777777">
            <w:pPr>
              <w:rPr>
                <w:rFonts w:cs="Calibri"/>
              </w:rPr>
            </w:pPr>
            <w:r w:rsidRPr="007D15C3">
              <w:rPr>
                <w:rFonts w:cs="Calibri"/>
              </w:rPr>
              <w:t xml:space="preserve">          16,146,250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784F37" w14:textId="77777777">
            <w:pPr>
              <w:jc w:val="right"/>
              <w:rPr>
                <w:rFonts w:cs="Calibri"/>
              </w:rPr>
            </w:pPr>
            <w:r w:rsidRPr="007D15C3">
              <w:rPr>
                <w:rFonts w:cs="Calibri"/>
              </w:rPr>
              <w:t>$126,538</w:t>
            </w:r>
          </w:p>
        </w:tc>
      </w:tr>
      <w:tr w14:paraId="58BBEE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CA485B" w14:textId="77777777">
            <w:pPr>
              <w:jc w:val="center"/>
              <w:rPr>
                <w:rFonts w:cs="Calibri"/>
              </w:rPr>
            </w:pPr>
            <w:r w:rsidRPr="007D15C3">
              <w:rPr>
                <w:rFonts w:cs="Calibri"/>
              </w:rPr>
              <w:t>12523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46AAD1" w14:textId="77777777">
            <w:pPr>
              <w:jc w:val="center"/>
              <w:rPr>
                <w:rFonts w:cs="Calibri"/>
              </w:rPr>
            </w:pPr>
            <w:r w:rsidRPr="007D15C3">
              <w:rPr>
                <w:rFonts w:cs="Calibri"/>
              </w:rPr>
              <w:t>KVEO-TV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13F303" w14:textId="77777777">
            <w:pPr>
              <w:rPr>
                <w:rFonts w:cs="Calibri"/>
              </w:rPr>
            </w:pPr>
            <w:r w:rsidRPr="007D15C3">
              <w:rPr>
                <w:rFonts w:cs="Calibri"/>
              </w:rPr>
              <w:t xml:space="preserve">          1,244,504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5E80D2" w14:textId="77777777">
            <w:pPr>
              <w:rPr>
                <w:rFonts w:cs="Calibri"/>
              </w:rPr>
            </w:pPr>
            <w:r w:rsidRPr="007D15C3">
              <w:rPr>
                <w:rFonts w:cs="Calibri"/>
              </w:rPr>
              <w:t xml:space="preserve">            1,244,504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80E41C" w14:textId="77777777">
            <w:pPr>
              <w:jc w:val="right"/>
              <w:rPr>
                <w:rFonts w:cs="Calibri"/>
              </w:rPr>
            </w:pPr>
            <w:r w:rsidRPr="007D15C3">
              <w:rPr>
                <w:rFonts w:cs="Calibri"/>
              </w:rPr>
              <w:t>$9,753</w:t>
            </w:r>
          </w:p>
        </w:tc>
      </w:tr>
      <w:tr w14:paraId="7DA076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C10B6A" w14:textId="77777777">
            <w:pPr>
              <w:jc w:val="center"/>
              <w:rPr>
                <w:rFonts w:cs="Calibri"/>
              </w:rPr>
            </w:pPr>
            <w:r w:rsidRPr="007D15C3">
              <w:rPr>
                <w:rFonts w:cs="Calibri"/>
              </w:rPr>
              <w:t>2495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DFB8CC" w14:textId="77777777">
            <w:pPr>
              <w:jc w:val="center"/>
              <w:rPr>
                <w:rFonts w:cs="Calibri"/>
              </w:rPr>
            </w:pPr>
            <w:r w:rsidRPr="007D15C3">
              <w:rPr>
                <w:rFonts w:cs="Calibri"/>
              </w:rPr>
              <w:t>KVEW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C15B67" w14:textId="77777777">
            <w:pPr>
              <w:rPr>
                <w:rFonts w:cs="Calibri"/>
              </w:rPr>
            </w:pPr>
            <w:r w:rsidRPr="007D15C3">
              <w:rPr>
                <w:rFonts w:cs="Calibri"/>
              </w:rPr>
              <w:t xml:space="preserve">             476,720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DC4A79" w14:textId="77777777">
            <w:pPr>
              <w:rPr>
                <w:rFonts w:cs="Calibri"/>
              </w:rPr>
            </w:pPr>
            <w:r w:rsidRPr="007D15C3">
              <w:rPr>
                <w:rFonts w:cs="Calibri"/>
              </w:rPr>
              <w:t xml:space="preserve">               464,347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21C571" w14:textId="77777777">
            <w:pPr>
              <w:jc w:val="right"/>
              <w:rPr>
                <w:rFonts w:cs="Calibri"/>
              </w:rPr>
            </w:pPr>
            <w:r w:rsidRPr="007D15C3">
              <w:rPr>
                <w:rFonts w:cs="Calibri"/>
              </w:rPr>
              <w:t>$3,639</w:t>
            </w:r>
          </w:p>
        </w:tc>
      </w:tr>
      <w:tr w14:paraId="0149E5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FADFA9" w14:textId="77777777">
            <w:pPr>
              <w:jc w:val="center"/>
              <w:rPr>
                <w:rFonts w:cs="Calibri"/>
              </w:rPr>
            </w:pPr>
            <w:r w:rsidRPr="007D15C3">
              <w:rPr>
                <w:rFonts w:cs="Calibri"/>
              </w:rPr>
              <w:t>35852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62FEA2" w14:textId="77777777">
            <w:pPr>
              <w:jc w:val="center"/>
              <w:rPr>
                <w:rFonts w:cs="Calibri"/>
              </w:rPr>
            </w:pPr>
            <w:r w:rsidRPr="007D15C3">
              <w:rPr>
                <w:rFonts w:cs="Calibri"/>
              </w:rPr>
              <w:t>KVHP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CF5515" w14:textId="77777777">
            <w:pPr>
              <w:rPr>
                <w:rFonts w:cs="Calibri"/>
              </w:rPr>
            </w:pPr>
            <w:r w:rsidRPr="007D15C3">
              <w:rPr>
                <w:rFonts w:cs="Calibri"/>
              </w:rPr>
              <w:t xml:space="preserve">             747,917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FFE45E" w14:textId="77777777">
            <w:pPr>
              <w:rPr>
                <w:rFonts w:cs="Calibri"/>
              </w:rPr>
            </w:pPr>
            <w:r w:rsidRPr="007D15C3">
              <w:rPr>
                <w:rFonts w:cs="Calibri"/>
              </w:rPr>
              <w:t xml:space="preserve">               747,837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E8A68B" w14:textId="77777777">
            <w:pPr>
              <w:jc w:val="right"/>
              <w:rPr>
                <w:rFonts w:cs="Calibri"/>
              </w:rPr>
            </w:pPr>
            <w:r w:rsidRPr="007D15C3">
              <w:rPr>
                <w:rFonts w:cs="Calibri"/>
              </w:rPr>
              <w:t>$5,861</w:t>
            </w:r>
          </w:p>
        </w:tc>
      </w:tr>
      <w:tr w14:paraId="253664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F2A87E" w14:textId="77777777">
            <w:pPr>
              <w:jc w:val="center"/>
              <w:rPr>
                <w:rFonts w:cs="Calibri"/>
              </w:rPr>
            </w:pPr>
            <w:r w:rsidRPr="007D15C3">
              <w:rPr>
                <w:rFonts w:cs="Calibri"/>
              </w:rPr>
              <w:t>49832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3697DC" w14:textId="77777777">
            <w:pPr>
              <w:jc w:val="center"/>
              <w:rPr>
                <w:rFonts w:cs="Calibri"/>
              </w:rPr>
            </w:pPr>
            <w:r w:rsidRPr="007D15C3">
              <w:rPr>
                <w:rFonts w:cs="Calibri"/>
              </w:rPr>
              <w:t>KVIA-TV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6C86BC" w14:textId="77777777">
            <w:pPr>
              <w:rPr>
                <w:rFonts w:cs="Calibri"/>
              </w:rPr>
            </w:pPr>
            <w:r w:rsidRPr="007D15C3">
              <w:rPr>
                <w:rFonts w:cs="Calibri"/>
              </w:rPr>
              <w:t xml:space="preserve">          1,015,350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79B825" w14:textId="77777777">
            <w:pPr>
              <w:rPr>
                <w:rFonts w:cs="Calibri"/>
              </w:rPr>
            </w:pPr>
            <w:r w:rsidRPr="007D15C3">
              <w:rPr>
                <w:rFonts w:cs="Calibri"/>
              </w:rPr>
              <w:t xml:space="preserve">            1,011,266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9A3D81" w14:textId="77777777">
            <w:pPr>
              <w:jc w:val="right"/>
              <w:rPr>
                <w:rFonts w:cs="Calibri"/>
              </w:rPr>
            </w:pPr>
            <w:r w:rsidRPr="007D15C3">
              <w:rPr>
                <w:rFonts w:cs="Calibri"/>
              </w:rPr>
              <w:t>$7,925</w:t>
            </w:r>
          </w:p>
        </w:tc>
      </w:tr>
      <w:tr w14:paraId="31B253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B81014" w14:textId="77777777">
            <w:pPr>
              <w:jc w:val="center"/>
              <w:rPr>
                <w:rFonts w:cs="Calibri"/>
              </w:rPr>
            </w:pPr>
            <w:r w:rsidRPr="007D15C3">
              <w:rPr>
                <w:rFonts w:cs="Calibri"/>
              </w:rPr>
              <w:t>35855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A4D9E9D" w14:textId="77777777">
            <w:pPr>
              <w:jc w:val="center"/>
              <w:rPr>
                <w:rFonts w:cs="Calibri"/>
              </w:rPr>
            </w:pPr>
            <w:r w:rsidRPr="007D15C3">
              <w:rPr>
                <w:rFonts w:cs="Calibri"/>
              </w:rPr>
              <w:t>KVIE*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CAD495" w14:textId="77777777">
            <w:pPr>
              <w:rPr>
                <w:rFonts w:cs="Calibri"/>
              </w:rPr>
            </w:pPr>
            <w:r w:rsidRPr="007D15C3">
              <w:rPr>
                <w:rFonts w:cs="Calibri"/>
              </w:rPr>
              <w:t xml:space="preserve">        10,759,440</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4A5961" w14:textId="77777777">
            <w:pPr>
              <w:rPr>
                <w:rFonts w:cs="Calibri"/>
              </w:rPr>
            </w:pPr>
            <w:r w:rsidRPr="007D15C3">
              <w:rPr>
                <w:rFonts w:cs="Calibri"/>
              </w:rPr>
              <w:t xml:space="preserve">            7,467,369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53C4D1" w14:textId="77777777">
            <w:pPr>
              <w:jc w:val="right"/>
              <w:rPr>
                <w:rFonts w:cs="Calibri"/>
              </w:rPr>
            </w:pPr>
            <w:r w:rsidRPr="007D15C3">
              <w:rPr>
                <w:rFonts w:cs="Calibri"/>
              </w:rPr>
              <w:t>$58,522</w:t>
            </w:r>
          </w:p>
        </w:tc>
      </w:tr>
      <w:tr w14:paraId="291A08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2809DD" w14:textId="77777777">
            <w:pPr>
              <w:jc w:val="center"/>
              <w:rPr>
                <w:rFonts w:cs="Calibri"/>
              </w:rPr>
            </w:pPr>
            <w:r w:rsidRPr="007D15C3">
              <w:rPr>
                <w:rFonts w:cs="Calibri"/>
              </w:rPr>
              <w:t>40450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0F205B" w14:textId="77777777">
            <w:pPr>
              <w:jc w:val="center"/>
              <w:rPr>
                <w:rFonts w:cs="Calibri"/>
              </w:rPr>
            </w:pPr>
            <w:r w:rsidRPr="007D15C3">
              <w:rPr>
                <w:rFonts w:cs="Calibri"/>
              </w:rPr>
              <w:t>KVIH-TV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58F7F6" w14:textId="77777777">
            <w:pPr>
              <w:rPr>
                <w:rFonts w:cs="Calibri"/>
              </w:rPr>
            </w:pPr>
            <w:r w:rsidRPr="007D15C3">
              <w:rPr>
                <w:rFonts w:cs="Calibri"/>
              </w:rPr>
              <w:t xml:space="preserve">               91,912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2D54FC" w14:textId="77777777">
            <w:pPr>
              <w:rPr>
                <w:rFonts w:cs="Calibri"/>
              </w:rPr>
            </w:pPr>
            <w:r w:rsidRPr="007D15C3">
              <w:rPr>
                <w:rFonts w:cs="Calibri"/>
              </w:rPr>
              <w:t xml:space="preserve">                 91,564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221F5D" w14:textId="77777777">
            <w:pPr>
              <w:jc w:val="right"/>
              <w:rPr>
                <w:rFonts w:cs="Calibri"/>
              </w:rPr>
            </w:pPr>
            <w:r w:rsidRPr="007D15C3">
              <w:rPr>
                <w:rFonts w:cs="Calibri"/>
              </w:rPr>
              <w:t>$718</w:t>
            </w:r>
          </w:p>
        </w:tc>
      </w:tr>
      <w:tr w14:paraId="0FE33A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B6AF8E" w14:textId="77777777">
            <w:pPr>
              <w:jc w:val="center"/>
              <w:rPr>
                <w:rFonts w:cs="Calibri"/>
              </w:rPr>
            </w:pPr>
            <w:r w:rsidRPr="007D15C3">
              <w:rPr>
                <w:rFonts w:cs="Calibri"/>
              </w:rPr>
              <w:t>40446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79C510" w14:textId="77777777">
            <w:pPr>
              <w:jc w:val="center"/>
              <w:rPr>
                <w:rFonts w:cs="Calibri"/>
              </w:rPr>
            </w:pPr>
            <w:r w:rsidRPr="007D15C3">
              <w:rPr>
                <w:rFonts w:cs="Calibri"/>
              </w:rPr>
              <w:t>KVII-TV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89AE90" w14:textId="77777777">
            <w:pPr>
              <w:rPr>
                <w:rFonts w:cs="Calibri"/>
              </w:rPr>
            </w:pPr>
            <w:r w:rsidRPr="007D15C3">
              <w:rPr>
                <w:rFonts w:cs="Calibri"/>
              </w:rPr>
              <w:t xml:space="preserve">             379,042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FA832E" w14:textId="77777777">
            <w:pPr>
              <w:rPr>
                <w:rFonts w:cs="Calibri"/>
              </w:rPr>
            </w:pPr>
            <w:r w:rsidRPr="007D15C3">
              <w:rPr>
                <w:rFonts w:cs="Calibri"/>
              </w:rPr>
              <w:t xml:space="preserve">               378,218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8776BE" w14:textId="77777777">
            <w:pPr>
              <w:jc w:val="right"/>
              <w:rPr>
                <w:rFonts w:cs="Calibri"/>
              </w:rPr>
            </w:pPr>
            <w:r w:rsidRPr="007D15C3">
              <w:rPr>
                <w:rFonts w:cs="Calibri"/>
              </w:rPr>
              <w:t>$2,964</w:t>
            </w:r>
          </w:p>
        </w:tc>
      </w:tr>
      <w:tr w14:paraId="463D521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51CEE3" w14:textId="77777777">
            <w:pPr>
              <w:jc w:val="center"/>
              <w:rPr>
                <w:rFonts w:cs="Calibri"/>
              </w:rPr>
            </w:pPr>
            <w:r w:rsidRPr="007D15C3">
              <w:rPr>
                <w:rFonts w:cs="Calibri"/>
              </w:rPr>
              <w:t>61961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7AACF6" w14:textId="77777777">
            <w:pPr>
              <w:jc w:val="center"/>
              <w:rPr>
                <w:rFonts w:cs="Calibri"/>
              </w:rPr>
            </w:pPr>
            <w:r w:rsidRPr="007D15C3">
              <w:rPr>
                <w:rFonts w:cs="Calibri"/>
              </w:rPr>
              <w:t>KVLY-TV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4A32AE" w14:textId="77777777">
            <w:pPr>
              <w:rPr>
                <w:rFonts w:cs="Calibri"/>
              </w:rPr>
            </w:pPr>
            <w:r w:rsidRPr="007D15C3">
              <w:rPr>
                <w:rFonts w:cs="Calibri"/>
              </w:rPr>
              <w:t xml:space="preserve">             350,732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872AD5" w14:textId="77777777">
            <w:pPr>
              <w:rPr>
                <w:rFonts w:cs="Calibri"/>
              </w:rPr>
            </w:pPr>
            <w:r w:rsidRPr="007D15C3">
              <w:rPr>
                <w:rFonts w:cs="Calibri"/>
              </w:rPr>
              <w:t xml:space="preserve">               350,449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82FD55" w14:textId="77777777">
            <w:pPr>
              <w:jc w:val="right"/>
              <w:rPr>
                <w:rFonts w:cs="Calibri"/>
              </w:rPr>
            </w:pPr>
            <w:r w:rsidRPr="007D15C3">
              <w:rPr>
                <w:rFonts w:cs="Calibri"/>
              </w:rPr>
              <w:t>$2,746</w:t>
            </w:r>
          </w:p>
        </w:tc>
      </w:tr>
      <w:tr w14:paraId="1C1B4D0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82F647" w14:textId="77777777">
            <w:pPr>
              <w:jc w:val="center"/>
              <w:rPr>
                <w:rFonts w:cs="Calibri"/>
              </w:rPr>
            </w:pPr>
            <w:r w:rsidRPr="007D15C3">
              <w:rPr>
                <w:rFonts w:cs="Calibri"/>
              </w:rPr>
              <w:t>16729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2EC4ED" w14:textId="77777777">
            <w:pPr>
              <w:jc w:val="center"/>
              <w:rPr>
                <w:rFonts w:cs="Calibri"/>
              </w:rPr>
            </w:pPr>
            <w:r w:rsidRPr="007D15C3">
              <w:rPr>
                <w:rFonts w:cs="Calibri"/>
              </w:rPr>
              <w:t>KVMD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45AEB5" w14:textId="77777777">
            <w:pPr>
              <w:rPr>
                <w:rFonts w:cs="Calibri"/>
              </w:rPr>
            </w:pPr>
            <w:r w:rsidRPr="007D15C3">
              <w:rPr>
                <w:rFonts w:cs="Calibri"/>
              </w:rPr>
              <w:t xml:space="preserve">          6,145,526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4C4447" w14:textId="77777777">
            <w:pPr>
              <w:rPr>
                <w:rFonts w:cs="Calibri"/>
              </w:rPr>
            </w:pPr>
            <w:r w:rsidRPr="007D15C3">
              <w:rPr>
                <w:rFonts w:cs="Calibri"/>
              </w:rPr>
              <w:t xml:space="preserve">            4,116,524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E40832" w14:textId="77777777">
            <w:pPr>
              <w:jc w:val="right"/>
              <w:rPr>
                <w:rFonts w:cs="Calibri"/>
              </w:rPr>
            </w:pPr>
            <w:r w:rsidRPr="007D15C3">
              <w:rPr>
                <w:rFonts w:cs="Calibri"/>
              </w:rPr>
              <w:t>$32,261</w:t>
            </w:r>
          </w:p>
        </w:tc>
      </w:tr>
      <w:tr w14:paraId="431CB3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676188" w14:textId="77777777">
            <w:pPr>
              <w:jc w:val="center"/>
              <w:rPr>
                <w:rFonts w:cs="Calibri"/>
              </w:rPr>
            </w:pPr>
            <w:r w:rsidRPr="007D15C3">
              <w:rPr>
                <w:rFonts w:cs="Calibri"/>
              </w:rPr>
              <w:t>83825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1583A2" w14:textId="77777777">
            <w:pPr>
              <w:jc w:val="center"/>
              <w:rPr>
                <w:rFonts w:cs="Calibri"/>
              </w:rPr>
            </w:pPr>
            <w:r w:rsidRPr="007D15C3">
              <w:rPr>
                <w:rFonts w:cs="Calibri"/>
              </w:rPr>
              <w:t>KVME-TV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67C6E7" w14:textId="77777777">
            <w:pPr>
              <w:rPr>
                <w:rFonts w:cs="Calibri"/>
              </w:rPr>
            </w:pPr>
            <w:r w:rsidRPr="007D15C3">
              <w:rPr>
                <w:rFonts w:cs="Calibri"/>
              </w:rPr>
              <w:t xml:space="preserve">               26,711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4658B9" w14:textId="77777777">
            <w:pPr>
              <w:rPr>
                <w:rFonts w:cs="Calibri"/>
              </w:rPr>
            </w:pPr>
            <w:r w:rsidRPr="007D15C3">
              <w:rPr>
                <w:rFonts w:cs="Calibri"/>
              </w:rPr>
              <w:t xml:space="preserve">                 22,802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C66BA6" w14:textId="77777777">
            <w:pPr>
              <w:jc w:val="right"/>
              <w:rPr>
                <w:rFonts w:cs="Calibri"/>
              </w:rPr>
            </w:pPr>
            <w:r w:rsidRPr="007D15C3">
              <w:rPr>
                <w:rFonts w:cs="Calibri"/>
              </w:rPr>
              <w:t>$179</w:t>
            </w:r>
          </w:p>
        </w:tc>
      </w:tr>
      <w:tr w14:paraId="527D22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14451C" w14:textId="77777777">
            <w:pPr>
              <w:jc w:val="center"/>
              <w:rPr>
                <w:rFonts w:cs="Calibri"/>
              </w:rPr>
            </w:pPr>
            <w:r w:rsidRPr="007D15C3">
              <w:rPr>
                <w:rFonts w:cs="Calibri"/>
              </w:rPr>
              <w:t>25735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AC0DE1" w14:textId="77777777">
            <w:pPr>
              <w:jc w:val="center"/>
              <w:rPr>
                <w:rFonts w:cs="Calibri"/>
              </w:rPr>
            </w:pPr>
            <w:r w:rsidRPr="007D15C3">
              <w:rPr>
                <w:rFonts w:cs="Calibri"/>
              </w:rPr>
              <w:t>KVOA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9D27E2" w14:textId="77777777">
            <w:pPr>
              <w:rPr>
                <w:rFonts w:cs="Calibri"/>
              </w:rPr>
            </w:pPr>
            <w:r w:rsidRPr="007D15C3">
              <w:rPr>
                <w:rFonts w:cs="Calibri"/>
              </w:rPr>
              <w:t xml:space="preserve">          1,317,956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0FFD51" w14:textId="77777777">
            <w:pPr>
              <w:rPr>
                <w:rFonts w:cs="Calibri"/>
              </w:rPr>
            </w:pPr>
            <w:r w:rsidRPr="007D15C3">
              <w:rPr>
                <w:rFonts w:cs="Calibri"/>
              </w:rPr>
              <w:t xml:space="preserve">            1,030,404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75DBC6" w14:textId="77777777">
            <w:pPr>
              <w:jc w:val="right"/>
              <w:rPr>
                <w:rFonts w:cs="Calibri"/>
              </w:rPr>
            </w:pPr>
            <w:r w:rsidRPr="007D15C3">
              <w:rPr>
                <w:rFonts w:cs="Calibri"/>
              </w:rPr>
              <w:t>$8,075</w:t>
            </w:r>
          </w:p>
        </w:tc>
      </w:tr>
      <w:tr w14:paraId="1D187BD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A0A393" w14:textId="77777777">
            <w:pPr>
              <w:jc w:val="center"/>
              <w:rPr>
                <w:rFonts w:cs="Calibri"/>
              </w:rPr>
            </w:pPr>
            <w:r w:rsidRPr="007D15C3">
              <w:rPr>
                <w:rFonts w:cs="Calibri"/>
              </w:rPr>
              <w:t>35862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AFFE8B" w14:textId="77777777">
            <w:pPr>
              <w:jc w:val="center"/>
              <w:rPr>
                <w:rFonts w:cs="Calibri"/>
              </w:rPr>
            </w:pPr>
            <w:r w:rsidRPr="007D15C3">
              <w:rPr>
                <w:rFonts w:cs="Calibri"/>
              </w:rPr>
              <w:t>KVOS-TV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C4E08D" w14:textId="77777777">
            <w:pPr>
              <w:rPr>
                <w:rFonts w:cs="Calibri"/>
              </w:rPr>
            </w:pPr>
            <w:r w:rsidRPr="007D15C3">
              <w:rPr>
                <w:rFonts w:cs="Calibri"/>
              </w:rPr>
              <w:t xml:space="preserve">          2,019,168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E77B0D" w14:textId="77777777">
            <w:pPr>
              <w:rPr>
                <w:rFonts w:cs="Calibri"/>
              </w:rPr>
            </w:pPr>
            <w:r w:rsidRPr="007D15C3">
              <w:rPr>
                <w:rFonts w:cs="Calibri"/>
              </w:rPr>
              <w:t xml:space="preserve">            1,954,667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68AF42" w14:textId="77777777">
            <w:pPr>
              <w:jc w:val="right"/>
              <w:rPr>
                <w:rFonts w:cs="Calibri"/>
              </w:rPr>
            </w:pPr>
            <w:r w:rsidRPr="007D15C3">
              <w:rPr>
                <w:rFonts w:cs="Calibri"/>
              </w:rPr>
              <w:t>$15,319</w:t>
            </w:r>
          </w:p>
        </w:tc>
      </w:tr>
      <w:tr w14:paraId="0E5ED8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532970" w14:textId="77777777">
            <w:pPr>
              <w:jc w:val="center"/>
              <w:rPr>
                <w:rFonts w:cs="Calibri"/>
              </w:rPr>
            </w:pPr>
            <w:r w:rsidRPr="007D15C3">
              <w:rPr>
                <w:rFonts w:cs="Calibri"/>
              </w:rPr>
              <w:t>69733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699B15" w14:textId="77777777">
            <w:pPr>
              <w:jc w:val="center"/>
              <w:rPr>
                <w:rFonts w:cs="Calibri"/>
              </w:rPr>
            </w:pPr>
            <w:r w:rsidRPr="007D15C3">
              <w:rPr>
                <w:rFonts w:cs="Calibri"/>
              </w:rPr>
              <w:t>KVPT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6F55F6" w14:textId="77777777">
            <w:pPr>
              <w:rPr>
                <w:rFonts w:cs="Calibri"/>
              </w:rPr>
            </w:pPr>
            <w:r w:rsidRPr="007D15C3">
              <w:rPr>
                <w:rFonts w:cs="Calibri"/>
              </w:rPr>
              <w:t xml:space="preserve">          1,744,349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419656" w14:textId="77777777">
            <w:pPr>
              <w:rPr>
                <w:rFonts w:cs="Calibri"/>
              </w:rPr>
            </w:pPr>
            <w:r w:rsidRPr="007D15C3">
              <w:rPr>
                <w:rFonts w:cs="Calibri"/>
              </w:rPr>
              <w:t xml:space="preserve">            1,719,318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311E2A" w14:textId="77777777">
            <w:pPr>
              <w:jc w:val="right"/>
              <w:rPr>
                <w:rFonts w:cs="Calibri"/>
              </w:rPr>
            </w:pPr>
            <w:r w:rsidRPr="007D15C3">
              <w:rPr>
                <w:rFonts w:cs="Calibri"/>
              </w:rPr>
              <w:t>$13,474</w:t>
            </w:r>
          </w:p>
        </w:tc>
      </w:tr>
      <w:tr w14:paraId="7AF7EAF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99C791" w14:textId="77777777">
            <w:pPr>
              <w:jc w:val="center"/>
              <w:rPr>
                <w:rFonts w:cs="Calibri"/>
              </w:rPr>
            </w:pPr>
            <w:r w:rsidRPr="007D15C3">
              <w:rPr>
                <w:rFonts w:cs="Calibri"/>
              </w:rPr>
              <w:t>55372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89F3C0" w14:textId="77777777">
            <w:pPr>
              <w:jc w:val="center"/>
              <w:rPr>
                <w:rFonts w:cs="Calibri"/>
              </w:rPr>
            </w:pPr>
            <w:r w:rsidRPr="007D15C3">
              <w:rPr>
                <w:rFonts w:cs="Calibri"/>
              </w:rPr>
              <w:t>KVRR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58B9B4" w14:textId="77777777">
            <w:pPr>
              <w:rPr>
                <w:rFonts w:cs="Calibri"/>
              </w:rPr>
            </w:pPr>
            <w:r w:rsidRPr="007D15C3">
              <w:rPr>
                <w:rFonts w:cs="Calibri"/>
              </w:rPr>
              <w:t xml:space="preserve">             356,645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D92DFF" w14:textId="77777777">
            <w:pPr>
              <w:rPr>
                <w:rFonts w:cs="Calibri"/>
              </w:rPr>
            </w:pPr>
            <w:r w:rsidRPr="007D15C3">
              <w:rPr>
                <w:rFonts w:cs="Calibri"/>
              </w:rPr>
              <w:t xml:space="preserve">               356,645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C65000" w14:textId="77777777">
            <w:pPr>
              <w:jc w:val="right"/>
              <w:rPr>
                <w:rFonts w:cs="Calibri"/>
              </w:rPr>
            </w:pPr>
            <w:r w:rsidRPr="007D15C3">
              <w:rPr>
                <w:rFonts w:cs="Calibri"/>
              </w:rPr>
              <w:t>$2,795</w:t>
            </w:r>
          </w:p>
        </w:tc>
      </w:tr>
      <w:tr w14:paraId="299587C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FDCCD7" w14:textId="77777777">
            <w:pPr>
              <w:jc w:val="center"/>
              <w:rPr>
                <w:rFonts w:cs="Calibri"/>
              </w:rPr>
            </w:pPr>
            <w:r w:rsidRPr="007D15C3">
              <w:rPr>
                <w:rFonts w:cs="Calibri"/>
              </w:rPr>
              <w:t>166331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A8161F" w14:textId="77777777">
            <w:pPr>
              <w:jc w:val="center"/>
              <w:rPr>
                <w:rFonts w:cs="Calibri"/>
              </w:rPr>
            </w:pPr>
            <w:r w:rsidRPr="007D15C3">
              <w:rPr>
                <w:rFonts w:cs="Calibri"/>
              </w:rPr>
              <w:t>KVSN-DT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6557B6" w14:textId="77777777">
            <w:pPr>
              <w:rPr>
                <w:rFonts w:cs="Calibri"/>
              </w:rPr>
            </w:pPr>
            <w:r w:rsidRPr="007D15C3">
              <w:rPr>
                <w:rFonts w:cs="Calibri"/>
              </w:rPr>
              <w:t xml:space="preserve">          2,706,244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E2C0A6" w14:textId="77777777">
            <w:pPr>
              <w:rPr>
                <w:rFonts w:cs="Calibri"/>
              </w:rPr>
            </w:pPr>
            <w:r w:rsidRPr="007D15C3">
              <w:rPr>
                <w:rFonts w:cs="Calibri"/>
              </w:rPr>
              <w:t xml:space="preserve">            2,283,409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0590ED" w14:textId="77777777">
            <w:pPr>
              <w:jc w:val="right"/>
              <w:rPr>
                <w:rFonts w:cs="Calibri"/>
              </w:rPr>
            </w:pPr>
            <w:r w:rsidRPr="007D15C3">
              <w:rPr>
                <w:rFonts w:cs="Calibri"/>
              </w:rPr>
              <w:t>$17,895</w:t>
            </w:r>
          </w:p>
        </w:tc>
      </w:tr>
      <w:tr w14:paraId="3E31F61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8783AF" w14:textId="77777777">
            <w:pPr>
              <w:jc w:val="center"/>
              <w:rPr>
                <w:rFonts w:cs="Calibri"/>
              </w:rPr>
            </w:pPr>
            <w:r w:rsidRPr="007D15C3">
              <w:rPr>
                <w:rFonts w:cs="Calibri"/>
              </w:rPr>
              <w:t>608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D3C3F7" w14:textId="77777777">
            <w:pPr>
              <w:jc w:val="center"/>
              <w:rPr>
                <w:rFonts w:cs="Calibri"/>
              </w:rPr>
            </w:pPr>
            <w:r w:rsidRPr="007D15C3">
              <w:rPr>
                <w:rFonts w:cs="Calibri"/>
              </w:rPr>
              <w:t>KVTH-DT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11AA15" w14:textId="77777777">
            <w:pPr>
              <w:rPr>
                <w:rFonts w:cs="Calibri"/>
              </w:rPr>
            </w:pPr>
            <w:r w:rsidRPr="007D15C3">
              <w:rPr>
                <w:rFonts w:cs="Calibri"/>
              </w:rPr>
              <w:t xml:space="preserve">             303,755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B6A8D1" w14:textId="77777777">
            <w:pPr>
              <w:rPr>
                <w:rFonts w:cs="Calibri"/>
              </w:rPr>
            </w:pPr>
            <w:r w:rsidRPr="007D15C3">
              <w:rPr>
                <w:rFonts w:cs="Calibri"/>
              </w:rPr>
              <w:t xml:space="preserve">               299,230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7734CF" w14:textId="77777777">
            <w:pPr>
              <w:jc w:val="right"/>
              <w:rPr>
                <w:rFonts w:cs="Calibri"/>
              </w:rPr>
            </w:pPr>
            <w:r w:rsidRPr="007D15C3">
              <w:rPr>
                <w:rFonts w:cs="Calibri"/>
              </w:rPr>
              <w:t>$2,345</w:t>
            </w:r>
          </w:p>
        </w:tc>
      </w:tr>
      <w:tr w14:paraId="51D5A72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B9B03C" w14:textId="77777777">
            <w:pPr>
              <w:jc w:val="center"/>
              <w:rPr>
                <w:rFonts w:cs="Calibri"/>
              </w:rPr>
            </w:pPr>
            <w:r w:rsidRPr="007D15C3">
              <w:rPr>
                <w:rFonts w:cs="Calibri"/>
              </w:rPr>
              <w:t>2784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AAC144" w14:textId="77777777">
            <w:pPr>
              <w:jc w:val="center"/>
              <w:rPr>
                <w:rFonts w:cs="Calibri"/>
              </w:rPr>
            </w:pPr>
            <w:r w:rsidRPr="007D15C3">
              <w:rPr>
                <w:rFonts w:cs="Calibri"/>
              </w:rPr>
              <w:t>KVTJ-DT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C534E1" w14:textId="77777777">
            <w:pPr>
              <w:rPr>
                <w:rFonts w:cs="Calibri"/>
              </w:rPr>
            </w:pPr>
            <w:r w:rsidRPr="007D15C3">
              <w:rPr>
                <w:rFonts w:cs="Calibri"/>
              </w:rPr>
              <w:t xml:space="preserve">          1,466,426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8A7A39" w14:textId="77777777">
            <w:pPr>
              <w:rPr>
                <w:rFonts w:cs="Calibri"/>
              </w:rPr>
            </w:pPr>
            <w:r w:rsidRPr="007D15C3">
              <w:rPr>
                <w:rFonts w:cs="Calibri"/>
              </w:rPr>
              <w:t xml:space="preserve">            1,465,802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7FB87F" w14:textId="77777777">
            <w:pPr>
              <w:jc w:val="right"/>
              <w:rPr>
                <w:rFonts w:cs="Calibri"/>
              </w:rPr>
            </w:pPr>
            <w:r w:rsidRPr="007D15C3">
              <w:rPr>
                <w:rFonts w:cs="Calibri"/>
              </w:rPr>
              <w:t>$11,487</w:t>
            </w:r>
          </w:p>
        </w:tc>
      </w:tr>
      <w:tr w14:paraId="7A56EAE3"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7AFDF5" w14:textId="77777777">
            <w:pPr>
              <w:jc w:val="center"/>
              <w:rPr>
                <w:rFonts w:cs="Calibri"/>
              </w:rPr>
            </w:pPr>
            <w:r w:rsidRPr="007D15C3">
              <w:rPr>
                <w:rFonts w:cs="Calibri"/>
              </w:rPr>
              <w:t>607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56D519B" w14:textId="77777777">
            <w:pPr>
              <w:jc w:val="center"/>
              <w:rPr>
                <w:rFonts w:cs="Calibri"/>
              </w:rPr>
            </w:pPr>
            <w:r w:rsidRPr="007D15C3">
              <w:rPr>
                <w:rFonts w:cs="Calibri"/>
              </w:rPr>
              <w:t>KVTN-DT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DE08A97" w14:textId="77777777">
            <w:pPr>
              <w:rPr>
                <w:rFonts w:cs="Calibri"/>
              </w:rPr>
            </w:pPr>
            <w:r w:rsidRPr="007D15C3">
              <w:rPr>
                <w:rFonts w:cs="Calibri"/>
              </w:rPr>
              <w:t xml:space="preserve">             936,328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A31902F" w14:textId="77777777">
            <w:pPr>
              <w:rPr>
                <w:rFonts w:cs="Calibri"/>
              </w:rPr>
            </w:pPr>
            <w:r w:rsidRPr="007D15C3">
              <w:rPr>
                <w:rFonts w:cs="Calibri"/>
              </w:rPr>
              <w:t xml:space="preserve">               925,884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A751FEE" w14:textId="77777777">
            <w:pPr>
              <w:jc w:val="right"/>
              <w:rPr>
                <w:rFonts w:cs="Calibri"/>
              </w:rPr>
            </w:pPr>
            <w:r w:rsidRPr="007D15C3">
              <w:rPr>
                <w:rFonts w:cs="Calibri"/>
              </w:rPr>
              <w:t>$7,256</w:t>
            </w:r>
          </w:p>
        </w:tc>
      </w:tr>
      <w:tr w14:paraId="017645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7E095D" w14:textId="77777777">
            <w:pPr>
              <w:jc w:val="center"/>
              <w:rPr>
                <w:rFonts w:cs="Calibri"/>
              </w:rPr>
            </w:pPr>
            <w:r w:rsidRPr="007D15C3">
              <w:rPr>
                <w:rFonts w:cs="Calibri"/>
              </w:rPr>
              <w:t>35867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3A1B36" w14:textId="77777777">
            <w:pPr>
              <w:jc w:val="center"/>
              <w:rPr>
                <w:rFonts w:cs="Calibri"/>
              </w:rPr>
            </w:pPr>
            <w:r w:rsidRPr="007D15C3">
              <w:rPr>
                <w:rFonts w:cs="Calibri"/>
              </w:rPr>
              <w:t>KVUE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32CC25" w14:textId="77777777">
            <w:pPr>
              <w:rPr>
                <w:rFonts w:cs="Calibri"/>
              </w:rPr>
            </w:pPr>
            <w:r w:rsidRPr="007D15C3">
              <w:rPr>
                <w:rFonts w:cs="Calibri"/>
              </w:rPr>
              <w:t xml:space="preserve">          2,661,290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CE85FF" w14:textId="77777777">
            <w:pPr>
              <w:rPr>
                <w:rFonts w:cs="Calibri"/>
              </w:rPr>
            </w:pPr>
            <w:r w:rsidRPr="007D15C3">
              <w:rPr>
                <w:rFonts w:cs="Calibri"/>
              </w:rPr>
              <w:t xml:space="preserve">            2,611,314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F790AF" w14:textId="77777777">
            <w:pPr>
              <w:jc w:val="right"/>
              <w:rPr>
                <w:rFonts w:cs="Calibri"/>
              </w:rPr>
            </w:pPr>
            <w:r w:rsidRPr="007D15C3">
              <w:rPr>
                <w:rFonts w:cs="Calibri"/>
              </w:rPr>
              <w:t>$20,465</w:t>
            </w:r>
          </w:p>
        </w:tc>
      </w:tr>
      <w:tr w14:paraId="7F3A373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589EA7" w14:textId="77777777">
            <w:pPr>
              <w:jc w:val="center"/>
              <w:rPr>
                <w:rFonts w:cs="Calibri"/>
              </w:rPr>
            </w:pPr>
            <w:r w:rsidRPr="007D15C3">
              <w:rPr>
                <w:rFonts w:cs="Calibri"/>
              </w:rPr>
              <w:t>78910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CB3C9E" w14:textId="77777777">
            <w:pPr>
              <w:jc w:val="center"/>
              <w:rPr>
                <w:rFonts w:cs="Calibri"/>
              </w:rPr>
            </w:pPr>
            <w:r w:rsidRPr="007D15C3">
              <w:rPr>
                <w:rFonts w:cs="Calibri"/>
              </w:rPr>
              <w:t>KVUI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E15779" w14:textId="77777777">
            <w:pPr>
              <w:rPr>
                <w:rFonts w:cs="Calibri"/>
              </w:rPr>
            </w:pPr>
            <w:r w:rsidRPr="007D15C3">
              <w:rPr>
                <w:rFonts w:cs="Calibri"/>
              </w:rPr>
              <w:t xml:space="preserve">             257,964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E58587" w14:textId="77777777">
            <w:pPr>
              <w:rPr>
                <w:rFonts w:cs="Calibri"/>
              </w:rPr>
            </w:pPr>
            <w:r w:rsidRPr="007D15C3">
              <w:rPr>
                <w:rFonts w:cs="Calibri"/>
              </w:rPr>
              <w:t xml:space="preserve">               251,872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404F98" w14:textId="77777777">
            <w:pPr>
              <w:jc w:val="right"/>
              <w:rPr>
                <w:rFonts w:cs="Calibri"/>
              </w:rPr>
            </w:pPr>
            <w:r w:rsidRPr="007D15C3">
              <w:rPr>
                <w:rFonts w:cs="Calibri"/>
              </w:rPr>
              <w:t>$1,974</w:t>
            </w:r>
          </w:p>
        </w:tc>
      </w:tr>
      <w:tr w14:paraId="7A9B03B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64E6E9" w14:textId="77777777">
            <w:pPr>
              <w:jc w:val="center"/>
              <w:rPr>
                <w:rFonts w:cs="Calibri"/>
              </w:rPr>
            </w:pPr>
            <w:r w:rsidRPr="007D15C3">
              <w:rPr>
                <w:rFonts w:cs="Calibri"/>
              </w:rPr>
              <w:t>35870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FB5FD1" w14:textId="77777777">
            <w:pPr>
              <w:jc w:val="center"/>
              <w:rPr>
                <w:rFonts w:cs="Calibri"/>
              </w:rPr>
            </w:pPr>
            <w:r w:rsidRPr="007D15C3">
              <w:rPr>
                <w:rFonts w:cs="Calibri"/>
              </w:rPr>
              <w:t>KVVU-TV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97D9C5" w14:textId="77777777">
            <w:pPr>
              <w:rPr>
                <w:rFonts w:cs="Calibri"/>
              </w:rPr>
            </w:pPr>
            <w:r w:rsidRPr="007D15C3">
              <w:rPr>
                <w:rFonts w:cs="Calibri"/>
              </w:rPr>
              <w:t xml:space="preserve">          2,042,029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8A5CB7" w14:textId="77777777">
            <w:pPr>
              <w:rPr>
                <w:rFonts w:cs="Calibri"/>
              </w:rPr>
            </w:pPr>
            <w:r w:rsidRPr="007D15C3">
              <w:rPr>
                <w:rFonts w:cs="Calibri"/>
              </w:rPr>
              <w:t xml:space="preserve">            1,935,466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13C5DF" w14:textId="77777777">
            <w:pPr>
              <w:jc w:val="right"/>
              <w:rPr>
                <w:rFonts w:cs="Calibri"/>
              </w:rPr>
            </w:pPr>
            <w:r w:rsidRPr="007D15C3">
              <w:rPr>
                <w:rFonts w:cs="Calibri"/>
              </w:rPr>
              <w:t>$15,168</w:t>
            </w:r>
          </w:p>
        </w:tc>
      </w:tr>
      <w:tr w14:paraId="519A633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EA0ECC" w14:textId="77777777">
            <w:pPr>
              <w:jc w:val="center"/>
              <w:rPr>
                <w:rFonts w:cs="Calibri"/>
              </w:rPr>
            </w:pPr>
            <w:r w:rsidRPr="007D15C3">
              <w:rPr>
                <w:rFonts w:cs="Calibri"/>
              </w:rPr>
              <w:t>36170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466C11" w14:textId="77777777">
            <w:pPr>
              <w:jc w:val="center"/>
              <w:rPr>
                <w:rFonts w:cs="Calibri"/>
              </w:rPr>
            </w:pPr>
            <w:r w:rsidRPr="007D15C3">
              <w:rPr>
                <w:rFonts w:cs="Calibri"/>
              </w:rPr>
              <w:t>KVYE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ACBEB5" w14:textId="77777777">
            <w:pPr>
              <w:rPr>
                <w:rFonts w:cs="Calibri"/>
              </w:rPr>
            </w:pPr>
            <w:r w:rsidRPr="007D15C3">
              <w:rPr>
                <w:rFonts w:cs="Calibri"/>
              </w:rPr>
              <w:t xml:space="preserve">             396,495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1D3397" w14:textId="77777777">
            <w:pPr>
              <w:rPr>
                <w:rFonts w:cs="Calibri"/>
              </w:rPr>
            </w:pPr>
            <w:r w:rsidRPr="007D15C3">
              <w:rPr>
                <w:rFonts w:cs="Calibri"/>
              </w:rPr>
              <w:t xml:space="preserve">               392,498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512236" w14:textId="77777777">
            <w:pPr>
              <w:jc w:val="right"/>
              <w:rPr>
                <w:rFonts w:cs="Calibri"/>
              </w:rPr>
            </w:pPr>
            <w:r w:rsidRPr="007D15C3">
              <w:rPr>
                <w:rFonts w:cs="Calibri"/>
              </w:rPr>
              <w:t>$3,076</w:t>
            </w:r>
          </w:p>
        </w:tc>
      </w:tr>
      <w:tr w14:paraId="47F4D18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DCD02E" w14:textId="77777777">
            <w:pPr>
              <w:jc w:val="center"/>
              <w:rPr>
                <w:rFonts w:cs="Calibri"/>
              </w:rPr>
            </w:pPr>
            <w:r w:rsidRPr="007D15C3">
              <w:rPr>
                <w:rFonts w:cs="Calibri"/>
              </w:rPr>
              <w:t>35095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2B4C13" w14:textId="77777777">
            <w:pPr>
              <w:jc w:val="center"/>
              <w:rPr>
                <w:rFonts w:cs="Calibri"/>
              </w:rPr>
            </w:pPr>
            <w:r w:rsidRPr="007D15C3">
              <w:rPr>
                <w:rFonts w:cs="Calibri"/>
              </w:rPr>
              <w:t>KWBA-TV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126D2A" w14:textId="77777777">
            <w:pPr>
              <w:rPr>
                <w:rFonts w:cs="Calibri"/>
              </w:rPr>
            </w:pPr>
            <w:r w:rsidRPr="007D15C3">
              <w:rPr>
                <w:rFonts w:cs="Calibri"/>
              </w:rPr>
              <w:t xml:space="preserve">          1,129,524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F2AC44" w14:textId="77777777">
            <w:pPr>
              <w:rPr>
                <w:rFonts w:cs="Calibri"/>
              </w:rPr>
            </w:pPr>
            <w:r w:rsidRPr="007D15C3">
              <w:rPr>
                <w:rFonts w:cs="Calibri"/>
              </w:rPr>
              <w:t xml:space="preserve">            1,073,029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C77588" w14:textId="77777777">
            <w:pPr>
              <w:jc w:val="right"/>
              <w:rPr>
                <w:rFonts w:cs="Calibri"/>
              </w:rPr>
            </w:pPr>
            <w:r w:rsidRPr="007D15C3">
              <w:rPr>
                <w:rFonts w:cs="Calibri"/>
              </w:rPr>
              <w:t>$8,409</w:t>
            </w:r>
          </w:p>
        </w:tc>
      </w:tr>
      <w:tr w14:paraId="176CC64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16E9D5" w14:textId="77777777">
            <w:pPr>
              <w:jc w:val="center"/>
              <w:rPr>
                <w:rFonts w:cs="Calibri"/>
              </w:rPr>
            </w:pPr>
            <w:r w:rsidRPr="007D15C3">
              <w:rPr>
                <w:rFonts w:cs="Calibri"/>
              </w:rPr>
              <w:t>78314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15564A" w14:textId="77777777">
            <w:pPr>
              <w:jc w:val="center"/>
              <w:rPr>
                <w:rFonts w:cs="Calibri"/>
              </w:rPr>
            </w:pPr>
            <w:r w:rsidRPr="007D15C3">
              <w:rPr>
                <w:rFonts w:cs="Calibri"/>
              </w:rPr>
              <w:t>KWBM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9C1A6B" w14:textId="77777777">
            <w:pPr>
              <w:rPr>
                <w:rFonts w:cs="Calibri"/>
              </w:rPr>
            </w:pPr>
            <w:r w:rsidRPr="007D15C3">
              <w:rPr>
                <w:rFonts w:cs="Calibri"/>
              </w:rPr>
              <w:t xml:space="preserve">             657,822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AE43ED" w14:textId="77777777">
            <w:pPr>
              <w:rPr>
                <w:rFonts w:cs="Calibri"/>
              </w:rPr>
            </w:pPr>
            <w:r w:rsidRPr="007D15C3">
              <w:rPr>
                <w:rFonts w:cs="Calibri"/>
              </w:rPr>
              <w:t xml:space="preserve">               639,560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70B8C1" w14:textId="77777777">
            <w:pPr>
              <w:jc w:val="right"/>
              <w:rPr>
                <w:rFonts w:cs="Calibri"/>
              </w:rPr>
            </w:pPr>
            <w:r w:rsidRPr="007D15C3">
              <w:rPr>
                <w:rFonts w:cs="Calibri"/>
              </w:rPr>
              <w:t>$5,012</w:t>
            </w:r>
          </w:p>
        </w:tc>
      </w:tr>
      <w:tr w14:paraId="278ACB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FEE5CF" w14:textId="77777777">
            <w:pPr>
              <w:jc w:val="center"/>
              <w:rPr>
                <w:rFonts w:cs="Calibri"/>
              </w:rPr>
            </w:pPr>
            <w:r w:rsidRPr="007D15C3">
              <w:rPr>
                <w:rFonts w:cs="Calibri"/>
              </w:rPr>
              <w:t>27425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C31E80" w14:textId="77777777">
            <w:pPr>
              <w:jc w:val="center"/>
              <w:rPr>
                <w:rFonts w:cs="Calibri"/>
              </w:rPr>
            </w:pPr>
            <w:r w:rsidRPr="007D15C3">
              <w:rPr>
                <w:rFonts w:cs="Calibri"/>
              </w:rPr>
              <w:t>KWBN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75E859" w14:textId="77777777">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5F5B9F" w14:textId="77777777">
            <w:pPr>
              <w:rPr>
                <w:rFonts w:cs="Calibri"/>
              </w:rPr>
            </w:pPr>
            <w:r w:rsidRPr="007D15C3">
              <w:rPr>
                <w:rFonts w:cs="Calibri"/>
              </w:rPr>
              <w:t xml:space="preserve">               840,455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4AD2EE" w14:textId="77777777">
            <w:pPr>
              <w:jc w:val="right"/>
              <w:rPr>
                <w:rFonts w:cs="Calibri"/>
              </w:rPr>
            </w:pPr>
            <w:r w:rsidRPr="007D15C3">
              <w:rPr>
                <w:rFonts w:cs="Calibri"/>
              </w:rPr>
              <w:t>$6,587</w:t>
            </w:r>
          </w:p>
        </w:tc>
      </w:tr>
      <w:tr w14:paraId="289937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A07714" w14:textId="77777777">
            <w:pPr>
              <w:jc w:val="center"/>
              <w:rPr>
                <w:rFonts w:cs="Calibri"/>
              </w:rPr>
            </w:pPr>
            <w:r w:rsidRPr="007D15C3">
              <w:rPr>
                <w:rFonts w:cs="Calibri"/>
              </w:rPr>
              <w:t>76268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0500ED" w14:textId="77777777">
            <w:pPr>
              <w:jc w:val="center"/>
              <w:rPr>
                <w:rFonts w:cs="Calibri"/>
              </w:rPr>
            </w:pPr>
            <w:r w:rsidRPr="007D15C3">
              <w:rPr>
                <w:rFonts w:cs="Calibri"/>
              </w:rPr>
              <w:t>KWBQ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014297" w14:textId="77777777">
            <w:pPr>
              <w:rPr>
                <w:rFonts w:cs="Calibri"/>
              </w:rPr>
            </w:pPr>
            <w:r w:rsidRPr="007D15C3">
              <w:rPr>
                <w:rFonts w:cs="Calibri"/>
              </w:rPr>
              <w:t xml:space="preserve">          1,148,810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646110" w14:textId="77777777">
            <w:pPr>
              <w:rPr>
                <w:rFonts w:cs="Calibri"/>
              </w:rPr>
            </w:pPr>
            <w:r w:rsidRPr="007D15C3">
              <w:rPr>
                <w:rFonts w:cs="Calibri"/>
              </w:rPr>
              <w:t xml:space="preserve">            1,105,600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EC8438" w14:textId="77777777">
            <w:pPr>
              <w:jc w:val="right"/>
              <w:rPr>
                <w:rFonts w:cs="Calibri"/>
              </w:rPr>
            </w:pPr>
            <w:r w:rsidRPr="007D15C3">
              <w:rPr>
                <w:rFonts w:cs="Calibri"/>
              </w:rPr>
              <w:t>$8,665</w:t>
            </w:r>
          </w:p>
        </w:tc>
      </w:tr>
      <w:tr w14:paraId="537D29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EA7DF4" w14:textId="77777777">
            <w:pPr>
              <w:jc w:val="center"/>
              <w:rPr>
                <w:rFonts w:cs="Calibri"/>
              </w:rPr>
            </w:pPr>
            <w:r w:rsidRPr="007D15C3">
              <w:rPr>
                <w:rFonts w:cs="Calibri"/>
              </w:rPr>
              <w:t>66413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6EEC757" w14:textId="77777777">
            <w:pPr>
              <w:jc w:val="center"/>
              <w:rPr>
                <w:rFonts w:cs="Calibri"/>
              </w:rPr>
            </w:pPr>
            <w:r w:rsidRPr="007D15C3">
              <w:rPr>
                <w:rFonts w:cs="Calibri"/>
              </w:rPr>
              <w:t>KWCH-DT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623C4E" w14:textId="77777777">
            <w:pPr>
              <w:rPr>
                <w:rFonts w:cs="Calibri"/>
              </w:rPr>
            </w:pPr>
            <w:r w:rsidRPr="007D15C3">
              <w:rPr>
                <w:rFonts w:cs="Calibri"/>
              </w:rPr>
              <w:t xml:space="preserve">             883,647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B06528" w14:textId="77777777">
            <w:pPr>
              <w:rPr>
                <w:rFonts w:cs="Calibri"/>
              </w:rPr>
            </w:pPr>
            <w:r w:rsidRPr="007D15C3">
              <w:rPr>
                <w:rFonts w:cs="Calibri"/>
              </w:rPr>
              <w:t xml:space="preserve">               881,674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25B428" w14:textId="77777777">
            <w:pPr>
              <w:jc w:val="right"/>
              <w:rPr>
                <w:rFonts w:cs="Calibri"/>
              </w:rPr>
            </w:pPr>
            <w:r w:rsidRPr="007D15C3">
              <w:rPr>
                <w:rFonts w:cs="Calibri"/>
              </w:rPr>
              <w:t>$6,910</w:t>
            </w:r>
          </w:p>
        </w:tc>
      </w:tr>
      <w:tr w14:paraId="7D08F6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AD7AC7" w14:textId="77777777">
            <w:pPr>
              <w:jc w:val="center"/>
              <w:rPr>
                <w:rFonts w:cs="Calibri"/>
              </w:rPr>
            </w:pPr>
            <w:r w:rsidRPr="007D15C3">
              <w:rPr>
                <w:rFonts w:cs="Calibri"/>
              </w:rPr>
              <w:t>71549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4BDA05" w14:textId="77777777">
            <w:pPr>
              <w:jc w:val="center"/>
              <w:rPr>
                <w:rFonts w:cs="Calibri"/>
              </w:rPr>
            </w:pPr>
            <w:r w:rsidRPr="007D15C3">
              <w:rPr>
                <w:rFonts w:cs="Calibri"/>
              </w:rPr>
              <w:t>KWCM-TV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F7AE5C" w14:textId="77777777">
            <w:pPr>
              <w:rPr>
                <w:rFonts w:cs="Calibri"/>
              </w:rPr>
            </w:pPr>
            <w:r w:rsidRPr="007D15C3">
              <w:rPr>
                <w:rFonts w:cs="Calibri"/>
              </w:rPr>
              <w:t xml:space="preserve">             252,284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E8D045" w14:textId="77777777">
            <w:pPr>
              <w:rPr>
                <w:rFonts w:cs="Calibri"/>
              </w:rPr>
            </w:pPr>
            <w:r w:rsidRPr="007D15C3">
              <w:rPr>
                <w:rFonts w:cs="Calibri"/>
              </w:rPr>
              <w:t xml:space="preserve">               244,033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8AC089" w14:textId="77777777">
            <w:pPr>
              <w:jc w:val="right"/>
              <w:rPr>
                <w:rFonts w:cs="Calibri"/>
              </w:rPr>
            </w:pPr>
            <w:r w:rsidRPr="007D15C3">
              <w:rPr>
                <w:rFonts w:cs="Calibri"/>
              </w:rPr>
              <w:t>$1,912</w:t>
            </w:r>
          </w:p>
        </w:tc>
      </w:tr>
      <w:tr w14:paraId="1A8B37D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E93993" w14:textId="77777777">
            <w:pPr>
              <w:jc w:val="center"/>
              <w:rPr>
                <w:rFonts w:cs="Calibri"/>
              </w:rPr>
            </w:pPr>
            <w:r w:rsidRPr="007D15C3">
              <w:rPr>
                <w:rFonts w:cs="Calibri"/>
              </w:rPr>
              <w:t>35419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52AF1F" w14:textId="77777777">
            <w:pPr>
              <w:jc w:val="center"/>
              <w:rPr>
                <w:rFonts w:cs="Calibri"/>
              </w:rPr>
            </w:pPr>
            <w:r w:rsidRPr="007D15C3">
              <w:rPr>
                <w:rFonts w:cs="Calibri"/>
              </w:rPr>
              <w:t>KWDK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14EF43" w14:textId="77777777">
            <w:pPr>
              <w:rPr>
                <w:rFonts w:cs="Calibri"/>
              </w:rPr>
            </w:pPr>
            <w:r w:rsidRPr="007D15C3">
              <w:rPr>
                <w:rFonts w:cs="Calibri"/>
              </w:rPr>
              <w:t xml:space="preserve">          4,196,263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2B9D41" w14:textId="77777777">
            <w:pPr>
              <w:rPr>
                <w:rFonts w:cs="Calibri"/>
              </w:rPr>
            </w:pPr>
            <w:r w:rsidRPr="007D15C3">
              <w:rPr>
                <w:rFonts w:cs="Calibri"/>
              </w:rPr>
              <w:t xml:space="preserve">            4,118,699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3C9E20" w14:textId="77777777">
            <w:pPr>
              <w:jc w:val="right"/>
              <w:rPr>
                <w:rFonts w:cs="Calibri"/>
              </w:rPr>
            </w:pPr>
            <w:r w:rsidRPr="007D15C3">
              <w:rPr>
                <w:rFonts w:cs="Calibri"/>
              </w:rPr>
              <w:t>$32,278</w:t>
            </w:r>
          </w:p>
        </w:tc>
      </w:tr>
      <w:tr w14:paraId="6DED75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E9596A" w14:textId="77777777">
            <w:pPr>
              <w:jc w:val="center"/>
              <w:rPr>
                <w:rFonts w:cs="Calibri"/>
              </w:rPr>
            </w:pPr>
            <w:r w:rsidRPr="007D15C3">
              <w:rPr>
                <w:rFonts w:cs="Calibri"/>
              </w:rPr>
              <w:t>42007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182774" w14:textId="77777777">
            <w:pPr>
              <w:jc w:val="center"/>
              <w:rPr>
                <w:rFonts w:cs="Calibri"/>
              </w:rPr>
            </w:pPr>
            <w:r w:rsidRPr="007D15C3">
              <w:rPr>
                <w:rFonts w:cs="Calibri"/>
              </w:rPr>
              <w:t>KWES-TV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AE4EDB" w14:textId="77777777">
            <w:pPr>
              <w:rPr>
                <w:rFonts w:cs="Calibri"/>
              </w:rPr>
            </w:pPr>
            <w:r w:rsidRPr="007D15C3">
              <w:rPr>
                <w:rFonts w:cs="Calibri"/>
              </w:rPr>
              <w:t xml:space="preserve">             424,862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13E67F" w14:textId="77777777">
            <w:pPr>
              <w:rPr>
                <w:rFonts w:cs="Calibri"/>
              </w:rPr>
            </w:pPr>
            <w:r w:rsidRPr="007D15C3">
              <w:rPr>
                <w:rFonts w:cs="Calibri"/>
              </w:rPr>
              <w:t xml:space="preserve">               423,544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7E8629" w14:textId="77777777">
            <w:pPr>
              <w:jc w:val="right"/>
              <w:rPr>
                <w:rFonts w:cs="Calibri"/>
              </w:rPr>
            </w:pPr>
            <w:r w:rsidRPr="007D15C3">
              <w:rPr>
                <w:rFonts w:cs="Calibri"/>
              </w:rPr>
              <w:t>$3,319</w:t>
            </w:r>
          </w:p>
        </w:tc>
      </w:tr>
      <w:tr w14:paraId="2EECAE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B679CD" w14:textId="77777777">
            <w:pPr>
              <w:jc w:val="center"/>
              <w:rPr>
                <w:rFonts w:cs="Calibri"/>
              </w:rPr>
            </w:pPr>
            <w:r w:rsidRPr="007D15C3">
              <w:rPr>
                <w:rFonts w:cs="Calibri"/>
              </w:rPr>
              <w:t>50194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6B831D" w14:textId="77777777">
            <w:pPr>
              <w:jc w:val="center"/>
              <w:rPr>
                <w:rFonts w:cs="Calibri"/>
              </w:rPr>
            </w:pPr>
            <w:r w:rsidRPr="007D15C3">
              <w:rPr>
                <w:rFonts w:cs="Calibri"/>
              </w:rPr>
              <w:t>KWET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91E0FA" w14:textId="77777777">
            <w:pPr>
              <w:rPr>
                <w:rFonts w:cs="Calibri"/>
              </w:rPr>
            </w:pPr>
            <w:r w:rsidRPr="007D15C3">
              <w:rPr>
                <w:rFonts w:cs="Calibri"/>
              </w:rPr>
              <w:t xml:space="preserve">             127,976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70B0F6" w14:textId="77777777">
            <w:pPr>
              <w:rPr>
                <w:rFonts w:cs="Calibri"/>
              </w:rPr>
            </w:pPr>
            <w:r w:rsidRPr="007D15C3">
              <w:rPr>
                <w:rFonts w:cs="Calibri"/>
              </w:rPr>
              <w:t xml:space="preserve">               112,750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41948D" w14:textId="77777777">
            <w:pPr>
              <w:jc w:val="right"/>
              <w:rPr>
                <w:rFonts w:cs="Calibri"/>
              </w:rPr>
            </w:pPr>
            <w:r w:rsidRPr="007D15C3">
              <w:rPr>
                <w:rFonts w:cs="Calibri"/>
              </w:rPr>
              <w:t>$884</w:t>
            </w:r>
          </w:p>
        </w:tc>
      </w:tr>
      <w:tr w14:paraId="53B9E1A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E0F7B6" w14:textId="77777777">
            <w:pPr>
              <w:jc w:val="center"/>
              <w:rPr>
                <w:rFonts w:cs="Calibri"/>
              </w:rPr>
            </w:pPr>
            <w:r w:rsidRPr="007D15C3">
              <w:rPr>
                <w:rFonts w:cs="Calibri"/>
              </w:rPr>
              <w:t>35881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8BE525" w14:textId="77777777">
            <w:pPr>
              <w:jc w:val="center"/>
              <w:rPr>
                <w:rFonts w:cs="Calibri"/>
              </w:rPr>
            </w:pPr>
            <w:r w:rsidRPr="007D15C3">
              <w:rPr>
                <w:rFonts w:cs="Calibri"/>
              </w:rPr>
              <w:t>KWEX-DT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E2A917" w14:textId="77777777">
            <w:pPr>
              <w:rPr>
                <w:rFonts w:cs="Calibri"/>
              </w:rPr>
            </w:pPr>
            <w:r w:rsidRPr="007D15C3">
              <w:rPr>
                <w:rFonts w:cs="Calibri"/>
              </w:rPr>
              <w:t xml:space="preserve">          2,376,463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7D9984" w14:textId="77777777">
            <w:pPr>
              <w:rPr>
                <w:rFonts w:cs="Calibri"/>
              </w:rPr>
            </w:pPr>
            <w:r w:rsidRPr="007D15C3">
              <w:rPr>
                <w:rFonts w:cs="Calibri"/>
              </w:rPr>
              <w:t xml:space="preserve">            2,370,469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7745B4" w14:textId="77777777">
            <w:pPr>
              <w:jc w:val="right"/>
              <w:rPr>
                <w:rFonts w:cs="Calibri"/>
              </w:rPr>
            </w:pPr>
            <w:r w:rsidRPr="007D15C3">
              <w:rPr>
                <w:rFonts w:cs="Calibri"/>
              </w:rPr>
              <w:t>$18,577</w:t>
            </w:r>
          </w:p>
        </w:tc>
      </w:tr>
      <w:tr w14:paraId="204FBC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13C181" w14:textId="77777777">
            <w:pPr>
              <w:jc w:val="center"/>
              <w:rPr>
                <w:rFonts w:cs="Calibri"/>
              </w:rPr>
            </w:pPr>
            <w:r w:rsidRPr="007D15C3">
              <w:rPr>
                <w:rFonts w:cs="Calibri"/>
              </w:rPr>
              <w:t>35883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F33DEB" w14:textId="77777777">
            <w:pPr>
              <w:jc w:val="center"/>
              <w:rPr>
                <w:rFonts w:cs="Calibri"/>
              </w:rPr>
            </w:pPr>
            <w:r w:rsidRPr="007D15C3">
              <w:rPr>
                <w:rFonts w:cs="Calibri"/>
              </w:rPr>
              <w:t>KWGN-TV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9B21DC" w14:textId="77777777">
            <w:pPr>
              <w:rPr>
                <w:rFonts w:cs="Calibri"/>
              </w:rPr>
            </w:pPr>
            <w:r w:rsidRPr="007D15C3">
              <w:rPr>
                <w:rFonts w:cs="Calibri"/>
              </w:rPr>
              <w:t xml:space="preserve">          3,706,495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6EC553" w14:textId="77777777">
            <w:pPr>
              <w:rPr>
                <w:rFonts w:cs="Calibri"/>
              </w:rPr>
            </w:pPr>
            <w:r w:rsidRPr="007D15C3">
              <w:rPr>
                <w:rFonts w:cs="Calibri"/>
              </w:rPr>
              <w:t xml:space="preserve">            3,513,577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94B0CE" w14:textId="77777777">
            <w:pPr>
              <w:jc w:val="right"/>
              <w:rPr>
                <w:rFonts w:cs="Calibri"/>
              </w:rPr>
            </w:pPr>
            <w:r w:rsidRPr="007D15C3">
              <w:rPr>
                <w:rFonts w:cs="Calibri"/>
              </w:rPr>
              <w:t>$27,536</w:t>
            </w:r>
          </w:p>
        </w:tc>
      </w:tr>
      <w:tr w14:paraId="64413A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0923DD" w14:textId="77777777">
            <w:pPr>
              <w:jc w:val="center"/>
              <w:rPr>
                <w:rFonts w:cs="Calibri"/>
              </w:rPr>
            </w:pPr>
            <w:r w:rsidRPr="007D15C3">
              <w:rPr>
                <w:rFonts w:cs="Calibri"/>
              </w:rPr>
              <w:t>37099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B19068" w14:textId="77777777">
            <w:pPr>
              <w:jc w:val="center"/>
              <w:rPr>
                <w:rFonts w:cs="Calibri"/>
              </w:rPr>
            </w:pPr>
            <w:r w:rsidRPr="007D15C3">
              <w:rPr>
                <w:rFonts w:cs="Calibri"/>
              </w:rPr>
              <w:t>KWHB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FDA552" w14:textId="77777777">
            <w:pPr>
              <w:rPr>
                <w:rFonts w:cs="Calibri"/>
              </w:rPr>
            </w:pPr>
            <w:r w:rsidRPr="007D15C3">
              <w:rPr>
                <w:rFonts w:cs="Calibri"/>
              </w:rPr>
              <w:t xml:space="preserve">             979,393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BC15D4" w14:textId="77777777">
            <w:pPr>
              <w:rPr>
                <w:rFonts w:cs="Calibri"/>
              </w:rPr>
            </w:pPr>
            <w:r w:rsidRPr="007D15C3">
              <w:rPr>
                <w:rFonts w:cs="Calibri"/>
              </w:rPr>
              <w:t xml:space="preserve">               978,719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9E3418" w14:textId="77777777">
            <w:pPr>
              <w:jc w:val="right"/>
              <w:rPr>
                <w:rFonts w:cs="Calibri"/>
              </w:rPr>
            </w:pPr>
            <w:r w:rsidRPr="007D15C3">
              <w:rPr>
                <w:rFonts w:cs="Calibri"/>
              </w:rPr>
              <w:t>$7,670</w:t>
            </w:r>
          </w:p>
        </w:tc>
      </w:tr>
      <w:tr w14:paraId="2882F27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6F6DFD" w14:textId="77777777">
            <w:pPr>
              <w:jc w:val="center"/>
              <w:rPr>
                <w:rFonts w:cs="Calibri"/>
              </w:rPr>
            </w:pPr>
            <w:r w:rsidRPr="007D15C3">
              <w:rPr>
                <w:rFonts w:cs="Calibri"/>
              </w:rPr>
              <w:t>37103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DB630C" w14:textId="77777777">
            <w:pPr>
              <w:jc w:val="center"/>
              <w:rPr>
                <w:rFonts w:cs="Calibri"/>
              </w:rPr>
            </w:pPr>
            <w:r w:rsidRPr="007D15C3">
              <w:rPr>
                <w:rFonts w:cs="Calibri"/>
              </w:rPr>
              <w:t>KWHD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737890" w14:textId="77777777">
            <w:pPr>
              <w:rPr>
                <w:rFonts w:cs="Calibri"/>
              </w:rPr>
            </w:pPr>
            <w:r w:rsidRPr="007D15C3">
              <w:rPr>
                <w:rFonts w:cs="Calibri"/>
              </w:rPr>
              <w:t xml:space="preserve">               97,959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E4DE71" w14:textId="77777777">
            <w:pPr>
              <w:rPr>
                <w:rFonts w:cs="Calibri"/>
              </w:rPr>
            </w:pPr>
            <w:r w:rsidRPr="007D15C3">
              <w:rPr>
                <w:rFonts w:cs="Calibri"/>
              </w:rPr>
              <w:t xml:space="preserve">                 94,560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365C63" w14:textId="77777777">
            <w:pPr>
              <w:jc w:val="right"/>
              <w:rPr>
                <w:rFonts w:cs="Calibri"/>
              </w:rPr>
            </w:pPr>
            <w:r w:rsidRPr="007D15C3">
              <w:rPr>
                <w:rFonts w:cs="Calibri"/>
              </w:rPr>
              <w:t>$741</w:t>
            </w:r>
          </w:p>
        </w:tc>
      </w:tr>
      <w:tr w14:paraId="5C7FCA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9BC6E5" w14:textId="77777777">
            <w:pPr>
              <w:jc w:val="center"/>
              <w:rPr>
                <w:rFonts w:cs="Calibri"/>
              </w:rPr>
            </w:pPr>
            <w:r w:rsidRPr="007D15C3">
              <w:rPr>
                <w:rFonts w:cs="Calibri"/>
              </w:rPr>
              <w:t>36846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2A23F8" w14:textId="77777777">
            <w:pPr>
              <w:jc w:val="center"/>
              <w:rPr>
                <w:rFonts w:cs="Calibri"/>
              </w:rPr>
            </w:pPr>
            <w:r w:rsidRPr="007D15C3">
              <w:rPr>
                <w:rFonts w:cs="Calibri"/>
              </w:rPr>
              <w:t>KWHE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B2C6B3" w14:textId="77777777">
            <w:pPr>
              <w:rPr>
                <w:rFonts w:cs="Calibri"/>
              </w:rPr>
            </w:pPr>
            <w:r w:rsidRPr="007D15C3">
              <w:rPr>
                <w:rFonts w:cs="Calibri"/>
              </w:rPr>
              <w:t xml:space="preserve">             952,966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7D8031" w14:textId="77777777">
            <w:pPr>
              <w:rPr>
                <w:rFonts w:cs="Calibri"/>
              </w:rPr>
            </w:pPr>
            <w:r w:rsidRPr="007D15C3">
              <w:rPr>
                <w:rFonts w:cs="Calibri"/>
              </w:rPr>
              <w:t xml:space="preserve">               834,341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ABB65C" w14:textId="77777777">
            <w:pPr>
              <w:jc w:val="right"/>
              <w:rPr>
                <w:rFonts w:cs="Calibri"/>
              </w:rPr>
            </w:pPr>
            <w:r w:rsidRPr="007D15C3">
              <w:rPr>
                <w:rFonts w:cs="Calibri"/>
              </w:rPr>
              <w:t>$6,539</w:t>
            </w:r>
          </w:p>
        </w:tc>
      </w:tr>
      <w:tr w14:paraId="08B2EA0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7929C1" w14:textId="77777777">
            <w:pPr>
              <w:jc w:val="center"/>
              <w:rPr>
                <w:rFonts w:cs="Calibri"/>
              </w:rPr>
            </w:pPr>
            <w:r w:rsidRPr="007D15C3">
              <w:rPr>
                <w:rFonts w:cs="Calibri"/>
              </w:rPr>
              <w:t>26231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439094" w14:textId="77777777">
            <w:pPr>
              <w:jc w:val="center"/>
              <w:rPr>
                <w:rFonts w:cs="Calibri"/>
              </w:rPr>
            </w:pPr>
            <w:r w:rsidRPr="007D15C3">
              <w:rPr>
                <w:rFonts w:cs="Calibri"/>
              </w:rPr>
              <w:t>KWHY-TV*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0E51D5" w14:textId="77777777">
            <w:pPr>
              <w:rPr>
                <w:rFonts w:cs="Calibri"/>
              </w:rPr>
            </w:pPr>
            <w:r w:rsidRPr="007D15C3">
              <w:rPr>
                <w:rFonts w:cs="Calibri"/>
              </w:rPr>
              <w:t xml:space="preserve">        17,736,497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6650F1" w14:textId="77777777">
            <w:pPr>
              <w:rPr>
                <w:rFonts w:cs="Calibri"/>
              </w:rPr>
            </w:pPr>
            <w:r w:rsidRPr="007D15C3">
              <w:rPr>
                <w:rFonts w:cs="Calibri"/>
              </w:rPr>
              <w:t xml:space="preserve">          17,695,306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3BEAFF" w14:textId="77777777">
            <w:pPr>
              <w:jc w:val="right"/>
              <w:rPr>
                <w:rFonts w:cs="Calibri"/>
              </w:rPr>
            </w:pPr>
            <w:r w:rsidRPr="007D15C3">
              <w:rPr>
                <w:rFonts w:cs="Calibri"/>
              </w:rPr>
              <w:t>$138,678</w:t>
            </w:r>
          </w:p>
        </w:tc>
      </w:tr>
      <w:tr w14:paraId="35EFA2C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C869D4" w14:textId="77777777">
            <w:pPr>
              <w:jc w:val="center"/>
              <w:rPr>
                <w:rFonts w:cs="Calibri"/>
              </w:rPr>
            </w:pPr>
            <w:r w:rsidRPr="007D15C3">
              <w:rPr>
                <w:rFonts w:cs="Calibri"/>
              </w:rPr>
              <w:t>35096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90C3B4" w14:textId="77777777">
            <w:pPr>
              <w:jc w:val="center"/>
              <w:rPr>
                <w:rFonts w:cs="Calibri"/>
              </w:rPr>
            </w:pPr>
            <w:r w:rsidRPr="007D15C3">
              <w:rPr>
                <w:rFonts w:cs="Calibri"/>
              </w:rPr>
              <w:t>KWKB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B0BA7D" w14:textId="77777777">
            <w:pPr>
              <w:rPr>
                <w:rFonts w:cs="Calibri"/>
              </w:rPr>
            </w:pPr>
            <w:r w:rsidRPr="007D15C3">
              <w:rPr>
                <w:rFonts w:cs="Calibri"/>
              </w:rPr>
              <w:t xml:space="preserve">          1,121,676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EF2F0B" w14:textId="77777777">
            <w:pPr>
              <w:rPr>
                <w:rFonts w:cs="Calibri"/>
              </w:rPr>
            </w:pPr>
            <w:r w:rsidRPr="007D15C3">
              <w:rPr>
                <w:rFonts w:cs="Calibri"/>
              </w:rPr>
              <w:t xml:space="preserve">            1,111,629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EC8679" w14:textId="77777777">
            <w:pPr>
              <w:jc w:val="right"/>
              <w:rPr>
                <w:rFonts w:cs="Calibri"/>
              </w:rPr>
            </w:pPr>
            <w:r w:rsidRPr="007D15C3">
              <w:rPr>
                <w:rFonts w:cs="Calibri"/>
              </w:rPr>
              <w:t>$8,712</w:t>
            </w:r>
          </w:p>
        </w:tc>
      </w:tr>
      <w:tr w14:paraId="3F90AE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4394F0" w14:textId="77777777">
            <w:pPr>
              <w:jc w:val="center"/>
              <w:rPr>
                <w:rFonts w:cs="Calibri"/>
              </w:rPr>
            </w:pPr>
            <w:r w:rsidRPr="007D15C3">
              <w:rPr>
                <w:rFonts w:cs="Calibri"/>
              </w:rPr>
              <w:t>162115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B59853" w14:textId="77777777">
            <w:pPr>
              <w:jc w:val="center"/>
              <w:rPr>
                <w:rFonts w:cs="Calibri"/>
              </w:rPr>
            </w:pPr>
            <w:r w:rsidRPr="007D15C3">
              <w:rPr>
                <w:rFonts w:cs="Calibri"/>
              </w:rPr>
              <w:t>KWKS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A17986" w14:textId="77777777">
            <w:pPr>
              <w:rPr>
                <w:rFonts w:cs="Calibri"/>
              </w:rPr>
            </w:pPr>
            <w:r w:rsidRPr="007D15C3">
              <w:rPr>
                <w:rFonts w:cs="Calibri"/>
              </w:rPr>
              <w:t xml:space="preserve">               39,708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BFED8F" w14:textId="77777777">
            <w:pPr>
              <w:rPr>
                <w:rFonts w:cs="Calibri"/>
              </w:rPr>
            </w:pPr>
            <w:r w:rsidRPr="007D15C3">
              <w:rPr>
                <w:rFonts w:cs="Calibri"/>
              </w:rPr>
              <w:t xml:space="preserve">                 39,323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0965BB" w14:textId="77777777">
            <w:pPr>
              <w:jc w:val="right"/>
              <w:rPr>
                <w:rFonts w:cs="Calibri"/>
              </w:rPr>
            </w:pPr>
            <w:r w:rsidRPr="007D15C3">
              <w:rPr>
                <w:rFonts w:cs="Calibri"/>
              </w:rPr>
              <w:t>$308</w:t>
            </w:r>
          </w:p>
        </w:tc>
      </w:tr>
      <w:tr w14:paraId="349E08E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83FA43" w14:textId="77777777">
            <w:pPr>
              <w:jc w:val="center"/>
              <w:rPr>
                <w:rFonts w:cs="Calibri"/>
              </w:rPr>
            </w:pPr>
            <w:r w:rsidRPr="007D15C3">
              <w:rPr>
                <w:rFonts w:cs="Calibri"/>
              </w:rPr>
              <w:t>12522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249CED" w14:textId="77777777">
            <w:pPr>
              <w:jc w:val="center"/>
              <w:rPr>
                <w:rFonts w:cs="Calibri"/>
              </w:rPr>
            </w:pPr>
            <w:r w:rsidRPr="007D15C3">
              <w:rPr>
                <w:rFonts w:cs="Calibri"/>
              </w:rPr>
              <w:t>KWKT-TV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A51FF7" w14:textId="77777777">
            <w:pPr>
              <w:rPr>
                <w:rFonts w:cs="Calibri"/>
              </w:rPr>
            </w:pPr>
            <w:r w:rsidRPr="007D15C3">
              <w:rPr>
                <w:rFonts w:cs="Calibri"/>
              </w:rPr>
              <w:t xml:space="preserve">          1,010,550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C827D7" w14:textId="77777777">
            <w:pPr>
              <w:rPr>
                <w:rFonts w:cs="Calibri"/>
              </w:rPr>
            </w:pPr>
            <w:r w:rsidRPr="007D15C3">
              <w:rPr>
                <w:rFonts w:cs="Calibri"/>
              </w:rPr>
              <w:t xml:space="preserve">            1,010,236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AD262A" w14:textId="77777777">
            <w:pPr>
              <w:jc w:val="right"/>
              <w:rPr>
                <w:rFonts w:cs="Calibri"/>
              </w:rPr>
            </w:pPr>
            <w:r w:rsidRPr="007D15C3">
              <w:rPr>
                <w:rFonts w:cs="Calibri"/>
              </w:rPr>
              <w:t>$7,917</w:t>
            </w:r>
          </w:p>
        </w:tc>
      </w:tr>
      <w:tr w14:paraId="748692B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C86920" w14:textId="77777777">
            <w:pPr>
              <w:jc w:val="center"/>
              <w:rPr>
                <w:rFonts w:cs="Calibri"/>
              </w:rPr>
            </w:pPr>
            <w:r w:rsidRPr="007D15C3">
              <w:rPr>
                <w:rFonts w:cs="Calibri"/>
              </w:rPr>
              <w:t>21162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75B6FB" w14:textId="77777777">
            <w:pPr>
              <w:jc w:val="center"/>
              <w:rPr>
                <w:rFonts w:cs="Calibri"/>
              </w:rPr>
            </w:pPr>
            <w:r w:rsidRPr="007D15C3">
              <w:rPr>
                <w:rFonts w:cs="Calibri"/>
              </w:rPr>
              <w:t>KWNB-TV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F9AA87" w14:textId="77777777">
            <w:pPr>
              <w:rPr>
                <w:rFonts w:cs="Calibri"/>
              </w:rPr>
            </w:pPr>
            <w:r w:rsidRPr="007D15C3">
              <w:rPr>
                <w:rFonts w:cs="Calibri"/>
              </w:rPr>
              <w:t xml:space="preserve">               91,093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0FD3E2" w14:textId="77777777">
            <w:pPr>
              <w:rPr>
                <w:rFonts w:cs="Calibri"/>
              </w:rPr>
            </w:pPr>
            <w:r w:rsidRPr="007D15C3">
              <w:rPr>
                <w:rFonts w:cs="Calibri"/>
              </w:rPr>
              <w:t xml:space="preserve">                 89,332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072F2" w14:textId="77777777">
            <w:pPr>
              <w:jc w:val="right"/>
              <w:rPr>
                <w:rFonts w:cs="Calibri"/>
              </w:rPr>
            </w:pPr>
            <w:r w:rsidRPr="007D15C3">
              <w:rPr>
                <w:rFonts w:cs="Calibri"/>
              </w:rPr>
              <w:t>$700</w:t>
            </w:r>
          </w:p>
        </w:tc>
      </w:tr>
      <w:tr w14:paraId="605DB0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B675E7" w14:textId="77777777">
            <w:pPr>
              <w:jc w:val="center"/>
              <w:rPr>
                <w:rFonts w:cs="Calibri"/>
              </w:rPr>
            </w:pPr>
            <w:r w:rsidRPr="007D15C3">
              <w:rPr>
                <w:rFonts w:cs="Calibri"/>
              </w:rPr>
              <w:t>67347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D60473" w14:textId="77777777">
            <w:pPr>
              <w:jc w:val="center"/>
              <w:rPr>
                <w:rFonts w:cs="Calibri"/>
              </w:rPr>
            </w:pPr>
            <w:r w:rsidRPr="007D15C3">
              <w:rPr>
                <w:rFonts w:cs="Calibri"/>
              </w:rPr>
              <w:t>KWOG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7567FA" w14:textId="77777777">
            <w:pPr>
              <w:rPr>
                <w:rFonts w:cs="Calibri"/>
              </w:rPr>
            </w:pPr>
            <w:r w:rsidRPr="007D15C3">
              <w:rPr>
                <w:rFonts w:cs="Calibri"/>
              </w:rPr>
              <w:t xml:space="preserve">             512,412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229E24" w14:textId="77777777">
            <w:pPr>
              <w:rPr>
                <w:rFonts w:cs="Calibri"/>
              </w:rPr>
            </w:pPr>
            <w:r w:rsidRPr="007D15C3">
              <w:rPr>
                <w:rFonts w:cs="Calibri"/>
              </w:rPr>
              <w:t xml:space="preserve">               505,049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198706" w14:textId="77777777">
            <w:pPr>
              <w:jc w:val="right"/>
              <w:rPr>
                <w:rFonts w:cs="Calibri"/>
              </w:rPr>
            </w:pPr>
            <w:r w:rsidRPr="007D15C3">
              <w:rPr>
                <w:rFonts w:cs="Calibri"/>
              </w:rPr>
              <w:t>$3,958</w:t>
            </w:r>
          </w:p>
        </w:tc>
      </w:tr>
      <w:tr w14:paraId="0300B5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4E7E04" w14:textId="77777777">
            <w:pPr>
              <w:jc w:val="center"/>
              <w:rPr>
                <w:rFonts w:cs="Calibri"/>
              </w:rPr>
            </w:pPr>
            <w:r w:rsidRPr="007D15C3">
              <w:rPr>
                <w:rFonts w:cs="Calibri"/>
              </w:rPr>
              <w:t>56852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450B4A" w14:textId="77777777">
            <w:pPr>
              <w:jc w:val="center"/>
              <w:rPr>
                <w:rFonts w:cs="Calibri"/>
              </w:rPr>
            </w:pPr>
            <w:r w:rsidRPr="007D15C3">
              <w:rPr>
                <w:rFonts w:cs="Calibri"/>
              </w:rPr>
              <w:t>KWPX-TV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CED354" w14:textId="77777777">
            <w:pPr>
              <w:rPr>
                <w:rFonts w:cs="Calibri"/>
              </w:rPr>
            </w:pPr>
            <w:r w:rsidRPr="007D15C3">
              <w:rPr>
                <w:rFonts w:cs="Calibri"/>
              </w:rPr>
              <w:t xml:space="preserve">          4,220,008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8DEEE5" w14:textId="77777777">
            <w:pPr>
              <w:rPr>
                <w:rFonts w:cs="Calibri"/>
              </w:rPr>
            </w:pPr>
            <w:r w:rsidRPr="007D15C3">
              <w:rPr>
                <w:rFonts w:cs="Calibri"/>
              </w:rPr>
              <w:t xml:space="preserve">            4,148,577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129591" w14:textId="77777777">
            <w:pPr>
              <w:jc w:val="right"/>
              <w:rPr>
                <w:rFonts w:cs="Calibri"/>
              </w:rPr>
            </w:pPr>
            <w:r w:rsidRPr="007D15C3">
              <w:rPr>
                <w:rFonts w:cs="Calibri"/>
              </w:rPr>
              <w:t>$32,512</w:t>
            </w:r>
          </w:p>
        </w:tc>
      </w:tr>
      <w:tr w14:paraId="064EB0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3A9AE2" w14:textId="77777777">
            <w:pPr>
              <w:jc w:val="center"/>
              <w:rPr>
                <w:rFonts w:cs="Calibri"/>
              </w:rPr>
            </w:pPr>
            <w:r w:rsidRPr="007D15C3">
              <w:rPr>
                <w:rFonts w:cs="Calibri"/>
              </w:rPr>
              <w:t>6885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54B1BC" w14:textId="77777777">
            <w:pPr>
              <w:jc w:val="center"/>
              <w:rPr>
                <w:rFonts w:cs="Calibri"/>
              </w:rPr>
            </w:pPr>
            <w:r w:rsidRPr="007D15C3">
              <w:rPr>
                <w:rFonts w:cs="Calibri"/>
              </w:rPr>
              <w:t>KWQC-TV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335DC7" w14:textId="77777777">
            <w:pPr>
              <w:rPr>
                <w:rFonts w:cs="Calibri"/>
              </w:rPr>
            </w:pPr>
            <w:r w:rsidRPr="007D15C3">
              <w:rPr>
                <w:rFonts w:cs="Calibri"/>
              </w:rPr>
              <w:t xml:space="preserve">          1,080,156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A16506" w14:textId="77777777">
            <w:pPr>
              <w:rPr>
                <w:rFonts w:cs="Calibri"/>
              </w:rPr>
            </w:pPr>
            <w:r w:rsidRPr="007D15C3">
              <w:rPr>
                <w:rFonts w:cs="Calibri"/>
              </w:rPr>
              <w:t xml:space="preserve">            1,067,249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AD66D4" w14:textId="77777777">
            <w:pPr>
              <w:jc w:val="right"/>
              <w:rPr>
                <w:rFonts w:cs="Calibri"/>
              </w:rPr>
            </w:pPr>
            <w:r w:rsidRPr="007D15C3">
              <w:rPr>
                <w:rFonts w:cs="Calibri"/>
              </w:rPr>
              <w:t>$8,364</w:t>
            </w:r>
          </w:p>
        </w:tc>
      </w:tr>
      <w:tr w14:paraId="3437204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C5B9AC" w14:textId="77777777">
            <w:pPr>
              <w:jc w:val="center"/>
              <w:rPr>
                <w:rFonts w:cs="Calibri"/>
              </w:rPr>
            </w:pPr>
            <w:r w:rsidRPr="007D15C3">
              <w:rPr>
                <w:rFonts w:cs="Calibri"/>
              </w:rPr>
              <w:t>29121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70BD20" w14:textId="77777777">
            <w:pPr>
              <w:jc w:val="center"/>
              <w:rPr>
                <w:rFonts w:cs="Calibri"/>
              </w:rPr>
            </w:pPr>
            <w:r w:rsidRPr="007D15C3">
              <w:rPr>
                <w:rFonts w:cs="Calibri"/>
              </w:rPr>
              <w:t>KWSD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142C99" w14:textId="77777777">
            <w:pPr>
              <w:rPr>
                <w:rFonts w:cs="Calibri"/>
              </w:rPr>
            </w:pPr>
            <w:r w:rsidRPr="007D15C3">
              <w:rPr>
                <w:rFonts w:cs="Calibri"/>
              </w:rPr>
              <w:t xml:space="preserve">             280,675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FFB75C" w14:textId="77777777">
            <w:pPr>
              <w:rPr>
                <w:rFonts w:cs="Calibri"/>
              </w:rPr>
            </w:pPr>
            <w:r w:rsidRPr="007D15C3">
              <w:rPr>
                <w:rFonts w:cs="Calibri"/>
              </w:rPr>
              <w:t xml:space="preserve">               280,672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2A0CBA" w14:textId="77777777">
            <w:pPr>
              <w:jc w:val="right"/>
              <w:rPr>
                <w:rFonts w:cs="Calibri"/>
              </w:rPr>
            </w:pPr>
            <w:r w:rsidRPr="007D15C3">
              <w:rPr>
                <w:rFonts w:cs="Calibri"/>
              </w:rPr>
              <w:t>$2,200</w:t>
            </w:r>
          </w:p>
        </w:tc>
      </w:tr>
      <w:tr w14:paraId="772DAFC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1DDFC10" w14:textId="77777777">
            <w:pPr>
              <w:jc w:val="center"/>
              <w:rPr>
                <w:rFonts w:cs="Calibri"/>
              </w:rPr>
            </w:pPr>
            <w:r w:rsidRPr="007D15C3">
              <w:rPr>
                <w:rFonts w:cs="Calibri"/>
              </w:rPr>
              <w:t>53318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1BDB75" w14:textId="77777777">
            <w:pPr>
              <w:jc w:val="center"/>
              <w:rPr>
                <w:rFonts w:cs="Calibri"/>
              </w:rPr>
            </w:pPr>
            <w:r w:rsidRPr="007D15C3">
              <w:rPr>
                <w:rFonts w:cs="Calibri"/>
              </w:rPr>
              <w:t>KWSE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F1C0D" w14:textId="77777777">
            <w:pPr>
              <w:rPr>
                <w:rFonts w:cs="Calibri"/>
              </w:rPr>
            </w:pPr>
            <w:r w:rsidRPr="007D15C3">
              <w:rPr>
                <w:rFonts w:cs="Calibri"/>
              </w:rPr>
              <w:t xml:space="preserve">               54,471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A404FF" w14:textId="77777777">
            <w:pPr>
              <w:rPr>
                <w:rFonts w:cs="Calibri"/>
              </w:rPr>
            </w:pPr>
            <w:r w:rsidRPr="007D15C3">
              <w:rPr>
                <w:rFonts w:cs="Calibri"/>
              </w:rPr>
              <w:t xml:space="preserve">                 53,400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60A884" w14:textId="77777777">
            <w:pPr>
              <w:jc w:val="right"/>
              <w:rPr>
                <w:rFonts w:cs="Calibri"/>
              </w:rPr>
            </w:pPr>
            <w:r w:rsidRPr="007D15C3">
              <w:rPr>
                <w:rFonts w:cs="Calibri"/>
              </w:rPr>
              <w:t>$418</w:t>
            </w:r>
          </w:p>
        </w:tc>
      </w:tr>
      <w:tr w14:paraId="677248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BD9813" w14:textId="77777777">
            <w:pPr>
              <w:jc w:val="center"/>
              <w:rPr>
                <w:rFonts w:cs="Calibri"/>
              </w:rPr>
            </w:pPr>
            <w:r w:rsidRPr="007D15C3">
              <w:rPr>
                <w:rFonts w:cs="Calibri"/>
              </w:rPr>
              <w:t>71024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7FD3AA" w14:textId="77777777">
            <w:pPr>
              <w:jc w:val="center"/>
              <w:rPr>
                <w:rFonts w:cs="Calibri"/>
              </w:rPr>
            </w:pPr>
            <w:r w:rsidRPr="007D15C3">
              <w:rPr>
                <w:rFonts w:cs="Calibri"/>
              </w:rPr>
              <w:t>KWSU-TV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E7F487" w14:textId="77777777">
            <w:pPr>
              <w:rPr>
                <w:rFonts w:cs="Calibri"/>
              </w:rPr>
            </w:pPr>
            <w:r w:rsidRPr="007D15C3">
              <w:rPr>
                <w:rFonts w:cs="Calibri"/>
              </w:rPr>
              <w:t xml:space="preserve">             725,554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9CBBBA" w14:textId="77777777">
            <w:pPr>
              <w:rPr>
                <w:rFonts w:cs="Calibri"/>
              </w:rPr>
            </w:pPr>
            <w:r w:rsidRPr="007D15C3">
              <w:rPr>
                <w:rFonts w:cs="Calibri"/>
              </w:rPr>
              <w:t xml:space="preserve">               468,295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DAC2DC" w14:textId="77777777">
            <w:pPr>
              <w:jc w:val="right"/>
              <w:rPr>
                <w:rFonts w:cs="Calibri"/>
              </w:rPr>
            </w:pPr>
            <w:r w:rsidRPr="007D15C3">
              <w:rPr>
                <w:rFonts w:cs="Calibri"/>
              </w:rPr>
              <w:t>$3,670</w:t>
            </w:r>
          </w:p>
        </w:tc>
      </w:tr>
      <w:tr w14:paraId="4FF5D7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474FB9" w14:textId="77777777">
            <w:pPr>
              <w:jc w:val="center"/>
              <w:rPr>
                <w:rFonts w:cs="Calibri"/>
              </w:rPr>
            </w:pPr>
            <w:r w:rsidRPr="007D15C3">
              <w:rPr>
                <w:rFonts w:cs="Calibri"/>
              </w:rPr>
              <w:t>25382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CA253B" w14:textId="77777777">
            <w:pPr>
              <w:jc w:val="center"/>
              <w:rPr>
                <w:rFonts w:cs="Calibri"/>
              </w:rPr>
            </w:pPr>
            <w:r w:rsidRPr="007D15C3">
              <w:rPr>
                <w:rFonts w:cs="Calibri"/>
              </w:rPr>
              <w:t>KWTV-DT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0304AE" w14:textId="77777777">
            <w:pPr>
              <w:rPr>
                <w:rFonts w:cs="Calibri"/>
              </w:rPr>
            </w:pPr>
            <w:r w:rsidRPr="007D15C3">
              <w:rPr>
                <w:rFonts w:cs="Calibri"/>
              </w:rPr>
              <w:t xml:space="preserve">          1,628,106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D73C2F" w14:textId="77777777">
            <w:pPr>
              <w:rPr>
                <w:rFonts w:cs="Calibri"/>
              </w:rPr>
            </w:pPr>
            <w:r w:rsidRPr="007D15C3">
              <w:rPr>
                <w:rFonts w:cs="Calibri"/>
              </w:rPr>
              <w:t xml:space="preserve">            1,627,198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2CC107" w14:textId="77777777">
            <w:pPr>
              <w:jc w:val="right"/>
              <w:rPr>
                <w:rFonts w:cs="Calibri"/>
              </w:rPr>
            </w:pPr>
            <w:r w:rsidRPr="007D15C3">
              <w:rPr>
                <w:rFonts w:cs="Calibri"/>
              </w:rPr>
              <w:t>$12,752</w:t>
            </w:r>
          </w:p>
        </w:tc>
      </w:tr>
      <w:tr w14:paraId="1028283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46E4D6" w14:textId="77777777">
            <w:pPr>
              <w:jc w:val="center"/>
              <w:rPr>
                <w:rFonts w:cs="Calibri"/>
              </w:rPr>
            </w:pPr>
            <w:r w:rsidRPr="007D15C3">
              <w:rPr>
                <w:rFonts w:cs="Calibri"/>
              </w:rPr>
              <w:t>35903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C5BDEF" w14:textId="77777777">
            <w:pPr>
              <w:jc w:val="center"/>
              <w:rPr>
                <w:rFonts w:cs="Calibri"/>
              </w:rPr>
            </w:pPr>
            <w:r w:rsidRPr="007D15C3">
              <w:rPr>
                <w:rFonts w:cs="Calibri"/>
              </w:rPr>
              <w:t>KWTX-TV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144BA5" w14:textId="77777777">
            <w:pPr>
              <w:rPr>
                <w:rFonts w:cs="Calibri"/>
              </w:rPr>
            </w:pPr>
            <w:r w:rsidRPr="007D15C3">
              <w:rPr>
                <w:rFonts w:cs="Calibri"/>
              </w:rPr>
              <w:t xml:space="preserve">          2,071,023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A6E045" w14:textId="77777777">
            <w:pPr>
              <w:rPr>
                <w:rFonts w:cs="Calibri"/>
              </w:rPr>
            </w:pPr>
            <w:r w:rsidRPr="007D15C3">
              <w:rPr>
                <w:rFonts w:cs="Calibri"/>
              </w:rPr>
              <w:t xml:space="preserve">            1,972,365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F67D0D" w14:textId="77777777">
            <w:pPr>
              <w:jc w:val="right"/>
              <w:rPr>
                <w:rFonts w:cs="Calibri"/>
              </w:rPr>
            </w:pPr>
            <w:r w:rsidRPr="007D15C3">
              <w:rPr>
                <w:rFonts w:cs="Calibri"/>
              </w:rPr>
              <w:t>$15,457</w:t>
            </w:r>
          </w:p>
        </w:tc>
      </w:tr>
      <w:tr w14:paraId="6DF3F80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9BFE00" w14:textId="77777777">
            <w:pPr>
              <w:jc w:val="center"/>
              <w:rPr>
                <w:rFonts w:cs="Calibri"/>
              </w:rPr>
            </w:pPr>
            <w:r w:rsidRPr="007D15C3">
              <w:rPr>
                <w:rFonts w:cs="Calibri"/>
              </w:rPr>
              <w:t>593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6C4A66" w14:textId="77777777">
            <w:pPr>
              <w:jc w:val="center"/>
              <w:rPr>
                <w:rFonts w:cs="Calibri"/>
              </w:rPr>
            </w:pPr>
            <w:r w:rsidRPr="007D15C3">
              <w:rPr>
                <w:rFonts w:cs="Calibri"/>
              </w:rPr>
              <w:t>KWWL*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6F0366" w14:textId="77777777">
            <w:pPr>
              <w:rPr>
                <w:rFonts w:cs="Calibri"/>
              </w:rPr>
            </w:pPr>
            <w:r w:rsidRPr="007D15C3">
              <w:rPr>
                <w:rFonts w:cs="Calibri"/>
              </w:rPr>
              <w:t xml:space="preserve">          1,089,498</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E21973" w14:textId="77777777">
            <w:pPr>
              <w:rPr>
                <w:rFonts w:cs="Calibri"/>
              </w:rPr>
            </w:pPr>
            <w:r w:rsidRPr="007D15C3">
              <w:rPr>
                <w:rFonts w:cs="Calibri"/>
              </w:rPr>
              <w:t xml:space="preserve">            1,078,458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F72FDC" w14:textId="77777777">
            <w:pPr>
              <w:jc w:val="right"/>
              <w:rPr>
                <w:rFonts w:cs="Calibri"/>
              </w:rPr>
            </w:pPr>
            <w:r w:rsidRPr="007D15C3">
              <w:rPr>
                <w:rFonts w:cs="Calibri"/>
              </w:rPr>
              <w:t>$8,452</w:t>
            </w:r>
          </w:p>
        </w:tc>
      </w:tr>
      <w:tr w14:paraId="42D462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7E9D46" w14:textId="77777777">
            <w:pPr>
              <w:jc w:val="center"/>
              <w:rPr>
                <w:rFonts w:cs="Calibri"/>
              </w:rPr>
            </w:pPr>
            <w:r w:rsidRPr="007D15C3">
              <w:rPr>
                <w:rFonts w:cs="Calibri"/>
              </w:rPr>
              <w:t>84410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646EF4" w14:textId="77777777">
            <w:pPr>
              <w:jc w:val="center"/>
              <w:rPr>
                <w:rFonts w:cs="Calibri"/>
              </w:rPr>
            </w:pPr>
            <w:r w:rsidRPr="007D15C3">
              <w:rPr>
                <w:rFonts w:cs="Calibri"/>
              </w:rPr>
              <w:t>KWWT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016F65" w14:textId="77777777">
            <w:pPr>
              <w:rPr>
                <w:rFonts w:cs="Calibri"/>
              </w:rPr>
            </w:pPr>
            <w:r w:rsidRPr="007D15C3">
              <w:rPr>
                <w:rFonts w:cs="Calibri"/>
              </w:rPr>
              <w:t xml:space="preserve">             293,291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1B26C5" w14:textId="77777777">
            <w:pPr>
              <w:rPr>
                <w:rFonts w:cs="Calibri"/>
              </w:rPr>
            </w:pPr>
            <w:r w:rsidRPr="007D15C3">
              <w:rPr>
                <w:rFonts w:cs="Calibri"/>
              </w:rPr>
              <w:t xml:space="preserve">               293,291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AB2C6E" w14:textId="77777777">
            <w:pPr>
              <w:jc w:val="right"/>
              <w:rPr>
                <w:rFonts w:cs="Calibri"/>
              </w:rPr>
            </w:pPr>
            <w:r w:rsidRPr="007D15C3">
              <w:rPr>
                <w:rFonts w:cs="Calibri"/>
              </w:rPr>
              <w:t>$2,299</w:t>
            </w:r>
          </w:p>
        </w:tc>
      </w:tr>
      <w:tr w14:paraId="16DEE3B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C59B06" w14:textId="77777777">
            <w:pPr>
              <w:jc w:val="center"/>
              <w:rPr>
                <w:rFonts w:cs="Calibri"/>
              </w:rPr>
            </w:pPr>
            <w:r w:rsidRPr="007D15C3">
              <w:rPr>
                <w:rFonts w:cs="Calibri"/>
              </w:rPr>
              <w:t>14674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D92BDD" w14:textId="77777777">
            <w:pPr>
              <w:jc w:val="center"/>
              <w:rPr>
                <w:rFonts w:cs="Calibri"/>
              </w:rPr>
            </w:pPr>
            <w:r w:rsidRPr="007D15C3">
              <w:rPr>
                <w:rFonts w:cs="Calibri"/>
              </w:rPr>
              <w:t>KWYB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74B2B3" w14:textId="77777777">
            <w:pPr>
              <w:rPr>
                <w:rFonts w:cs="Calibri"/>
              </w:rPr>
            </w:pPr>
            <w:r w:rsidRPr="007D15C3">
              <w:rPr>
                <w:rFonts w:cs="Calibri"/>
              </w:rPr>
              <w:t xml:space="preserve">               86,495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F848C8" w14:textId="77777777">
            <w:pPr>
              <w:rPr>
                <w:rFonts w:cs="Calibri"/>
              </w:rPr>
            </w:pPr>
            <w:r w:rsidRPr="007D15C3">
              <w:rPr>
                <w:rFonts w:cs="Calibri"/>
              </w:rPr>
              <w:t xml:space="preserve">                 69,598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0CECA1" w14:textId="77777777">
            <w:pPr>
              <w:jc w:val="right"/>
              <w:rPr>
                <w:rFonts w:cs="Calibri"/>
              </w:rPr>
            </w:pPr>
            <w:r w:rsidRPr="007D15C3">
              <w:rPr>
                <w:rFonts w:cs="Calibri"/>
              </w:rPr>
              <w:t>$545</w:t>
            </w:r>
          </w:p>
        </w:tc>
      </w:tr>
      <w:tr w14:paraId="1726A10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D377E3" w14:textId="77777777">
            <w:pPr>
              <w:jc w:val="center"/>
              <w:rPr>
                <w:rFonts w:cs="Calibri"/>
              </w:rPr>
            </w:pPr>
            <w:r w:rsidRPr="007D15C3">
              <w:rPr>
                <w:rFonts w:cs="Calibri"/>
              </w:rPr>
              <w:t>10032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AB4270" w14:textId="77777777">
            <w:pPr>
              <w:jc w:val="center"/>
              <w:rPr>
                <w:rFonts w:cs="Calibri"/>
              </w:rPr>
            </w:pPr>
            <w:r w:rsidRPr="007D15C3">
              <w:rPr>
                <w:rFonts w:cs="Calibri"/>
              </w:rPr>
              <w:t>KWYP-DT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20B002" w14:textId="77777777">
            <w:pPr>
              <w:rPr>
                <w:rFonts w:cs="Calibri"/>
              </w:rPr>
            </w:pPr>
            <w:r w:rsidRPr="007D15C3">
              <w:rPr>
                <w:rFonts w:cs="Calibri"/>
              </w:rPr>
              <w:t xml:space="preserve">             128,874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0D172A" w14:textId="77777777">
            <w:pPr>
              <w:rPr>
                <w:rFonts w:cs="Calibri"/>
              </w:rPr>
            </w:pPr>
            <w:r w:rsidRPr="007D15C3">
              <w:rPr>
                <w:rFonts w:cs="Calibri"/>
              </w:rPr>
              <w:t xml:space="preserve">               126,992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3E8950" w14:textId="77777777">
            <w:pPr>
              <w:jc w:val="right"/>
              <w:rPr>
                <w:rFonts w:cs="Calibri"/>
              </w:rPr>
            </w:pPr>
            <w:r w:rsidRPr="007D15C3">
              <w:rPr>
                <w:rFonts w:cs="Calibri"/>
              </w:rPr>
              <w:t>$995</w:t>
            </w:r>
          </w:p>
        </w:tc>
      </w:tr>
      <w:tr w14:paraId="11C9FC4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FB35CC" w14:textId="77777777">
            <w:pPr>
              <w:jc w:val="center"/>
              <w:rPr>
                <w:rFonts w:cs="Calibri"/>
              </w:rPr>
            </w:pPr>
            <w:r w:rsidRPr="007D15C3">
              <w:rPr>
                <w:rFonts w:cs="Calibri"/>
              </w:rPr>
              <w:t>35920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4BA0D0" w14:textId="77777777">
            <w:pPr>
              <w:jc w:val="center"/>
              <w:rPr>
                <w:rFonts w:cs="Calibri"/>
              </w:rPr>
            </w:pPr>
            <w:r w:rsidRPr="007D15C3">
              <w:rPr>
                <w:rFonts w:cs="Calibri"/>
              </w:rPr>
              <w:t>KXAN-TV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650CE7" w14:textId="77777777">
            <w:pPr>
              <w:rPr>
                <w:rFonts w:cs="Calibri"/>
              </w:rPr>
            </w:pPr>
            <w:r w:rsidRPr="007D15C3">
              <w:rPr>
                <w:rFonts w:cs="Calibri"/>
              </w:rPr>
              <w:t xml:space="preserve">          2,678,666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ACBC61" w14:textId="77777777">
            <w:pPr>
              <w:rPr>
                <w:rFonts w:cs="Calibri"/>
              </w:rPr>
            </w:pPr>
            <w:r w:rsidRPr="007D15C3">
              <w:rPr>
                <w:rFonts w:cs="Calibri"/>
              </w:rPr>
              <w:t xml:space="preserve">            2,624,648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C3B37F" w14:textId="77777777">
            <w:pPr>
              <w:jc w:val="right"/>
              <w:rPr>
                <w:rFonts w:cs="Calibri"/>
              </w:rPr>
            </w:pPr>
            <w:r w:rsidRPr="007D15C3">
              <w:rPr>
                <w:rFonts w:cs="Calibri"/>
              </w:rPr>
              <w:t>$20,569</w:t>
            </w:r>
          </w:p>
        </w:tc>
      </w:tr>
      <w:tr w14:paraId="0B0D9329"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E12F34" w14:textId="77777777">
            <w:pPr>
              <w:jc w:val="center"/>
              <w:rPr>
                <w:rFonts w:cs="Calibri"/>
              </w:rPr>
            </w:pPr>
            <w:r w:rsidRPr="007D15C3">
              <w:rPr>
                <w:rFonts w:cs="Calibri"/>
              </w:rPr>
              <w:t>49330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35DCA2D3" w14:textId="77777777">
            <w:pPr>
              <w:jc w:val="center"/>
              <w:rPr>
                <w:rFonts w:cs="Calibri"/>
              </w:rPr>
            </w:pPr>
            <w:r w:rsidRPr="007D15C3">
              <w:rPr>
                <w:rFonts w:cs="Calibri"/>
              </w:rPr>
              <w:t>KXAS-TV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C5F56AF" w14:textId="77777777">
            <w:pPr>
              <w:rPr>
                <w:rFonts w:cs="Calibri"/>
              </w:rPr>
            </w:pPr>
            <w:r w:rsidRPr="007D15C3">
              <w:rPr>
                <w:rFonts w:cs="Calibri"/>
              </w:rPr>
              <w:t xml:space="preserve">          6,774,295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08D7635" w14:textId="77777777">
            <w:pPr>
              <w:rPr>
                <w:rFonts w:cs="Calibri"/>
              </w:rPr>
            </w:pPr>
            <w:r w:rsidRPr="007D15C3">
              <w:rPr>
                <w:rFonts w:cs="Calibri"/>
              </w:rPr>
              <w:t xml:space="preserve">            6,771,827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DFC81D4" w14:textId="77777777">
            <w:pPr>
              <w:jc w:val="right"/>
              <w:rPr>
                <w:rFonts w:cs="Calibri"/>
              </w:rPr>
            </w:pPr>
            <w:r w:rsidRPr="007D15C3">
              <w:rPr>
                <w:rFonts w:cs="Calibri"/>
              </w:rPr>
              <w:t>$53,071</w:t>
            </w:r>
          </w:p>
        </w:tc>
      </w:tr>
      <w:tr w14:paraId="288F067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D34A29" w14:textId="77777777">
            <w:pPr>
              <w:jc w:val="center"/>
              <w:rPr>
                <w:rFonts w:cs="Calibri"/>
              </w:rPr>
            </w:pPr>
            <w:r w:rsidRPr="007D15C3">
              <w:rPr>
                <w:rFonts w:cs="Calibri"/>
              </w:rPr>
              <w:t>24287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D0DE90" w14:textId="77777777">
            <w:pPr>
              <w:jc w:val="center"/>
              <w:rPr>
                <w:rFonts w:cs="Calibri"/>
              </w:rPr>
            </w:pPr>
            <w:r w:rsidRPr="007D15C3">
              <w:rPr>
                <w:rFonts w:cs="Calibri"/>
              </w:rPr>
              <w:t>KXGN-TV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F701B8" w14:textId="77777777">
            <w:pPr>
              <w:rPr>
                <w:rFonts w:cs="Calibri"/>
              </w:rPr>
            </w:pPr>
            <w:r w:rsidRPr="007D15C3">
              <w:rPr>
                <w:rFonts w:cs="Calibri"/>
              </w:rPr>
              <w:t xml:space="preserve">               14,217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09CDA8" w14:textId="77777777">
            <w:pPr>
              <w:rPr>
                <w:rFonts w:cs="Calibri"/>
              </w:rPr>
            </w:pPr>
            <w:r w:rsidRPr="007D15C3">
              <w:rPr>
                <w:rFonts w:cs="Calibri"/>
              </w:rPr>
              <w:t xml:space="preserve">                 13,883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236964" w14:textId="77777777">
            <w:pPr>
              <w:jc w:val="right"/>
              <w:rPr>
                <w:rFonts w:cs="Calibri"/>
              </w:rPr>
            </w:pPr>
            <w:r w:rsidRPr="007D15C3">
              <w:rPr>
                <w:rFonts w:cs="Calibri"/>
              </w:rPr>
              <w:t>$109</w:t>
            </w:r>
          </w:p>
        </w:tc>
      </w:tr>
      <w:tr w14:paraId="2870D6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F87EC5" w14:textId="77777777">
            <w:pPr>
              <w:jc w:val="center"/>
              <w:rPr>
                <w:rFonts w:cs="Calibri"/>
              </w:rPr>
            </w:pPr>
            <w:r w:rsidRPr="007D15C3">
              <w:rPr>
                <w:rFonts w:cs="Calibri"/>
              </w:rPr>
              <w:t>35954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23F621" w14:textId="77777777">
            <w:pPr>
              <w:jc w:val="center"/>
              <w:rPr>
                <w:rFonts w:cs="Calibri"/>
              </w:rPr>
            </w:pPr>
            <w:r w:rsidRPr="007D15C3">
              <w:rPr>
                <w:rFonts w:cs="Calibri"/>
              </w:rPr>
              <w:t>KXII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A60A0F" w14:textId="77777777">
            <w:pPr>
              <w:rPr>
                <w:rFonts w:cs="Calibri"/>
              </w:rPr>
            </w:pPr>
            <w:r w:rsidRPr="007D15C3">
              <w:rPr>
                <w:rFonts w:cs="Calibri"/>
              </w:rPr>
              <w:t xml:space="preserve">          2,323,974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DCB286" w14:textId="77777777">
            <w:pPr>
              <w:rPr>
                <w:rFonts w:cs="Calibri"/>
              </w:rPr>
            </w:pPr>
            <w:r w:rsidRPr="007D15C3">
              <w:rPr>
                <w:rFonts w:cs="Calibri"/>
              </w:rPr>
              <w:t xml:space="preserve">            2,264,951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B986B0" w14:textId="77777777">
            <w:pPr>
              <w:jc w:val="right"/>
              <w:rPr>
                <w:rFonts w:cs="Calibri"/>
              </w:rPr>
            </w:pPr>
            <w:r w:rsidRPr="007D15C3">
              <w:rPr>
                <w:rFonts w:cs="Calibri"/>
              </w:rPr>
              <w:t>$17,750</w:t>
            </w:r>
          </w:p>
        </w:tc>
      </w:tr>
      <w:tr w14:paraId="246E61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EC0C53" w14:textId="77777777">
            <w:pPr>
              <w:jc w:val="center"/>
              <w:rPr>
                <w:rFonts w:cs="Calibri"/>
              </w:rPr>
            </w:pPr>
            <w:r w:rsidRPr="007D15C3">
              <w:rPr>
                <w:rFonts w:cs="Calibri"/>
              </w:rPr>
              <w:t>55083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A18DF0" w14:textId="77777777">
            <w:pPr>
              <w:jc w:val="center"/>
              <w:rPr>
                <w:rFonts w:cs="Calibri"/>
              </w:rPr>
            </w:pPr>
            <w:r w:rsidRPr="007D15C3">
              <w:rPr>
                <w:rFonts w:cs="Calibri"/>
              </w:rPr>
              <w:t>KXLA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CF1C75" w14:textId="77777777">
            <w:pPr>
              <w:rPr>
                <w:rFonts w:cs="Calibri"/>
              </w:rPr>
            </w:pPr>
            <w:r w:rsidRPr="007D15C3">
              <w:rPr>
                <w:rFonts w:cs="Calibri"/>
              </w:rPr>
              <w:t xml:space="preserve">        17,929,100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83A07A" w14:textId="77777777">
            <w:pPr>
              <w:rPr>
                <w:rFonts w:cs="Calibri"/>
              </w:rPr>
            </w:pPr>
            <w:r w:rsidRPr="007D15C3">
              <w:rPr>
                <w:rFonts w:cs="Calibri"/>
              </w:rPr>
              <w:t xml:space="preserve">          16,794,896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B03859" w14:textId="77777777">
            <w:pPr>
              <w:jc w:val="right"/>
              <w:rPr>
                <w:rFonts w:cs="Calibri"/>
              </w:rPr>
            </w:pPr>
            <w:r w:rsidRPr="007D15C3">
              <w:rPr>
                <w:rFonts w:cs="Calibri"/>
              </w:rPr>
              <w:t>$131,622</w:t>
            </w:r>
          </w:p>
        </w:tc>
      </w:tr>
      <w:tr w14:paraId="424AC4D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9F9464" w14:textId="77777777">
            <w:pPr>
              <w:jc w:val="center"/>
              <w:rPr>
                <w:rFonts w:cs="Calibri"/>
              </w:rPr>
            </w:pPr>
            <w:r w:rsidRPr="007D15C3">
              <w:rPr>
                <w:rFonts w:cs="Calibri"/>
              </w:rPr>
              <w:t>35959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0C83D7" w14:textId="77777777">
            <w:pPr>
              <w:jc w:val="center"/>
              <w:rPr>
                <w:rFonts w:cs="Calibri"/>
              </w:rPr>
            </w:pPr>
            <w:r w:rsidRPr="007D15C3">
              <w:rPr>
                <w:rFonts w:cs="Calibri"/>
              </w:rPr>
              <w:t>KXLF-TV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2A9BD6" w14:textId="77777777">
            <w:pPr>
              <w:rPr>
                <w:rFonts w:cs="Calibri"/>
              </w:rPr>
            </w:pPr>
            <w:r w:rsidRPr="007D15C3">
              <w:rPr>
                <w:rFonts w:cs="Calibri"/>
              </w:rPr>
              <w:t xml:space="preserve">             258,100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A91438" w14:textId="77777777">
            <w:pPr>
              <w:rPr>
                <w:rFonts w:cs="Calibri"/>
              </w:rPr>
            </w:pPr>
            <w:r w:rsidRPr="007D15C3">
              <w:rPr>
                <w:rFonts w:cs="Calibri"/>
              </w:rPr>
              <w:t xml:space="preserve">               217,808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797A05" w14:textId="77777777">
            <w:pPr>
              <w:jc w:val="right"/>
              <w:rPr>
                <w:rFonts w:cs="Calibri"/>
              </w:rPr>
            </w:pPr>
            <w:r w:rsidRPr="007D15C3">
              <w:rPr>
                <w:rFonts w:cs="Calibri"/>
              </w:rPr>
              <w:t>$1,707</w:t>
            </w:r>
          </w:p>
        </w:tc>
      </w:tr>
      <w:tr w14:paraId="46E7BBA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6E60B2" w14:textId="77777777">
            <w:pPr>
              <w:jc w:val="center"/>
              <w:rPr>
                <w:rFonts w:cs="Calibri"/>
              </w:rPr>
            </w:pPr>
            <w:r w:rsidRPr="007D15C3">
              <w:rPr>
                <w:rFonts w:cs="Calibri"/>
              </w:rPr>
              <w:t>53847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80586B" w14:textId="77777777">
            <w:pPr>
              <w:jc w:val="center"/>
              <w:rPr>
                <w:rFonts w:cs="Calibri"/>
              </w:rPr>
            </w:pPr>
            <w:r w:rsidRPr="007D15C3">
              <w:rPr>
                <w:rFonts w:cs="Calibri"/>
              </w:rPr>
              <w:t>KXLN-DT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CCCCDA" w14:textId="77777777">
            <w:pPr>
              <w:rPr>
                <w:rFonts w:cs="Calibri"/>
              </w:rPr>
            </w:pPr>
            <w:r w:rsidRPr="007D15C3">
              <w:rPr>
                <w:rFonts w:cs="Calibri"/>
              </w:rPr>
              <w:t xml:space="preserve">          6,085,891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DB81B8" w14:textId="77777777">
            <w:pPr>
              <w:rPr>
                <w:rFonts w:cs="Calibri"/>
              </w:rPr>
            </w:pPr>
            <w:r w:rsidRPr="007D15C3">
              <w:rPr>
                <w:rFonts w:cs="Calibri"/>
              </w:rPr>
              <w:t xml:space="preserve">            6,085,712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0C1E01" w14:textId="77777777">
            <w:pPr>
              <w:jc w:val="right"/>
              <w:rPr>
                <w:rFonts w:cs="Calibri"/>
              </w:rPr>
            </w:pPr>
            <w:r w:rsidRPr="007D15C3">
              <w:rPr>
                <w:rFonts w:cs="Calibri"/>
              </w:rPr>
              <w:t>$47,694</w:t>
            </w:r>
          </w:p>
        </w:tc>
      </w:tr>
      <w:tr w14:paraId="767C6B9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167405" w14:textId="77777777">
            <w:pPr>
              <w:jc w:val="center"/>
              <w:rPr>
                <w:rFonts w:cs="Calibri"/>
              </w:rPr>
            </w:pPr>
            <w:r w:rsidRPr="007D15C3">
              <w:rPr>
                <w:rFonts w:cs="Calibri"/>
              </w:rPr>
              <w:t>35906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6DBDCE" w14:textId="77777777">
            <w:pPr>
              <w:jc w:val="center"/>
              <w:rPr>
                <w:rFonts w:cs="Calibri"/>
              </w:rPr>
            </w:pPr>
            <w:r w:rsidRPr="007D15C3">
              <w:rPr>
                <w:rFonts w:cs="Calibri"/>
              </w:rPr>
              <w:t>KXLT-TV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176772" w14:textId="77777777">
            <w:pPr>
              <w:rPr>
                <w:rFonts w:cs="Calibri"/>
              </w:rPr>
            </w:pPr>
            <w:r w:rsidRPr="007D15C3">
              <w:rPr>
                <w:rFonts w:cs="Calibri"/>
              </w:rPr>
              <w:t xml:space="preserve">             348,025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E8518F" w14:textId="77777777">
            <w:pPr>
              <w:rPr>
                <w:rFonts w:cs="Calibri"/>
              </w:rPr>
            </w:pPr>
            <w:r w:rsidRPr="007D15C3">
              <w:rPr>
                <w:rFonts w:cs="Calibri"/>
              </w:rPr>
              <w:t xml:space="preserve">               347,296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8DD049" w14:textId="77777777">
            <w:pPr>
              <w:jc w:val="right"/>
              <w:rPr>
                <w:rFonts w:cs="Calibri"/>
              </w:rPr>
            </w:pPr>
            <w:r w:rsidRPr="007D15C3">
              <w:rPr>
                <w:rFonts w:cs="Calibri"/>
              </w:rPr>
              <w:t>$2,722</w:t>
            </w:r>
          </w:p>
        </w:tc>
      </w:tr>
      <w:tr w14:paraId="7A6012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386F5A" w14:textId="77777777">
            <w:pPr>
              <w:jc w:val="center"/>
              <w:rPr>
                <w:rFonts w:cs="Calibri"/>
              </w:rPr>
            </w:pPr>
            <w:r w:rsidRPr="007D15C3">
              <w:rPr>
                <w:rFonts w:cs="Calibri"/>
              </w:rPr>
              <w:t>61978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6148DF5" w14:textId="77777777">
            <w:pPr>
              <w:jc w:val="center"/>
              <w:rPr>
                <w:rFonts w:cs="Calibri"/>
              </w:rPr>
            </w:pPr>
            <w:r w:rsidRPr="007D15C3">
              <w:rPr>
                <w:rFonts w:cs="Calibri"/>
              </w:rPr>
              <w:t>KXLY-TV*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96EE09" w14:textId="77777777">
            <w:pPr>
              <w:rPr>
                <w:rFonts w:cs="Calibri"/>
              </w:rPr>
            </w:pPr>
            <w:r w:rsidRPr="007D15C3">
              <w:rPr>
                <w:rFonts w:cs="Calibri"/>
              </w:rPr>
              <w:t xml:space="preserve">             772,116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3696D3" w14:textId="77777777">
            <w:pPr>
              <w:rPr>
                <w:rFonts w:cs="Calibri"/>
              </w:rPr>
            </w:pPr>
            <w:r w:rsidRPr="007D15C3">
              <w:rPr>
                <w:rFonts w:cs="Calibri"/>
              </w:rPr>
              <w:t xml:space="preserve">               740,960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450866" w14:textId="77777777">
            <w:pPr>
              <w:jc w:val="right"/>
              <w:rPr>
                <w:rFonts w:cs="Calibri"/>
              </w:rPr>
            </w:pPr>
            <w:r w:rsidRPr="007D15C3">
              <w:rPr>
                <w:rFonts w:cs="Calibri"/>
              </w:rPr>
              <w:t>$5,807</w:t>
            </w:r>
          </w:p>
        </w:tc>
      </w:tr>
      <w:tr w14:paraId="5AB6E7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B9B76A" w14:textId="77777777">
            <w:pPr>
              <w:jc w:val="center"/>
              <w:rPr>
                <w:rFonts w:cs="Calibri"/>
              </w:rPr>
            </w:pPr>
            <w:r w:rsidRPr="007D15C3">
              <w:rPr>
                <w:rFonts w:cs="Calibri"/>
              </w:rPr>
              <w:t>55684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BE3074" w14:textId="77777777">
            <w:pPr>
              <w:jc w:val="center"/>
              <w:rPr>
                <w:rFonts w:cs="Calibri"/>
              </w:rPr>
            </w:pPr>
            <w:r w:rsidRPr="007D15C3">
              <w:rPr>
                <w:rFonts w:cs="Calibri"/>
              </w:rPr>
              <w:t>KXMA-TV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55AEE7" w14:textId="77777777">
            <w:pPr>
              <w:rPr>
                <w:rFonts w:cs="Calibri"/>
              </w:rPr>
            </w:pPr>
            <w:r w:rsidRPr="007D15C3">
              <w:rPr>
                <w:rFonts w:cs="Calibri"/>
              </w:rPr>
              <w:t xml:space="preserve">               32,005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23A8D1" w14:textId="77777777">
            <w:pPr>
              <w:rPr>
                <w:rFonts w:cs="Calibri"/>
              </w:rPr>
            </w:pPr>
            <w:r w:rsidRPr="007D15C3">
              <w:rPr>
                <w:rFonts w:cs="Calibri"/>
              </w:rPr>
              <w:t xml:space="preserve">                 31,909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1005AF" w14:textId="77777777">
            <w:pPr>
              <w:jc w:val="right"/>
              <w:rPr>
                <w:rFonts w:cs="Calibri"/>
              </w:rPr>
            </w:pPr>
            <w:r w:rsidRPr="007D15C3">
              <w:rPr>
                <w:rFonts w:cs="Calibri"/>
              </w:rPr>
              <w:t>$250</w:t>
            </w:r>
          </w:p>
        </w:tc>
      </w:tr>
      <w:tr w14:paraId="523D78D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D89A03" w14:textId="77777777">
            <w:pPr>
              <w:jc w:val="center"/>
              <w:rPr>
                <w:rFonts w:cs="Calibri"/>
              </w:rPr>
            </w:pPr>
            <w:r w:rsidRPr="007D15C3">
              <w:rPr>
                <w:rFonts w:cs="Calibri"/>
              </w:rPr>
              <w:t>55686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992A06" w14:textId="77777777">
            <w:pPr>
              <w:jc w:val="center"/>
              <w:rPr>
                <w:rFonts w:cs="Calibri"/>
              </w:rPr>
            </w:pPr>
            <w:r w:rsidRPr="007D15C3">
              <w:rPr>
                <w:rFonts w:cs="Calibri"/>
              </w:rPr>
              <w:t>KXMB-TV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EE0636" w14:textId="77777777">
            <w:pPr>
              <w:rPr>
                <w:rFonts w:cs="Calibri"/>
              </w:rPr>
            </w:pPr>
            <w:r w:rsidRPr="007D15C3">
              <w:rPr>
                <w:rFonts w:cs="Calibri"/>
              </w:rPr>
              <w:t xml:space="preserve">             142,755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71443E" w14:textId="77777777">
            <w:pPr>
              <w:rPr>
                <w:rFonts w:cs="Calibri"/>
              </w:rPr>
            </w:pPr>
            <w:r w:rsidRPr="007D15C3">
              <w:rPr>
                <w:rFonts w:cs="Calibri"/>
              </w:rPr>
              <w:t xml:space="preserve">               138,506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53FDD4" w14:textId="77777777">
            <w:pPr>
              <w:jc w:val="right"/>
              <w:rPr>
                <w:rFonts w:cs="Calibri"/>
              </w:rPr>
            </w:pPr>
            <w:r w:rsidRPr="007D15C3">
              <w:rPr>
                <w:rFonts w:cs="Calibri"/>
              </w:rPr>
              <w:t>$1,085</w:t>
            </w:r>
          </w:p>
        </w:tc>
      </w:tr>
      <w:tr w14:paraId="22C81DB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52C819" w14:textId="77777777">
            <w:pPr>
              <w:jc w:val="center"/>
              <w:rPr>
                <w:rFonts w:cs="Calibri"/>
              </w:rPr>
            </w:pPr>
            <w:r w:rsidRPr="007D15C3">
              <w:rPr>
                <w:rFonts w:cs="Calibri"/>
              </w:rPr>
              <w:t>55685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D32CB1" w14:textId="77777777">
            <w:pPr>
              <w:jc w:val="center"/>
              <w:rPr>
                <w:rFonts w:cs="Calibri"/>
              </w:rPr>
            </w:pPr>
            <w:r w:rsidRPr="007D15C3">
              <w:rPr>
                <w:rFonts w:cs="Calibri"/>
              </w:rPr>
              <w:t>KXMC-TV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665253" w14:textId="77777777">
            <w:pPr>
              <w:rPr>
                <w:rFonts w:cs="Calibri"/>
              </w:rPr>
            </w:pPr>
            <w:r w:rsidRPr="007D15C3">
              <w:rPr>
                <w:rFonts w:cs="Calibri"/>
              </w:rPr>
              <w:t xml:space="preserve">               97,569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7113B1" w14:textId="77777777">
            <w:pPr>
              <w:rPr>
                <w:rFonts w:cs="Calibri"/>
              </w:rPr>
            </w:pPr>
            <w:r w:rsidRPr="007D15C3">
              <w:rPr>
                <w:rFonts w:cs="Calibri"/>
              </w:rPr>
              <w:t xml:space="preserve">                 89,483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0D4977" w14:textId="77777777">
            <w:pPr>
              <w:jc w:val="right"/>
              <w:rPr>
                <w:rFonts w:cs="Calibri"/>
              </w:rPr>
            </w:pPr>
            <w:r w:rsidRPr="007D15C3">
              <w:rPr>
                <w:rFonts w:cs="Calibri"/>
              </w:rPr>
              <w:t>$701</w:t>
            </w:r>
          </w:p>
        </w:tc>
      </w:tr>
      <w:tr w14:paraId="5E2D60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29CEBF" w14:textId="77777777">
            <w:pPr>
              <w:jc w:val="center"/>
              <w:rPr>
                <w:rFonts w:cs="Calibri"/>
              </w:rPr>
            </w:pPr>
            <w:r w:rsidRPr="007D15C3">
              <w:rPr>
                <w:rFonts w:cs="Calibri"/>
              </w:rPr>
              <w:t>55683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ED7597" w14:textId="77777777">
            <w:pPr>
              <w:jc w:val="center"/>
              <w:rPr>
                <w:rFonts w:cs="Calibri"/>
              </w:rPr>
            </w:pPr>
            <w:r w:rsidRPr="007D15C3">
              <w:rPr>
                <w:rFonts w:cs="Calibri"/>
              </w:rPr>
              <w:t>KXMD-TV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C4F39A" w14:textId="77777777">
            <w:pPr>
              <w:rPr>
                <w:rFonts w:cs="Calibri"/>
              </w:rPr>
            </w:pPr>
            <w:r w:rsidRPr="007D15C3">
              <w:rPr>
                <w:rFonts w:cs="Calibri"/>
              </w:rPr>
              <w:t xml:space="preserve">               37,962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C23B4E" w14:textId="77777777">
            <w:pPr>
              <w:rPr>
                <w:rFonts w:cs="Calibri"/>
              </w:rPr>
            </w:pPr>
            <w:r w:rsidRPr="007D15C3">
              <w:rPr>
                <w:rFonts w:cs="Calibri"/>
              </w:rPr>
              <w:t xml:space="preserve">                 37,917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69E971" w14:textId="77777777">
            <w:pPr>
              <w:jc w:val="right"/>
              <w:rPr>
                <w:rFonts w:cs="Calibri"/>
              </w:rPr>
            </w:pPr>
            <w:r w:rsidRPr="007D15C3">
              <w:rPr>
                <w:rFonts w:cs="Calibri"/>
              </w:rPr>
              <w:t>$297</w:t>
            </w:r>
          </w:p>
        </w:tc>
      </w:tr>
      <w:tr w14:paraId="0171112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CF8D2C" w14:textId="77777777">
            <w:pPr>
              <w:jc w:val="center"/>
              <w:rPr>
                <w:rFonts w:cs="Calibri"/>
              </w:rPr>
            </w:pPr>
            <w:r w:rsidRPr="007D15C3">
              <w:rPr>
                <w:rFonts w:cs="Calibri"/>
              </w:rPr>
              <w:t>47995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6776E5" w14:textId="77777777">
            <w:pPr>
              <w:jc w:val="center"/>
              <w:rPr>
                <w:rFonts w:cs="Calibri"/>
              </w:rPr>
            </w:pPr>
            <w:r w:rsidRPr="007D15C3">
              <w:rPr>
                <w:rFonts w:cs="Calibri"/>
              </w:rPr>
              <w:t>KXNE-TV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492BF3" w14:textId="77777777">
            <w:pPr>
              <w:rPr>
                <w:rFonts w:cs="Calibri"/>
              </w:rPr>
            </w:pPr>
            <w:r w:rsidRPr="007D15C3">
              <w:rPr>
                <w:rFonts w:cs="Calibri"/>
              </w:rPr>
              <w:t xml:space="preserve">             300,021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27CD64" w14:textId="77777777">
            <w:pPr>
              <w:rPr>
                <w:rFonts w:cs="Calibri"/>
              </w:rPr>
            </w:pPr>
            <w:r w:rsidRPr="007D15C3">
              <w:rPr>
                <w:rFonts w:cs="Calibri"/>
              </w:rPr>
              <w:t xml:space="preserve">               298,839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FF2D13" w14:textId="77777777">
            <w:pPr>
              <w:jc w:val="right"/>
              <w:rPr>
                <w:rFonts w:cs="Calibri"/>
              </w:rPr>
            </w:pPr>
            <w:r w:rsidRPr="007D15C3">
              <w:rPr>
                <w:rFonts w:cs="Calibri"/>
              </w:rPr>
              <w:t>$2,342</w:t>
            </w:r>
          </w:p>
        </w:tc>
      </w:tr>
      <w:tr w14:paraId="418F87F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AB4062" w14:textId="77777777">
            <w:pPr>
              <w:jc w:val="center"/>
              <w:rPr>
                <w:rFonts w:cs="Calibri"/>
              </w:rPr>
            </w:pPr>
            <w:r w:rsidRPr="007D15C3">
              <w:rPr>
                <w:rFonts w:cs="Calibri"/>
              </w:rPr>
              <w:t>81593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D1D32E" w14:textId="77777777">
            <w:pPr>
              <w:jc w:val="center"/>
              <w:rPr>
                <w:rFonts w:cs="Calibri"/>
              </w:rPr>
            </w:pPr>
            <w:r w:rsidRPr="007D15C3">
              <w:rPr>
                <w:rFonts w:cs="Calibri"/>
              </w:rPr>
              <w:t>KXNW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9F8060" w14:textId="77777777">
            <w:pPr>
              <w:rPr>
                <w:rFonts w:cs="Calibri"/>
              </w:rPr>
            </w:pPr>
            <w:r w:rsidRPr="007D15C3">
              <w:rPr>
                <w:rFonts w:cs="Calibri"/>
              </w:rPr>
              <w:t xml:space="preserve">             602,168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0CB598" w14:textId="77777777">
            <w:pPr>
              <w:rPr>
                <w:rFonts w:cs="Calibri"/>
              </w:rPr>
            </w:pPr>
            <w:r w:rsidRPr="007D15C3">
              <w:rPr>
                <w:rFonts w:cs="Calibri"/>
              </w:rPr>
              <w:t xml:space="preserve">               597,747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9F7670" w14:textId="77777777">
            <w:pPr>
              <w:jc w:val="right"/>
              <w:rPr>
                <w:rFonts w:cs="Calibri"/>
              </w:rPr>
            </w:pPr>
            <w:r w:rsidRPr="007D15C3">
              <w:rPr>
                <w:rFonts w:cs="Calibri"/>
              </w:rPr>
              <w:t>$4,685</w:t>
            </w:r>
          </w:p>
        </w:tc>
      </w:tr>
      <w:tr w14:paraId="0CB3FE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5F1FEA" w14:textId="77777777">
            <w:pPr>
              <w:jc w:val="center"/>
              <w:rPr>
                <w:rFonts w:cs="Calibri"/>
              </w:rPr>
            </w:pPr>
            <w:r w:rsidRPr="007D15C3">
              <w:rPr>
                <w:rFonts w:cs="Calibri"/>
              </w:rPr>
              <w:t>35991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58150B" w14:textId="77777777">
            <w:pPr>
              <w:jc w:val="center"/>
              <w:rPr>
                <w:rFonts w:cs="Calibri"/>
              </w:rPr>
            </w:pPr>
            <w:r w:rsidRPr="007D15C3">
              <w:rPr>
                <w:rFonts w:cs="Calibri"/>
              </w:rPr>
              <w:t>KXRM-TV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2C3A50" w14:textId="77777777">
            <w:pPr>
              <w:rPr>
                <w:rFonts w:cs="Calibri"/>
              </w:rPr>
            </w:pPr>
            <w:r w:rsidRPr="007D15C3">
              <w:rPr>
                <w:rFonts w:cs="Calibri"/>
              </w:rPr>
              <w:t xml:space="preserve">          1,843,363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C5D784" w14:textId="77777777">
            <w:pPr>
              <w:rPr>
                <w:rFonts w:cs="Calibri"/>
              </w:rPr>
            </w:pPr>
            <w:r w:rsidRPr="007D15C3">
              <w:rPr>
                <w:rFonts w:cs="Calibri"/>
              </w:rPr>
              <w:t xml:space="preserve">            1,500,689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E9D599" w14:textId="77777777">
            <w:pPr>
              <w:jc w:val="right"/>
              <w:rPr>
                <w:rFonts w:cs="Calibri"/>
              </w:rPr>
            </w:pPr>
            <w:r w:rsidRPr="007D15C3">
              <w:rPr>
                <w:rFonts w:cs="Calibri"/>
              </w:rPr>
              <w:t>$11,761</w:t>
            </w:r>
          </w:p>
        </w:tc>
      </w:tr>
      <w:tr w14:paraId="0C99B5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4150CF" w14:textId="77777777">
            <w:pPr>
              <w:jc w:val="center"/>
              <w:rPr>
                <w:rFonts w:cs="Calibri"/>
              </w:rPr>
            </w:pPr>
            <w:r w:rsidRPr="007D15C3">
              <w:rPr>
                <w:rFonts w:cs="Calibri"/>
              </w:rPr>
              <w:t>1255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C60A77" w14:textId="77777777">
            <w:pPr>
              <w:jc w:val="center"/>
              <w:rPr>
                <w:rFonts w:cs="Calibri"/>
              </w:rPr>
            </w:pPr>
            <w:r w:rsidRPr="007D15C3">
              <w:rPr>
                <w:rFonts w:cs="Calibri"/>
              </w:rPr>
              <w:t>KXTF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8C350D" w14:textId="77777777">
            <w:pPr>
              <w:rPr>
                <w:rFonts w:cs="Calibri"/>
              </w:rPr>
            </w:pPr>
            <w:r w:rsidRPr="007D15C3">
              <w:rPr>
                <w:rFonts w:cs="Calibri"/>
              </w:rPr>
              <w:t xml:space="preserve">             121,558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DBE193" w14:textId="77777777">
            <w:pPr>
              <w:rPr>
                <w:rFonts w:cs="Calibri"/>
              </w:rPr>
            </w:pPr>
            <w:r w:rsidRPr="007D15C3">
              <w:rPr>
                <w:rFonts w:cs="Calibri"/>
              </w:rPr>
              <w:t xml:space="preserve">               121,383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69CAE7" w14:textId="77777777">
            <w:pPr>
              <w:jc w:val="right"/>
              <w:rPr>
                <w:rFonts w:cs="Calibri"/>
              </w:rPr>
            </w:pPr>
            <w:r w:rsidRPr="007D15C3">
              <w:rPr>
                <w:rFonts w:cs="Calibri"/>
              </w:rPr>
              <w:t>$951</w:t>
            </w:r>
          </w:p>
        </w:tc>
      </w:tr>
      <w:tr w14:paraId="054EF11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C8F841" w14:textId="77777777">
            <w:pPr>
              <w:jc w:val="center"/>
              <w:rPr>
                <w:rFonts w:cs="Calibri"/>
              </w:rPr>
            </w:pPr>
            <w:r w:rsidRPr="007D15C3">
              <w:rPr>
                <w:rFonts w:cs="Calibri"/>
              </w:rPr>
              <w:t>25048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E8E58D" w14:textId="77777777">
            <w:pPr>
              <w:jc w:val="center"/>
              <w:rPr>
                <w:rFonts w:cs="Calibri"/>
              </w:rPr>
            </w:pPr>
            <w:r w:rsidRPr="007D15C3">
              <w:rPr>
                <w:rFonts w:cs="Calibri"/>
              </w:rPr>
              <w:t>KXTV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BB2984" w14:textId="77777777">
            <w:pPr>
              <w:rPr>
                <w:rFonts w:cs="Calibri"/>
              </w:rPr>
            </w:pPr>
            <w:r w:rsidRPr="007D15C3">
              <w:rPr>
                <w:rFonts w:cs="Calibri"/>
              </w:rPr>
              <w:t xml:space="preserve">        10,759,864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3477E1" w14:textId="77777777">
            <w:pPr>
              <w:rPr>
                <w:rFonts w:cs="Calibri"/>
              </w:rPr>
            </w:pPr>
            <w:r w:rsidRPr="007D15C3">
              <w:rPr>
                <w:rFonts w:cs="Calibri"/>
              </w:rPr>
              <w:t xml:space="preserve">            7,477,140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E7E528" w14:textId="77777777">
            <w:pPr>
              <w:jc w:val="right"/>
              <w:rPr>
                <w:rFonts w:cs="Calibri"/>
              </w:rPr>
            </w:pPr>
            <w:r w:rsidRPr="007D15C3">
              <w:rPr>
                <w:rFonts w:cs="Calibri"/>
              </w:rPr>
              <w:t>$58,598</w:t>
            </w:r>
          </w:p>
        </w:tc>
      </w:tr>
      <w:tr w14:paraId="343FF0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83FD16" w14:textId="77777777">
            <w:pPr>
              <w:jc w:val="center"/>
              <w:rPr>
                <w:rFonts w:cs="Calibri"/>
              </w:rPr>
            </w:pPr>
            <w:r w:rsidRPr="007D15C3">
              <w:rPr>
                <w:rFonts w:cs="Calibri"/>
              </w:rPr>
              <w:t>35994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9106E4" w14:textId="77777777">
            <w:pPr>
              <w:jc w:val="center"/>
              <w:rPr>
                <w:rFonts w:cs="Calibri"/>
              </w:rPr>
            </w:pPr>
            <w:r w:rsidRPr="007D15C3">
              <w:rPr>
                <w:rFonts w:cs="Calibri"/>
              </w:rPr>
              <w:t>KXTX-TV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C220C3" w14:textId="77777777">
            <w:pPr>
              <w:rPr>
                <w:rFonts w:cs="Calibri"/>
              </w:rPr>
            </w:pPr>
            <w:r w:rsidRPr="007D15C3">
              <w:rPr>
                <w:rFonts w:cs="Calibri"/>
              </w:rPr>
              <w:t xml:space="preserve">          6,721,578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6F9AB4" w14:textId="77777777">
            <w:pPr>
              <w:rPr>
                <w:rFonts w:cs="Calibri"/>
              </w:rPr>
            </w:pPr>
            <w:r w:rsidRPr="007D15C3">
              <w:rPr>
                <w:rFonts w:cs="Calibri"/>
              </w:rPr>
              <w:t xml:space="preserve">            6,718,616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8EB845" w14:textId="77777777">
            <w:pPr>
              <w:jc w:val="right"/>
              <w:rPr>
                <w:rFonts w:cs="Calibri"/>
              </w:rPr>
            </w:pPr>
            <w:r w:rsidRPr="007D15C3">
              <w:rPr>
                <w:rFonts w:cs="Calibri"/>
              </w:rPr>
              <w:t>$52,654</w:t>
            </w:r>
          </w:p>
        </w:tc>
      </w:tr>
      <w:tr w14:paraId="116BB48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F9681E" w14:textId="77777777">
            <w:pPr>
              <w:jc w:val="center"/>
              <w:rPr>
                <w:rFonts w:cs="Calibri"/>
              </w:rPr>
            </w:pPr>
            <w:r w:rsidRPr="007D15C3">
              <w:rPr>
                <w:rFonts w:cs="Calibri"/>
              </w:rPr>
              <w:t>62293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1BFAAC" w14:textId="77777777">
            <w:pPr>
              <w:jc w:val="center"/>
              <w:rPr>
                <w:rFonts w:cs="Calibri"/>
              </w:rPr>
            </w:pPr>
            <w:r w:rsidRPr="007D15C3">
              <w:rPr>
                <w:rFonts w:cs="Calibri"/>
              </w:rPr>
              <w:t>KXVA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6C8607" w14:textId="77777777">
            <w:pPr>
              <w:rPr>
                <w:rFonts w:cs="Calibri"/>
              </w:rPr>
            </w:pPr>
            <w:r w:rsidRPr="007D15C3">
              <w:rPr>
                <w:rFonts w:cs="Calibri"/>
              </w:rPr>
              <w:t xml:space="preserve">             185,478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5EA9CF" w14:textId="77777777">
            <w:pPr>
              <w:rPr>
                <w:rFonts w:cs="Calibri"/>
              </w:rPr>
            </w:pPr>
            <w:r w:rsidRPr="007D15C3">
              <w:rPr>
                <w:rFonts w:cs="Calibri"/>
              </w:rPr>
              <w:t xml:space="preserve">               185,276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A5604A" w14:textId="77777777">
            <w:pPr>
              <w:jc w:val="right"/>
              <w:rPr>
                <w:rFonts w:cs="Calibri"/>
              </w:rPr>
            </w:pPr>
            <w:r w:rsidRPr="007D15C3">
              <w:rPr>
                <w:rFonts w:cs="Calibri"/>
              </w:rPr>
              <w:t>$1,452</w:t>
            </w:r>
          </w:p>
        </w:tc>
      </w:tr>
      <w:tr w14:paraId="00263A5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FA4B81" w14:textId="77777777">
            <w:pPr>
              <w:jc w:val="center"/>
              <w:rPr>
                <w:rFonts w:cs="Calibri"/>
              </w:rPr>
            </w:pPr>
            <w:r w:rsidRPr="007D15C3">
              <w:rPr>
                <w:rFonts w:cs="Calibri"/>
              </w:rPr>
              <w:t>23277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2F7C3C" w14:textId="77777777">
            <w:pPr>
              <w:jc w:val="center"/>
              <w:rPr>
                <w:rFonts w:cs="Calibri"/>
              </w:rPr>
            </w:pPr>
            <w:r w:rsidRPr="007D15C3">
              <w:rPr>
                <w:rFonts w:cs="Calibri"/>
              </w:rPr>
              <w:t>KXVO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BE0B0C" w14:textId="77777777">
            <w:pPr>
              <w:rPr>
                <w:rFonts w:cs="Calibri"/>
              </w:rPr>
            </w:pPr>
            <w:r w:rsidRPr="007D15C3">
              <w:rPr>
                <w:rFonts w:cs="Calibri"/>
              </w:rPr>
              <w:t xml:space="preserve">          1,404,703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BAB1F0" w14:textId="77777777">
            <w:pPr>
              <w:rPr>
                <w:rFonts w:cs="Calibri"/>
              </w:rPr>
            </w:pPr>
            <w:r w:rsidRPr="007D15C3">
              <w:rPr>
                <w:rFonts w:cs="Calibri"/>
              </w:rPr>
              <w:t xml:space="preserve">            1,403,380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491137" w14:textId="77777777">
            <w:pPr>
              <w:jc w:val="right"/>
              <w:rPr>
                <w:rFonts w:cs="Calibri"/>
              </w:rPr>
            </w:pPr>
            <w:r w:rsidRPr="007D15C3">
              <w:rPr>
                <w:rFonts w:cs="Calibri"/>
              </w:rPr>
              <w:t>$10,998</w:t>
            </w:r>
          </w:p>
        </w:tc>
      </w:tr>
      <w:tr w14:paraId="0A777F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989011" w14:textId="77777777">
            <w:pPr>
              <w:jc w:val="center"/>
              <w:rPr>
                <w:rFonts w:cs="Calibri"/>
              </w:rPr>
            </w:pPr>
            <w:r w:rsidRPr="007D15C3">
              <w:rPr>
                <w:rFonts w:cs="Calibri"/>
              </w:rPr>
              <w:t>9781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DBB710" w14:textId="77777777">
            <w:pPr>
              <w:jc w:val="center"/>
              <w:rPr>
                <w:rFonts w:cs="Calibri"/>
              </w:rPr>
            </w:pPr>
            <w:r w:rsidRPr="007D15C3">
              <w:rPr>
                <w:rFonts w:cs="Calibri"/>
              </w:rPr>
              <w:t>KXXV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0AD5B4" w14:textId="77777777">
            <w:pPr>
              <w:rPr>
                <w:rFonts w:cs="Calibri"/>
              </w:rPr>
            </w:pPr>
            <w:r w:rsidRPr="007D15C3">
              <w:rPr>
                <w:rFonts w:cs="Calibri"/>
              </w:rPr>
              <w:t xml:space="preserve">          1,771,620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B51BA7" w14:textId="77777777">
            <w:pPr>
              <w:rPr>
                <w:rFonts w:cs="Calibri"/>
              </w:rPr>
            </w:pPr>
            <w:r w:rsidRPr="007D15C3">
              <w:rPr>
                <w:rFonts w:cs="Calibri"/>
              </w:rPr>
              <w:t xml:space="preserve">            1,748,287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F2B786" w14:textId="77777777">
            <w:pPr>
              <w:jc w:val="right"/>
              <w:rPr>
                <w:rFonts w:cs="Calibri"/>
              </w:rPr>
            </w:pPr>
            <w:r w:rsidRPr="007D15C3">
              <w:rPr>
                <w:rFonts w:cs="Calibri"/>
              </w:rPr>
              <w:t>$13,701</w:t>
            </w:r>
          </w:p>
        </w:tc>
      </w:tr>
      <w:tr w14:paraId="554F93F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6ABEB6" w14:textId="77777777">
            <w:pPr>
              <w:jc w:val="center"/>
              <w:rPr>
                <w:rFonts w:cs="Calibri"/>
              </w:rPr>
            </w:pPr>
            <w:r w:rsidRPr="007D15C3">
              <w:rPr>
                <w:rFonts w:cs="Calibri"/>
              </w:rPr>
              <w:t>31870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2306F0" w14:textId="77777777">
            <w:pPr>
              <w:jc w:val="center"/>
              <w:rPr>
                <w:rFonts w:cs="Calibri"/>
              </w:rPr>
            </w:pPr>
            <w:r w:rsidRPr="007D15C3">
              <w:rPr>
                <w:rFonts w:cs="Calibri"/>
              </w:rPr>
              <w:t>KYAZ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CDEF37" w14:textId="77777777">
            <w:pPr>
              <w:rPr>
                <w:rFonts w:cs="Calibri"/>
              </w:rPr>
            </w:pPr>
            <w:r w:rsidRPr="007D15C3">
              <w:rPr>
                <w:rFonts w:cs="Calibri"/>
              </w:rPr>
              <w:t xml:space="preserve">          6,038,257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5EFC81" w14:textId="77777777">
            <w:pPr>
              <w:rPr>
                <w:rFonts w:cs="Calibri"/>
              </w:rPr>
            </w:pPr>
            <w:r w:rsidRPr="007D15C3">
              <w:rPr>
                <w:rFonts w:cs="Calibri"/>
              </w:rPr>
              <w:t xml:space="preserve">            6,038,071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09AD70" w14:textId="77777777">
            <w:pPr>
              <w:jc w:val="right"/>
              <w:rPr>
                <w:rFonts w:cs="Calibri"/>
              </w:rPr>
            </w:pPr>
            <w:r w:rsidRPr="007D15C3">
              <w:rPr>
                <w:rFonts w:cs="Calibri"/>
              </w:rPr>
              <w:t>$47,320</w:t>
            </w:r>
          </w:p>
        </w:tc>
      </w:tr>
      <w:tr w14:paraId="5AE9BDB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EBD1A1" w14:textId="77777777">
            <w:pPr>
              <w:jc w:val="center"/>
              <w:rPr>
                <w:rFonts w:cs="Calibri"/>
              </w:rPr>
            </w:pPr>
            <w:r w:rsidRPr="007D15C3">
              <w:rPr>
                <w:rFonts w:cs="Calibri"/>
              </w:rPr>
              <w:t>21488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D5ED19" w14:textId="77777777">
            <w:pPr>
              <w:jc w:val="center"/>
              <w:rPr>
                <w:rFonts w:cs="Calibri"/>
              </w:rPr>
            </w:pPr>
            <w:r w:rsidRPr="007D15C3">
              <w:rPr>
                <w:rFonts w:cs="Calibri"/>
              </w:rPr>
              <w:t>KYES-TV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F5A93A" w14:textId="77777777">
            <w:pPr>
              <w:rPr>
                <w:rFonts w:cs="Calibri"/>
              </w:rPr>
            </w:pPr>
            <w:r w:rsidRPr="007D15C3">
              <w:rPr>
                <w:rFonts w:cs="Calibri"/>
              </w:rPr>
              <w:t xml:space="preserve">             381,413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6A0B69" w14:textId="77777777">
            <w:pPr>
              <w:rPr>
                <w:rFonts w:cs="Calibri"/>
              </w:rPr>
            </w:pPr>
            <w:r w:rsidRPr="007D15C3">
              <w:rPr>
                <w:rFonts w:cs="Calibri"/>
              </w:rPr>
              <w:t xml:space="preserve">               380,355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447FDB" w14:textId="77777777">
            <w:pPr>
              <w:jc w:val="right"/>
              <w:rPr>
                <w:rFonts w:cs="Calibri"/>
              </w:rPr>
            </w:pPr>
            <w:r w:rsidRPr="007D15C3">
              <w:rPr>
                <w:rFonts w:cs="Calibri"/>
              </w:rPr>
              <w:t>$2,981</w:t>
            </w:r>
          </w:p>
        </w:tc>
      </w:tr>
      <w:tr w14:paraId="5045AD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1EED91" w14:textId="77777777">
            <w:pPr>
              <w:jc w:val="center"/>
              <w:rPr>
                <w:rFonts w:cs="Calibri"/>
              </w:rPr>
            </w:pPr>
            <w:r w:rsidRPr="007D15C3">
              <w:rPr>
                <w:rFonts w:cs="Calibri"/>
              </w:rPr>
              <w:t>29086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8CAB58" w14:textId="77777777">
            <w:pPr>
              <w:jc w:val="center"/>
              <w:rPr>
                <w:rFonts w:cs="Calibri"/>
              </w:rPr>
            </w:pPr>
            <w:r w:rsidRPr="007D15C3">
              <w:rPr>
                <w:rFonts w:cs="Calibri"/>
              </w:rPr>
              <w:t>KYIN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961660" w14:textId="77777777">
            <w:pPr>
              <w:rPr>
                <w:rFonts w:cs="Calibri"/>
              </w:rPr>
            </w:pPr>
            <w:r w:rsidRPr="007D15C3">
              <w:rPr>
                <w:rFonts w:cs="Calibri"/>
              </w:rPr>
              <w:t xml:space="preserve">             581,748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E53EB0" w14:textId="77777777">
            <w:pPr>
              <w:rPr>
                <w:rFonts w:cs="Calibri"/>
              </w:rPr>
            </w:pPr>
            <w:r w:rsidRPr="007D15C3">
              <w:rPr>
                <w:rFonts w:cs="Calibri"/>
              </w:rPr>
              <w:t xml:space="preserve">               574,691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A2A94C" w14:textId="77777777">
            <w:pPr>
              <w:jc w:val="right"/>
              <w:rPr>
                <w:rFonts w:cs="Calibri"/>
              </w:rPr>
            </w:pPr>
            <w:r w:rsidRPr="007D15C3">
              <w:rPr>
                <w:rFonts w:cs="Calibri"/>
              </w:rPr>
              <w:t>$4,504</w:t>
            </w:r>
          </w:p>
        </w:tc>
      </w:tr>
      <w:tr w14:paraId="3999ACC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27F3EC" w14:textId="77777777">
            <w:pPr>
              <w:jc w:val="center"/>
              <w:rPr>
                <w:rFonts w:cs="Calibri"/>
              </w:rPr>
            </w:pPr>
            <w:r w:rsidRPr="007D15C3">
              <w:rPr>
                <w:rFonts w:cs="Calibri"/>
              </w:rPr>
              <w:t>60384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C575A8" w14:textId="77777777">
            <w:pPr>
              <w:jc w:val="center"/>
              <w:rPr>
                <w:rFonts w:cs="Calibri"/>
              </w:rPr>
            </w:pPr>
            <w:r w:rsidRPr="007D15C3">
              <w:rPr>
                <w:rFonts w:cs="Calibri"/>
              </w:rPr>
              <w:t>KYLE-TV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3F8E78" w14:textId="77777777">
            <w:pPr>
              <w:rPr>
                <w:rFonts w:cs="Calibri"/>
              </w:rPr>
            </w:pPr>
            <w:r w:rsidRPr="007D15C3">
              <w:rPr>
                <w:rFonts w:cs="Calibri"/>
              </w:rPr>
              <w:t xml:space="preserve">             324,032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493C4D" w14:textId="77777777">
            <w:pPr>
              <w:rPr>
                <w:rFonts w:cs="Calibri"/>
              </w:rPr>
            </w:pPr>
            <w:r w:rsidRPr="007D15C3">
              <w:rPr>
                <w:rFonts w:cs="Calibri"/>
              </w:rPr>
              <w:t xml:space="preserve">               324,025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9B4458" w14:textId="77777777">
            <w:pPr>
              <w:jc w:val="right"/>
              <w:rPr>
                <w:rFonts w:cs="Calibri"/>
              </w:rPr>
            </w:pPr>
            <w:r w:rsidRPr="007D15C3">
              <w:rPr>
                <w:rFonts w:cs="Calibri"/>
              </w:rPr>
              <w:t>$2,539</w:t>
            </w:r>
          </w:p>
        </w:tc>
      </w:tr>
      <w:tr w14:paraId="1179C8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86FD3A" w14:textId="77777777">
            <w:pPr>
              <w:jc w:val="center"/>
              <w:rPr>
                <w:rFonts w:cs="Calibri"/>
              </w:rPr>
            </w:pPr>
            <w:r w:rsidRPr="007D15C3">
              <w:rPr>
                <w:rFonts w:cs="Calibri"/>
              </w:rPr>
              <w:t>33639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AD8238" w14:textId="77777777">
            <w:pPr>
              <w:jc w:val="center"/>
              <w:rPr>
                <w:rFonts w:cs="Calibri"/>
              </w:rPr>
            </w:pPr>
            <w:r w:rsidRPr="007D15C3">
              <w:rPr>
                <w:rFonts w:cs="Calibri"/>
              </w:rPr>
              <w:t>KYMA-DT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698A9D" w14:textId="77777777">
            <w:pPr>
              <w:rPr>
                <w:rFonts w:cs="Calibri"/>
              </w:rPr>
            </w:pPr>
            <w:r w:rsidRPr="007D15C3">
              <w:rPr>
                <w:rFonts w:cs="Calibri"/>
              </w:rPr>
              <w:t xml:space="preserve">             396,278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F79502" w14:textId="77777777">
            <w:pPr>
              <w:rPr>
                <w:rFonts w:cs="Calibri"/>
              </w:rPr>
            </w:pPr>
            <w:r w:rsidRPr="007D15C3">
              <w:rPr>
                <w:rFonts w:cs="Calibri"/>
              </w:rPr>
              <w:t xml:space="preserve">               391,619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1C3DBF" w14:textId="77777777">
            <w:pPr>
              <w:jc w:val="right"/>
              <w:rPr>
                <w:rFonts w:cs="Calibri"/>
              </w:rPr>
            </w:pPr>
            <w:r w:rsidRPr="007D15C3">
              <w:rPr>
                <w:rFonts w:cs="Calibri"/>
              </w:rPr>
              <w:t>$3,069</w:t>
            </w:r>
          </w:p>
        </w:tc>
      </w:tr>
      <w:tr w14:paraId="3A3891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059B20" w14:textId="77777777">
            <w:pPr>
              <w:jc w:val="center"/>
              <w:rPr>
                <w:rFonts w:cs="Calibri"/>
              </w:rPr>
            </w:pPr>
            <w:r w:rsidRPr="007D15C3">
              <w:rPr>
                <w:rFonts w:cs="Calibri"/>
              </w:rPr>
              <w:t>47974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A1CBEBD" w14:textId="77777777">
            <w:pPr>
              <w:jc w:val="center"/>
              <w:rPr>
                <w:rFonts w:cs="Calibri"/>
              </w:rPr>
            </w:pPr>
            <w:r w:rsidRPr="007D15C3">
              <w:rPr>
                <w:rFonts w:cs="Calibri"/>
              </w:rPr>
              <w:t>KYNE-TV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CE47A2" w14:textId="77777777">
            <w:pPr>
              <w:rPr>
                <w:rFonts w:cs="Calibri"/>
              </w:rPr>
            </w:pPr>
            <w:r w:rsidRPr="007D15C3">
              <w:rPr>
                <w:rFonts w:cs="Calibri"/>
              </w:rPr>
              <w:t xml:space="preserve">             929,406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9EC5B3" w14:textId="77777777">
            <w:pPr>
              <w:rPr>
                <w:rFonts w:cs="Calibri"/>
              </w:rPr>
            </w:pPr>
            <w:r w:rsidRPr="007D15C3">
              <w:rPr>
                <w:rFonts w:cs="Calibri"/>
              </w:rPr>
              <w:t xml:space="preserve">               929,242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13588B" w14:textId="77777777">
            <w:pPr>
              <w:jc w:val="right"/>
              <w:rPr>
                <w:rFonts w:cs="Calibri"/>
              </w:rPr>
            </w:pPr>
            <w:r w:rsidRPr="007D15C3">
              <w:rPr>
                <w:rFonts w:cs="Calibri"/>
              </w:rPr>
              <w:t>$7,282</w:t>
            </w:r>
          </w:p>
        </w:tc>
      </w:tr>
      <w:tr w14:paraId="3B683B3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2A4742" w14:textId="77777777">
            <w:pPr>
              <w:jc w:val="center"/>
              <w:rPr>
                <w:rFonts w:cs="Calibri"/>
              </w:rPr>
            </w:pPr>
            <w:r w:rsidRPr="007D15C3">
              <w:rPr>
                <w:rFonts w:cs="Calibri"/>
              </w:rPr>
              <w:t>53820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FC6920" w14:textId="77777777">
            <w:pPr>
              <w:jc w:val="center"/>
              <w:rPr>
                <w:rFonts w:cs="Calibri"/>
              </w:rPr>
            </w:pPr>
            <w:r w:rsidRPr="007D15C3">
              <w:rPr>
                <w:rFonts w:cs="Calibri"/>
              </w:rPr>
              <w:t>KYOU-TV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59A24E" w14:textId="77777777">
            <w:pPr>
              <w:rPr>
                <w:rFonts w:cs="Calibri"/>
              </w:rPr>
            </w:pPr>
            <w:r w:rsidRPr="007D15C3">
              <w:rPr>
                <w:rFonts w:cs="Calibri"/>
              </w:rPr>
              <w:t xml:space="preserve">             651,334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B44E39" w14:textId="77777777">
            <w:pPr>
              <w:rPr>
                <w:rFonts w:cs="Calibri"/>
              </w:rPr>
            </w:pPr>
            <w:r w:rsidRPr="007D15C3">
              <w:rPr>
                <w:rFonts w:cs="Calibri"/>
              </w:rPr>
              <w:t xml:space="preserve">               640,935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29A9E9" w14:textId="77777777">
            <w:pPr>
              <w:jc w:val="right"/>
              <w:rPr>
                <w:rFonts w:cs="Calibri"/>
              </w:rPr>
            </w:pPr>
            <w:r w:rsidRPr="007D15C3">
              <w:rPr>
                <w:rFonts w:cs="Calibri"/>
              </w:rPr>
              <w:t>$5,023</w:t>
            </w:r>
          </w:p>
        </w:tc>
      </w:tr>
      <w:tr w14:paraId="6A55B9F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B58D12" w14:textId="77777777">
            <w:pPr>
              <w:jc w:val="center"/>
              <w:rPr>
                <w:rFonts w:cs="Calibri"/>
              </w:rPr>
            </w:pPr>
            <w:r w:rsidRPr="007D15C3">
              <w:rPr>
                <w:rFonts w:cs="Calibri"/>
              </w:rPr>
              <w:t>36003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F1B352" w14:textId="77777777">
            <w:pPr>
              <w:jc w:val="center"/>
              <w:rPr>
                <w:rFonts w:cs="Calibri"/>
              </w:rPr>
            </w:pPr>
            <w:r w:rsidRPr="007D15C3">
              <w:rPr>
                <w:rFonts w:cs="Calibri"/>
              </w:rPr>
              <w:t>KYTV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792B13" w14:textId="77777777">
            <w:pPr>
              <w:rPr>
                <w:rFonts w:cs="Calibri"/>
              </w:rPr>
            </w:pPr>
            <w:r w:rsidRPr="007D15C3">
              <w:rPr>
                <w:rFonts w:cs="Calibri"/>
              </w:rPr>
              <w:t xml:space="preserve">          1,095,904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767363" w14:textId="77777777">
            <w:pPr>
              <w:rPr>
                <w:rFonts w:cs="Calibri"/>
              </w:rPr>
            </w:pPr>
            <w:r w:rsidRPr="007D15C3">
              <w:rPr>
                <w:rFonts w:cs="Calibri"/>
              </w:rPr>
              <w:t xml:space="preserve">            1,083,524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355DA2" w14:textId="77777777">
            <w:pPr>
              <w:jc w:val="right"/>
              <w:rPr>
                <w:rFonts w:cs="Calibri"/>
              </w:rPr>
            </w:pPr>
            <w:r w:rsidRPr="007D15C3">
              <w:rPr>
                <w:rFonts w:cs="Calibri"/>
              </w:rPr>
              <w:t>$8,492</w:t>
            </w:r>
          </w:p>
        </w:tc>
      </w:tr>
      <w:tr w14:paraId="0E69882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CBEF5A" w14:textId="77777777">
            <w:pPr>
              <w:jc w:val="center"/>
              <w:rPr>
                <w:rFonts w:cs="Calibri"/>
              </w:rPr>
            </w:pPr>
            <w:r w:rsidRPr="007D15C3">
              <w:rPr>
                <w:rFonts w:cs="Calibri"/>
              </w:rPr>
              <w:t>55644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AA397F" w14:textId="77777777">
            <w:pPr>
              <w:jc w:val="center"/>
              <w:rPr>
                <w:rFonts w:cs="Calibri"/>
              </w:rPr>
            </w:pPr>
            <w:r w:rsidRPr="007D15C3">
              <w:rPr>
                <w:rFonts w:cs="Calibri"/>
              </w:rPr>
              <w:t>KYTX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6C82E5" w14:textId="77777777">
            <w:pPr>
              <w:rPr>
                <w:rFonts w:cs="Calibri"/>
              </w:rPr>
            </w:pPr>
            <w:r w:rsidRPr="007D15C3">
              <w:rPr>
                <w:rFonts w:cs="Calibri"/>
              </w:rPr>
              <w:t xml:space="preserve">             927,327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E66927" w14:textId="77777777">
            <w:pPr>
              <w:rPr>
                <w:rFonts w:cs="Calibri"/>
              </w:rPr>
            </w:pPr>
            <w:r w:rsidRPr="007D15C3">
              <w:rPr>
                <w:rFonts w:cs="Calibri"/>
              </w:rPr>
              <w:t xml:space="preserve">               925,550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5CCE78" w14:textId="77777777">
            <w:pPr>
              <w:jc w:val="right"/>
              <w:rPr>
                <w:rFonts w:cs="Calibri"/>
              </w:rPr>
            </w:pPr>
            <w:r w:rsidRPr="007D15C3">
              <w:rPr>
                <w:rFonts w:cs="Calibri"/>
              </w:rPr>
              <w:t>$7,254</w:t>
            </w:r>
          </w:p>
        </w:tc>
      </w:tr>
      <w:tr w14:paraId="6901B69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98AFEA" w14:textId="77777777">
            <w:pPr>
              <w:jc w:val="center"/>
              <w:rPr>
                <w:rFonts w:cs="Calibri"/>
              </w:rPr>
            </w:pPr>
            <w:r w:rsidRPr="007D15C3">
              <w:rPr>
                <w:rFonts w:cs="Calibri"/>
              </w:rPr>
              <w:t>13815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A14786" w14:textId="77777777">
            <w:pPr>
              <w:jc w:val="center"/>
              <w:rPr>
                <w:rFonts w:cs="Calibri"/>
              </w:rPr>
            </w:pPr>
            <w:r w:rsidRPr="007D15C3">
              <w:rPr>
                <w:rFonts w:cs="Calibri"/>
              </w:rPr>
              <w:t>KYUR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41BD45" w14:textId="77777777">
            <w:pPr>
              <w:rPr>
                <w:rFonts w:cs="Calibri"/>
              </w:rPr>
            </w:pPr>
            <w:r w:rsidRPr="007D15C3">
              <w:rPr>
                <w:rFonts w:cs="Calibri"/>
              </w:rPr>
              <w:t xml:space="preserve">             379,943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06B9FC" w14:textId="77777777">
            <w:pPr>
              <w:rPr>
                <w:rFonts w:cs="Calibri"/>
              </w:rPr>
            </w:pPr>
            <w:r w:rsidRPr="007D15C3">
              <w:rPr>
                <w:rFonts w:cs="Calibri"/>
              </w:rPr>
              <w:t xml:space="preserve">               379,027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19E20C" w14:textId="77777777">
            <w:pPr>
              <w:jc w:val="right"/>
              <w:rPr>
                <w:rFonts w:cs="Calibri"/>
              </w:rPr>
            </w:pPr>
            <w:r w:rsidRPr="007D15C3">
              <w:rPr>
                <w:rFonts w:cs="Calibri"/>
              </w:rPr>
              <w:t>$2,970</w:t>
            </w:r>
          </w:p>
        </w:tc>
      </w:tr>
      <w:tr w14:paraId="0BB825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C746C2" w14:textId="77777777">
            <w:pPr>
              <w:jc w:val="center"/>
              <w:rPr>
                <w:rFonts w:cs="Calibri"/>
              </w:rPr>
            </w:pPr>
            <w:r w:rsidRPr="007D15C3">
              <w:rPr>
                <w:rFonts w:cs="Calibri"/>
              </w:rPr>
              <w:t>5237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F229E9" w14:textId="77777777">
            <w:pPr>
              <w:jc w:val="center"/>
              <w:rPr>
                <w:rFonts w:cs="Calibri"/>
              </w:rPr>
            </w:pPr>
            <w:r w:rsidRPr="007D15C3">
              <w:rPr>
                <w:rFonts w:cs="Calibri"/>
              </w:rPr>
              <w:t>KYUS-TV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3EBAA4" w14:textId="77777777">
            <w:pPr>
              <w:rPr>
                <w:rFonts w:cs="Calibri"/>
              </w:rPr>
            </w:pPr>
            <w:r w:rsidRPr="007D15C3">
              <w:rPr>
                <w:rFonts w:cs="Calibri"/>
              </w:rPr>
              <w:t xml:space="preserve">               12,496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8B251C" w14:textId="77777777">
            <w:pPr>
              <w:rPr>
                <w:rFonts w:cs="Calibri"/>
              </w:rPr>
            </w:pPr>
            <w:r w:rsidRPr="007D15C3">
              <w:rPr>
                <w:rFonts w:cs="Calibri"/>
              </w:rPr>
              <w:t xml:space="preserve">                 12,356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1B5C7E" w14:textId="77777777">
            <w:pPr>
              <w:jc w:val="right"/>
              <w:rPr>
                <w:rFonts w:cs="Calibri"/>
              </w:rPr>
            </w:pPr>
            <w:r w:rsidRPr="007D15C3">
              <w:rPr>
                <w:rFonts w:cs="Calibri"/>
              </w:rPr>
              <w:t>$97</w:t>
            </w:r>
          </w:p>
        </w:tc>
      </w:tr>
      <w:tr w14:paraId="12B233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9266AF" w14:textId="77777777">
            <w:pPr>
              <w:jc w:val="center"/>
              <w:rPr>
                <w:rFonts w:cs="Calibri"/>
              </w:rPr>
            </w:pPr>
            <w:r w:rsidRPr="007D15C3">
              <w:rPr>
                <w:rFonts w:cs="Calibri"/>
              </w:rPr>
              <w:t>33752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7A0CA9" w14:textId="77777777">
            <w:pPr>
              <w:jc w:val="center"/>
              <w:rPr>
                <w:rFonts w:cs="Calibri"/>
              </w:rPr>
            </w:pPr>
            <w:r w:rsidRPr="007D15C3">
              <w:rPr>
                <w:rFonts w:cs="Calibri"/>
              </w:rPr>
              <w:t>KYVE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47501" w14:textId="77777777">
            <w:pPr>
              <w:rPr>
                <w:rFonts w:cs="Calibri"/>
              </w:rPr>
            </w:pPr>
            <w:r w:rsidRPr="007D15C3">
              <w:rPr>
                <w:rFonts w:cs="Calibri"/>
              </w:rPr>
              <w:t xml:space="preserve">             301,951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497763" w14:textId="77777777">
            <w:pPr>
              <w:rPr>
                <w:rFonts w:cs="Calibri"/>
              </w:rPr>
            </w:pPr>
            <w:r w:rsidRPr="007D15C3">
              <w:rPr>
                <w:rFonts w:cs="Calibri"/>
              </w:rPr>
              <w:t xml:space="preserve">               259,559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75EA81" w14:textId="77777777">
            <w:pPr>
              <w:jc w:val="right"/>
              <w:rPr>
                <w:rFonts w:cs="Calibri"/>
              </w:rPr>
            </w:pPr>
            <w:r w:rsidRPr="007D15C3">
              <w:rPr>
                <w:rFonts w:cs="Calibri"/>
              </w:rPr>
              <w:t>$2,034</w:t>
            </w:r>
          </w:p>
        </w:tc>
      </w:tr>
      <w:tr w14:paraId="6BD34E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5C570D" w14:textId="77777777">
            <w:pPr>
              <w:jc w:val="center"/>
              <w:rPr>
                <w:rFonts w:cs="Calibri"/>
              </w:rPr>
            </w:pPr>
            <w:r w:rsidRPr="007D15C3">
              <w:rPr>
                <w:rFonts w:cs="Calibri"/>
              </w:rPr>
              <w:t>55762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8480D0" w14:textId="77777777">
            <w:pPr>
              <w:jc w:val="center"/>
              <w:rPr>
                <w:rFonts w:cs="Calibri"/>
              </w:rPr>
            </w:pPr>
            <w:r w:rsidRPr="007D15C3">
              <w:rPr>
                <w:rFonts w:cs="Calibri"/>
              </w:rPr>
              <w:t>KYVV-TV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4E8566" w14:textId="77777777">
            <w:pPr>
              <w:rPr>
                <w:rFonts w:cs="Calibri"/>
              </w:rPr>
            </w:pPr>
            <w:r w:rsidRPr="007D15C3">
              <w:rPr>
                <w:rFonts w:cs="Calibri"/>
              </w:rPr>
              <w:t xml:space="preserve">               67,201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609217" w14:textId="77777777">
            <w:pPr>
              <w:rPr>
                <w:rFonts w:cs="Calibri"/>
              </w:rPr>
            </w:pPr>
            <w:r w:rsidRPr="007D15C3">
              <w:rPr>
                <w:rFonts w:cs="Calibri"/>
              </w:rPr>
              <w:t xml:space="preserve">                 67,201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D155BF" w14:textId="77777777">
            <w:pPr>
              <w:jc w:val="right"/>
              <w:rPr>
                <w:rFonts w:cs="Calibri"/>
              </w:rPr>
            </w:pPr>
            <w:r w:rsidRPr="007D15C3">
              <w:rPr>
                <w:rFonts w:cs="Calibri"/>
              </w:rPr>
              <w:t>$527</w:t>
            </w:r>
          </w:p>
        </w:tc>
      </w:tr>
      <w:tr w14:paraId="05F8775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7BA8CA" w14:textId="77777777">
            <w:pPr>
              <w:jc w:val="center"/>
              <w:rPr>
                <w:rFonts w:cs="Calibri"/>
              </w:rPr>
            </w:pPr>
            <w:r w:rsidRPr="007D15C3">
              <w:rPr>
                <w:rFonts w:cs="Calibri"/>
              </w:rPr>
              <w:t>25453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071970" w14:textId="77777777">
            <w:pPr>
              <w:jc w:val="center"/>
              <w:rPr>
                <w:rFonts w:cs="Calibri"/>
              </w:rPr>
            </w:pPr>
            <w:r w:rsidRPr="007D15C3">
              <w:rPr>
                <w:rFonts w:cs="Calibri"/>
              </w:rPr>
              <w:t>KYW-TV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679F2D" w14:textId="77777777">
            <w:pPr>
              <w:rPr>
                <w:rFonts w:cs="Calibri"/>
              </w:rPr>
            </w:pPr>
            <w:r w:rsidRPr="007D15C3">
              <w:rPr>
                <w:rFonts w:cs="Calibri"/>
              </w:rPr>
              <w:t xml:space="preserve">        11,061,941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5251BE" w14:textId="77777777">
            <w:pPr>
              <w:rPr>
                <w:rFonts w:cs="Calibri"/>
              </w:rPr>
            </w:pPr>
            <w:r w:rsidRPr="007D15C3">
              <w:rPr>
                <w:rFonts w:cs="Calibri"/>
              </w:rPr>
              <w:t xml:space="preserve">          10,876,511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16E268" w14:textId="77777777">
            <w:pPr>
              <w:jc w:val="right"/>
              <w:rPr>
                <w:rFonts w:cs="Calibri"/>
              </w:rPr>
            </w:pPr>
            <w:r w:rsidRPr="007D15C3">
              <w:rPr>
                <w:rFonts w:cs="Calibri"/>
              </w:rPr>
              <w:t>$85,239</w:t>
            </w:r>
          </w:p>
        </w:tc>
      </w:tr>
      <w:tr w14:paraId="14BD831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0709FE" w14:textId="77777777">
            <w:pPr>
              <w:jc w:val="center"/>
              <w:rPr>
                <w:rFonts w:cs="Calibri"/>
              </w:rPr>
            </w:pPr>
            <w:r w:rsidRPr="007D15C3">
              <w:rPr>
                <w:rFonts w:cs="Calibri"/>
              </w:rPr>
              <w:t>69531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171065" w14:textId="77777777">
            <w:pPr>
              <w:jc w:val="center"/>
              <w:rPr>
                <w:rFonts w:cs="Calibri"/>
              </w:rPr>
            </w:pPr>
            <w:r w:rsidRPr="007D15C3">
              <w:rPr>
                <w:rFonts w:cs="Calibri"/>
              </w:rPr>
              <w:t>KZJL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DCB23B" w14:textId="77777777">
            <w:pPr>
              <w:rPr>
                <w:rFonts w:cs="Calibri"/>
              </w:rPr>
            </w:pPr>
            <w:r w:rsidRPr="007D15C3">
              <w:rPr>
                <w:rFonts w:cs="Calibri"/>
              </w:rPr>
              <w:t xml:space="preserve">          6,037,458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AE5C79" w14:textId="77777777">
            <w:pPr>
              <w:rPr>
                <w:rFonts w:cs="Calibri"/>
              </w:rPr>
            </w:pPr>
            <w:r w:rsidRPr="007D15C3">
              <w:rPr>
                <w:rFonts w:cs="Calibri"/>
              </w:rPr>
              <w:t xml:space="preserve">            6,037,272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1E5C08" w14:textId="77777777">
            <w:pPr>
              <w:jc w:val="right"/>
              <w:rPr>
                <w:rFonts w:cs="Calibri"/>
              </w:rPr>
            </w:pPr>
            <w:r w:rsidRPr="007D15C3">
              <w:rPr>
                <w:rFonts w:cs="Calibri"/>
              </w:rPr>
              <w:t>$47,314</w:t>
            </w:r>
          </w:p>
        </w:tc>
      </w:tr>
      <w:tr w14:paraId="6CD998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5AB736" w14:textId="77777777">
            <w:pPr>
              <w:jc w:val="center"/>
              <w:rPr>
                <w:rFonts w:cs="Calibri"/>
              </w:rPr>
            </w:pPr>
            <w:r w:rsidRPr="007D15C3">
              <w:rPr>
                <w:rFonts w:cs="Calibri"/>
              </w:rPr>
              <w:t>69571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3372C0" w14:textId="77777777">
            <w:pPr>
              <w:jc w:val="center"/>
              <w:rPr>
                <w:rFonts w:cs="Calibri"/>
              </w:rPr>
            </w:pPr>
            <w:r w:rsidRPr="007D15C3">
              <w:rPr>
                <w:rFonts w:cs="Calibri"/>
              </w:rPr>
              <w:t>KZJO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C60B51" w14:textId="77777777">
            <w:pPr>
              <w:rPr>
                <w:rFonts w:cs="Calibri"/>
              </w:rPr>
            </w:pPr>
            <w:r w:rsidRPr="007D15C3">
              <w:rPr>
                <w:rFonts w:cs="Calibri"/>
              </w:rPr>
              <w:t xml:space="preserve">          4,179,154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ACD48E" w14:textId="77777777">
            <w:pPr>
              <w:rPr>
                <w:rFonts w:cs="Calibri"/>
              </w:rPr>
            </w:pPr>
            <w:r w:rsidRPr="007D15C3">
              <w:rPr>
                <w:rFonts w:cs="Calibri"/>
              </w:rPr>
              <w:t xml:space="preserve">            4,124,424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6312EB" w14:textId="77777777">
            <w:pPr>
              <w:jc w:val="right"/>
              <w:rPr>
                <w:rFonts w:cs="Calibri"/>
              </w:rPr>
            </w:pPr>
            <w:r w:rsidRPr="007D15C3">
              <w:rPr>
                <w:rFonts w:cs="Calibri"/>
              </w:rPr>
              <w:t>$32,323</w:t>
            </w:r>
          </w:p>
        </w:tc>
      </w:tr>
      <w:tr w14:paraId="1B8D095C"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B13D76" w14:textId="77777777">
            <w:pPr>
              <w:jc w:val="center"/>
              <w:rPr>
                <w:rFonts w:cs="Calibri"/>
              </w:rPr>
            </w:pPr>
            <w:r w:rsidRPr="007D15C3">
              <w:rPr>
                <w:rFonts w:cs="Calibri"/>
              </w:rPr>
              <w:t>61062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148FBCCC" w14:textId="77777777">
            <w:pPr>
              <w:jc w:val="center"/>
              <w:rPr>
                <w:rFonts w:cs="Calibri"/>
              </w:rPr>
            </w:pPr>
            <w:r w:rsidRPr="007D15C3">
              <w:rPr>
                <w:rFonts w:cs="Calibri"/>
              </w:rPr>
              <w:t>KZSD-TV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94AAB5C" w14:textId="77777777">
            <w:pPr>
              <w:rPr>
                <w:rFonts w:cs="Calibri"/>
              </w:rPr>
            </w:pPr>
            <w:r w:rsidRPr="007D15C3">
              <w:rPr>
                <w:rFonts w:cs="Calibri"/>
              </w:rPr>
              <w:t xml:space="preserve">               41,207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09CCCAC" w14:textId="77777777">
            <w:pPr>
              <w:rPr>
                <w:rFonts w:cs="Calibri"/>
              </w:rPr>
            </w:pPr>
            <w:r w:rsidRPr="007D15C3">
              <w:rPr>
                <w:rFonts w:cs="Calibri"/>
              </w:rPr>
              <w:t xml:space="preserve">                 35,825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A64E409" w14:textId="77777777">
            <w:pPr>
              <w:jc w:val="right"/>
              <w:rPr>
                <w:rFonts w:cs="Calibri"/>
              </w:rPr>
            </w:pPr>
            <w:r w:rsidRPr="007D15C3">
              <w:rPr>
                <w:rFonts w:cs="Calibri"/>
              </w:rPr>
              <w:t>$281</w:t>
            </w:r>
          </w:p>
        </w:tc>
      </w:tr>
      <w:tr w14:paraId="6059FE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ACCAF8" w14:textId="77777777">
            <w:pPr>
              <w:jc w:val="center"/>
              <w:rPr>
                <w:rFonts w:cs="Calibri"/>
              </w:rPr>
            </w:pPr>
            <w:r w:rsidRPr="007D15C3">
              <w:rPr>
                <w:rFonts w:cs="Calibri"/>
              </w:rPr>
              <w:t>33079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F33694" w14:textId="77777777">
            <w:pPr>
              <w:jc w:val="center"/>
              <w:rPr>
                <w:rFonts w:cs="Calibri"/>
              </w:rPr>
            </w:pPr>
            <w:r w:rsidRPr="007D15C3">
              <w:rPr>
                <w:rFonts w:cs="Calibri"/>
              </w:rPr>
              <w:t>KZTV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81A53C" w14:textId="77777777">
            <w:pPr>
              <w:rPr>
                <w:rFonts w:cs="Calibri"/>
              </w:rPr>
            </w:pPr>
            <w:r w:rsidRPr="007D15C3">
              <w:rPr>
                <w:rFonts w:cs="Calibri"/>
              </w:rPr>
              <w:t xml:space="preserve">             567,635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AC9DA1" w14:textId="77777777">
            <w:pPr>
              <w:rPr>
                <w:rFonts w:cs="Calibri"/>
              </w:rPr>
            </w:pPr>
            <w:r w:rsidRPr="007D15C3">
              <w:rPr>
                <w:rFonts w:cs="Calibri"/>
              </w:rPr>
              <w:t xml:space="preserve">               564,464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27F11E" w14:textId="77777777">
            <w:pPr>
              <w:jc w:val="right"/>
              <w:rPr>
                <w:rFonts w:cs="Calibri"/>
              </w:rPr>
            </w:pPr>
            <w:r w:rsidRPr="007D15C3">
              <w:rPr>
                <w:rFonts w:cs="Calibri"/>
              </w:rPr>
              <w:t>$4,424</w:t>
            </w:r>
          </w:p>
        </w:tc>
      </w:tr>
      <w:tr w14:paraId="26F3D4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89AA65" w14:textId="77777777">
            <w:pPr>
              <w:jc w:val="center"/>
              <w:rPr>
                <w:rFonts w:cs="Calibri"/>
              </w:rPr>
            </w:pPr>
            <w:r w:rsidRPr="007D15C3">
              <w:rPr>
                <w:rFonts w:cs="Calibri"/>
              </w:rPr>
              <w:t>57292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5ACAF7" w14:textId="77777777">
            <w:pPr>
              <w:jc w:val="center"/>
              <w:rPr>
                <w:rFonts w:cs="Calibri"/>
              </w:rPr>
            </w:pPr>
            <w:r w:rsidRPr="007D15C3">
              <w:rPr>
                <w:rFonts w:cs="Calibri"/>
              </w:rPr>
              <w:t>WAAY-TV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2963AF" w14:textId="77777777">
            <w:pPr>
              <w:rPr>
                <w:rFonts w:cs="Calibri"/>
              </w:rPr>
            </w:pPr>
            <w:r w:rsidRPr="007D15C3">
              <w:rPr>
                <w:rFonts w:cs="Calibri"/>
              </w:rPr>
              <w:t xml:space="preserve">          1,498,006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E21773" w14:textId="77777777">
            <w:pPr>
              <w:rPr>
                <w:rFonts w:cs="Calibri"/>
              </w:rPr>
            </w:pPr>
            <w:r w:rsidRPr="007D15C3">
              <w:rPr>
                <w:rFonts w:cs="Calibri"/>
              </w:rPr>
              <w:t xml:space="preserve">            1,428,197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AA7FC1" w14:textId="77777777">
            <w:pPr>
              <w:jc w:val="right"/>
              <w:rPr>
                <w:rFonts w:cs="Calibri"/>
              </w:rPr>
            </w:pPr>
            <w:r w:rsidRPr="007D15C3">
              <w:rPr>
                <w:rFonts w:cs="Calibri"/>
              </w:rPr>
              <w:t>$11,193</w:t>
            </w:r>
          </w:p>
        </w:tc>
      </w:tr>
      <w:tr w14:paraId="45A33F3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3D2CD7" w14:textId="77777777">
            <w:pPr>
              <w:jc w:val="center"/>
              <w:rPr>
                <w:rFonts w:cs="Calibri"/>
              </w:rPr>
            </w:pPr>
            <w:r w:rsidRPr="007D15C3">
              <w:rPr>
                <w:rFonts w:cs="Calibri"/>
              </w:rPr>
              <w:t>1328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EE27A6" w14:textId="77777777">
            <w:pPr>
              <w:jc w:val="center"/>
              <w:rPr>
                <w:rFonts w:cs="Calibri"/>
              </w:rPr>
            </w:pPr>
            <w:r w:rsidRPr="007D15C3">
              <w:rPr>
                <w:rFonts w:cs="Calibri"/>
              </w:rPr>
              <w:t>WABC-TV*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73C261" w14:textId="77777777">
            <w:pPr>
              <w:rPr>
                <w:rFonts w:cs="Calibri"/>
              </w:rPr>
            </w:pPr>
            <w:r w:rsidRPr="007D15C3">
              <w:rPr>
                <w:rFonts w:cs="Calibri"/>
              </w:rPr>
              <w:t xml:space="preserve">        20,948,273</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F4CA1F" w14:textId="77777777">
            <w:pPr>
              <w:rPr>
                <w:rFonts w:cs="Calibri"/>
              </w:rPr>
            </w:pPr>
            <w:r w:rsidRPr="007D15C3">
              <w:rPr>
                <w:rFonts w:cs="Calibri"/>
              </w:rPr>
              <w:t xml:space="preserve">          20,560,001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FADAA9" w14:textId="77777777">
            <w:pPr>
              <w:jc w:val="right"/>
              <w:rPr>
                <w:rFonts w:cs="Calibri"/>
              </w:rPr>
            </w:pPr>
            <w:r w:rsidRPr="007D15C3">
              <w:rPr>
                <w:rFonts w:cs="Calibri"/>
              </w:rPr>
              <w:t>$161,129</w:t>
            </w:r>
          </w:p>
        </w:tc>
      </w:tr>
      <w:tr w14:paraId="34B793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BDE9B1" w14:textId="77777777">
            <w:pPr>
              <w:jc w:val="center"/>
              <w:rPr>
                <w:rFonts w:cs="Calibri"/>
              </w:rPr>
            </w:pPr>
            <w:r w:rsidRPr="007D15C3">
              <w:rPr>
                <w:rFonts w:cs="Calibri"/>
              </w:rPr>
              <w:t>43203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BAFFAB" w14:textId="77777777">
            <w:pPr>
              <w:jc w:val="center"/>
              <w:rPr>
                <w:rFonts w:cs="Calibri"/>
              </w:rPr>
            </w:pPr>
            <w:r w:rsidRPr="007D15C3">
              <w:rPr>
                <w:rFonts w:cs="Calibri"/>
              </w:rPr>
              <w:t>WABG-TV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EF3131" w14:textId="77777777">
            <w:pPr>
              <w:rPr>
                <w:rFonts w:cs="Calibri"/>
              </w:rPr>
            </w:pPr>
            <w:r w:rsidRPr="007D15C3">
              <w:rPr>
                <w:rFonts w:cs="Calibri"/>
              </w:rPr>
              <w:t xml:space="preserve">             393,020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3EF81F" w14:textId="77777777">
            <w:pPr>
              <w:rPr>
                <w:rFonts w:cs="Calibri"/>
              </w:rPr>
            </w:pPr>
            <w:r w:rsidRPr="007D15C3">
              <w:rPr>
                <w:rFonts w:cs="Calibri"/>
              </w:rPr>
              <w:t xml:space="preserve">               392,348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C19681" w14:textId="77777777">
            <w:pPr>
              <w:jc w:val="right"/>
              <w:rPr>
                <w:rFonts w:cs="Calibri"/>
              </w:rPr>
            </w:pPr>
            <w:r w:rsidRPr="007D15C3">
              <w:rPr>
                <w:rFonts w:cs="Calibri"/>
              </w:rPr>
              <w:t>$3,075</w:t>
            </w:r>
          </w:p>
        </w:tc>
      </w:tr>
      <w:tr w14:paraId="2D0A7A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95132B" w14:textId="77777777">
            <w:pPr>
              <w:jc w:val="center"/>
              <w:rPr>
                <w:rFonts w:cs="Calibri"/>
              </w:rPr>
            </w:pPr>
            <w:r w:rsidRPr="007D15C3">
              <w:rPr>
                <w:rFonts w:cs="Calibri"/>
              </w:rPr>
              <w:t>17005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0CFD7C" w14:textId="77777777">
            <w:pPr>
              <w:jc w:val="center"/>
              <w:rPr>
                <w:rFonts w:cs="Calibri"/>
              </w:rPr>
            </w:pPr>
            <w:r w:rsidRPr="007D15C3">
              <w:rPr>
                <w:rFonts w:cs="Calibri"/>
              </w:rPr>
              <w:t>WABI-TV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6565F9" w14:textId="77777777">
            <w:pPr>
              <w:rPr>
                <w:rFonts w:cs="Calibri"/>
              </w:rPr>
            </w:pPr>
            <w:r w:rsidRPr="007D15C3">
              <w:rPr>
                <w:rFonts w:cs="Calibri"/>
              </w:rPr>
              <w:t xml:space="preserve">             530,773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05E44A" w14:textId="77777777">
            <w:pPr>
              <w:rPr>
                <w:rFonts w:cs="Calibri"/>
              </w:rPr>
            </w:pPr>
            <w:r w:rsidRPr="007D15C3">
              <w:rPr>
                <w:rFonts w:cs="Calibri"/>
              </w:rPr>
              <w:t xml:space="preserve">               510,729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13B4C3" w14:textId="77777777">
            <w:pPr>
              <w:jc w:val="right"/>
              <w:rPr>
                <w:rFonts w:cs="Calibri"/>
              </w:rPr>
            </w:pPr>
            <w:r w:rsidRPr="007D15C3">
              <w:rPr>
                <w:rFonts w:cs="Calibri"/>
              </w:rPr>
              <w:t>$4,003</w:t>
            </w:r>
          </w:p>
        </w:tc>
      </w:tr>
      <w:tr w14:paraId="6CB99DF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077C6C" w14:textId="77777777">
            <w:pPr>
              <w:jc w:val="center"/>
              <w:rPr>
                <w:rFonts w:cs="Calibri"/>
              </w:rPr>
            </w:pPr>
            <w:r w:rsidRPr="007D15C3">
              <w:rPr>
                <w:rFonts w:cs="Calibri"/>
              </w:rPr>
              <w:t>16820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3CE006" w14:textId="77777777">
            <w:pPr>
              <w:jc w:val="center"/>
              <w:rPr>
                <w:rFonts w:cs="Calibri"/>
              </w:rPr>
            </w:pPr>
            <w:r w:rsidRPr="007D15C3">
              <w:rPr>
                <w:rFonts w:cs="Calibri"/>
              </w:rPr>
              <w:t>WABM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6B2724" w14:textId="77777777">
            <w:pPr>
              <w:rPr>
                <w:rFonts w:cs="Calibri"/>
              </w:rPr>
            </w:pPr>
            <w:r w:rsidRPr="007D15C3">
              <w:rPr>
                <w:rFonts w:cs="Calibri"/>
              </w:rPr>
              <w:t xml:space="preserve">          1,703,202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C94533" w14:textId="77777777">
            <w:pPr>
              <w:rPr>
                <w:rFonts w:cs="Calibri"/>
              </w:rPr>
            </w:pPr>
            <w:r w:rsidRPr="007D15C3">
              <w:rPr>
                <w:rFonts w:cs="Calibri"/>
              </w:rPr>
              <w:t xml:space="preserve">            1,675,700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70AD6A" w14:textId="77777777">
            <w:pPr>
              <w:jc w:val="right"/>
              <w:rPr>
                <w:rFonts w:cs="Calibri"/>
              </w:rPr>
            </w:pPr>
            <w:r w:rsidRPr="007D15C3">
              <w:rPr>
                <w:rFonts w:cs="Calibri"/>
              </w:rPr>
              <w:t>$13,132</w:t>
            </w:r>
          </w:p>
        </w:tc>
      </w:tr>
      <w:tr w14:paraId="677B171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EDDA22" w14:textId="77777777">
            <w:pPr>
              <w:jc w:val="center"/>
              <w:rPr>
                <w:rFonts w:cs="Calibri"/>
              </w:rPr>
            </w:pPr>
            <w:r w:rsidRPr="007D15C3">
              <w:rPr>
                <w:rFonts w:cs="Calibri"/>
              </w:rPr>
              <w:t>23917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D61640" w14:textId="77777777">
            <w:pPr>
              <w:jc w:val="center"/>
              <w:rPr>
                <w:rFonts w:cs="Calibri"/>
              </w:rPr>
            </w:pPr>
            <w:r w:rsidRPr="007D15C3">
              <w:rPr>
                <w:rFonts w:cs="Calibri"/>
              </w:rPr>
              <w:t>WABW-TV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209587" w14:textId="77777777">
            <w:pPr>
              <w:rPr>
                <w:rFonts w:cs="Calibri"/>
              </w:rPr>
            </w:pPr>
            <w:r w:rsidRPr="007D15C3">
              <w:rPr>
                <w:rFonts w:cs="Calibri"/>
              </w:rPr>
              <w:t xml:space="preserve">          1,097,560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1534AF" w14:textId="77777777">
            <w:pPr>
              <w:rPr>
                <w:rFonts w:cs="Calibri"/>
              </w:rPr>
            </w:pPr>
            <w:r w:rsidRPr="007D15C3">
              <w:rPr>
                <w:rFonts w:cs="Calibri"/>
              </w:rPr>
              <w:t xml:space="preserve">            1,096,376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92F2D7" w14:textId="77777777">
            <w:pPr>
              <w:jc w:val="right"/>
              <w:rPr>
                <w:rFonts w:cs="Calibri"/>
              </w:rPr>
            </w:pPr>
            <w:r w:rsidRPr="007D15C3">
              <w:rPr>
                <w:rFonts w:cs="Calibri"/>
              </w:rPr>
              <w:t>$8,592</w:t>
            </w:r>
          </w:p>
        </w:tc>
      </w:tr>
      <w:tr w14:paraId="44023D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30D5D7" w14:textId="77777777">
            <w:pPr>
              <w:jc w:val="center"/>
              <w:rPr>
                <w:rFonts w:cs="Calibri"/>
              </w:rPr>
            </w:pPr>
            <w:r w:rsidRPr="007D15C3">
              <w:rPr>
                <w:rFonts w:cs="Calibri"/>
              </w:rPr>
              <w:t>19199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88A42D" w14:textId="77777777">
            <w:pPr>
              <w:jc w:val="center"/>
              <w:rPr>
                <w:rFonts w:cs="Calibri"/>
              </w:rPr>
            </w:pPr>
            <w:r w:rsidRPr="007D15C3">
              <w:rPr>
                <w:rFonts w:cs="Calibri"/>
              </w:rPr>
              <w:t>WACH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0F0A9F" w14:textId="77777777">
            <w:pPr>
              <w:rPr>
                <w:rFonts w:cs="Calibri"/>
              </w:rPr>
            </w:pPr>
            <w:r w:rsidRPr="007D15C3">
              <w:rPr>
                <w:rFonts w:cs="Calibri"/>
              </w:rPr>
              <w:t xml:space="preserve">          1,317,429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17390D" w14:textId="77777777">
            <w:pPr>
              <w:rPr>
                <w:rFonts w:cs="Calibri"/>
              </w:rPr>
            </w:pPr>
            <w:r w:rsidRPr="007D15C3">
              <w:rPr>
                <w:rFonts w:cs="Calibri"/>
              </w:rPr>
              <w:t xml:space="preserve">            1,316,792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F45F8C" w14:textId="77777777">
            <w:pPr>
              <w:jc w:val="right"/>
              <w:rPr>
                <w:rFonts w:cs="Calibri"/>
              </w:rPr>
            </w:pPr>
            <w:r w:rsidRPr="007D15C3">
              <w:rPr>
                <w:rFonts w:cs="Calibri"/>
              </w:rPr>
              <w:t>$10,320</w:t>
            </w:r>
          </w:p>
        </w:tc>
      </w:tr>
      <w:tr w14:paraId="162D93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05CC94" w14:textId="77777777">
            <w:pPr>
              <w:jc w:val="center"/>
              <w:rPr>
                <w:rFonts w:cs="Calibri"/>
              </w:rPr>
            </w:pPr>
            <w:r w:rsidRPr="007D15C3">
              <w:rPr>
                <w:rFonts w:cs="Calibri"/>
              </w:rPr>
              <w:t>189358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86075B" w14:textId="77777777">
            <w:pPr>
              <w:jc w:val="center"/>
              <w:rPr>
                <w:rFonts w:cs="Calibri"/>
              </w:rPr>
            </w:pPr>
            <w:r w:rsidRPr="007D15C3">
              <w:rPr>
                <w:rFonts w:cs="Calibri"/>
              </w:rPr>
              <w:t>WACP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D513BD" w14:textId="77777777">
            <w:pPr>
              <w:rPr>
                <w:rFonts w:cs="Calibri"/>
              </w:rPr>
            </w:pPr>
            <w:r w:rsidRPr="007D15C3">
              <w:rPr>
                <w:rFonts w:cs="Calibri"/>
              </w:rPr>
              <w:t xml:space="preserve">          9,415,263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62FFCB" w14:textId="77777777">
            <w:pPr>
              <w:rPr>
                <w:rFonts w:cs="Calibri"/>
              </w:rPr>
            </w:pPr>
            <w:r w:rsidRPr="007D15C3">
              <w:rPr>
                <w:rFonts w:cs="Calibri"/>
              </w:rPr>
              <w:t xml:space="preserve">            9,301,049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FBE92E" w14:textId="77777777">
            <w:pPr>
              <w:jc w:val="right"/>
              <w:rPr>
                <w:rFonts w:cs="Calibri"/>
              </w:rPr>
            </w:pPr>
            <w:r w:rsidRPr="007D15C3">
              <w:rPr>
                <w:rFonts w:cs="Calibri"/>
              </w:rPr>
              <w:t>$72,892</w:t>
            </w:r>
          </w:p>
        </w:tc>
      </w:tr>
      <w:tr w14:paraId="2F48D9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7237EC" w14:textId="77777777">
            <w:pPr>
              <w:jc w:val="center"/>
              <w:rPr>
                <w:rFonts w:cs="Calibri"/>
              </w:rPr>
            </w:pPr>
            <w:r w:rsidRPr="007D15C3">
              <w:rPr>
                <w:rFonts w:cs="Calibri"/>
              </w:rPr>
              <w:t>23930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D837E4" w14:textId="77777777">
            <w:pPr>
              <w:jc w:val="center"/>
              <w:rPr>
                <w:rFonts w:cs="Calibri"/>
              </w:rPr>
            </w:pPr>
            <w:r w:rsidRPr="007D15C3">
              <w:rPr>
                <w:rFonts w:cs="Calibri"/>
              </w:rPr>
              <w:t>WACS-TV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E51A0A" w14:textId="77777777">
            <w:pPr>
              <w:rPr>
                <w:rFonts w:cs="Calibri"/>
              </w:rPr>
            </w:pPr>
            <w:r w:rsidRPr="007D15C3">
              <w:rPr>
                <w:rFonts w:cs="Calibri"/>
              </w:rPr>
              <w:t xml:space="preserve">             621,686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24E745" w14:textId="77777777">
            <w:pPr>
              <w:rPr>
                <w:rFonts w:cs="Calibri"/>
              </w:rPr>
            </w:pPr>
            <w:r w:rsidRPr="007D15C3">
              <w:rPr>
                <w:rFonts w:cs="Calibri"/>
              </w:rPr>
              <w:t xml:space="preserve">               616,443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C922CD" w14:textId="77777777">
            <w:pPr>
              <w:jc w:val="right"/>
              <w:rPr>
                <w:rFonts w:cs="Calibri"/>
              </w:rPr>
            </w:pPr>
            <w:r w:rsidRPr="007D15C3">
              <w:rPr>
                <w:rFonts w:cs="Calibri"/>
              </w:rPr>
              <w:t>$4,831</w:t>
            </w:r>
          </w:p>
        </w:tc>
      </w:tr>
      <w:tr w14:paraId="6DF77E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BBCBF9" w14:textId="77777777">
            <w:pPr>
              <w:jc w:val="center"/>
              <w:rPr>
                <w:rFonts w:cs="Calibri"/>
              </w:rPr>
            </w:pPr>
            <w:r w:rsidRPr="007D15C3">
              <w:rPr>
                <w:rFonts w:cs="Calibri"/>
              </w:rPr>
              <w:t>60018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8CD9C8" w14:textId="77777777">
            <w:pPr>
              <w:jc w:val="center"/>
              <w:rPr>
                <w:rFonts w:cs="Calibri"/>
              </w:rPr>
            </w:pPr>
            <w:r w:rsidRPr="007D15C3">
              <w:rPr>
                <w:rFonts w:cs="Calibri"/>
              </w:rPr>
              <w:t>WACX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8BD50D" w14:textId="77777777">
            <w:pPr>
              <w:rPr>
                <w:rFonts w:cs="Calibri"/>
              </w:rPr>
            </w:pPr>
            <w:r w:rsidRPr="007D15C3">
              <w:rPr>
                <w:rFonts w:cs="Calibri"/>
              </w:rPr>
              <w:t xml:space="preserve">          3,967,118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793642" w14:textId="77777777">
            <w:pPr>
              <w:rPr>
                <w:rFonts w:cs="Calibri"/>
              </w:rPr>
            </w:pPr>
            <w:r w:rsidRPr="007D15C3">
              <w:rPr>
                <w:rFonts w:cs="Calibri"/>
              </w:rPr>
              <w:t xml:space="preserve">            3,966,535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23300E" w14:textId="77777777">
            <w:pPr>
              <w:jc w:val="right"/>
              <w:rPr>
                <w:rFonts w:cs="Calibri"/>
              </w:rPr>
            </w:pPr>
            <w:r w:rsidRPr="007D15C3">
              <w:rPr>
                <w:rFonts w:cs="Calibri"/>
              </w:rPr>
              <w:t>$31,086</w:t>
            </w:r>
          </w:p>
        </w:tc>
      </w:tr>
      <w:tr w14:paraId="4859F6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AE60F9" w14:textId="77777777">
            <w:pPr>
              <w:jc w:val="center"/>
              <w:rPr>
                <w:rFonts w:cs="Calibri"/>
              </w:rPr>
            </w:pPr>
            <w:r w:rsidRPr="007D15C3">
              <w:rPr>
                <w:rFonts w:cs="Calibri"/>
              </w:rPr>
              <w:t>361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CB1816" w14:textId="77777777">
            <w:pPr>
              <w:jc w:val="center"/>
              <w:rPr>
                <w:rFonts w:cs="Calibri"/>
              </w:rPr>
            </w:pPr>
            <w:r w:rsidRPr="007D15C3">
              <w:rPr>
                <w:rFonts w:cs="Calibri"/>
              </w:rPr>
              <w:t>WACY-TV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67BF7C" w14:textId="77777777">
            <w:pPr>
              <w:rPr>
                <w:rFonts w:cs="Calibri"/>
              </w:rPr>
            </w:pPr>
            <w:r w:rsidRPr="007D15C3">
              <w:rPr>
                <w:rFonts w:cs="Calibri"/>
              </w:rPr>
              <w:t xml:space="preserve">             946,580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29DA6D" w14:textId="77777777">
            <w:pPr>
              <w:rPr>
                <w:rFonts w:cs="Calibri"/>
              </w:rPr>
            </w:pPr>
            <w:r w:rsidRPr="007D15C3">
              <w:rPr>
                <w:rFonts w:cs="Calibri"/>
              </w:rPr>
              <w:t xml:space="preserve">               946,071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AD7477" w14:textId="77777777">
            <w:pPr>
              <w:jc w:val="right"/>
              <w:rPr>
                <w:rFonts w:cs="Calibri"/>
              </w:rPr>
            </w:pPr>
            <w:r w:rsidRPr="007D15C3">
              <w:rPr>
                <w:rFonts w:cs="Calibri"/>
              </w:rPr>
              <w:t>$7,414</w:t>
            </w:r>
          </w:p>
        </w:tc>
      </w:tr>
      <w:tr w14:paraId="21C84E1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52CE0A" w14:textId="77777777">
            <w:pPr>
              <w:jc w:val="center"/>
              <w:rPr>
                <w:rFonts w:cs="Calibri"/>
              </w:rPr>
            </w:pPr>
            <w:r w:rsidRPr="007D15C3">
              <w:rPr>
                <w:rFonts w:cs="Calibri"/>
              </w:rPr>
              <w:t>455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B7364B" w14:textId="77777777">
            <w:pPr>
              <w:jc w:val="center"/>
              <w:rPr>
                <w:rFonts w:cs="Calibri"/>
              </w:rPr>
            </w:pPr>
            <w:r w:rsidRPr="007D15C3">
              <w:rPr>
                <w:rFonts w:cs="Calibri"/>
              </w:rPr>
              <w:t>WADL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AA9ADC" w14:textId="77777777">
            <w:pPr>
              <w:rPr>
                <w:rFonts w:cs="Calibri"/>
              </w:rPr>
            </w:pPr>
            <w:r w:rsidRPr="007D15C3">
              <w:rPr>
                <w:rFonts w:cs="Calibri"/>
              </w:rPr>
              <w:t xml:space="preserve">          4,610,514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03CBEE" w14:textId="77777777">
            <w:pPr>
              <w:rPr>
                <w:rFonts w:cs="Calibri"/>
              </w:rPr>
            </w:pPr>
            <w:r w:rsidRPr="007D15C3">
              <w:rPr>
                <w:rFonts w:cs="Calibri"/>
              </w:rPr>
              <w:t xml:space="preserve">            4,602,962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B3336B" w14:textId="77777777">
            <w:pPr>
              <w:jc w:val="right"/>
              <w:rPr>
                <w:rFonts w:cs="Calibri"/>
              </w:rPr>
            </w:pPr>
            <w:r w:rsidRPr="007D15C3">
              <w:rPr>
                <w:rFonts w:cs="Calibri"/>
              </w:rPr>
              <w:t>$36,073</w:t>
            </w:r>
          </w:p>
        </w:tc>
      </w:tr>
      <w:tr w14:paraId="58F401D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678C83" w14:textId="77777777">
            <w:pPr>
              <w:jc w:val="center"/>
              <w:rPr>
                <w:rFonts w:cs="Calibri"/>
              </w:rPr>
            </w:pPr>
            <w:r w:rsidRPr="007D15C3">
              <w:rPr>
                <w:rFonts w:cs="Calibri"/>
              </w:rPr>
              <w:t>589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86491E" w14:textId="77777777">
            <w:pPr>
              <w:jc w:val="center"/>
              <w:rPr>
                <w:rFonts w:cs="Calibri"/>
              </w:rPr>
            </w:pPr>
            <w:r w:rsidRPr="007D15C3">
              <w:rPr>
                <w:rFonts w:cs="Calibri"/>
              </w:rPr>
              <w:t>WAFB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AFE155" w14:textId="77777777">
            <w:pPr>
              <w:rPr>
                <w:rFonts w:cs="Calibri"/>
              </w:rPr>
            </w:pPr>
            <w:r w:rsidRPr="007D15C3">
              <w:rPr>
                <w:rFonts w:cs="Calibri"/>
              </w:rPr>
              <w:t xml:space="preserve">          1,857,882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64671F" w14:textId="77777777">
            <w:pPr>
              <w:rPr>
                <w:rFonts w:cs="Calibri"/>
              </w:rPr>
            </w:pPr>
            <w:r w:rsidRPr="007D15C3">
              <w:rPr>
                <w:rFonts w:cs="Calibri"/>
              </w:rPr>
              <w:t xml:space="preserve">            1,857,418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D50A2D" w14:textId="77777777">
            <w:pPr>
              <w:jc w:val="right"/>
              <w:rPr>
                <w:rFonts w:cs="Calibri"/>
              </w:rPr>
            </w:pPr>
            <w:r w:rsidRPr="007D15C3">
              <w:rPr>
                <w:rFonts w:cs="Calibri"/>
              </w:rPr>
              <w:t>$14,557</w:t>
            </w:r>
          </w:p>
        </w:tc>
      </w:tr>
      <w:tr w14:paraId="38EF42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F7765D" w14:textId="77777777">
            <w:pPr>
              <w:jc w:val="center"/>
              <w:rPr>
                <w:rFonts w:cs="Calibri"/>
              </w:rPr>
            </w:pPr>
            <w:r w:rsidRPr="007D15C3">
              <w:rPr>
                <w:rFonts w:cs="Calibri"/>
              </w:rPr>
              <w:t>591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849EC8" w14:textId="77777777">
            <w:pPr>
              <w:jc w:val="center"/>
              <w:rPr>
                <w:rFonts w:cs="Calibri"/>
              </w:rPr>
            </w:pPr>
            <w:r w:rsidRPr="007D15C3">
              <w:rPr>
                <w:rFonts w:cs="Calibri"/>
              </w:rPr>
              <w:t>WAFF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CC460E" w14:textId="77777777">
            <w:pPr>
              <w:rPr>
                <w:rFonts w:cs="Calibri"/>
              </w:rPr>
            </w:pPr>
            <w:r w:rsidRPr="007D15C3">
              <w:rPr>
                <w:rFonts w:cs="Calibri"/>
              </w:rPr>
              <w:t xml:space="preserve">          1,197,068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A87A66" w14:textId="77777777">
            <w:pPr>
              <w:rPr>
                <w:rFonts w:cs="Calibri"/>
              </w:rPr>
            </w:pPr>
            <w:r w:rsidRPr="007D15C3">
              <w:rPr>
                <w:rFonts w:cs="Calibri"/>
              </w:rPr>
              <w:t xml:space="preserve">            1,110,122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6C89CD" w14:textId="77777777">
            <w:pPr>
              <w:jc w:val="right"/>
              <w:rPr>
                <w:rFonts w:cs="Calibri"/>
              </w:rPr>
            </w:pPr>
            <w:r w:rsidRPr="007D15C3">
              <w:rPr>
                <w:rFonts w:cs="Calibri"/>
              </w:rPr>
              <w:t>$8,700</w:t>
            </w:r>
          </w:p>
        </w:tc>
      </w:tr>
      <w:tr w14:paraId="127DE4B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E1CD2B" w14:textId="77777777">
            <w:pPr>
              <w:jc w:val="center"/>
              <w:rPr>
                <w:rFonts w:cs="Calibri"/>
              </w:rPr>
            </w:pPr>
            <w:r w:rsidRPr="007D15C3">
              <w:rPr>
                <w:rFonts w:cs="Calibri"/>
              </w:rPr>
              <w:t>70689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88D4A4" w14:textId="77777777">
            <w:pPr>
              <w:jc w:val="center"/>
              <w:rPr>
                <w:rFonts w:cs="Calibri"/>
              </w:rPr>
            </w:pPr>
            <w:r w:rsidRPr="007D15C3">
              <w:rPr>
                <w:rFonts w:cs="Calibri"/>
              </w:rPr>
              <w:t>WAGA-TV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52989B" w14:textId="77777777">
            <w:pPr>
              <w:rPr>
                <w:rFonts w:cs="Calibri"/>
              </w:rPr>
            </w:pPr>
            <w:r w:rsidRPr="007D15C3">
              <w:rPr>
                <w:rFonts w:cs="Calibri"/>
              </w:rPr>
              <w:t xml:space="preserve">          6,000,355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B543E7" w14:textId="77777777">
            <w:pPr>
              <w:rPr>
                <w:rFonts w:cs="Calibri"/>
              </w:rPr>
            </w:pPr>
            <w:r w:rsidRPr="007D15C3">
              <w:rPr>
                <w:rFonts w:cs="Calibri"/>
              </w:rPr>
              <w:t xml:space="preserve">            5,923,191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FAEDB5" w14:textId="77777777">
            <w:pPr>
              <w:jc w:val="right"/>
              <w:rPr>
                <w:rFonts w:cs="Calibri"/>
              </w:rPr>
            </w:pPr>
            <w:r w:rsidRPr="007D15C3">
              <w:rPr>
                <w:rFonts w:cs="Calibri"/>
              </w:rPr>
              <w:t>$46,420</w:t>
            </w:r>
          </w:p>
        </w:tc>
      </w:tr>
      <w:tr w14:paraId="25EE3D4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BCF20B" w14:textId="77777777">
            <w:pPr>
              <w:jc w:val="center"/>
              <w:rPr>
                <w:rFonts w:cs="Calibri"/>
              </w:rPr>
            </w:pPr>
            <w:r w:rsidRPr="007D15C3">
              <w:rPr>
                <w:rFonts w:cs="Calibri"/>
              </w:rPr>
              <w:t>48305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9E5023" w14:textId="77777777">
            <w:pPr>
              <w:jc w:val="center"/>
              <w:rPr>
                <w:rFonts w:cs="Calibri"/>
              </w:rPr>
            </w:pPr>
            <w:r w:rsidRPr="007D15C3">
              <w:rPr>
                <w:rFonts w:cs="Calibri"/>
              </w:rPr>
              <w:t>WAGM-TV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7514C6" w14:textId="77777777">
            <w:pPr>
              <w:rPr>
                <w:rFonts w:cs="Calibri"/>
              </w:rPr>
            </w:pPr>
            <w:r w:rsidRPr="007D15C3">
              <w:rPr>
                <w:rFonts w:cs="Calibri"/>
              </w:rPr>
              <w:t xml:space="preserve">               64,721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AADA67" w14:textId="77777777">
            <w:pPr>
              <w:rPr>
                <w:rFonts w:cs="Calibri"/>
              </w:rPr>
            </w:pPr>
            <w:r w:rsidRPr="007D15C3">
              <w:rPr>
                <w:rFonts w:cs="Calibri"/>
              </w:rPr>
              <w:t xml:space="preserve">                 63,331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897F87" w14:textId="77777777">
            <w:pPr>
              <w:jc w:val="right"/>
              <w:rPr>
                <w:rFonts w:cs="Calibri"/>
              </w:rPr>
            </w:pPr>
            <w:r w:rsidRPr="007D15C3">
              <w:rPr>
                <w:rFonts w:cs="Calibri"/>
              </w:rPr>
              <w:t>$496</w:t>
            </w:r>
          </w:p>
        </w:tc>
      </w:tr>
      <w:tr w14:paraId="2BBE289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B1A176" w14:textId="77777777">
            <w:pPr>
              <w:jc w:val="center"/>
              <w:rPr>
                <w:rFonts w:cs="Calibri"/>
              </w:rPr>
            </w:pPr>
            <w:r w:rsidRPr="007D15C3">
              <w:rPr>
                <w:rFonts w:cs="Calibri"/>
              </w:rPr>
              <w:t>37809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8C0F73" w14:textId="77777777">
            <w:pPr>
              <w:jc w:val="center"/>
              <w:rPr>
                <w:rFonts w:cs="Calibri"/>
              </w:rPr>
            </w:pPr>
            <w:r w:rsidRPr="007D15C3">
              <w:rPr>
                <w:rFonts w:cs="Calibri"/>
              </w:rPr>
              <w:t>WAGV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39719D" w14:textId="77777777">
            <w:pPr>
              <w:rPr>
                <w:rFonts w:cs="Calibri"/>
              </w:rPr>
            </w:pPr>
            <w:r w:rsidRPr="007D15C3">
              <w:rPr>
                <w:rFonts w:cs="Calibri"/>
              </w:rPr>
              <w:t xml:space="preserve">          1,193,158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C86EC5" w14:textId="77777777">
            <w:pPr>
              <w:rPr>
                <w:rFonts w:cs="Calibri"/>
              </w:rPr>
            </w:pPr>
            <w:r w:rsidRPr="007D15C3">
              <w:rPr>
                <w:rFonts w:cs="Calibri"/>
              </w:rPr>
              <w:t xml:space="preserve">            1,060,935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E7A7F" w14:textId="77777777">
            <w:pPr>
              <w:jc w:val="right"/>
              <w:rPr>
                <w:rFonts w:cs="Calibri"/>
              </w:rPr>
            </w:pPr>
            <w:r w:rsidRPr="007D15C3">
              <w:rPr>
                <w:rFonts w:cs="Calibri"/>
              </w:rPr>
              <w:t>$8,315</w:t>
            </w:r>
          </w:p>
        </w:tc>
      </w:tr>
      <w:tr w14:paraId="203124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27E327" w14:textId="77777777">
            <w:pPr>
              <w:jc w:val="center"/>
              <w:rPr>
                <w:rFonts w:cs="Calibri"/>
              </w:rPr>
            </w:pPr>
            <w:r w:rsidRPr="007D15C3">
              <w:rPr>
                <w:rFonts w:cs="Calibri"/>
              </w:rPr>
              <w:t>706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420EC8" w14:textId="77777777">
            <w:pPr>
              <w:jc w:val="center"/>
              <w:rPr>
                <w:rFonts w:cs="Calibri"/>
              </w:rPr>
            </w:pPr>
            <w:r w:rsidRPr="007D15C3">
              <w:rPr>
                <w:rFonts w:cs="Calibri"/>
              </w:rPr>
              <w:t>WAIQ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3DF0A9" w14:textId="77777777">
            <w:pPr>
              <w:rPr>
                <w:rFonts w:cs="Calibri"/>
              </w:rPr>
            </w:pPr>
            <w:r w:rsidRPr="007D15C3">
              <w:rPr>
                <w:rFonts w:cs="Calibri"/>
              </w:rPr>
              <w:t xml:space="preserve">             611,733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4673B6" w14:textId="77777777">
            <w:pPr>
              <w:rPr>
                <w:rFonts w:cs="Calibri"/>
              </w:rPr>
            </w:pPr>
            <w:r w:rsidRPr="007D15C3">
              <w:rPr>
                <w:rFonts w:cs="Calibri"/>
              </w:rPr>
              <w:t xml:space="preserve">               609,794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D1F1AB" w14:textId="77777777">
            <w:pPr>
              <w:jc w:val="right"/>
              <w:rPr>
                <w:rFonts w:cs="Calibri"/>
              </w:rPr>
            </w:pPr>
            <w:r w:rsidRPr="007D15C3">
              <w:rPr>
                <w:rFonts w:cs="Calibri"/>
              </w:rPr>
              <w:t>$4,779</w:t>
            </w:r>
          </w:p>
        </w:tc>
      </w:tr>
      <w:tr w14:paraId="4DAF528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45EA9B" w14:textId="77777777">
            <w:pPr>
              <w:jc w:val="center"/>
              <w:rPr>
                <w:rFonts w:cs="Calibri"/>
              </w:rPr>
            </w:pPr>
            <w:r w:rsidRPr="007D15C3">
              <w:rPr>
                <w:rFonts w:cs="Calibri"/>
              </w:rPr>
              <w:t>701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45F361" w14:textId="77777777">
            <w:pPr>
              <w:jc w:val="center"/>
              <w:rPr>
                <w:rFonts w:cs="Calibri"/>
              </w:rPr>
            </w:pPr>
            <w:r w:rsidRPr="007D15C3">
              <w:rPr>
                <w:rFonts w:cs="Calibri"/>
              </w:rPr>
              <w:t>WAKA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96BD7D" w14:textId="77777777">
            <w:pPr>
              <w:rPr>
                <w:rFonts w:cs="Calibri"/>
              </w:rPr>
            </w:pPr>
            <w:r w:rsidRPr="007D15C3">
              <w:rPr>
                <w:rFonts w:cs="Calibri"/>
              </w:rPr>
              <w:t xml:space="preserve">             799,637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F01172" w14:textId="77777777">
            <w:pPr>
              <w:rPr>
                <w:rFonts w:cs="Calibri"/>
              </w:rPr>
            </w:pPr>
            <w:r w:rsidRPr="007D15C3">
              <w:rPr>
                <w:rFonts w:cs="Calibri"/>
              </w:rPr>
              <w:t xml:space="preserve">               793,645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D9FC43" w14:textId="77777777">
            <w:pPr>
              <w:jc w:val="right"/>
              <w:rPr>
                <w:rFonts w:cs="Calibri"/>
              </w:rPr>
            </w:pPr>
            <w:r w:rsidRPr="007D15C3">
              <w:rPr>
                <w:rFonts w:cs="Calibri"/>
              </w:rPr>
              <w:t>$6,220</w:t>
            </w:r>
          </w:p>
        </w:tc>
      </w:tr>
      <w:tr w14:paraId="58E9FF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FD1998" w14:textId="77777777">
            <w:pPr>
              <w:jc w:val="center"/>
              <w:rPr>
                <w:rFonts w:cs="Calibri"/>
              </w:rPr>
            </w:pPr>
            <w:r w:rsidRPr="007D15C3">
              <w:rPr>
                <w:rFonts w:cs="Calibri"/>
              </w:rPr>
              <w:t>4143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CBCA49" w14:textId="77777777">
            <w:pPr>
              <w:jc w:val="center"/>
              <w:rPr>
                <w:rFonts w:cs="Calibri"/>
              </w:rPr>
            </w:pPr>
            <w:r w:rsidRPr="007D15C3">
              <w:rPr>
                <w:rFonts w:cs="Calibri"/>
              </w:rPr>
              <w:t>WALA-TV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1C4C33" w14:textId="77777777">
            <w:pPr>
              <w:rPr>
                <w:rFonts w:cs="Calibri"/>
              </w:rPr>
            </w:pPr>
            <w:r w:rsidRPr="007D15C3">
              <w:rPr>
                <w:rFonts w:cs="Calibri"/>
              </w:rPr>
              <w:t xml:space="preserve">          1,320,419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A44021" w14:textId="77777777">
            <w:pPr>
              <w:rPr>
                <w:rFonts w:cs="Calibri"/>
              </w:rPr>
            </w:pPr>
            <w:r w:rsidRPr="007D15C3">
              <w:rPr>
                <w:rFonts w:cs="Calibri"/>
              </w:rPr>
              <w:t xml:space="preserve">            1,318,127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3D18B8" w14:textId="77777777">
            <w:pPr>
              <w:jc w:val="right"/>
              <w:rPr>
                <w:rFonts w:cs="Calibri"/>
              </w:rPr>
            </w:pPr>
            <w:r w:rsidRPr="007D15C3">
              <w:rPr>
                <w:rFonts w:cs="Calibri"/>
              </w:rPr>
              <w:t>$10,330</w:t>
            </w:r>
          </w:p>
        </w:tc>
      </w:tr>
      <w:tr w14:paraId="2820C0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F97F86" w14:textId="77777777">
            <w:pPr>
              <w:jc w:val="center"/>
              <w:rPr>
                <w:rFonts w:cs="Calibri"/>
              </w:rPr>
            </w:pPr>
            <w:r w:rsidRPr="007D15C3">
              <w:rPr>
                <w:rFonts w:cs="Calibri"/>
              </w:rPr>
              <w:t>70713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9DF99E" w14:textId="77777777">
            <w:pPr>
              <w:jc w:val="center"/>
              <w:rPr>
                <w:rFonts w:cs="Calibri"/>
              </w:rPr>
            </w:pPr>
            <w:r w:rsidRPr="007D15C3">
              <w:rPr>
                <w:rFonts w:cs="Calibri"/>
              </w:rPr>
              <w:t>WALB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7DF63F" w14:textId="77777777">
            <w:pPr>
              <w:rPr>
                <w:rFonts w:cs="Calibri"/>
              </w:rPr>
            </w:pPr>
            <w:r w:rsidRPr="007D15C3">
              <w:rPr>
                <w:rFonts w:cs="Calibri"/>
              </w:rPr>
              <w:t xml:space="preserve">             773,899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5C8C2D" w14:textId="77777777">
            <w:pPr>
              <w:rPr>
                <w:rFonts w:cs="Calibri"/>
              </w:rPr>
            </w:pPr>
            <w:r w:rsidRPr="007D15C3">
              <w:rPr>
                <w:rFonts w:cs="Calibri"/>
              </w:rPr>
              <w:t xml:space="preserve">               772,467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7A8A83" w14:textId="77777777">
            <w:pPr>
              <w:jc w:val="right"/>
              <w:rPr>
                <w:rFonts w:cs="Calibri"/>
              </w:rPr>
            </w:pPr>
            <w:r w:rsidRPr="007D15C3">
              <w:rPr>
                <w:rFonts w:cs="Calibri"/>
              </w:rPr>
              <w:t>$6,054</w:t>
            </w:r>
          </w:p>
        </w:tc>
      </w:tr>
      <w:tr w14:paraId="0615D06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8879FC" w14:textId="77777777">
            <w:pPr>
              <w:jc w:val="center"/>
              <w:rPr>
                <w:rFonts w:cs="Calibri"/>
              </w:rPr>
            </w:pPr>
            <w:r w:rsidRPr="007D15C3">
              <w:rPr>
                <w:rFonts w:cs="Calibri"/>
              </w:rPr>
              <w:t>60536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BC5CF7" w14:textId="77777777">
            <w:pPr>
              <w:jc w:val="center"/>
              <w:rPr>
                <w:rFonts w:cs="Calibri"/>
              </w:rPr>
            </w:pPr>
            <w:r w:rsidRPr="007D15C3">
              <w:rPr>
                <w:rFonts w:cs="Calibri"/>
              </w:rPr>
              <w:t>WAMI-DT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472DD9" w14:textId="77777777">
            <w:pPr>
              <w:rPr>
                <w:rFonts w:cs="Calibri"/>
              </w:rPr>
            </w:pPr>
            <w:r w:rsidRPr="007D15C3">
              <w:rPr>
                <w:rFonts w:cs="Calibri"/>
              </w:rPr>
              <w:t xml:space="preserve">          5,449,193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B6A78F" w14:textId="77777777">
            <w:pPr>
              <w:rPr>
                <w:rFonts w:cs="Calibri"/>
              </w:rPr>
            </w:pPr>
            <w:r w:rsidRPr="007D15C3">
              <w:rPr>
                <w:rFonts w:cs="Calibri"/>
              </w:rPr>
              <w:t xml:space="preserve">            5,449,193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470EF7" w14:textId="77777777">
            <w:pPr>
              <w:jc w:val="right"/>
              <w:rPr>
                <w:rFonts w:cs="Calibri"/>
              </w:rPr>
            </w:pPr>
            <w:r w:rsidRPr="007D15C3">
              <w:rPr>
                <w:rFonts w:cs="Calibri"/>
              </w:rPr>
              <w:t>$42,705</w:t>
            </w:r>
          </w:p>
        </w:tc>
      </w:tr>
      <w:tr w14:paraId="7FB469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E9D65E" w14:textId="77777777">
            <w:pPr>
              <w:jc w:val="center"/>
              <w:rPr>
                <w:rFonts w:cs="Calibri"/>
              </w:rPr>
            </w:pPr>
            <w:r w:rsidRPr="007D15C3">
              <w:rPr>
                <w:rFonts w:cs="Calibri"/>
              </w:rPr>
              <w:t>70852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D195C9" w14:textId="77777777">
            <w:pPr>
              <w:jc w:val="center"/>
              <w:rPr>
                <w:rFonts w:cs="Calibri"/>
              </w:rPr>
            </w:pPr>
            <w:r w:rsidRPr="007D15C3">
              <w:rPr>
                <w:rFonts w:cs="Calibri"/>
              </w:rPr>
              <w:t>WAND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6C1E5B" w14:textId="77777777">
            <w:pPr>
              <w:rPr>
                <w:rFonts w:cs="Calibri"/>
              </w:rPr>
            </w:pPr>
            <w:r w:rsidRPr="007D15C3">
              <w:rPr>
                <w:rFonts w:cs="Calibri"/>
              </w:rPr>
              <w:t xml:space="preserve">          1,400,271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D556D6" w14:textId="77777777">
            <w:pPr>
              <w:rPr>
                <w:rFonts w:cs="Calibri"/>
              </w:rPr>
            </w:pPr>
            <w:r w:rsidRPr="007D15C3">
              <w:rPr>
                <w:rFonts w:cs="Calibri"/>
              </w:rPr>
              <w:t xml:space="preserve">            1,398,521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71180D" w14:textId="77777777">
            <w:pPr>
              <w:jc w:val="right"/>
              <w:rPr>
                <w:rFonts w:cs="Calibri"/>
              </w:rPr>
            </w:pPr>
            <w:r w:rsidRPr="007D15C3">
              <w:rPr>
                <w:rFonts w:cs="Calibri"/>
              </w:rPr>
              <w:t>$10,960</w:t>
            </w:r>
          </w:p>
        </w:tc>
      </w:tr>
      <w:tr w14:paraId="0493951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2F6972" w14:textId="77777777">
            <w:pPr>
              <w:jc w:val="center"/>
              <w:rPr>
                <w:rFonts w:cs="Calibri"/>
              </w:rPr>
            </w:pPr>
            <w:r w:rsidRPr="007D15C3">
              <w:rPr>
                <w:rFonts w:cs="Calibri"/>
              </w:rPr>
              <w:t>39270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ED2424" w14:textId="77777777">
            <w:pPr>
              <w:jc w:val="center"/>
              <w:rPr>
                <w:rFonts w:cs="Calibri"/>
              </w:rPr>
            </w:pPr>
            <w:r w:rsidRPr="007D15C3">
              <w:rPr>
                <w:rFonts w:cs="Calibri"/>
              </w:rPr>
              <w:t>WANE-TV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9037DF" w14:textId="77777777">
            <w:pPr>
              <w:rPr>
                <w:rFonts w:cs="Calibri"/>
              </w:rPr>
            </w:pPr>
            <w:r w:rsidRPr="007D15C3">
              <w:rPr>
                <w:rFonts w:cs="Calibri"/>
              </w:rPr>
              <w:t xml:space="preserve">          1,108,844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BC21BB" w14:textId="77777777">
            <w:pPr>
              <w:rPr>
                <w:rFonts w:cs="Calibri"/>
              </w:rPr>
            </w:pPr>
            <w:r w:rsidRPr="007D15C3">
              <w:rPr>
                <w:rFonts w:cs="Calibri"/>
              </w:rPr>
              <w:t xml:space="preserve">            1,108,844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66DF5C" w14:textId="77777777">
            <w:pPr>
              <w:jc w:val="right"/>
              <w:rPr>
                <w:rFonts w:cs="Calibri"/>
              </w:rPr>
            </w:pPr>
            <w:r w:rsidRPr="007D15C3">
              <w:rPr>
                <w:rFonts w:cs="Calibri"/>
              </w:rPr>
              <w:t>$8,690</w:t>
            </w:r>
          </w:p>
        </w:tc>
      </w:tr>
      <w:tr w14:paraId="4093DCE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CBE7A1" w14:textId="77777777">
            <w:pPr>
              <w:jc w:val="center"/>
              <w:rPr>
                <w:rFonts w:cs="Calibri"/>
              </w:rPr>
            </w:pPr>
            <w:r w:rsidRPr="007D15C3">
              <w:rPr>
                <w:rFonts w:cs="Calibri"/>
              </w:rPr>
              <w:t>52280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81D585" w14:textId="77777777">
            <w:pPr>
              <w:jc w:val="center"/>
              <w:rPr>
                <w:rFonts w:cs="Calibri"/>
              </w:rPr>
            </w:pPr>
            <w:r w:rsidRPr="007D15C3">
              <w:rPr>
                <w:rFonts w:cs="Calibri"/>
              </w:rPr>
              <w:t>WAOE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E9147B" w14:textId="77777777">
            <w:pPr>
              <w:rPr>
                <w:rFonts w:cs="Calibri"/>
              </w:rPr>
            </w:pPr>
            <w:r w:rsidRPr="007D15C3">
              <w:rPr>
                <w:rFonts w:cs="Calibri"/>
              </w:rPr>
              <w:t xml:space="preserve">             613,812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C358E7" w14:textId="77777777">
            <w:pPr>
              <w:rPr>
                <w:rFonts w:cs="Calibri"/>
              </w:rPr>
            </w:pPr>
            <w:r w:rsidRPr="007D15C3">
              <w:rPr>
                <w:rFonts w:cs="Calibri"/>
              </w:rPr>
              <w:t xml:space="preserve">               613,784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363B75" w14:textId="77777777">
            <w:pPr>
              <w:jc w:val="right"/>
              <w:rPr>
                <w:rFonts w:cs="Calibri"/>
              </w:rPr>
            </w:pPr>
            <w:r w:rsidRPr="007D15C3">
              <w:rPr>
                <w:rFonts w:cs="Calibri"/>
              </w:rPr>
              <w:t>$4,810</w:t>
            </w:r>
          </w:p>
        </w:tc>
      </w:tr>
      <w:tr w14:paraId="1AE4D04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8F0AA0" w14:textId="77777777">
            <w:pPr>
              <w:jc w:val="center"/>
              <w:rPr>
                <w:rFonts w:cs="Calibri"/>
              </w:rPr>
            </w:pPr>
            <w:r w:rsidRPr="007D15C3">
              <w:rPr>
                <w:rFonts w:cs="Calibri"/>
              </w:rPr>
              <w:t>64546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975B24" w14:textId="77777777">
            <w:pPr>
              <w:jc w:val="center"/>
              <w:rPr>
                <w:rFonts w:cs="Calibri"/>
              </w:rPr>
            </w:pPr>
            <w:r w:rsidRPr="007D15C3">
              <w:rPr>
                <w:rFonts w:cs="Calibri"/>
              </w:rPr>
              <w:t>WAOW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9044B3" w14:textId="77777777">
            <w:pPr>
              <w:rPr>
                <w:rFonts w:cs="Calibri"/>
              </w:rPr>
            </w:pPr>
            <w:r w:rsidRPr="007D15C3">
              <w:rPr>
                <w:rFonts w:cs="Calibri"/>
              </w:rPr>
              <w:t xml:space="preserve">             636,957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A871F4" w14:textId="77777777">
            <w:pPr>
              <w:rPr>
                <w:rFonts w:cs="Calibri"/>
              </w:rPr>
            </w:pPr>
            <w:r w:rsidRPr="007D15C3">
              <w:rPr>
                <w:rFonts w:cs="Calibri"/>
              </w:rPr>
              <w:t xml:space="preserve">               629,068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2858D7" w14:textId="77777777">
            <w:pPr>
              <w:jc w:val="right"/>
              <w:rPr>
                <w:rFonts w:cs="Calibri"/>
              </w:rPr>
            </w:pPr>
            <w:r w:rsidRPr="007D15C3">
              <w:rPr>
                <w:rFonts w:cs="Calibri"/>
              </w:rPr>
              <w:t>$4,930</w:t>
            </w:r>
          </w:p>
        </w:tc>
      </w:tr>
      <w:tr w14:paraId="360822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15FE2A" w14:textId="77777777">
            <w:pPr>
              <w:jc w:val="center"/>
              <w:rPr>
                <w:rFonts w:cs="Calibri"/>
              </w:rPr>
            </w:pPr>
            <w:r w:rsidRPr="007D15C3">
              <w:rPr>
                <w:rFonts w:cs="Calibri"/>
              </w:rPr>
              <w:t>52073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C48613" w14:textId="77777777">
            <w:pPr>
              <w:jc w:val="center"/>
              <w:rPr>
                <w:rFonts w:cs="Calibri"/>
              </w:rPr>
            </w:pPr>
            <w:r w:rsidRPr="007D15C3">
              <w:rPr>
                <w:rFonts w:cs="Calibri"/>
              </w:rPr>
              <w:t>WAPA-TV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584132" w14:textId="77777777">
            <w:pPr>
              <w:rPr>
                <w:rFonts w:cs="Calibri"/>
              </w:rPr>
            </w:pPr>
            <w:r w:rsidRPr="007D15C3">
              <w:rPr>
                <w:rFonts w:cs="Calibri"/>
              </w:rPr>
              <w:t xml:space="preserve">          3,764,742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CA0125" w14:textId="77777777">
            <w:pPr>
              <w:rPr>
                <w:rFonts w:cs="Calibri"/>
              </w:rPr>
            </w:pPr>
            <w:r w:rsidRPr="007D15C3">
              <w:rPr>
                <w:rFonts w:cs="Calibri"/>
              </w:rPr>
              <w:t xml:space="preserve">            3,363,102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9ABB16" w14:textId="77777777">
            <w:pPr>
              <w:jc w:val="right"/>
              <w:rPr>
                <w:rFonts w:cs="Calibri"/>
              </w:rPr>
            </w:pPr>
            <w:r w:rsidRPr="007D15C3">
              <w:rPr>
                <w:rFonts w:cs="Calibri"/>
              </w:rPr>
              <w:t>$21,902</w:t>
            </w:r>
          </w:p>
        </w:tc>
      </w:tr>
      <w:tr w14:paraId="21B57C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1689E6" w14:textId="77777777">
            <w:pPr>
              <w:jc w:val="center"/>
              <w:rPr>
                <w:rFonts w:cs="Calibri"/>
              </w:rPr>
            </w:pPr>
            <w:r w:rsidRPr="007D15C3">
              <w:rPr>
                <w:rFonts w:cs="Calibri"/>
              </w:rPr>
              <w:t>49712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B5338B" w14:textId="77777777">
            <w:pPr>
              <w:jc w:val="center"/>
              <w:rPr>
                <w:rFonts w:cs="Calibri"/>
              </w:rPr>
            </w:pPr>
            <w:r w:rsidRPr="007D15C3">
              <w:rPr>
                <w:rFonts w:cs="Calibri"/>
              </w:rPr>
              <w:t>WAPT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87200F" w14:textId="77777777">
            <w:pPr>
              <w:rPr>
                <w:rFonts w:cs="Calibri"/>
              </w:rPr>
            </w:pPr>
            <w:r w:rsidRPr="007D15C3">
              <w:rPr>
                <w:rFonts w:cs="Calibri"/>
              </w:rPr>
              <w:t xml:space="preserve">             793,621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E59AA5" w14:textId="77777777">
            <w:pPr>
              <w:rPr>
                <w:rFonts w:cs="Calibri"/>
              </w:rPr>
            </w:pPr>
            <w:r w:rsidRPr="007D15C3">
              <w:rPr>
                <w:rFonts w:cs="Calibri"/>
              </w:rPr>
              <w:t xml:space="preserve">               791,620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6A7273" w14:textId="77777777">
            <w:pPr>
              <w:jc w:val="right"/>
              <w:rPr>
                <w:rFonts w:cs="Calibri"/>
              </w:rPr>
            </w:pPr>
            <w:r w:rsidRPr="007D15C3">
              <w:rPr>
                <w:rFonts w:cs="Calibri"/>
              </w:rPr>
              <w:t>$6,204</w:t>
            </w:r>
          </w:p>
        </w:tc>
      </w:tr>
      <w:tr w14:paraId="632998A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7D871D" w14:textId="77777777">
            <w:pPr>
              <w:jc w:val="center"/>
              <w:rPr>
                <w:rFonts w:cs="Calibri"/>
              </w:rPr>
            </w:pPr>
            <w:r w:rsidRPr="007D15C3">
              <w:rPr>
                <w:rFonts w:cs="Calibri"/>
              </w:rPr>
              <w:t>67792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B54431" w14:textId="77777777">
            <w:pPr>
              <w:jc w:val="center"/>
              <w:rPr>
                <w:rFonts w:cs="Calibri"/>
              </w:rPr>
            </w:pPr>
            <w:r w:rsidRPr="007D15C3">
              <w:rPr>
                <w:rFonts w:cs="Calibri"/>
              </w:rPr>
              <w:t>WAQP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05F1C7" w14:textId="77777777">
            <w:pPr>
              <w:rPr>
                <w:rFonts w:cs="Calibri"/>
              </w:rPr>
            </w:pPr>
            <w:r w:rsidRPr="007D15C3">
              <w:rPr>
                <w:rFonts w:cs="Calibri"/>
              </w:rPr>
              <w:t xml:space="preserve">          1,992,340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19414D" w14:textId="77777777">
            <w:pPr>
              <w:rPr>
                <w:rFonts w:cs="Calibri"/>
              </w:rPr>
            </w:pPr>
            <w:r w:rsidRPr="007D15C3">
              <w:rPr>
                <w:rFonts w:cs="Calibri"/>
              </w:rPr>
              <w:t xml:space="preserve">            1,983,143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EAF0EE" w14:textId="77777777">
            <w:pPr>
              <w:jc w:val="right"/>
              <w:rPr>
                <w:rFonts w:cs="Calibri"/>
              </w:rPr>
            </w:pPr>
            <w:r w:rsidRPr="007D15C3">
              <w:rPr>
                <w:rFonts w:cs="Calibri"/>
              </w:rPr>
              <w:t>$15,542</w:t>
            </w:r>
          </w:p>
        </w:tc>
      </w:tr>
      <w:tr w14:paraId="5C7C3A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D20F5D" w14:textId="77777777">
            <w:pPr>
              <w:jc w:val="center"/>
              <w:rPr>
                <w:rFonts w:cs="Calibri"/>
              </w:rPr>
            </w:pPr>
            <w:r w:rsidRPr="007D15C3">
              <w:rPr>
                <w:rFonts w:cs="Calibri"/>
              </w:rPr>
              <w:t>13206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A454AE" w14:textId="77777777">
            <w:pPr>
              <w:jc w:val="center"/>
              <w:rPr>
                <w:rFonts w:cs="Calibri"/>
              </w:rPr>
            </w:pPr>
            <w:r w:rsidRPr="007D15C3">
              <w:rPr>
                <w:rFonts w:cs="Calibri"/>
              </w:rPr>
              <w:t>WATC-DT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514E48" w14:textId="77777777">
            <w:pPr>
              <w:rPr>
                <w:rFonts w:cs="Calibri"/>
              </w:rPr>
            </w:pPr>
            <w:r w:rsidRPr="007D15C3">
              <w:rPr>
                <w:rFonts w:cs="Calibri"/>
              </w:rPr>
              <w:t xml:space="preserve">          5,637,070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350D67" w14:textId="77777777">
            <w:pPr>
              <w:rPr>
                <w:rFonts w:cs="Calibri"/>
              </w:rPr>
            </w:pPr>
            <w:r w:rsidRPr="007D15C3">
              <w:rPr>
                <w:rFonts w:cs="Calibri"/>
              </w:rPr>
              <w:t xml:space="preserve">            5,616,513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4FFBD1" w14:textId="77777777">
            <w:pPr>
              <w:jc w:val="right"/>
              <w:rPr>
                <w:rFonts w:cs="Calibri"/>
              </w:rPr>
            </w:pPr>
            <w:r w:rsidRPr="007D15C3">
              <w:rPr>
                <w:rFonts w:cs="Calibri"/>
              </w:rPr>
              <w:t>$44,017</w:t>
            </w:r>
          </w:p>
        </w:tc>
      </w:tr>
      <w:tr w14:paraId="49EEA36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E77A19" w14:textId="77777777">
            <w:pPr>
              <w:jc w:val="center"/>
              <w:rPr>
                <w:rFonts w:cs="Calibri"/>
              </w:rPr>
            </w:pPr>
            <w:r w:rsidRPr="007D15C3">
              <w:rPr>
                <w:rFonts w:cs="Calibri"/>
              </w:rPr>
              <w:t>71082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43E573" w14:textId="77777777">
            <w:pPr>
              <w:jc w:val="center"/>
              <w:rPr>
                <w:rFonts w:cs="Calibri"/>
              </w:rPr>
            </w:pPr>
            <w:r w:rsidRPr="007D15C3">
              <w:rPr>
                <w:rFonts w:cs="Calibri"/>
              </w:rPr>
              <w:t>WATE-TV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C65AD9" w14:textId="77777777">
            <w:pPr>
              <w:rPr>
                <w:rFonts w:cs="Calibri"/>
              </w:rPr>
            </w:pPr>
            <w:r w:rsidRPr="007D15C3">
              <w:rPr>
                <w:rFonts w:cs="Calibri"/>
              </w:rPr>
              <w:t xml:space="preserve">          1,874,433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980A27" w14:textId="77777777">
            <w:pPr>
              <w:rPr>
                <w:rFonts w:cs="Calibri"/>
              </w:rPr>
            </w:pPr>
            <w:r w:rsidRPr="007D15C3">
              <w:rPr>
                <w:rFonts w:cs="Calibri"/>
              </w:rPr>
              <w:t xml:space="preserve">            1,638,059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CA5369" w14:textId="77777777">
            <w:pPr>
              <w:jc w:val="right"/>
              <w:rPr>
                <w:rFonts w:cs="Calibri"/>
              </w:rPr>
            </w:pPr>
            <w:r w:rsidRPr="007D15C3">
              <w:rPr>
                <w:rFonts w:cs="Calibri"/>
              </w:rPr>
              <w:t>$12,837</w:t>
            </w:r>
          </w:p>
        </w:tc>
      </w:tr>
      <w:tr w14:paraId="5CDD6E5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00AD52" w14:textId="77777777">
            <w:pPr>
              <w:jc w:val="center"/>
              <w:rPr>
                <w:rFonts w:cs="Calibri"/>
              </w:rPr>
            </w:pPr>
            <w:r w:rsidRPr="007D15C3">
              <w:rPr>
                <w:rFonts w:cs="Calibri"/>
              </w:rPr>
              <w:t>22819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060506" w14:textId="77777777">
            <w:pPr>
              <w:jc w:val="center"/>
              <w:rPr>
                <w:rFonts w:cs="Calibri"/>
              </w:rPr>
            </w:pPr>
            <w:r w:rsidRPr="007D15C3">
              <w:rPr>
                <w:rFonts w:cs="Calibri"/>
              </w:rPr>
              <w:t>WATL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FB6FAC" w14:textId="77777777">
            <w:pPr>
              <w:rPr>
                <w:rFonts w:cs="Calibri"/>
              </w:rPr>
            </w:pPr>
            <w:r w:rsidRPr="007D15C3">
              <w:rPr>
                <w:rFonts w:cs="Calibri"/>
              </w:rPr>
              <w:t xml:space="preserve">          5,882,837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F8180A" w14:textId="77777777">
            <w:pPr>
              <w:rPr>
                <w:rFonts w:cs="Calibri"/>
              </w:rPr>
            </w:pPr>
            <w:r w:rsidRPr="007D15C3">
              <w:rPr>
                <w:rFonts w:cs="Calibri"/>
              </w:rPr>
              <w:t xml:space="preserve">            5,819,099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BF0988" w14:textId="77777777">
            <w:pPr>
              <w:jc w:val="right"/>
              <w:rPr>
                <w:rFonts w:cs="Calibri"/>
              </w:rPr>
            </w:pPr>
            <w:r w:rsidRPr="007D15C3">
              <w:rPr>
                <w:rFonts w:cs="Calibri"/>
              </w:rPr>
              <w:t>$45,604</w:t>
            </w:r>
          </w:p>
        </w:tc>
      </w:tr>
      <w:tr w14:paraId="2203598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DEC178" w14:textId="77777777">
            <w:pPr>
              <w:jc w:val="center"/>
              <w:rPr>
                <w:rFonts w:cs="Calibri"/>
              </w:rPr>
            </w:pPr>
            <w:r w:rsidRPr="007D15C3">
              <w:rPr>
                <w:rFonts w:cs="Calibri"/>
              </w:rPr>
              <w:t>20287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B0E578" w14:textId="77777777">
            <w:pPr>
              <w:jc w:val="center"/>
              <w:rPr>
                <w:rFonts w:cs="Calibri"/>
              </w:rPr>
            </w:pPr>
            <w:r w:rsidRPr="007D15C3">
              <w:rPr>
                <w:rFonts w:cs="Calibri"/>
              </w:rPr>
              <w:t>WATM-TV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60145F" w14:textId="77777777">
            <w:pPr>
              <w:rPr>
                <w:rFonts w:cs="Calibri"/>
              </w:rPr>
            </w:pPr>
            <w:r w:rsidRPr="007D15C3">
              <w:rPr>
                <w:rFonts w:cs="Calibri"/>
              </w:rPr>
              <w:t xml:space="preserve">             937,438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FA49F0" w14:textId="77777777">
            <w:pPr>
              <w:rPr>
                <w:rFonts w:cs="Calibri"/>
              </w:rPr>
            </w:pPr>
            <w:r w:rsidRPr="007D15C3">
              <w:rPr>
                <w:rFonts w:cs="Calibri"/>
              </w:rPr>
              <w:t xml:space="preserve">               785,510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F37CB1" w14:textId="77777777">
            <w:pPr>
              <w:jc w:val="right"/>
              <w:rPr>
                <w:rFonts w:cs="Calibri"/>
              </w:rPr>
            </w:pPr>
            <w:r w:rsidRPr="007D15C3">
              <w:rPr>
                <w:rFonts w:cs="Calibri"/>
              </w:rPr>
              <w:t>$6,156</w:t>
            </w:r>
          </w:p>
        </w:tc>
      </w:tr>
      <w:tr w14:paraId="6BEC01A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8F92D2" w14:textId="77777777">
            <w:pPr>
              <w:jc w:val="center"/>
              <w:rPr>
                <w:rFonts w:cs="Calibri"/>
              </w:rPr>
            </w:pPr>
            <w:r w:rsidRPr="007D15C3">
              <w:rPr>
                <w:rFonts w:cs="Calibri"/>
              </w:rPr>
              <w:t>11907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007442" w14:textId="77777777">
            <w:pPr>
              <w:jc w:val="center"/>
              <w:rPr>
                <w:rFonts w:cs="Calibri"/>
              </w:rPr>
            </w:pPr>
            <w:r w:rsidRPr="007D15C3">
              <w:rPr>
                <w:rFonts w:cs="Calibri"/>
              </w:rPr>
              <w:t>WATN-TV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78C617" w14:textId="77777777">
            <w:pPr>
              <w:rPr>
                <w:rFonts w:cs="Calibri"/>
              </w:rPr>
            </w:pPr>
            <w:r w:rsidRPr="007D15C3">
              <w:rPr>
                <w:rFonts w:cs="Calibri"/>
              </w:rPr>
              <w:t xml:space="preserve">          1,787,595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545073" w14:textId="77777777">
            <w:pPr>
              <w:rPr>
                <w:rFonts w:cs="Calibri"/>
              </w:rPr>
            </w:pPr>
            <w:r w:rsidRPr="007D15C3">
              <w:rPr>
                <w:rFonts w:cs="Calibri"/>
              </w:rPr>
              <w:t xml:space="preserve">            1,784,560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9F1B6D" w14:textId="77777777">
            <w:pPr>
              <w:jc w:val="right"/>
              <w:rPr>
                <w:rFonts w:cs="Calibri"/>
              </w:rPr>
            </w:pPr>
            <w:r w:rsidRPr="007D15C3">
              <w:rPr>
                <w:rFonts w:cs="Calibri"/>
              </w:rPr>
              <w:t>$13,986</w:t>
            </w:r>
          </w:p>
        </w:tc>
      </w:tr>
      <w:tr w14:paraId="17E6FF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087ACC" w14:textId="77777777">
            <w:pPr>
              <w:jc w:val="center"/>
              <w:rPr>
                <w:rFonts w:cs="Calibri"/>
              </w:rPr>
            </w:pPr>
            <w:r w:rsidRPr="007D15C3">
              <w:rPr>
                <w:rFonts w:cs="Calibri"/>
              </w:rPr>
              <w:t>13989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5BCC2F" w14:textId="77777777">
            <w:pPr>
              <w:jc w:val="center"/>
              <w:rPr>
                <w:rFonts w:cs="Calibri"/>
              </w:rPr>
            </w:pPr>
            <w:r w:rsidRPr="007D15C3">
              <w:rPr>
                <w:rFonts w:cs="Calibri"/>
              </w:rPr>
              <w:t>WAVE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B50C60" w14:textId="77777777">
            <w:pPr>
              <w:rPr>
                <w:rFonts w:cs="Calibri"/>
              </w:rPr>
            </w:pPr>
            <w:r w:rsidRPr="007D15C3">
              <w:rPr>
                <w:rFonts w:cs="Calibri"/>
              </w:rPr>
              <w:t xml:space="preserve">          1,846,212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A8AEE5" w14:textId="77777777">
            <w:pPr>
              <w:rPr>
                <w:rFonts w:cs="Calibri"/>
              </w:rPr>
            </w:pPr>
            <w:r w:rsidRPr="007D15C3">
              <w:rPr>
                <w:rFonts w:cs="Calibri"/>
              </w:rPr>
              <w:t xml:space="preserve">            1,836,231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4A4FE0" w14:textId="77777777">
            <w:pPr>
              <w:jc w:val="right"/>
              <w:rPr>
                <w:rFonts w:cs="Calibri"/>
              </w:rPr>
            </w:pPr>
            <w:r w:rsidRPr="007D15C3">
              <w:rPr>
                <w:rFonts w:cs="Calibri"/>
              </w:rPr>
              <w:t>$14,391</w:t>
            </w:r>
          </w:p>
        </w:tc>
      </w:tr>
      <w:tr w14:paraId="44F602C0"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D8EB32" w14:textId="77777777">
            <w:pPr>
              <w:jc w:val="center"/>
              <w:rPr>
                <w:rFonts w:cs="Calibri"/>
              </w:rPr>
            </w:pPr>
            <w:r w:rsidRPr="007D15C3">
              <w:rPr>
                <w:rFonts w:cs="Calibri"/>
              </w:rPr>
              <w:t>71127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03C3A254" w14:textId="77777777">
            <w:pPr>
              <w:jc w:val="center"/>
              <w:rPr>
                <w:rFonts w:cs="Calibri"/>
              </w:rPr>
            </w:pPr>
            <w:r w:rsidRPr="007D15C3">
              <w:rPr>
                <w:rFonts w:cs="Calibri"/>
              </w:rPr>
              <w:t>WAVY-TV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33716BC" w14:textId="77777777">
            <w:pPr>
              <w:rPr>
                <w:rFonts w:cs="Calibri"/>
              </w:rPr>
            </w:pPr>
            <w:r w:rsidRPr="007D15C3">
              <w:rPr>
                <w:rFonts w:cs="Calibri"/>
              </w:rPr>
              <w:t xml:space="preserve">          2,039,358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36FCFD5" w14:textId="77777777">
            <w:pPr>
              <w:rPr>
                <w:rFonts w:cs="Calibri"/>
              </w:rPr>
            </w:pPr>
            <w:r w:rsidRPr="007D15C3">
              <w:rPr>
                <w:rFonts w:cs="Calibri"/>
              </w:rPr>
              <w:t xml:space="preserve">            2,039,341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3851EA9" w14:textId="77777777">
            <w:pPr>
              <w:jc w:val="right"/>
              <w:rPr>
                <w:rFonts w:cs="Calibri"/>
              </w:rPr>
            </w:pPr>
            <w:r w:rsidRPr="007D15C3">
              <w:rPr>
                <w:rFonts w:cs="Calibri"/>
              </w:rPr>
              <w:t>$15,982</w:t>
            </w:r>
          </w:p>
        </w:tc>
      </w:tr>
      <w:tr w14:paraId="5FD287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D452EC" w14:textId="77777777">
            <w:pPr>
              <w:jc w:val="center"/>
              <w:rPr>
                <w:rFonts w:cs="Calibri"/>
              </w:rPr>
            </w:pPr>
            <w:r w:rsidRPr="007D15C3">
              <w:rPr>
                <w:rFonts w:cs="Calibri"/>
              </w:rPr>
              <w:t>54938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7DF309" w14:textId="77777777">
            <w:pPr>
              <w:jc w:val="center"/>
              <w:rPr>
                <w:rFonts w:cs="Calibri"/>
              </w:rPr>
            </w:pPr>
            <w:r w:rsidRPr="007D15C3">
              <w:rPr>
                <w:rFonts w:cs="Calibri"/>
              </w:rPr>
              <w:t>WAWD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E18F2A" w14:textId="77777777">
            <w:pPr>
              <w:rPr>
                <w:rFonts w:cs="Calibri"/>
              </w:rPr>
            </w:pPr>
            <w:r w:rsidRPr="007D15C3">
              <w:rPr>
                <w:rFonts w:cs="Calibri"/>
              </w:rPr>
              <w:t xml:space="preserve">             553,676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3E1180" w14:textId="77777777">
            <w:pPr>
              <w:rPr>
                <w:rFonts w:cs="Calibri"/>
              </w:rPr>
            </w:pPr>
            <w:r w:rsidRPr="007D15C3">
              <w:rPr>
                <w:rFonts w:cs="Calibri"/>
              </w:rPr>
              <w:t xml:space="preserve">               553,591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325423" w14:textId="77777777">
            <w:pPr>
              <w:jc w:val="right"/>
              <w:rPr>
                <w:rFonts w:cs="Calibri"/>
              </w:rPr>
            </w:pPr>
            <w:r w:rsidRPr="007D15C3">
              <w:rPr>
                <w:rFonts w:cs="Calibri"/>
              </w:rPr>
              <w:t>$4,338</w:t>
            </w:r>
          </w:p>
        </w:tc>
      </w:tr>
      <w:tr w14:paraId="0457B61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96AA40" w14:textId="77777777">
            <w:pPr>
              <w:jc w:val="center"/>
              <w:rPr>
                <w:rFonts w:cs="Calibri"/>
              </w:rPr>
            </w:pPr>
            <w:r w:rsidRPr="007D15C3">
              <w:rPr>
                <w:rFonts w:cs="Calibri"/>
              </w:rPr>
              <w:t>65247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0E18A3" w14:textId="77777777">
            <w:pPr>
              <w:jc w:val="center"/>
              <w:rPr>
                <w:rFonts w:cs="Calibri"/>
              </w:rPr>
            </w:pPr>
            <w:r w:rsidRPr="007D15C3">
              <w:rPr>
                <w:rFonts w:cs="Calibri"/>
              </w:rPr>
              <w:t>WAWV-TV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D418AE" w14:textId="77777777">
            <w:pPr>
              <w:rPr>
                <w:rFonts w:cs="Calibri"/>
              </w:rPr>
            </w:pPr>
            <w:r w:rsidRPr="007D15C3">
              <w:rPr>
                <w:rFonts w:cs="Calibri"/>
              </w:rPr>
              <w:t xml:space="preserve">             705,549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C3A19B" w14:textId="77777777">
            <w:pPr>
              <w:rPr>
                <w:rFonts w:cs="Calibri"/>
              </w:rPr>
            </w:pPr>
            <w:r w:rsidRPr="007D15C3">
              <w:rPr>
                <w:rFonts w:cs="Calibri"/>
              </w:rPr>
              <w:t xml:space="preserve">               699,377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1B7B58" w14:textId="77777777">
            <w:pPr>
              <w:jc w:val="right"/>
              <w:rPr>
                <w:rFonts w:cs="Calibri"/>
              </w:rPr>
            </w:pPr>
            <w:r w:rsidRPr="007D15C3">
              <w:rPr>
                <w:rFonts w:cs="Calibri"/>
              </w:rPr>
              <w:t>$5,481</w:t>
            </w:r>
          </w:p>
        </w:tc>
      </w:tr>
      <w:tr w14:paraId="072C3F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F23387" w14:textId="77777777">
            <w:pPr>
              <w:jc w:val="center"/>
              <w:rPr>
                <w:rFonts w:cs="Calibri"/>
              </w:rPr>
            </w:pPr>
            <w:r w:rsidRPr="007D15C3">
              <w:rPr>
                <w:rFonts w:cs="Calibri"/>
              </w:rPr>
              <w:t>12793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AF9656" w14:textId="77777777">
            <w:pPr>
              <w:jc w:val="center"/>
              <w:rPr>
                <w:rFonts w:cs="Calibri"/>
              </w:rPr>
            </w:pPr>
            <w:r w:rsidRPr="007D15C3">
              <w:rPr>
                <w:rFonts w:cs="Calibri"/>
              </w:rPr>
              <w:t>WAXN-TV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274859" w14:textId="77777777">
            <w:pPr>
              <w:rPr>
                <w:rFonts w:cs="Calibri"/>
              </w:rPr>
            </w:pPr>
            <w:r w:rsidRPr="007D15C3">
              <w:rPr>
                <w:rFonts w:cs="Calibri"/>
              </w:rPr>
              <w:t xml:space="preserve">          2,677,951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0F2F68" w14:textId="77777777">
            <w:pPr>
              <w:rPr>
                <w:rFonts w:cs="Calibri"/>
              </w:rPr>
            </w:pPr>
            <w:r w:rsidRPr="007D15C3">
              <w:rPr>
                <w:rFonts w:cs="Calibri"/>
              </w:rPr>
              <w:t xml:space="preserve">            2,669,224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9AA802" w14:textId="77777777">
            <w:pPr>
              <w:jc w:val="right"/>
              <w:rPr>
                <w:rFonts w:cs="Calibri"/>
              </w:rPr>
            </w:pPr>
            <w:r w:rsidRPr="007D15C3">
              <w:rPr>
                <w:rFonts w:cs="Calibri"/>
              </w:rPr>
              <w:t>$20,919</w:t>
            </w:r>
          </w:p>
        </w:tc>
      </w:tr>
      <w:tr w14:paraId="482391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7BA5E5" w14:textId="77777777">
            <w:pPr>
              <w:jc w:val="center"/>
              <w:rPr>
                <w:rFonts w:cs="Calibri"/>
              </w:rPr>
            </w:pPr>
            <w:r w:rsidRPr="007D15C3">
              <w:rPr>
                <w:rFonts w:cs="Calibri"/>
              </w:rPr>
              <w:t>65696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9829AA" w14:textId="77777777">
            <w:pPr>
              <w:jc w:val="center"/>
              <w:rPr>
                <w:rFonts w:cs="Calibri"/>
              </w:rPr>
            </w:pPr>
            <w:r w:rsidRPr="007D15C3">
              <w:rPr>
                <w:rFonts w:cs="Calibri"/>
              </w:rPr>
              <w:t>WBAL-TV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83590B" w14:textId="77777777">
            <w:pPr>
              <w:rPr>
                <w:rFonts w:cs="Calibri"/>
              </w:rPr>
            </w:pPr>
            <w:r w:rsidRPr="007D15C3">
              <w:rPr>
                <w:rFonts w:cs="Calibri"/>
              </w:rPr>
              <w:t xml:space="preserve">          9,596,587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FBBF42" w14:textId="77777777">
            <w:pPr>
              <w:rPr>
                <w:rFonts w:cs="Calibri"/>
              </w:rPr>
            </w:pPr>
            <w:r w:rsidRPr="007D15C3">
              <w:rPr>
                <w:rFonts w:cs="Calibri"/>
              </w:rPr>
              <w:t xml:space="preserve">            9,190,139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E50CAA" w14:textId="77777777">
            <w:pPr>
              <w:jc w:val="right"/>
              <w:rPr>
                <w:rFonts w:cs="Calibri"/>
              </w:rPr>
            </w:pPr>
            <w:r w:rsidRPr="007D15C3">
              <w:rPr>
                <w:rFonts w:cs="Calibri"/>
              </w:rPr>
              <w:t>$72,023</w:t>
            </w:r>
          </w:p>
        </w:tc>
      </w:tr>
      <w:tr w14:paraId="3784755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A09589" w14:textId="77777777">
            <w:pPr>
              <w:jc w:val="center"/>
              <w:rPr>
                <w:rFonts w:cs="Calibri"/>
              </w:rPr>
            </w:pPr>
            <w:r w:rsidRPr="007D15C3">
              <w:rPr>
                <w:rFonts w:cs="Calibri"/>
              </w:rPr>
              <w:t>74417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955F52" w14:textId="77777777">
            <w:pPr>
              <w:jc w:val="center"/>
              <w:rPr>
                <w:rFonts w:cs="Calibri"/>
              </w:rPr>
            </w:pPr>
            <w:r w:rsidRPr="007D15C3">
              <w:rPr>
                <w:rFonts w:cs="Calibri"/>
              </w:rPr>
              <w:t>WBAY-TV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768942" w14:textId="77777777">
            <w:pPr>
              <w:rPr>
                <w:rFonts w:cs="Calibri"/>
              </w:rPr>
            </w:pPr>
            <w:r w:rsidRPr="007D15C3">
              <w:rPr>
                <w:rFonts w:cs="Calibri"/>
              </w:rPr>
              <w:t xml:space="preserve">          1,225,928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7C72DA" w14:textId="77777777">
            <w:pPr>
              <w:rPr>
                <w:rFonts w:cs="Calibri"/>
              </w:rPr>
            </w:pPr>
            <w:r w:rsidRPr="007D15C3">
              <w:rPr>
                <w:rFonts w:cs="Calibri"/>
              </w:rPr>
              <w:t xml:space="preserve">            1,225,335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4F1925" w14:textId="77777777">
            <w:pPr>
              <w:jc w:val="right"/>
              <w:rPr>
                <w:rFonts w:cs="Calibri"/>
              </w:rPr>
            </w:pPr>
            <w:r w:rsidRPr="007D15C3">
              <w:rPr>
                <w:rFonts w:cs="Calibri"/>
              </w:rPr>
              <w:t>$9,603</w:t>
            </w:r>
          </w:p>
        </w:tc>
      </w:tr>
      <w:tr w14:paraId="58BEA9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96365C" w14:textId="77777777">
            <w:pPr>
              <w:jc w:val="center"/>
              <w:rPr>
                <w:rFonts w:cs="Calibri"/>
              </w:rPr>
            </w:pPr>
            <w:r w:rsidRPr="007D15C3">
              <w:rPr>
                <w:rFonts w:cs="Calibri"/>
              </w:rPr>
              <w:t>71085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B06A9E" w14:textId="77777777">
            <w:pPr>
              <w:jc w:val="center"/>
              <w:rPr>
                <w:rFonts w:cs="Calibri"/>
              </w:rPr>
            </w:pPr>
            <w:r w:rsidRPr="007D15C3">
              <w:rPr>
                <w:rFonts w:cs="Calibri"/>
              </w:rPr>
              <w:t>WBBH-TV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F731B3" w14:textId="77777777">
            <w:pPr>
              <w:rPr>
                <w:rFonts w:cs="Calibri"/>
              </w:rPr>
            </w:pPr>
            <w:r w:rsidRPr="007D15C3">
              <w:rPr>
                <w:rFonts w:cs="Calibri"/>
              </w:rPr>
              <w:t xml:space="preserve">          2,046,391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3A7512" w14:textId="77777777">
            <w:pPr>
              <w:rPr>
                <w:rFonts w:cs="Calibri"/>
              </w:rPr>
            </w:pPr>
            <w:r w:rsidRPr="007D15C3">
              <w:rPr>
                <w:rFonts w:cs="Calibri"/>
              </w:rPr>
              <w:t xml:space="preserve">            2,046,391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AA1399" w14:textId="77777777">
            <w:pPr>
              <w:jc w:val="right"/>
              <w:rPr>
                <w:rFonts w:cs="Calibri"/>
              </w:rPr>
            </w:pPr>
            <w:r w:rsidRPr="007D15C3">
              <w:rPr>
                <w:rFonts w:cs="Calibri"/>
              </w:rPr>
              <w:t>$16,038</w:t>
            </w:r>
          </w:p>
        </w:tc>
      </w:tr>
      <w:tr w14:paraId="4A9C25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6CFFF6" w14:textId="77777777">
            <w:pPr>
              <w:jc w:val="center"/>
              <w:rPr>
                <w:rFonts w:cs="Calibri"/>
              </w:rPr>
            </w:pPr>
            <w:r w:rsidRPr="007D15C3">
              <w:rPr>
                <w:rFonts w:cs="Calibri"/>
              </w:rPr>
              <w:t>65204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A44753" w14:textId="77777777">
            <w:pPr>
              <w:jc w:val="center"/>
              <w:rPr>
                <w:rFonts w:cs="Calibri"/>
              </w:rPr>
            </w:pPr>
            <w:r w:rsidRPr="007D15C3">
              <w:rPr>
                <w:rFonts w:cs="Calibri"/>
              </w:rPr>
              <w:t>WBBJ-TV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511583" w14:textId="77777777">
            <w:pPr>
              <w:rPr>
                <w:rFonts w:cs="Calibri"/>
              </w:rPr>
            </w:pPr>
            <w:r w:rsidRPr="007D15C3">
              <w:rPr>
                <w:rFonts w:cs="Calibri"/>
              </w:rPr>
              <w:t xml:space="preserve">             662,148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B3450B" w14:textId="77777777">
            <w:pPr>
              <w:rPr>
                <w:rFonts w:cs="Calibri"/>
              </w:rPr>
            </w:pPr>
            <w:r w:rsidRPr="007D15C3">
              <w:rPr>
                <w:rFonts w:cs="Calibri"/>
              </w:rPr>
              <w:t xml:space="preserve">               658,016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6C739D" w14:textId="77777777">
            <w:pPr>
              <w:jc w:val="right"/>
              <w:rPr>
                <w:rFonts w:cs="Calibri"/>
              </w:rPr>
            </w:pPr>
            <w:r w:rsidRPr="007D15C3">
              <w:rPr>
                <w:rFonts w:cs="Calibri"/>
              </w:rPr>
              <w:t>$5,157</w:t>
            </w:r>
          </w:p>
        </w:tc>
      </w:tr>
      <w:tr w14:paraId="11A8A8F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64F189" w14:textId="77777777">
            <w:pPr>
              <w:jc w:val="center"/>
              <w:rPr>
                <w:rFonts w:cs="Calibri"/>
              </w:rPr>
            </w:pPr>
            <w:r w:rsidRPr="007D15C3">
              <w:rPr>
                <w:rFonts w:cs="Calibri"/>
              </w:rPr>
              <w:t>9617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9310B4" w14:textId="77777777">
            <w:pPr>
              <w:jc w:val="center"/>
              <w:rPr>
                <w:rFonts w:cs="Calibri"/>
              </w:rPr>
            </w:pPr>
            <w:r w:rsidRPr="007D15C3">
              <w:rPr>
                <w:rFonts w:cs="Calibri"/>
              </w:rPr>
              <w:t>WBBM-TV*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F48D80" w14:textId="77777777">
            <w:pPr>
              <w:rPr>
                <w:rFonts w:cs="Calibri"/>
              </w:rPr>
            </w:pPr>
            <w:r w:rsidRPr="007D15C3">
              <w:rPr>
                <w:rFonts w:cs="Calibri"/>
              </w:rPr>
              <w:t xml:space="preserve">          9,914,233</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E5459D" w14:textId="77777777">
            <w:pPr>
              <w:rPr>
                <w:rFonts w:cs="Calibri"/>
              </w:rPr>
            </w:pPr>
            <w:r w:rsidRPr="007D15C3">
              <w:rPr>
                <w:rFonts w:cs="Calibri"/>
              </w:rPr>
              <w:t xml:space="preserve">            9,907,806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AC50E7" w14:textId="77777777">
            <w:pPr>
              <w:jc w:val="right"/>
              <w:rPr>
                <w:rFonts w:cs="Calibri"/>
              </w:rPr>
            </w:pPr>
            <w:r w:rsidRPr="007D15C3">
              <w:rPr>
                <w:rFonts w:cs="Calibri"/>
              </w:rPr>
              <w:t>$77,647</w:t>
            </w:r>
          </w:p>
        </w:tc>
      </w:tr>
      <w:tr w14:paraId="0114F46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665603" w14:textId="77777777">
            <w:pPr>
              <w:jc w:val="center"/>
              <w:rPr>
                <w:rFonts w:cs="Calibri"/>
              </w:rPr>
            </w:pPr>
            <w:r w:rsidRPr="007D15C3">
              <w:rPr>
                <w:rFonts w:cs="Calibri"/>
              </w:rPr>
              <w:t>9088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FE5B81" w14:textId="77777777">
            <w:pPr>
              <w:jc w:val="center"/>
              <w:rPr>
                <w:rFonts w:cs="Calibri"/>
              </w:rPr>
            </w:pPr>
            <w:r w:rsidRPr="007D15C3">
              <w:rPr>
                <w:rFonts w:cs="Calibri"/>
              </w:rPr>
              <w:t>WBBZ-TV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090FFE" w14:textId="77777777">
            <w:pPr>
              <w:rPr>
                <w:rFonts w:cs="Calibri"/>
              </w:rPr>
            </w:pPr>
            <w:r w:rsidRPr="007D15C3">
              <w:rPr>
                <w:rFonts w:cs="Calibri"/>
              </w:rPr>
              <w:t xml:space="preserve">          1,269,256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B782F3" w14:textId="77777777">
            <w:pPr>
              <w:rPr>
                <w:rFonts w:cs="Calibri"/>
              </w:rPr>
            </w:pPr>
            <w:r w:rsidRPr="007D15C3">
              <w:rPr>
                <w:rFonts w:cs="Calibri"/>
              </w:rPr>
              <w:t xml:space="preserve">            1,260,686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2791E5" w14:textId="77777777">
            <w:pPr>
              <w:jc w:val="right"/>
              <w:rPr>
                <w:rFonts w:cs="Calibri"/>
              </w:rPr>
            </w:pPr>
            <w:r w:rsidRPr="007D15C3">
              <w:rPr>
                <w:rFonts w:cs="Calibri"/>
              </w:rPr>
              <w:t>$9,880</w:t>
            </w:r>
          </w:p>
        </w:tc>
      </w:tr>
      <w:tr w14:paraId="4486A2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F1EB91" w14:textId="77777777">
            <w:pPr>
              <w:jc w:val="center"/>
              <w:rPr>
                <w:rFonts w:cs="Calibri"/>
              </w:rPr>
            </w:pPr>
            <w:r w:rsidRPr="007D15C3">
              <w:rPr>
                <w:rFonts w:cs="Calibri"/>
              </w:rPr>
              <w:t>70138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E6D7B8" w14:textId="77777777">
            <w:pPr>
              <w:jc w:val="center"/>
              <w:rPr>
                <w:rFonts w:cs="Calibri"/>
              </w:rPr>
            </w:pPr>
            <w:r w:rsidRPr="007D15C3">
              <w:rPr>
                <w:rFonts w:cs="Calibri"/>
              </w:rPr>
              <w:t>WBDT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EE7C1A" w14:textId="77777777">
            <w:pPr>
              <w:rPr>
                <w:rFonts w:cs="Calibri"/>
              </w:rPr>
            </w:pPr>
            <w:r w:rsidRPr="007D15C3">
              <w:rPr>
                <w:rFonts w:cs="Calibri"/>
              </w:rPr>
              <w:t xml:space="preserve">          3,660,544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1BFA39" w14:textId="77777777">
            <w:pPr>
              <w:rPr>
                <w:rFonts w:cs="Calibri"/>
              </w:rPr>
            </w:pPr>
            <w:r w:rsidRPr="007D15C3">
              <w:rPr>
                <w:rFonts w:cs="Calibri"/>
              </w:rPr>
              <w:t xml:space="preserve">            3,646,874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5B6034" w14:textId="77777777">
            <w:pPr>
              <w:jc w:val="right"/>
              <w:rPr>
                <w:rFonts w:cs="Calibri"/>
              </w:rPr>
            </w:pPr>
            <w:r w:rsidRPr="007D15C3">
              <w:rPr>
                <w:rFonts w:cs="Calibri"/>
              </w:rPr>
              <w:t>$28,581</w:t>
            </w:r>
          </w:p>
        </w:tc>
      </w:tr>
      <w:tr w14:paraId="63F3E6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1C97DF" w14:textId="77777777">
            <w:pPr>
              <w:jc w:val="center"/>
              <w:rPr>
                <w:rFonts w:cs="Calibri"/>
              </w:rPr>
            </w:pPr>
            <w:r w:rsidRPr="007D15C3">
              <w:rPr>
                <w:rFonts w:cs="Calibri"/>
              </w:rPr>
              <w:t>51349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FB46F6" w14:textId="77777777">
            <w:pPr>
              <w:jc w:val="center"/>
              <w:rPr>
                <w:rFonts w:cs="Calibri"/>
              </w:rPr>
            </w:pPr>
            <w:r w:rsidRPr="007D15C3">
              <w:rPr>
                <w:rFonts w:cs="Calibri"/>
              </w:rPr>
              <w:t>WBEC-TV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DE3C70" w14:textId="77777777">
            <w:pPr>
              <w:rPr>
                <w:rFonts w:cs="Calibri"/>
              </w:rPr>
            </w:pPr>
            <w:r w:rsidRPr="007D15C3">
              <w:rPr>
                <w:rFonts w:cs="Calibri"/>
              </w:rPr>
              <w:t xml:space="preserve">          5,421,355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C14BEA" w14:textId="77777777">
            <w:pPr>
              <w:rPr>
                <w:rFonts w:cs="Calibri"/>
              </w:rPr>
            </w:pPr>
            <w:r w:rsidRPr="007D15C3">
              <w:rPr>
                <w:rFonts w:cs="Calibri"/>
              </w:rPr>
              <w:t xml:space="preserve">            5,421,355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89FE76" w14:textId="77777777">
            <w:pPr>
              <w:jc w:val="right"/>
              <w:rPr>
                <w:rFonts w:cs="Calibri"/>
              </w:rPr>
            </w:pPr>
            <w:r w:rsidRPr="007D15C3">
              <w:rPr>
                <w:rFonts w:cs="Calibri"/>
              </w:rPr>
              <w:t>$42,487</w:t>
            </w:r>
          </w:p>
        </w:tc>
      </w:tr>
      <w:tr w14:paraId="143B78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DA1E90" w14:textId="77777777">
            <w:pPr>
              <w:jc w:val="center"/>
              <w:rPr>
                <w:rFonts w:cs="Calibri"/>
              </w:rPr>
            </w:pPr>
            <w:r w:rsidRPr="007D15C3">
              <w:rPr>
                <w:rFonts w:cs="Calibri"/>
              </w:rPr>
              <w:t>10758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D32F70" w14:textId="77777777">
            <w:pPr>
              <w:jc w:val="center"/>
              <w:rPr>
                <w:rFonts w:cs="Calibri"/>
              </w:rPr>
            </w:pPr>
            <w:r w:rsidRPr="007D15C3">
              <w:rPr>
                <w:rFonts w:cs="Calibri"/>
              </w:rPr>
              <w:t>WBFF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CFAD36" w14:textId="77777777">
            <w:pPr>
              <w:rPr>
                <w:rFonts w:cs="Calibri"/>
              </w:rPr>
            </w:pPr>
            <w:r w:rsidRPr="007D15C3">
              <w:rPr>
                <w:rFonts w:cs="Calibri"/>
              </w:rPr>
              <w:t xml:space="preserve">          8,509,757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34BC12" w14:textId="77777777">
            <w:pPr>
              <w:rPr>
                <w:rFonts w:cs="Calibri"/>
              </w:rPr>
            </w:pPr>
            <w:r w:rsidRPr="007D15C3">
              <w:rPr>
                <w:rFonts w:cs="Calibri"/>
              </w:rPr>
              <w:t xml:space="preserve">            8,339,882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1FD502" w14:textId="77777777">
            <w:pPr>
              <w:jc w:val="right"/>
              <w:rPr>
                <w:rFonts w:cs="Calibri"/>
              </w:rPr>
            </w:pPr>
            <w:r w:rsidRPr="007D15C3">
              <w:rPr>
                <w:rFonts w:cs="Calibri"/>
              </w:rPr>
              <w:t>$65,360</w:t>
            </w:r>
          </w:p>
        </w:tc>
      </w:tr>
      <w:tr w14:paraId="4C1176D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9370F4" w14:textId="77777777">
            <w:pPr>
              <w:jc w:val="center"/>
              <w:rPr>
                <w:rFonts w:cs="Calibri"/>
              </w:rPr>
            </w:pPr>
            <w:r w:rsidRPr="007D15C3">
              <w:rPr>
                <w:rFonts w:cs="Calibri"/>
              </w:rPr>
              <w:t>12497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61245E" w14:textId="77777777">
            <w:pPr>
              <w:jc w:val="center"/>
              <w:rPr>
                <w:rFonts w:cs="Calibri"/>
              </w:rPr>
            </w:pPr>
            <w:r w:rsidRPr="007D15C3">
              <w:rPr>
                <w:rFonts w:cs="Calibri"/>
              </w:rPr>
              <w:t>WBFS-TV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BD2149" w14:textId="77777777">
            <w:pPr>
              <w:rPr>
                <w:rFonts w:cs="Calibri"/>
              </w:rPr>
            </w:pPr>
            <w:r w:rsidRPr="007D15C3">
              <w:rPr>
                <w:rFonts w:cs="Calibri"/>
              </w:rPr>
              <w:t xml:space="preserve">          5,349,613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B2C004" w14:textId="77777777">
            <w:pPr>
              <w:rPr>
                <w:rFonts w:cs="Calibri"/>
              </w:rPr>
            </w:pPr>
            <w:r w:rsidRPr="007D15C3">
              <w:rPr>
                <w:rFonts w:cs="Calibri"/>
              </w:rPr>
              <w:t xml:space="preserve">            5,349,613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7D32C5" w14:textId="77777777">
            <w:pPr>
              <w:jc w:val="right"/>
              <w:rPr>
                <w:rFonts w:cs="Calibri"/>
              </w:rPr>
            </w:pPr>
            <w:r w:rsidRPr="007D15C3">
              <w:rPr>
                <w:rFonts w:cs="Calibri"/>
              </w:rPr>
              <w:t>$41,925</w:t>
            </w:r>
          </w:p>
        </w:tc>
      </w:tr>
      <w:tr w14:paraId="601EAD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084C86" w14:textId="77777777">
            <w:pPr>
              <w:jc w:val="center"/>
              <w:rPr>
                <w:rFonts w:cs="Calibri"/>
              </w:rPr>
            </w:pPr>
            <w:r w:rsidRPr="007D15C3">
              <w:rPr>
                <w:rFonts w:cs="Calibri"/>
              </w:rPr>
              <w:t>6568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6CA2A5" w14:textId="77777777">
            <w:pPr>
              <w:jc w:val="center"/>
              <w:rPr>
                <w:rFonts w:cs="Calibri"/>
              </w:rPr>
            </w:pPr>
            <w:r w:rsidRPr="007D15C3">
              <w:rPr>
                <w:rFonts w:cs="Calibri"/>
              </w:rPr>
              <w:t>WBGU-TV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A87858" w14:textId="77777777">
            <w:pPr>
              <w:rPr>
                <w:rFonts w:cs="Calibri"/>
              </w:rPr>
            </w:pPr>
            <w:r w:rsidRPr="007D15C3">
              <w:rPr>
                <w:rFonts w:cs="Calibri"/>
              </w:rPr>
              <w:t xml:space="preserve">          1,343,816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1DB117" w14:textId="77777777">
            <w:pPr>
              <w:rPr>
                <w:rFonts w:cs="Calibri"/>
              </w:rPr>
            </w:pPr>
            <w:r w:rsidRPr="007D15C3">
              <w:rPr>
                <w:rFonts w:cs="Calibri"/>
              </w:rPr>
              <w:t xml:space="preserve">            1,343,816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1FB990" w14:textId="77777777">
            <w:pPr>
              <w:jc w:val="right"/>
              <w:rPr>
                <w:rFonts w:cs="Calibri"/>
              </w:rPr>
            </w:pPr>
            <w:r w:rsidRPr="007D15C3">
              <w:rPr>
                <w:rFonts w:cs="Calibri"/>
              </w:rPr>
              <w:t>$10,531</w:t>
            </w:r>
          </w:p>
        </w:tc>
      </w:tr>
      <w:tr w14:paraId="4156BB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E14FC6" w14:textId="77777777">
            <w:pPr>
              <w:jc w:val="center"/>
              <w:rPr>
                <w:rFonts w:cs="Calibri"/>
              </w:rPr>
            </w:pPr>
            <w:r w:rsidRPr="007D15C3">
              <w:rPr>
                <w:rFonts w:cs="Calibri"/>
              </w:rPr>
              <w:t>81594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BE0B10" w14:textId="77777777">
            <w:pPr>
              <w:jc w:val="center"/>
              <w:rPr>
                <w:rFonts w:cs="Calibri"/>
              </w:rPr>
            </w:pPr>
            <w:r w:rsidRPr="007D15C3">
              <w:rPr>
                <w:rFonts w:cs="Calibri"/>
              </w:rPr>
              <w:t>WBIF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BB3E21" w14:textId="77777777">
            <w:pPr>
              <w:rPr>
                <w:rFonts w:cs="Calibri"/>
              </w:rPr>
            </w:pPr>
            <w:r w:rsidRPr="007D15C3">
              <w:rPr>
                <w:rFonts w:cs="Calibri"/>
              </w:rPr>
              <w:t xml:space="preserve">             309,707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4B3F3E" w14:textId="77777777">
            <w:pPr>
              <w:rPr>
                <w:rFonts w:cs="Calibri"/>
              </w:rPr>
            </w:pPr>
            <w:r w:rsidRPr="007D15C3">
              <w:rPr>
                <w:rFonts w:cs="Calibri"/>
              </w:rPr>
              <w:t xml:space="preserve">               309,707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C623C2" w14:textId="77777777">
            <w:pPr>
              <w:jc w:val="right"/>
              <w:rPr>
                <w:rFonts w:cs="Calibri"/>
              </w:rPr>
            </w:pPr>
            <w:r w:rsidRPr="007D15C3">
              <w:rPr>
                <w:rFonts w:cs="Calibri"/>
              </w:rPr>
              <w:t>$2,427</w:t>
            </w:r>
          </w:p>
        </w:tc>
      </w:tr>
      <w:tr w14:paraId="65B9401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678246" w14:textId="77777777">
            <w:pPr>
              <w:jc w:val="center"/>
              <w:rPr>
                <w:rFonts w:cs="Calibri"/>
              </w:rPr>
            </w:pPr>
            <w:r w:rsidRPr="007D15C3">
              <w:rPr>
                <w:rFonts w:cs="Calibri"/>
              </w:rPr>
              <w:t>84802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FD78EB" w14:textId="77777777">
            <w:pPr>
              <w:jc w:val="center"/>
              <w:rPr>
                <w:rFonts w:cs="Calibri"/>
              </w:rPr>
            </w:pPr>
            <w:r w:rsidRPr="007D15C3">
              <w:rPr>
                <w:rFonts w:cs="Calibri"/>
              </w:rPr>
              <w:t>WBIH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149FC5" w14:textId="77777777">
            <w:pPr>
              <w:rPr>
                <w:rFonts w:cs="Calibri"/>
              </w:rPr>
            </w:pPr>
            <w:r w:rsidRPr="007D15C3">
              <w:rPr>
                <w:rFonts w:cs="Calibri"/>
              </w:rPr>
              <w:t xml:space="preserve">             736,501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21E95" w14:textId="77777777">
            <w:pPr>
              <w:rPr>
                <w:rFonts w:cs="Calibri"/>
              </w:rPr>
            </w:pPr>
            <w:r w:rsidRPr="007D15C3">
              <w:rPr>
                <w:rFonts w:cs="Calibri"/>
              </w:rPr>
              <w:t xml:space="preserve">               724,345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9C280D" w14:textId="77777777">
            <w:pPr>
              <w:jc w:val="right"/>
              <w:rPr>
                <w:rFonts w:cs="Calibri"/>
              </w:rPr>
            </w:pPr>
            <w:r w:rsidRPr="007D15C3">
              <w:rPr>
                <w:rFonts w:cs="Calibri"/>
              </w:rPr>
              <w:t>$5,677</w:t>
            </w:r>
          </w:p>
        </w:tc>
      </w:tr>
      <w:tr w14:paraId="1D50602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DD2D4B" w14:textId="77777777">
            <w:pPr>
              <w:jc w:val="center"/>
              <w:rPr>
                <w:rFonts w:cs="Calibri"/>
              </w:rPr>
            </w:pPr>
            <w:r w:rsidRPr="007D15C3">
              <w:rPr>
                <w:rFonts w:cs="Calibri"/>
              </w:rPr>
              <w:t>717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1F55C9" w14:textId="77777777">
            <w:pPr>
              <w:jc w:val="center"/>
              <w:rPr>
                <w:rFonts w:cs="Calibri"/>
              </w:rPr>
            </w:pPr>
            <w:r w:rsidRPr="007D15C3">
              <w:rPr>
                <w:rFonts w:cs="Calibri"/>
              </w:rPr>
              <w:t>WBIQ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2ADB10" w14:textId="77777777">
            <w:pPr>
              <w:rPr>
                <w:rFonts w:cs="Calibri"/>
              </w:rPr>
            </w:pPr>
            <w:r w:rsidRPr="007D15C3">
              <w:rPr>
                <w:rFonts w:cs="Calibri"/>
              </w:rPr>
              <w:t xml:space="preserve">          1,563,080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229C87" w14:textId="77777777">
            <w:pPr>
              <w:rPr>
                <w:rFonts w:cs="Calibri"/>
              </w:rPr>
            </w:pPr>
            <w:r w:rsidRPr="007D15C3">
              <w:rPr>
                <w:rFonts w:cs="Calibri"/>
              </w:rPr>
              <w:t xml:space="preserve">            1,532,266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DBA4DB" w14:textId="77777777">
            <w:pPr>
              <w:jc w:val="right"/>
              <w:rPr>
                <w:rFonts w:cs="Calibri"/>
              </w:rPr>
            </w:pPr>
            <w:r w:rsidRPr="007D15C3">
              <w:rPr>
                <w:rFonts w:cs="Calibri"/>
              </w:rPr>
              <w:t>$12,008</w:t>
            </w:r>
          </w:p>
        </w:tc>
      </w:tr>
      <w:tr w14:paraId="0E961C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852536" w14:textId="77777777">
            <w:pPr>
              <w:jc w:val="center"/>
              <w:rPr>
                <w:rFonts w:cs="Calibri"/>
              </w:rPr>
            </w:pPr>
            <w:r w:rsidRPr="007D15C3">
              <w:rPr>
                <w:rFonts w:cs="Calibri"/>
              </w:rPr>
              <w:t>46984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F1642F" w14:textId="77777777">
            <w:pPr>
              <w:jc w:val="center"/>
              <w:rPr>
                <w:rFonts w:cs="Calibri"/>
              </w:rPr>
            </w:pPr>
            <w:r w:rsidRPr="007D15C3">
              <w:rPr>
                <w:rFonts w:cs="Calibri"/>
              </w:rPr>
              <w:t>WBIR-TV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9D1134" w14:textId="77777777">
            <w:pPr>
              <w:rPr>
                <w:rFonts w:cs="Calibri"/>
              </w:rPr>
            </w:pPr>
            <w:r w:rsidRPr="007D15C3">
              <w:rPr>
                <w:rFonts w:cs="Calibri"/>
              </w:rPr>
              <w:t xml:space="preserve">          1,978,347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A9BF39" w14:textId="77777777">
            <w:pPr>
              <w:rPr>
                <w:rFonts w:cs="Calibri"/>
              </w:rPr>
            </w:pPr>
            <w:r w:rsidRPr="007D15C3">
              <w:rPr>
                <w:rFonts w:cs="Calibri"/>
              </w:rPr>
              <w:t xml:space="preserve">            1,701,857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19C48E" w14:textId="77777777">
            <w:pPr>
              <w:jc w:val="right"/>
              <w:rPr>
                <w:rFonts w:cs="Calibri"/>
              </w:rPr>
            </w:pPr>
            <w:r w:rsidRPr="007D15C3">
              <w:rPr>
                <w:rFonts w:cs="Calibri"/>
              </w:rPr>
              <w:t>$13,337</w:t>
            </w:r>
          </w:p>
        </w:tc>
      </w:tr>
      <w:tr w14:paraId="7A1101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D80A2C" w14:textId="77777777">
            <w:pPr>
              <w:jc w:val="center"/>
              <w:rPr>
                <w:rFonts w:cs="Calibri"/>
              </w:rPr>
            </w:pPr>
            <w:r w:rsidRPr="007D15C3">
              <w:rPr>
                <w:rFonts w:cs="Calibri"/>
              </w:rPr>
              <w:t>67048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0B103B" w14:textId="77777777">
            <w:pPr>
              <w:jc w:val="center"/>
              <w:rPr>
                <w:rFonts w:cs="Calibri"/>
              </w:rPr>
            </w:pPr>
            <w:r w:rsidRPr="007D15C3">
              <w:rPr>
                <w:rFonts w:cs="Calibri"/>
              </w:rPr>
              <w:t>WBKB-TV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7A5D88" w14:textId="77777777">
            <w:pPr>
              <w:rPr>
                <w:rFonts w:cs="Calibri"/>
              </w:rPr>
            </w:pPr>
            <w:r w:rsidRPr="007D15C3">
              <w:rPr>
                <w:rFonts w:cs="Calibri"/>
              </w:rPr>
              <w:t xml:space="preserve">             136,823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6309CA" w14:textId="77777777">
            <w:pPr>
              <w:rPr>
                <w:rFonts w:cs="Calibri"/>
              </w:rPr>
            </w:pPr>
            <w:r w:rsidRPr="007D15C3">
              <w:rPr>
                <w:rFonts w:cs="Calibri"/>
              </w:rPr>
              <w:t xml:space="preserve">               130,625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7B6CFD" w14:textId="77777777">
            <w:pPr>
              <w:jc w:val="right"/>
              <w:rPr>
                <w:rFonts w:cs="Calibri"/>
              </w:rPr>
            </w:pPr>
            <w:r w:rsidRPr="007D15C3">
              <w:rPr>
                <w:rFonts w:cs="Calibri"/>
              </w:rPr>
              <w:t>$1,024</w:t>
            </w:r>
          </w:p>
        </w:tc>
      </w:tr>
      <w:tr w14:paraId="743504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69B7D5" w14:textId="77777777">
            <w:pPr>
              <w:jc w:val="center"/>
              <w:rPr>
                <w:rFonts w:cs="Calibri"/>
              </w:rPr>
            </w:pPr>
            <w:r w:rsidRPr="007D15C3">
              <w:rPr>
                <w:rFonts w:cs="Calibri"/>
              </w:rPr>
              <w:t>34167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BE6096" w14:textId="77777777">
            <w:pPr>
              <w:jc w:val="center"/>
              <w:rPr>
                <w:rFonts w:cs="Calibri"/>
              </w:rPr>
            </w:pPr>
            <w:r w:rsidRPr="007D15C3">
              <w:rPr>
                <w:rFonts w:cs="Calibri"/>
              </w:rPr>
              <w:t>WBKI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8C3E3A" w14:textId="77777777">
            <w:pPr>
              <w:rPr>
                <w:rFonts w:cs="Calibri"/>
              </w:rPr>
            </w:pPr>
            <w:r w:rsidRPr="007D15C3">
              <w:rPr>
                <w:rFonts w:cs="Calibri"/>
              </w:rPr>
              <w:t xml:space="preserve">          1,983,992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3BE17B" w14:textId="77777777">
            <w:pPr>
              <w:rPr>
                <w:rFonts w:cs="Calibri"/>
              </w:rPr>
            </w:pPr>
            <w:r w:rsidRPr="007D15C3">
              <w:rPr>
                <w:rFonts w:cs="Calibri"/>
              </w:rPr>
              <w:t xml:space="preserve">            1,968,048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45FE2F" w14:textId="77777777">
            <w:pPr>
              <w:jc w:val="right"/>
              <w:rPr>
                <w:rFonts w:cs="Calibri"/>
              </w:rPr>
            </w:pPr>
            <w:r w:rsidRPr="007D15C3">
              <w:rPr>
                <w:rFonts w:cs="Calibri"/>
              </w:rPr>
              <w:t>$15,424</w:t>
            </w:r>
          </w:p>
        </w:tc>
      </w:tr>
      <w:tr w14:paraId="7B03A04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E847CD" w14:textId="77777777">
            <w:pPr>
              <w:jc w:val="center"/>
              <w:rPr>
                <w:rFonts w:cs="Calibri"/>
              </w:rPr>
            </w:pPr>
            <w:r w:rsidRPr="007D15C3">
              <w:rPr>
                <w:rFonts w:cs="Calibri"/>
              </w:rPr>
              <w:t>4692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A17536B" w14:textId="77777777">
            <w:pPr>
              <w:jc w:val="center"/>
              <w:rPr>
                <w:rFonts w:cs="Calibri"/>
              </w:rPr>
            </w:pPr>
            <w:r w:rsidRPr="007D15C3">
              <w:rPr>
                <w:rFonts w:cs="Calibri"/>
              </w:rPr>
              <w:t>WBKO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E828CE" w14:textId="77777777">
            <w:pPr>
              <w:rPr>
                <w:rFonts w:cs="Calibri"/>
              </w:rPr>
            </w:pPr>
            <w:r w:rsidRPr="007D15C3">
              <w:rPr>
                <w:rFonts w:cs="Calibri"/>
              </w:rPr>
              <w:t xml:space="preserve">             963,413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72471F" w14:textId="77777777">
            <w:pPr>
              <w:rPr>
                <w:rFonts w:cs="Calibri"/>
              </w:rPr>
            </w:pPr>
            <w:r w:rsidRPr="007D15C3">
              <w:rPr>
                <w:rFonts w:cs="Calibri"/>
              </w:rPr>
              <w:t xml:space="preserve">               862,651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1F3366" w14:textId="77777777">
            <w:pPr>
              <w:jc w:val="right"/>
              <w:rPr>
                <w:rFonts w:cs="Calibri"/>
              </w:rPr>
            </w:pPr>
            <w:r w:rsidRPr="007D15C3">
              <w:rPr>
                <w:rFonts w:cs="Calibri"/>
              </w:rPr>
              <w:t>$6,761</w:t>
            </w:r>
          </w:p>
        </w:tc>
      </w:tr>
      <w:tr w14:paraId="6C134A9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29986A" w14:textId="77777777">
            <w:pPr>
              <w:jc w:val="center"/>
              <w:rPr>
                <w:rFonts w:cs="Calibri"/>
              </w:rPr>
            </w:pPr>
            <w:r w:rsidRPr="007D15C3">
              <w:rPr>
                <w:rFonts w:cs="Calibri"/>
              </w:rPr>
              <w:t>76001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C910D2" w14:textId="77777777">
            <w:pPr>
              <w:jc w:val="center"/>
              <w:rPr>
                <w:rFonts w:cs="Calibri"/>
              </w:rPr>
            </w:pPr>
            <w:r w:rsidRPr="007D15C3">
              <w:rPr>
                <w:rFonts w:cs="Calibri"/>
              </w:rPr>
              <w:t>WBKP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971ADC" w14:textId="77777777">
            <w:pPr>
              <w:rPr>
                <w:rFonts w:cs="Calibri"/>
              </w:rPr>
            </w:pPr>
            <w:r w:rsidRPr="007D15C3">
              <w:rPr>
                <w:rFonts w:cs="Calibri"/>
              </w:rPr>
              <w:t xml:space="preserve">               55,655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EE4A35" w14:textId="77777777">
            <w:pPr>
              <w:rPr>
                <w:rFonts w:cs="Calibri"/>
              </w:rPr>
            </w:pPr>
            <w:r w:rsidRPr="007D15C3">
              <w:rPr>
                <w:rFonts w:cs="Calibri"/>
              </w:rPr>
              <w:t xml:space="preserve">                 55,305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A19663" w14:textId="77777777">
            <w:pPr>
              <w:jc w:val="right"/>
              <w:rPr>
                <w:rFonts w:cs="Calibri"/>
              </w:rPr>
            </w:pPr>
            <w:r w:rsidRPr="007D15C3">
              <w:rPr>
                <w:rFonts w:cs="Calibri"/>
              </w:rPr>
              <w:t>$433</w:t>
            </w:r>
          </w:p>
        </w:tc>
      </w:tr>
      <w:tr w14:paraId="4BDE9F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B20D7D9" w14:textId="77777777">
            <w:pPr>
              <w:jc w:val="center"/>
              <w:rPr>
                <w:rFonts w:cs="Calibri"/>
              </w:rPr>
            </w:pPr>
            <w:r w:rsidRPr="007D15C3">
              <w:rPr>
                <w:rFonts w:cs="Calibri"/>
              </w:rPr>
              <w:t>68427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6056FC7" w14:textId="77777777">
            <w:pPr>
              <w:jc w:val="center"/>
              <w:rPr>
                <w:rFonts w:cs="Calibri"/>
              </w:rPr>
            </w:pPr>
            <w:r w:rsidRPr="007D15C3">
              <w:rPr>
                <w:rFonts w:cs="Calibri"/>
              </w:rPr>
              <w:t>WBMM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9E1E3A" w14:textId="77777777">
            <w:pPr>
              <w:rPr>
                <w:rFonts w:cs="Calibri"/>
              </w:rPr>
            </w:pPr>
            <w:r w:rsidRPr="007D15C3">
              <w:rPr>
                <w:rFonts w:cs="Calibri"/>
              </w:rPr>
              <w:t xml:space="preserve">             562,284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FA7781" w14:textId="77777777">
            <w:pPr>
              <w:rPr>
                <w:rFonts w:cs="Calibri"/>
              </w:rPr>
            </w:pPr>
            <w:r w:rsidRPr="007D15C3">
              <w:rPr>
                <w:rFonts w:cs="Calibri"/>
              </w:rPr>
              <w:t xml:space="preserve">               562,123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C760F0" w14:textId="77777777">
            <w:pPr>
              <w:jc w:val="right"/>
              <w:rPr>
                <w:rFonts w:cs="Calibri"/>
              </w:rPr>
            </w:pPr>
            <w:r w:rsidRPr="007D15C3">
              <w:rPr>
                <w:rFonts w:cs="Calibri"/>
              </w:rPr>
              <w:t>$4,405</w:t>
            </w:r>
          </w:p>
        </w:tc>
      </w:tr>
      <w:tr w14:paraId="2732D57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8E09FF" w14:textId="77777777">
            <w:pPr>
              <w:jc w:val="center"/>
              <w:rPr>
                <w:rFonts w:cs="Calibri"/>
              </w:rPr>
            </w:pPr>
            <w:r w:rsidRPr="007D15C3">
              <w:rPr>
                <w:rFonts w:cs="Calibri"/>
              </w:rPr>
              <w:t>73692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224465" w14:textId="77777777">
            <w:pPr>
              <w:jc w:val="center"/>
              <w:rPr>
                <w:rFonts w:cs="Calibri"/>
              </w:rPr>
            </w:pPr>
            <w:r w:rsidRPr="007D15C3">
              <w:rPr>
                <w:rFonts w:cs="Calibri"/>
              </w:rPr>
              <w:t>WBNA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A6987A" w14:textId="77777777">
            <w:pPr>
              <w:rPr>
                <w:rFonts w:cs="Calibri"/>
              </w:rPr>
            </w:pPr>
            <w:r w:rsidRPr="007D15C3">
              <w:rPr>
                <w:rFonts w:cs="Calibri"/>
              </w:rPr>
              <w:t xml:space="preserve">          1,699,683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346C98" w14:textId="77777777">
            <w:pPr>
              <w:rPr>
                <w:rFonts w:cs="Calibri"/>
              </w:rPr>
            </w:pPr>
            <w:r w:rsidRPr="007D15C3">
              <w:rPr>
                <w:rFonts w:cs="Calibri"/>
              </w:rPr>
              <w:t xml:space="preserve">            1,666,248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36DFC1" w14:textId="77777777">
            <w:pPr>
              <w:jc w:val="right"/>
              <w:rPr>
                <w:rFonts w:cs="Calibri"/>
              </w:rPr>
            </w:pPr>
            <w:r w:rsidRPr="007D15C3">
              <w:rPr>
                <w:rFonts w:cs="Calibri"/>
              </w:rPr>
              <w:t>$13,058</w:t>
            </w:r>
          </w:p>
        </w:tc>
      </w:tr>
      <w:tr w14:paraId="7528C7A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3414DD" w14:textId="77777777">
            <w:pPr>
              <w:jc w:val="center"/>
              <w:rPr>
                <w:rFonts w:cs="Calibri"/>
              </w:rPr>
            </w:pPr>
            <w:r w:rsidRPr="007D15C3">
              <w:rPr>
                <w:rFonts w:cs="Calibri"/>
              </w:rPr>
              <w:t>23337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114BEF" w14:textId="77777777">
            <w:pPr>
              <w:jc w:val="center"/>
              <w:rPr>
                <w:rFonts w:cs="Calibri"/>
              </w:rPr>
            </w:pPr>
            <w:r w:rsidRPr="007D15C3">
              <w:rPr>
                <w:rFonts w:cs="Calibri"/>
              </w:rPr>
              <w:t>WBNG-TV*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9AEE02" w14:textId="77777777">
            <w:pPr>
              <w:rPr>
                <w:rFonts w:cs="Calibri"/>
              </w:rPr>
            </w:pPr>
            <w:r w:rsidRPr="007D15C3">
              <w:rPr>
                <w:rFonts w:cs="Calibri"/>
              </w:rPr>
              <w:t xml:space="preserve">          1,442,745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A9A8ED" w14:textId="77777777">
            <w:pPr>
              <w:rPr>
                <w:rFonts w:cs="Calibri"/>
              </w:rPr>
            </w:pPr>
            <w:r w:rsidRPr="007D15C3">
              <w:rPr>
                <w:rFonts w:cs="Calibri"/>
              </w:rPr>
              <w:t xml:space="preserve">            1,060,329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C28302" w14:textId="77777777">
            <w:pPr>
              <w:jc w:val="right"/>
              <w:rPr>
                <w:rFonts w:cs="Calibri"/>
              </w:rPr>
            </w:pPr>
            <w:r w:rsidRPr="007D15C3">
              <w:rPr>
                <w:rFonts w:cs="Calibri"/>
              </w:rPr>
              <w:t>$8,310</w:t>
            </w:r>
          </w:p>
        </w:tc>
      </w:tr>
      <w:tr w14:paraId="2DBA87A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8143E4" w14:textId="77777777">
            <w:pPr>
              <w:jc w:val="center"/>
              <w:rPr>
                <w:rFonts w:cs="Calibri"/>
              </w:rPr>
            </w:pPr>
            <w:r w:rsidRPr="007D15C3">
              <w:rPr>
                <w:rFonts w:cs="Calibri"/>
              </w:rPr>
              <w:t>71217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164809" w14:textId="77777777">
            <w:pPr>
              <w:jc w:val="center"/>
              <w:rPr>
                <w:rFonts w:cs="Calibri"/>
              </w:rPr>
            </w:pPr>
            <w:r w:rsidRPr="007D15C3">
              <w:rPr>
                <w:rFonts w:cs="Calibri"/>
              </w:rPr>
              <w:t>WBNS-TV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D662AD" w14:textId="77777777">
            <w:pPr>
              <w:rPr>
                <w:rFonts w:cs="Calibri"/>
              </w:rPr>
            </w:pPr>
            <w:r w:rsidRPr="007D15C3">
              <w:rPr>
                <w:rFonts w:cs="Calibri"/>
              </w:rPr>
              <w:t xml:space="preserve">          2,847,721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9465C9" w14:textId="77777777">
            <w:pPr>
              <w:rPr>
                <w:rFonts w:cs="Calibri"/>
              </w:rPr>
            </w:pPr>
            <w:r w:rsidRPr="007D15C3">
              <w:rPr>
                <w:rFonts w:cs="Calibri"/>
              </w:rPr>
              <w:t xml:space="preserve">            2,784,795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1188D1" w14:textId="77777777">
            <w:pPr>
              <w:jc w:val="right"/>
              <w:rPr>
                <w:rFonts w:cs="Calibri"/>
              </w:rPr>
            </w:pPr>
            <w:r w:rsidRPr="007D15C3">
              <w:rPr>
                <w:rFonts w:cs="Calibri"/>
              </w:rPr>
              <w:t>$21,824</w:t>
            </w:r>
          </w:p>
        </w:tc>
      </w:tr>
      <w:tr w14:paraId="4CCD1D5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F1ECD3" w14:textId="77777777">
            <w:pPr>
              <w:jc w:val="center"/>
              <w:rPr>
                <w:rFonts w:cs="Calibri"/>
              </w:rPr>
            </w:pPr>
            <w:r w:rsidRPr="007D15C3">
              <w:rPr>
                <w:rFonts w:cs="Calibri"/>
              </w:rPr>
              <w:t>72958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17437A" w14:textId="77777777">
            <w:pPr>
              <w:jc w:val="center"/>
              <w:rPr>
                <w:rFonts w:cs="Calibri"/>
              </w:rPr>
            </w:pPr>
            <w:r w:rsidRPr="007D15C3">
              <w:rPr>
                <w:rFonts w:cs="Calibri"/>
              </w:rPr>
              <w:t>WBNX-TV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847D94" w14:textId="77777777">
            <w:pPr>
              <w:rPr>
                <w:rFonts w:cs="Calibri"/>
              </w:rPr>
            </w:pPr>
            <w:r w:rsidRPr="007D15C3">
              <w:rPr>
                <w:rFonts w:cs="Calibri"/>
              </w:rPr>
              <w:t xml:space="preserve">          3,642,304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D283F0" w14:textId="77777777">
            <w:pPr>
              <w:rPr>
                <w:rFonts w:cs="Calibri"/>
              </w:rPr>
            </w:pPr>
            <w:r w:rsidRPr="007D15C3">
              <w:rPr>
                <w:rFonts w:cs="Calibri"/>
              </w:rPr>
              <w:t xml:space="preserve">            3,629,347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1C5A9E" w14:textId="77777777">
            <w:pPr>
              <w:jc w:val="right"/>
              <w:rPr>
                <w:rFonts w:cs="Calibri"/>
              </w:rPr>
            </w:pPr>
            <w:r w:rsidRPr="007D15C3">
              <w:rPr>
                <w:rFonts w:cs="Calibri"/>
              </w:rPr>
              <w:t>$28,443</w:t>
            </w:r>
          </w:p>
        </w:tc>
      </w:tr>
      <w:tr w14:paraId="6C3545F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EC5AF0" w14:textId="77777777">
            <w:pPr>
              <w:jc w:val="center"/>
              <w:rPr>
                <w:rFonts w:cs="Calibri"/>
              </w:rPr>
            </w:pPr>
            <w:r w:rsidRPr="007D15C3">
              <w:rPr>
                <w:rFonts w:cs="Calibri"/>
              </w:rPr>
              <w:t>71218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69A771" w14:textId="77777777">
            <w:pPr>
              <w:jc w:val="center"/>
              <w:rPr>
                <w:rFonts w:cs="Calibri"/>
              </w:rPr>
            </w:pPr>
            <w:r w:rsidRPr="007D15C3">
              <w:rPr>
                <w:rFonts w:cs="Calibri"/>
              </w:rPr>
              <w:t>WBOC-TV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49766F" w14:textId="77777777">
            <w:pPr>
              <w:rPr>
                <w:rFonts w:cs="Calibri"/>
              </w:rPr>
            </w:pPr>
            <w:r w:rsidRPr="007D15C3">
              <w:rPr>
                <w:rFonts w:cs="Calibri"/>
              </w:rPr>
              <w:t xml:space="preserve">             813,888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517F1A" w14:textId="77777777">
            <w:pPr>
              <w:rPr>
                <w:rFonts w:cs="Calibri"/>
              </w:rPr>
            </w:pPr>
            <w:r w:rsidRPr="007D15C3">
              <w:rPr>
                <w:rFonts w:cs="Calibri"/>
              </w:rPr>
              <w:t xml:space="preserve">               813,888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85EF2C" w14:textId="77777777">
            <w:pPr>
              <w:jc w:val="right"/>
              <w:rPr>
                <w:rFonts w:cs="Calibri"/>
              </w:rPr>
            </w:pPr>
            <w:r w:rsidRPr="007D15C3">
              <w:rPr>
                <w:rFonts w:cs="Calibri"/>
              </w:rPr>
              <w:t>$6,378</w:t>
            </w:r>
          </w:p>
        </w:tc>
      </w:tr>
      <w:tr w14:paraId="27694A8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C94262" w14:textId="77777777">
            <w:pPr>
              <w:jc w:val="center"/>
              <w:rPr>
                <w:rFonts w:cs="Calibri"/>
              </w:rPr>
            </w:pPr>
            <w:r w:rsidRPr="007D15C3">
              <w:rPr>
                <w:rFonts w:cs="Calibri"/>
              </w:rPr>
              <w:t>71220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0491FB" w14:textId="77777777">
            <w:pPr>
              <w:jc w:val="center"/>
              <w:rPr>
                <w:rFonts w:cs="Calibri"/>
              </w:rPr>
            </w:pPr>
            <w:r w:rsidRPr="007D15C3">
              <w:rPr>
                <w:rFonts w:cs="Calibri"/>
              </w:rPr>
              <w:t>WBOY-TV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60FEA2" w14:textId="77777777">
            <w:pPr>
              <w:rPr>
                <w:rFonts w:cs="Calibri"/>
              </w:rPr>
            </w:pPr>
            <w:r w:rsidRPr="007D15C3">
              <w:rPr>
                <w:rFonts w:cs="Calibri"/>
              </w:rPr>
              <w:t xml:space="preserve">             711,302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156C64" w14:textId="77777777">
            <w:pPr>
              <w:rPr>
                <w:rFonts w:cs="Calibri"/>
              </w:rPr>
            </w:pPr>
            <w:r w:rsidRPr="007D15C3">
              <w:rPr>
                <w:rFonts w:cs="Calibri"/>
              </w:rPr>
              <w:t xml:space="preserve">               621,367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EBDC25" w14:textId="77777777">
            <w:pPr>
              <w:jc w:val="right"/>
              <w:rPr>
                <w:rFonts w:cs="Calibri"/>
              </w:rPr>
            </w:pPr>
            <w:r w:rsidRPr="007D15C3">
              <w:rPr>
                <w:rFonts w:cs="Calibri"/>
              </w:rPr>
              <w:t>$4,870</w:t>
            </w:r>
          </w:p>
        </w:tc>
      </w:tr>
      <w:tr w14:paraId="6C42EA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5D5479" w14:textId="77777777">
            <w:pPr>
              <w:jc w:val="center"/>
              <w:rPr>
                <w:rFonts w:cs="Calibri"/>
              </w:rPr>
            </w:pPr>
            <w:r w:rsidRPr="007D15C3">
              <w:rPr>
                <w:rFonts w:cs="Calibri"/>
              </w:rPr>
              <w:t>60850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7E4C3F" w14:textId="77777777">
            <w:pPr>
              <w:jc w:val="center"/>
              <w:rPr>
                <w:rFonts w:cs="Calibri"/>
              </w:rPr>
            </w:pPr>
            <w:r w:rsidRPr="007D15C3">
              <w:rPr>
                <w:rFonts w:cs="Calibri"/>
              </w:rPr>
              <w:t>WBPH-TV*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3FDFC3" w14:textId="77777777">
            <w:pPr>
              <w:rPr>
                <w:rFonts w:cs="Calibri"/>
              </w:rPr>
            </w:pPr>
            <w:r w:rsidRPr="007D15C3">
              <w:rPr>
                <w:rFonts w:cs="Calibri"/>
              </w:rPr>
              <w:t xml:space="preserve">        10,613,847</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77EB44" w14:textId="77777777">
            <w:pPr>
              <w:jc w:val="right"/>
              <w:rPr>
                <w:rFonts w:cs="Calibri"/>
              </w:rPr>
            </w:pPr>
            <w:r w:rsidRPr="007D15C3">
              <w:rPr>
                <w:rFonts w:cs="Calibri"/>
              </w:rPr>
              <w:t xml:space="preserve">          9,474,797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898F15" w14:textId="77777777">
            <w:pPr>
              <w:jc w:val="right"/>
              <w:rPr>
                <w:rFonts w:cs="Calibri"/>
              </w:rPr>
            </w:pPr>
            <w:r w:rsidRPr="007D15C3">
              <w:rPr>
                <w:rFonts w:cs="Calibri"/>
              </w:rPr>
              <w:t>$74,254</w:t>
            </w:r>
          </w:p>
        </w:tc>
      </w:tr>
      <w:tr w14:paraId="38C3A7C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26453B" w14:textId="77777777">
            <w:pPr>
              <w:jc w:val="center"/>
              <w:rPr>
                <w:rFonts w:cs="Calibri"/>
              </w:rPr>
            </w:pPr>
            <w:r w:rsidRPr="007D15C3">
              <w:rPr>
                <w:rFonts w:cs="Calibri"/>
              </w:rPr>
              <w:t>7692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3AD90C" w14:textId="77777777">
            <w:pPr>
              <w:jc w:val="center"/>
              <w:rPr>
                <w:rFonts w:cs="Calibri"/>
              </w:rPr>
            </w:pPr>
            <w:r w:rsidRPr="007D15C3">
              <w:rPr>
                <w:rFonts w:cs="Calibri"/>
              </w:rPr>
              <w:t>WBPX-TV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A5A1C9" w14:textId="77777777">
            <w:pPr>
              <w:rPr>
                <w:rFonts w:cs="Calibri"/>
              </w:rPr>
            </w:pPr>
            <w:r w:rsidRPr="007D15C3">
              <w:rPr>
                <w:rFonts w:cs="Calibri"/>
              </w:rPr>
              <w:t xml:space="preserve">          6,833,712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3C82BF" w14:textId="77777777">
            <w:pPr>
              <w:rPr>
                <w:rFonts w:cs="Calibri"/>
              </w:rPr>
            </w:pPr>
            <w:r w:rsidRPr="007D15C3">
              <w:rPr>
                <w:rFonts w:cs="Calibri"/>
              </w:rPr>
              <w:t xml:space="preserve">            6,761,949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70B45B" w14:textId="77777777">
            <w:pPr>
              <w:jc w:val="right"/>
              <w:rPr>
                <w:rFonts w:cs="Calibri"/>
              </w:rPr>
            </w:pPr>
            <w:r w:rsidRPr="007D15C3">
              <w:rPr>
                <w:rFonts w:cs="Calibri"/>
              </w:rPr>
              <w:t>$52,993</w:t>
            </w:r>
          </w:p>
        </w:tc>
      </w:tr>
      <w:tr w14:paraId="144B2F5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094BC6" w14:textId="77777777">
            <w:pPr>
              <w:jc w:val="center"/>
              <w:rPr>
                <w:rFonts w:cs="Calibri"/>
              </w:rPr>
            </w:pPr>
            <w:r w:rsidRPr="007D15C3">
              <w:rPr>
                <w:rFonts w:cs="Calibri"/>
              </w:rPr>
              <w:t>5981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ACD5C8" w14:textId="77777777">
            <w:pPr>
              <w:jc w:val="center"/>
              <w:rPr>
                <w:rFonts w:cs="Calibri"/>
              </w:rPr>
            </w:pPr>
            <w:r w:rsidRPr="007D15C3">
              <w:rPr>
                <w:rFonts w:cs="Calibri"/>
              </w:rPr>
              <w:t>WBRA-TV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920DE1" w14:textId="77777777">
            <w:pPr>
              <w:rPr>
                <w:rFonts w:cs="Calibri"/>
              </w:rPr>
            </w:pPr>
            <w:r w:rsidRPr="007D15C3">
              <w:rPr>
                <w:rFonts w:cs="Calibri"/>
              </w:rPr>
              <w:t xml:space="preserve">          1,726,408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2B61BA" w14:textId="77777777">
            <w:pPr>
              <w:rPr>
                <w:rFonts w:cs="Calibri"/>
              </w:rPr>
            </w:pPr>
            <w:r w:rsidRPr="007D15C3">
              <w:rPr>
                <w:rFonts w:cs="Calibri"/>
              </w:rPr>
              <w:t xml:space="preserve">            1,677,204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511979" w14:textId="77777777">
            <w:pPr>
              <w:jc w:val="right"/>
              <w:rPr>
                <w:rFonts w:cs="Calibri"/>
              </w:rPr>
            </w:pPr>
            <w:r w:rsidRPr="007D15C3">
              <w:rPr>
                <w:rFonts w:cs="Calibri"/>
              </w:rPr>
              <w:t>$13,144</w:t>
            </w:r>
          </w:p>
        </w:tc>
      </w:tr>
      <w:tr w14:paraId="4E8B37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64FF18" w14:textId="77777777">
            <w:pPr>
              <w:jc w:val="center"/>
              <w:rPr>
                <w:rFonts w:cs="Calibri"/>
              </w:rPr>
            </w:pPr>
            <w:r w:rsidRPr="007D15C3">
              <w:rPr>
                <w:rFonts w:cs="Calibri"/>
              </w:rPr>
              <w:t>71221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9AFC4E" w14:textId="77777777">
            <w:pPr>
              <w:jc w:val="center"/>
              <w:rPr>
                <w:rFonts w:cs="Calibri"/>
              </w:rPr>
            </w:pPr>
            <w:r w:rsidRPr="007D15C3">
              <w:rPr>
                <w:rFonts w:cs="Calibri"/>
              </w:rPr>
              <w:t>WBRC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CE2C33" w14:textId="77777777">
            <w:pPr>
              <w:rPr>
                <w:rFonts w:cs="Calibri"/>
              </w:rPr>
            </w:pPr>
            <w:r w:rsidRPr="007D15C3">
              <w:rPr>
                <w:rFonts w:cs="Calibri"/>
              </w:rPr>
              <w:t xml:space="preserve">          1,884,007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82A813" w14:textId="77777777">
            <w:pPr>
              <w:rPr>
                <w:rFonts w:cs="Calibri"/>
              </w:rPr>
            </w:pPr>
            <w:r w:rsidRPr="007D15C3">
              <w:rPr>
                <w:rFonts w:cs="Calibri"/>
              </w:rPr>
              <w:t xml:space="preserve">            1,849,135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76AB01" w14:textId="77777777">
            <w:pPr>
              <w:jc w:val="right"/>
              <w:rPr>
                <w:rFonts w:cs="Calibri"/>
              </w:rPr>
            </w:pPr>
            <w:r w:rsidRPr="007D15C3">
              <w:rPr>
                <w:rFonts w:cs="Calibri"/>
              </w:rPr>
              <w:t>$14,492</w:t>
            </w:r>
          </w:p>
        </w:tc>
      </w:tr>
      <w:tr w14:paraId="3472472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EA9504" w14:textId="77777777">
            <w:pPr>
              <w:jc w:val="center"/>
              <w:rPr>
                <w:rFonts w:cs="Calibri"/>
              </w:rPr>
            </w:pPr>
            <w:r w:rsidRPr="007D15C3">
              <w:rPr>
                <w:rFonts w:cs="Calibri"/>
              </w:rPr>
              <w:t>71225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6386BB" w14:textId="77777777">
            <w:pPr>
              <w:jc w:val="center"/>
              <w:rPr>
                <w:rFonts w:cs="Calibri"/>
              </w:rPr>
            </w:pPr>
            <w:r w:rsidRPr="007D15C3">
              <w:rPr>
                <w:rFonts w:cs="Calibri"/>
              </w:rPr>
              <w:t>WBRE-TV*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348A53" w14:textId="77777777">
            <w:pPr>
              <w:rPr>
                <w:rFonts w:cs="Calibri"/>
              </w:rPr>
            </w:pPr>
            <w:r w:rsidRPr="007D15C3">
              <w:rPr>
                <w:rFonts w:cs="Calibri"/>
              </w:rPr>
              <w:t xml:space="preserve">          2,879,196</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AB7C8E" w14:textId="77777777">
            <w:pPr>
              <w:rPr>
                <w:rFonts w:cs="Calibri"/>
              </w:rPr>
            </w:pPr>
            <w:r w:rsidRPr="007D15C3">
              <w:rPr>
                <w:rFonts w:cs="Calibri"/>
              </w:rPr>
              <w:t xml:space="preserve">            2,244,735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D6045E" w14:textId="77777777">
            <w:pPr>
              <w:jc w:val="right"/>
              <w:rPr>
                <w:rFonts w:cs="Calibri"/>
              </w:rPr>
            </w:pPr>
            <w:r w:rsidRPr="007D15C3">
              <w:rPr>
                <w:rFonts w:cs="Calibri"/>
              </w:rPr>
              <w:t>$17,592</w:t>
            </w:r>
          </w:p>
        </w:tc>
      </w:tr>
      <w:tr w14:paraId="307860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200460" w14:textId="77777777">
            <w:pPr>
              <w:jc w:val="center"/>
              <w:rPr>
                <w:rFonts w:cs="Calibri"/>
              </w:rPr>
            </w:pPr>
            <w:r w:rsidRPr="007D15C3">
              <w:rPr>
                <w:rFonts w:cs="Calibri"/>
              </w:rPr>
              <w:t>38616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54979D" w14:textId="77777777">
            <w:pPr>
              <w:jc w:val="center"/>
              <w:rPr>
                <w:rFonts w:cs="Calibri"/>
              </w:rPr>
            </w:pPr>
            <w:r w:rsidRPr="007D15C3">
              <w:rPr>
                <w:rFonts w:cs="Calibri"/>
              </w:rPr>
              <w:t>WBRZ-TV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49397B" w14:textId="77777777">
            <w:pPr>
              <w:rPr>
                <w:rFonts w:cs="Calibri"/>
              </w:rPr>
            </w:pPr>
            <w:r w:rsidRPr="007D15C3">
              <w:rPr>
                <w:rFonts w:cs="Calibri"/>
              </w:rPr>
              <w:t xml:space="preserve">          2,223,336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2ED630" w14:textId="77777777">
            <w:pPr>
              <w:rPr>
                <w:rFonts w:cs="Calibri"/>
              </w:rPr>
            </w:pPr>
            <w:r w:rsidRPr="007D15C3">
              <w:rPr>
                <w:rFonts w:cs="Calibri"/>
              </w:rPr>
              <w:t xml:space="preserve">            2,222,309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DBB340" w14:textId="77777777">
            <w:pPr>
              <w:jc w:val="right"/>
              <w:rPr>
                <w:rFonts w:cs="Calibri"/>
              </w:rPr>
            </w:pPr>
            <w:r w:rsidRPr="007D15C3">
              <w:rPr>
                <w:rFonts w:cs="Calibri"/>
              </w:rPr>
              <w:t>$17,416</w:t>
            </w:r>
          </w:p>
        </w:tc>
      </w:tr>
      <w:tr w14:paraId="0E9401D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1A64C5" w14:textId="77777777">
            <w:pPr>
              <w:jc w:val="center"/>
              <w:rPr>
                <w:rFonts w:cs="Calibri"/>
              </w:rPr>
            </w:pPr>
            <w:r w:rsidRPr="007D15C3">
              <w:rPr>
                <w:rFonts w:cs="Calibri"/>
              </w:rPr>
              <w:t>82627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988660" w14:textId="77777777">
            <w:pPr>
              <w:jc w:val="center"/>
              <w:rPr>
                <w:rFonts w:cs="Calibri"/>
              </w:rPr>
            </w:pPr>
            <w:r w:rsidRPr="007D15C3">
              <w:rPr>
                <w:rFonts w:cs="Calibri"/>
              </w:rPr>
              <w:t>WBSF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67DC2D" w14:textId="77777777">
            <w:pPr>
              <w:rPr>
                <w:rFonts w:cs="Calibri"/>
              </w:rPr>
            </w:pPr>
            <w:r w:rsidRPr="007D15C3">
              <w:rPr>
                <w:rFonts w:cs="Calibri"/>
              </w:rPr>
              <w:t xml:space="preserve">          1,836,543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76993E" w14:textId="77777777">
            <w:pPr>
              <w:rPr>
                <w:rFonts w:cs="Calibri"/>
              </w:rPr>
            </w:pPr>
            <w:r w:rsidRPr="007D15C3">
              <w:rPr>
                <w:rFonts w:cs="Calibri"/>
              </w:rPr>
              <w:t xml:space="preserve">            1,832,446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E1B2C6" w14:textId="77777777">
            <w:pPr>
              <w:jc w:val="right"/>
              <w:rPr>
                <w:rFonts w:cs="Calibri"/>
              </w:rPr>
            </w:pPr>
            <w:r w:rsidRPr="007D15C3">
              <w:rPr>
                <w:rFonts w:cs="Calibri"/>
              </w:rPr>
              <w:t>$14,361</w:t>
            </w:r>
          </w:p>
        </w:tc>
      </w:tr>
      <w:tr w14:paraId="13C4A3CE"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175983" w14:textId="77777777">
            <w:pPr>
              <w:jc w:val="center"/>
              <w:rPr>
                <w:rFonts w:cs="Calibri"/>
              </w:rPr>
            </w:pPr>
            <w:r w:rsidRPr="007D15C3">
              <w:rPr>
                <w:rFonts w:cs="Calibri"/>
              </w:rPr>
              <w:t>30826</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1DD1F093" w14:textId="77777777">
            <w:pPr>
              <w:jc w:val="center"/>
              <w:rPr>
                <w:rFonts w:cs="Calibri"/>
              </w:rPr>
            </w:pPr>
            <w:r w:rsidRPr="007D15C3">
              <w:rPr>
                <w:rFonts w:cs="Calibri"/>
              </w:rPr>
              <w:t>WBTV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A070628" w14:textId="77777777">
            <w:pPr>
              <w:rPr>
                <w:rFonts w:cs="Calibri"/>
              </w:rPr>
            </w:pPr>
            <w:r w:rsidRPr="007D15C3">
              <w:rPr>
                <w:rFonts w:cs="Calibri"/>
              </w:rPr>
              <w:t xml:space="preserve">          4,433,020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A83DC57" w14:textId="77777777">
            <w:pPr>
              <w:rPr>
                <w:rFonts w:cs="Calibri"/>
              </w:rPr>
            </w:pPr>
            <w:r w:rsidRPr="007D15C3">
              <w:rPr>
                <w:rFonts w:cs="Calibri"/>
              </w:rPr>
              <w:t xml:space="preserve">            4,295,962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FA8A4BC" w14:textId="77777777">
            <w:pPr>
              <w:jc w:val="right"/>
              <w:rPr>
                <w:rFonts w:cs="Calibri"/>
              </w:rPr>
            </w:pPr>
            <w:r w:rsidRPr="007D15C3">
              <w:rPr>
                <w:rFonts w:cs="Calibri"/>
              </w:rPr>
              <w:t>$33,667</w:t>
            </w:r>
          </w:p>
        </w:tc>
      </w:tr>
      <w:tr w14:paraId="5B7EF9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CCD1B3" w14:textId="77777777">
            <w:pPr>
              <w:jc w:val="center"/>
              <w:rPr>
                <w:rFonts w:cs="Calibri"/>
              </w:rPr>
            </w:pPr>
            <w:r w:rsidRPr="007D15C3">
              <w:rPr>
                <w:rFonts w:cs="Calibri"/>
              </w:rPr>
              <w:t>66407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95C540" w14:textId="77777777">
            <w:pPr>
              <w:jc w:val="center"/>
              <w:rPr>
                <w:rFonts w:cs="Calibri"/>
              </w:rPr>
            </w:pPr>
            <w:r w:rsidRPr="007D15C3">
              <w:rPr>
                <w:rFonts w:cs="Calibri"/>
              </w:rPr>
              <w:t>WBTW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BD0098" w14:textId="77777777">
            <w:pPr>
              <w:rPr>
                <w:rFonts w:cs="Calibri"/>
              </w:rPr>
            </w:pPr>
            <w:r w:rsidRPr="007D15C3">
              <w:rPr>
                <w:rFonts w:cs="Calibri"/>
              </w:rPr>
              <w:t xml:space="preserve">          1,975,457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CC809D" w14:textId="77777777">
            <w:pPr>
              <w:rPr>
                <w:rFonts w:cs="Calibri"/>
              </w:rPr>
            </w:pPr>
            <w:r w:rsidRPr="007D15C3">
              <w:rPr>
                <w:rFonts w:cs="Calibri"/>
              </w:rPr>
              <w:t xml:space="preserve">            1,959,172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EE61F" w14:textId="77777777">
            <w:pPr>
              <w:jc w:val="right"/>
              <w:rPr>
                <w:rFonts w:cs="Calibri"/>
              </w:rPr>
            </w:pPr>
            <w:r w:rsidRPr="007D15C3">
              <w:rPr>
                <w:rFonts w:cs="Calibri"/>
              </w:rPr>
              <w:t>$15,354</w:t>
            </w:r>
          </w:p>
        </w:tc>
      </w:tr>
      <w:tr w14:paraId="42B7087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497119" w14:textId="77777777">
            <w:pPr>
              <w:jc w:val="center"/>
              <w:rPr>
                <w:rFonts w:cs="Calibri"/>
              </w:rPr>
            </w:pPr>
            <w:r w:rsidRPr="007D15C3">
              <w:rPr>
                <w:rFonts w:cs="Calibri"/>
              </w:rPr>
              <w:t>16363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848E2B" w14:textId="77777777">
            <w:pPr>
              <w:jc w:val="center"/>
              <w:rPr>
                <w:rFonts w:cs="Calibri"/>
              </w:rPr>
            </w:pPr>
            <w:r w:rsidRPr="007D15C3">
              <w:rPr>
                <w:rFonts w:cs="Calibri"/>
              </w:rPr>
              <w:t>WBUI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4EE968" w14:textId="77777777">
            <w:pPr>
              <w:rPr>
                <w:rFonts w:cs="Calibri"/>
              </w:rPr>
            </w:pPr>
            <w:r w:rsidRPr="007D15C3">
              <w:rPr>
                <w:rFonts w:cs="Calibri"/>
              </w:rPr>
              <w:t xml:space="preserve">             981,884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5CEFD4" w14:textId="77777777">
            <w:pPr>
              <w:rPr>
                <w:rFonts w:cs="Calibri"/>
              </w:rPr>
            </w:pPr>
            <w:r w:rsidRPr="007D15C3">
              <w:rPr>
                <w:rFonts w:cs="Calibri"/>
              </w:rPr>
              <w:t xml:space="preserve">               981,868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988EF" w14:textId="77777777">
            <w:pPr>
              <w:jc w:val="right"/>
              <w:rPr>
                <w:rFonts w:cs="Calibri"/>
              </w:rPr>
            </w:pPr>
            <w:r w:rsidRPr="007D15C3">
              <w:rPr>
                <w:rFonts w:cs="Calibri"/>
              </w:rPr>
              <w:t>$7,695</w:t>
            </w:r>
          </w:p>
        </w:tc>
      </w:tr>
      <w:tr w14:paraId="66D1011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CCE706" w14:textId="77777777">
            <w:pPr>
              <w:jc w:val="center"/>
              <w:rPr>
                <w:rFonts w:cs="Calibri"/>
              </w:rPr>
            </w:pPr>
            <w:r w:rsidRPr="007D15C3">
              <w:rPr>
                <w:rFonts w:cs="Calibri"/>
              </w:rPr>
              <w:t>59281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C77539" w14:textId="77777777">
            <w:pPr>
              <w:jc w:val="center"/>
              <w:rPr>
                <w:rFonts w:cs="Calibri"/>
              </w:rPr>
            </w:pPr>
            <w:r w:rsidRPr="007D15C3">
              <w:rPr>
                <w:rFonts w:cs="Calibri"/>
              </w:rPr>
              <w:t>WBUP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E8CD59" w14:textId="77777777">
            <w:pPr>
              <w:rPr>
                <w:rFonts w:cs="Calibri"/>
              </w:rPr>
            </w:pPr>
            <w:r w:rsidRPr="007D15C3">
              <w:rPr>
                <w:rFonts w:cs="Calibri"/>
              </w:rPr>
              <w:t xml:space="preserve">             126,472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1A9E4C" w14:textId="77777777">
            <w:pPr>
              <w:rPr>
                <w:rFonts w:cs="Calibri"/>
              </w:rPr>
            </w:pPr>
            <w:r w:rsidRPr="007D15C3">
              <w:rPr>
                <w:rFonts w:cs="Calibri"/>
              </w:rPr>
              <w:t xml:space="preserve">               112,603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37A565" w14:textId="77777777">
            <w:pPr>
              <w:jc w:val="right"/>
              <w:rPr>
                <w:rFonts w:cs="Calibri"/>
              </w:rPr>
            </w:pPr>
            <w:r w:rsidRPr="007D15C3">
              <w:rPr>
                <w:rFonts w:cs="Calibri"/>
              </w:rPr>
              <w:t>$882</w:t>
            </w:r>
          </w:p>
        </w:tc>
      </w:tr>
      <w:tr w14:paraId="41A143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B238A52" w14:textId="77777777">
            <w:pPr>
              <w:jc w:val="center"/>
              <w:rPr>
                <w:rFonts w:cs="Calibri"/>
              </w:rPr>
            </w:pPr>
            <w:r w:rsidRPr="007D15C3">
              <w:rPr>
                <w:rFonts w:cs="Calibri"/>
              </w:rPr>
              <w:t>60830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7E6A1F" w14:textId="77777777">
            <w:pPr>
              <w:jc w:val="center"/>
              <w:rPr>
                <w:rFonts w:cs="Calibri"/>
              </w:rPr>
            </w:pPr>
            <w:r w:rsidRPr="007D15C3">
              <w:rPr>
                <w:rFonts w:cs="Calibri"/>
              </w:rPr>
              <w:t>WBUY-TV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B9E455" w14:textId="77777777">
            <w:pPr>
              <w:rPr>
                <w:rFonts w:cs="Calibri"/>
              </w:rPr>
            </w:pPr>
            <w:r w:rsidRPr="007D15C3">
              <w:rPr>
                <w:rFonts w:cs="Calibri"/>
              </w:rPr>
              <w:t xml:space="preserve">          1,569,254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7945C8" w14:textId="77777777">
            <w:pPr>
              <w:rPr>
                <w:rFonts w:cs="Calibri"/>
              </w:rPr>
            </w:pPr>
            <w:r w:rsidRPr="007D15C3">
              <w:rPr>
                <w:rFonts w:cs="Calibri"/>
              </w:rPr>
              <w:t xml:space="preserve">            1,567,815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76C646" w14:textId="77777777">
            <w:pPr>
              <w:jc w:val="right"/>
              <w:rPr>
                <w:rFonts w:cs="Calibri"/>
              </w:rPr>
            </w:pPr>
            <w:r w:rsidRPr="007D15C3">
              <w:rPr>
                <w:rFonts w:cs="Calibri"/>
              </w:rPr>
              <w:t>$12,287</w:t>
            </w:r>
          </w:p>
        </w:tc>
      </w:tr>
      <w:tr w14:paraId="1A8397D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9D9D3A" w14:textId="77777777">
            <w:pPr>
              <w:jc w:val="center"/>
              <w:rPr>
                <w:rFonts w:cs="Calibri"/>
              </w:rPr>
            </w:pPr>
            <w:r w:rsidRPr="007D15C3">
              <w:rPr>
                <w:rFonts w:cs="Calibri"/>
              </w:rPr>
              <w:t>72971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A5B600" w14:textId="77777777">
            <w:pPr>
              <w:jc w:val="center"/>
              <w:rPr>
                <w:rFonts w:cs="Calibri"/>
              </w:rPr>
            </w:pPr>
            <w:r w:rsidRPr="007D15C3">
              <w:rPr>
                <w:rFonts w:cs="Calibri"/>
              </w:rPr>
              <w:t>WBXX-TV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44087A" w14:textId="77777777">
            <w:pPr>
              <w:rPr>
                <w:rFonts w:cs="Calibri"/>
              </w:rPr>
            </w:pPr>
            <w:r w:rsidRPr="007D15C3">
              <w:rPr>
                <w:rFonts w:cs="Calibri"/>
              </w:rPr>
              <w:t xml:space="preserve">          2,142,759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05E812" w14:textId="77777777">
            <w:pPr>
              <w:rPr>
                <w:rFonts w:cs="Calibri"/>
              </w:rPr>
            </w:pPr>
            <w:r w:rsidRPr="007D15C3">
              <w:rPr>
                <w:rFonts w:cs="Calibri"/>
              </w:rPr>
              <w:t xml:space="preserve">            1,984,544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A4B36A" w14:textId="77777777">
            <w:pPr>
              <w:jc w:val="right"/>
              <w:rPr>
                <w:rFonts w:cs="Calibri"/>
              </w:rPr>
            </w:pPr>
            <w:r w:rsidRPr="007D15C3">
              <w:rPr>
                <w:rFonts w:cs="Calibri"/>
              </w:rPr>
              <w:t>$15,553</w:t>
            </w:r>
          </w:p>
        </w:tc>
      </w:tr>
      <w:tr w14:paraId="649411F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63EA24" w14:textId="77777777">
            <w:pPr>
              <w:jc w:val="center"/>
              <w:rPr>
                <w:rFonts w:cs="Calibri"/>
              </w:rPr>
            </w:pPr>
            <w:r w:rsidRPr="007D15C3">
              <w:rPr>
                <w:rFonts w:cs="Calibri"/>
              </w:rPr>
              <w:t>25456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1A5048" w14:textId="77777777">
            <w:pPr>
              <w:jc w:val="center"/>
              <w:rPr>
                <w:rFonts w:cs="Calibri"/>
              </w:rPr>
            </w:pPr>
            <w:r w:rsidRPr="007D15C3">
              <w:rPr>
                <w:rFonts w:cs="Calibri"/>
              </w:rPr>
              <w:t>WBZ-TV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868E87" w14:textId="77777777">
            <w:pPr>
              <w:rPr>
                <w:rFonts w:cs="Calibri"/>
              </w:rPr>
            </w:pPr>
            <w:r w:rsidRPr="007D15C3">
              <w:rPr>
                <w:rFonts w:cs="Calibri"/>
              </w:rPr>
              <w:t xml:space="preserve">          7,764,394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16CFF9" w14:textId="77777777">
            <w:pPr>
              <w:rPr>
                <w:rFonts w:cs="Calibri"/>
              </w:rPr>
            </w:pPr>
            <w:r w:rsidRPr="007D15C3">
              <w:rPr>
                <w:rFonts w:cs="Calibri"/>
              </w:rPr>
              <w:t xml:space="preserve">            7,616,633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3551E8" w14:textId="77777777">
            <w:pPr>
              <w:jc w:val="right"/>
              <w:rPr>
                <w:rFonts w:cs="Calibri"/>
              </w:rPr>
            </w:pPr>
            <w:r w:rsidRPr="007D15C3">
              <w:rPr>
                <w:rFonts w:cs="Calibri"/>
              </w:rPr>
              <w:t>$59,692</w:t>
            </w:r>
          </w:p>
        </w:tc>
      </w:tr>
      <w:tr w14:paraId="02CC9C5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810A2B" w14:textId="77777777">
            <w:pPr>
              <w:jc w:val="center"/>
              <w:rPr>
                <w:rFonts w:cs="Calibri"/>
              </w:rPr>
            </w:pPr>
            <w:r w:rsidRPr="007D15C3">
              <w:rPr>
                <w:rFonts w:cs="Calibri"/>
              </w:rPr>
              <w:t>63153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6FCF44" w14:textId="77777777">
            <w:pPr>
              <w:jc w:val="center"/>
              <w:rPr>
                <w:rFonts w:cs="Calibri"/>
              </w:rPr>
            </w:pPr>
            <w:r w:rsidRPr="007D15C3">
              <w:rPr>
                <w:rFonts w:cs="Calibri"/>
              </w:rPr>
              <w:t>WCAU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6F2DA8" w14:textId="77777777">
            <w:pPr>
              <w:rPr>
                <w:rFonts w:cs="Calibri"/>
              </w:rPr>
            </w:pPr>
            <w:r w:rsidRPr="007D15C3">
              <w:rPr>
                <w:rFonts w:cs="Calibri"/>
              </w:rPr>
              <w:t xml:space="preserve">        11,269,831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376A97" w14:textId="77777777">
            <w:pPr>
              <w:rPr>
                <w:rFonts w:cs="Calibri"/>
              </w:rPr>
            </w:pPr>
            <w:r w:rsidRPr="007D15C3">
              <w:rPr>
                <w:rFonts w:cs="Calibri"/>
              </w:rPr>
              <w:t xml:space="preserve">          11,098,540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00CD30" w14:textId="77777777">
            <w:pPr>
              <w:jc w:val="right"/>
              <w:rPr>
                <w:rFonts w:cs="Calibri"/>
              </w:rPr>
            </w:pPr>
            <w:r w:rsidRPr="007D15C3">
              <w:rPr>
                <w:rFonts w:cs="Calibri"/>
              </w:rPr>
              <w:t>$86,979</w:t>
            </w:r>
          </w:p>
        </w:tc>
      </w:tr>
      <w:tr w14:paraId="36FE13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961FF3" w14:textId="77777777">
            <w:pPr>
              <w:jc w:val="center"/>
              <w:rPr>
                <w:rFonts w:cs="Calibri"/>
              </w:rPr>
            </w:pPr>
            <w:r w:rsidRPr="007D15C3">
              <w:rPr>
                <w:rFonts w:cs="Calibri"/>
              </w:rPr>
              <w:t>363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549A86" w14:textId="77777777">
            <w:pPr>
              <w:jc w:val="center"/>
              <w:rPr>
                <w:rFonts w:cs="Calibri"/>
              </w:rPr>
            </w:pPr>
            <w:r w:rsidRPr="007D15C3">
              <w:rPr>
                <w:rFonts w:cs="Calibri"/>
              </w:rPr>
              <w:t>WCAV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B8F128" w14:textId="77777777">
            <w:pPr>
              <w:rPr>
                <w:rFonts w:cs="Calibri"/>
              </w:rPr>
            </w:pPr>
            <w:r w:rsidRPr="007D15C3">
              <w:rPr>
                <w:rFonts w:cs="Calibri"/>
              </w:rPr>
              <w:t xml:space="preserve">             949,729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084347" w14:textId="77777777">
            <w:pPr>
              <w:rPr>
                <w:rFonts w:cs="Calibri"/>
              </w:rPr>
            </w:pPr>
            <w:r w:rsidRPr="007D15C3">
              <w:rPr>
                <w:rFonts w:cs="Calibri"/>
              </w:rPr>
              <w:t xml:space="preserve">               727,455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9DA08" w14:textId="77777777">
            <w:pPr>
              <w:jc w:val="right"/>
              <w:rPr>
                <w:rFonts w:cs="Calibri"/>
              </w:rPr>
            </w:pPr>
            <w:r w:rsidRPr="007D15C3">
              <w:rPr>
                <w:rFonts w:cs="Calibri"/>
              </w:rPr>
              <w:t>$5,701</w:t>
            </w:r>
          </w:p>
        </w:tc>
      </w:tr>
      <w:tr w14:paraId="030BA9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33E232" w14:textId="77777777">
            <w:pPr>
              <w:jc w:val="center"/>
              <w:rPr>
                <w:rFonts w:cs="Calibri"/>
              </w:rPr>
            </w:pPr>
            <w:r w:rsidRPr="007D15C3">
              <w:rPr>
                <w:rFonts w:cs="Calibri"/>
              </w:rPr>
              <w:t>46728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79815C" w14:textId="77777777">
            <w:pPr>
              <w:jc w:val="center"/>
              <w:rPr>
                <w:rFonts w:cs="Calibri"/>
              </w:rPr>
            </w:pPr>
            <w:r w:rsidRPr="007D15C3">
              <w:rPr>
                <w:rFonts w:cs="Calibri"/>
              </w:rPr>
              <w:t>WCAX-TV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64A786" w14:textId="77777777">
            <w:pPr>
              <w:rPr>
                <w:rFonts w:cs="Calibri"/>
              </w:rPr>
            </w:pPr>
            <w:r w:rsidRPr="007D15C3">
              <w:rPr>
                <w:rFonts w:cs="Calibri"/>
              </w:rPr>
              <w:t xml:space="preserve">             784,748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7B9851" w14:textId="77777777">
            <w:pPr>
              <w:rPr>
                <w:rFonts w:cs="Calibri"/>
              </w:rPr>
            </w:pPr>
            <w:r w:rsidRPr="007D15C3">
              <w:rPr>
                <w:rFonts w:cs="Calibri"/>
              </w:rPr>
              <w:t xml:space="preserve">               661,547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8F570F" w14:textId="77777777">
            <w:pPr>
              <w:jc w:val="right"/>
              <w:rPr>
                <w:rFonts w:cs="Calibri"/>
              </w:rPr>
            </w:pPr>
            <w:r w:rsidRPr="007D15C3">
              <w:rPr>
                <w:rFonts w:cs="Calibri"/>
              </w:rPr>
              <w:t>$5,185</w:t>
            </w:r>
          </w:p>
        </w:tc>
      </w:tr>
      <w:tr w14:paraId="73415A8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611FF3" w14:textId="77777777">
            <w:pPr>
              <w:jc w:val="center"/>
              <w:rPr>
                <w:rFonts w:cs="Calibri"/>
              </w:rPr>
            </w:pPr>
            <w:r w:rsidRPr="007D15C3">
              <w:rPr>
                <w:rFonts w:cs="Calibri"/>
              </w:rPr>
              <w:t>39659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13B161" w14:textId="77777777">
            <w:pPr>
              <w:jc w:val="center"/>
              <w:rPr>
                <w:rFonts w:cs="Calibri"/>
              </w:rPr>
            </w:pPr>
            <w:r w:rsidRPr="007D15C3">
              <w:rPr>
                <w:rFonts w:cs="Calibri"/>
              </w:rPr>
              <w:t>WCBB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88A9A3" w14:textId="77777777">
            <w:pPr>
              <w:rPr>
                <w:rFonts w:cs="Calibri"/>
              </w:rPr>
            </w:pPr>
            <w:r w:rsidRPr="007D15C3">
              <w:rPr>
                <w:rFonts w:cs="Calibri"/>
              </w:rPr>
              <w:t xml:space="preserve">             964,079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E08C10" w14:textId="77777777">
            <w:pPr>
              <w:rPr>
                <w:rFonts w:cs="Calibri"/>
              </w:rPr>
            </w:pPr>
            <w:r w:rsidRPr="007D15C3">
              <w:rPr>
                <w:rFonts w:cs="Calibri"/>
              </w:rPr>
              <w:t xml:space="preserve">               910,222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69FDFA" w14:textId="77777777">
            <w:pPr>
              <w:jc w:val="right"/>
              <w:rPr>
                <w:rFonts w:cs="Calibri"/>
              </w:rPr>
            </w:pPr>
            <w:r w:rsidRPr="007D15C3">
              <w:rPr>
                <w:rFonts w:cs="Calibri"/>
              </w:rPr>
              <w:t>$7,133</w:t>
            </w:r>
          </w:p>
        </w:tc>
      </w:tr>
      <w:tr w14:paraId="34DAF1B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3BC172" w14:textId="77777777">
            <w:pPr>
              <w:jc w:val="center"/>
              <w:rPr>
                <w:rFonts w:cs="Calibri"/>
              </w:rPr>
            </w:pPr>
            <w:r w:rsidRPr="007D15C3">
              <w:rPr>
                <w:rFonts w:cs="Calibri"/>
              </w:rPr>
              <w:t>10587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78ED61" w14:textId="77777777">
            <w:pPr>
              <w:jc w:val="center"/>
              <w:rPr>
                <w:rFonts w:cs="Calibri"/>
              </w:rPr>
            </w:pPr>
            <w:r w:rsidRPr="007D15C3">
              <w:rPr>
                <w:rFonts w:cs="Calibri"/>
              </w:rPr>
              <w:t>WCBD-TV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37A092" w14:textId="77777777">
            <w:pPr>
              <w:rPr>
                <w:rFonts w:cs="Calibri"/>
              </w:rPr>
            </w:pPr>
            <w:r w:rsidRPr="007D15C3">
              <w:rPr>
                <w:rFonts w:cs="Calibri"/>
              </w:rPr>
              <w:t xml:space="preserve">          1,149,489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17BDF5" w14:textId="77777777">
            <w:pPr>
              <w:rPr>
                <w:rFonts w:cs="Calibri"/>
              </w:rPr>
            </w:pPr>
            <w:r w:rsidRPr="007D15C3">
              <w:rPr>
                <w:rFonts w:cs="Calibri"/>
              </w:rPr>
              <w:t xml:space="preserve">            1,149,489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DF2D55" w14:textId="77777777">
            <w:pPr>
              <w:jc w:val="right"/>
              <w:rPr>
                <w:rFonts w:cs="Calibri"/>
              </w:rPr>
            </w:pPr>
            <w:r w:rsidRPr="007D15C3">
              <w:rPr>
                <w:rFonts w:cs="Calibri"/>
              </w:rPr>
              <w:t>$9,009</w:t>
            </w:r>
          </w:p>
        </w:tc>
      </w:tr>
      <w:tr w14:paraId="5DC7F52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78D406" w14:textId="77777777">
            <w:pPr>
              <w:jc w:val="center"/>
              <w:rPr>
                <w:rFonts w:cs="Calibri"/>
              </w:rPr>
            </w:pPr>
            <w:r w:rsidRPr="007D15C3">
              <w:rPr>
                <w:rFonts w:cs="Calibri"/>
              </w:rPr>
              <w:t>12477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6AC765" w14:textId="77777777">
            <w:pPr>
              <w:jc w:val="center"/>
              <w:rPr>
                <w:rFonts w:cs="Calibri"/>
              </w:rPr>
            </w:pPr>
            <w:r w:rsidRPr="007D15C3">
              <w:rPr>
                <w:rFonts w:cs="Calibri"/>
              </w:rPr>
              <w:t>WCBI-TV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701FAA" w14:textId="77777777">
            <w:pPr>
              <w:rPr>
                <w:rFonts w:cs="Calibri"/>
              </w:rPr>
            </w:pPr>
            <w:r w:rsidRPr="007D15C3">
              <w:rPr>
                <w:rFonts w:cs="Calibri"/>
              </w:rPr>
              <w:t xml:space="preserve">             680,511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7BC2E2" w14:textId="77777777">
            <w:pPr>
              <w:rPr>
                <w:rFonts w:cs="Calibri"/>
              </w:rPr>
            </w:pPr>
            <w:r w:rsidRPr="007D15C3">
              <w:rPr>
                <w:rFonts w:cs="Calibri"/>
              </w:rPr>
              <w:t xml:space="preserve">               678,424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F010F8" w14:textId="77777777">
            <w:pPr>
              <w:jc w:val="right"/>
              <w:rPr>
                <w:rFonts w:cs="Calibri"/>
              </w:rPr>
            </w:pPr>
            <w:r w:rsidRPr="007D15C3">
              <w:rPr>
                <w:rFonts w:cs="Calibri"/>
              </w:rPr>
              <w:t>$5,317</w:t>
            </w:r>
          </w:p>
        </w:tc>
      </w:tr>
      <w:tr w14:paraId="3C9C6F1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13B034" w14:textId="77777777">
            <w:pPr>
              <w:jc w:val="center"/>
              <w:rPr>
                <w:rFonts w:cs="Calibri"/>
              </w:rPr>
            </w:pPr>
            <w:r w:rsidRPr="007D15C3">
              <w:rPr>
                <w:rFonts w:cs="Calibri"/>
              </w:rPr>
              <w:t>9610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5BA418" w14:textId="77777777">
            <w:pPr>
              <w:jc w:val="center"/>
              <w:rPr>
                <w:rFonts w:cs="Calibri"/>
              </w:rPr>
            </w:pPr>
            <w:r w:rsidRPr="007D15C3">
              <w:rPr>
                <w:rFonts w:cs="Calibri"/>
              </w:rPr>
              <w:t>WCBS-TV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B2E118" w14:textId="77777777">
            <w:pPr>
              <w:rPr>
                <w:rFonts w:cs="Calibri"/>
              </w:rPr>
            </w:pPr>
            <w:r w:rsidRPr="007D15C3">
              <w:rPr>
                <w:rFonts w:cs="Calibri"/>
              </w:rPr>
              <w:t xml:space="preserve">        21,713,751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722E48" w14:textId="77777777">
            <w:pPr>
              <w:rPr>
                <w:rFonts w:cs="Calibri"/>
              </w:rPr>
            </w:pPr>
            <w:r w:rsidRPr="007D15C3">
              <w:rPr>
                <w:rFonts w:cs="Calibri"/>
              </w:rPr>
              <w:t xml:space="preserve">          21,187,849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6674D1" w14:textId="77777777">
            <w:pPr>
              <w:jc w:val="right"/>
              <w:rPr>
                <w:rFonts w:cs="Calibri"/>
              </w:rPr>
            </w:pPr>
            <w:r w:rsidRPr="007D15C3">
              <w:rPr>
                <w:rFonts w:cs="Calibri"/>
              </w:rPr>
              <w:t>$166,049</w:t>
            </w:r>
          </w:p>
        </w:tc>
      </w:tr>
      <w:tr w14:paraId="790215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5E6DE4" w14:textId="77777777">
            <w:pPr>
              <w:jc w:val="center"/>
              <w:rPr>
                <w:rFonts w:cs="Calibri"/>
              </w:rPr>
            </w:pPr>
            <w:r w:rsidRPr="007D15C3">
              <w:rPr>
                <w:rFonts w:cs="Calibri"/>
              </w:rPr>
              <w:t>49157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AAA7EF" w14:textId="77777777">
            <w:pPr>
              <w:jc w:val="center"/>
              <w:rPr>
                <w:rFonts w:cs="Calibri"/>
              </w:rPr>
            </w:pPr>
            <w:r w:rsidRPr="007D15C3">
              <w:rPr>
                <w:rFonts w:cs="Calibri"/>
              </w:rPr>
              <w:t>WCCB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F94913" w14:textId="77777777">
            <w:pPr>
              <w:rPr>
                <w:rFonts w:cs="Calibri"/>
              </w:rPr>
            </w:pPr>
            <w:r w:rsidRPr="007D15C3">
              <w:rPr>
                <w:rFonts w:cs="Calibri"/>
              </w:rPr>
              <w:t xml:space="preserve">          3,542,464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754229" w14:textId="77777777">
            <w:pPr>
              <w:rPr>
                <w:rFonts w:cs="Calibri"/>
              </w:rPr>
            </w:pPr>
            <w:r w:rsidRPr="007D15C3">
              <w:rPr>
                <w:rFonts w:cs="Calibri"/>
              </w:rPr>
              <w:t xml:space="preserve">            3,489,260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77D3B7" w14:textId="77777777">
            <w:pPr>
              <w:jc w:val="right"/>
              <w:rPr>
                <w:rFonts w:cs="Calibri"/>
              </w:rPr>
            </w:pPr>
            <w:r w:rsidRPr="007D15C3">
              <w:rPr>
                <w:rFonts w:cs="Calibri"/>
              </w:rPr>
              <w:t>$27,345</w:t>
            </w:r>
          </w:p>
        </w:tc>
      </w:tr>
      <w:tr w14:paraId="2F7793F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0D4E7E" w14:textId="77777777">
            <w:pPr>
              <w:jc w:val="center"/>
              <w:rPr>
                <w:rFonts w:cs="Calibri"/>
              </w:rPr>
            </w:pPr>
            <w:r w:rsidRPr="007D15C3">
              <w:rPr>
                <w:rFonts w:cs="Calibri"/>
              </w:rPr>
              <w:t>9629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89332D" w14:textId="77777777">
            <w:pPr>
              <w:jc w:val="center"/>
              <w:rPr>
                <w:rFonts w:cs="Calibri"/>
              </w:rPr>
            </w:pPr>
            <w:r w:rsidRPr="007D15C3">
              <w:rPr>
                <w:rFonts w:cs="Calibri"/>
              </w:rPr>
              <w:t>WCCO-TV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7D4BC5" w14:textId="77777777">
            <w:pPr>
              <w:rPr>
                <w:rFonts w:cs="Calibri"/>
              </w:rPr>
            </w:pPr>
            <w:r w:rsidRPr="007D15C3">
              <w:rPr>
                <w:rFonts w:cs="Calibri"/>
              </w:rPr>
              <w:t xml:space="preserve">          3,837,442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D09950" w14:textId="77777777">
            <w:pPr>
              <w:rPr>
                <w:rFonts w:cs="Calibri"/>
              </w:rPr>
            </w:pPr>
            <w:r w:rsidRPr="007D15C3">
              <w:rPr>
                <w:rFonts w:cs="Calibri"/>
              </w:rPr>
              <w:t xml:space="preserve">            3,829,714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96563F" w14:textId="77777777">
            <w:pPr>
              <w:jc w:val="right"/>
              <w:rPr>
                <w:rFonts w:cs="Calibri"/>
              </w:rPr>
            </w:pPr>
            <w:r w:rsidRPr="007D15C3">
              <w:rPr>
                <w:rFonts w:cs="Calibri"/>
              </w:rPr>
              <w:t>$30,013</w:t>
            </w:r>
          </w:p>
        </w:tc>
      </w:tr>
      <w:tr w14:paraId="14CD1C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7445EC" w14:textId="77777777">
            <w:pPr>
              <w:jc w:val="center"/>
              <w:rPr>
                <w:rFonts w:cs="Calibri"/>
              </w:rPr>
            </w:pPr>
            <w:r w:rsidRPr="007D15C3">
              <w:rPr>
                <w:rFonts w:cs="Calibri"/>
              </w:rPr>
              <w:t>14050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AB2463" w14:textId="77777777">
            <w:pPr>
              <w:jc w:val="center"/>
              <w:rPr>
                <w:rFonts w:cs="Calibri"/>
              </w:rPr>
            </w:pPr>
            <w:r w:rsidRPr="007D15C3">
              <w:rPr>
                <w:rFonts w:cs="Calibri"/>
              </w:rPr>
              <w:t>WCCT-TV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9F9F89" w14:textId="77777777">
            <w:pPr>
              <w:rPr>
                <w:rFonts w:cs="Calibri"/>
              </w:rPr>
            </w:pPr>
            <w:r w:rsidRPr="007D15C3">
              <w:rPr>
                <w:rFonts w:cs="Calibri"/>
              </w:rPr>
              <w:t xml:space="preserve">          5,818,471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B8461A" w14:textId="77777777">
            <w:pPr>
              <w:rPr>
                <w:rFonts w:cs="Calibri"/>
              </w:rPr>
            </w:pPr>
            <w:r w:rsidRPr="007D15C3">
              <w:rPr>
                <w:rFonts w:cs="Calibri"/>
              </w:rPr>
              <w:t xml:space="preserve">            5,307,612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662CB0" w14:textId="77777777">
            <w:pPr>
              <w:jc w:val="right"/>
              <w:rPr>
                <w:rFonts w:cs="Calibri"/>
              </w:rPr>
            </w:pPr>
            <w:r w:rsidRPr="007D15C3">
              <w:rPr>
                <w:rFonts w:cs="Calibri"/>
              </w:rPr>
              <w:t>$41,596</w:t>
            </w:r>
          </w:p>
        </w:tc>
      </w:tr>
      <w:tr w14:paraId="014E04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C0B111" w14:textId="77777777">
            <w:pPr>
              <w:jc w:val="center"/>
              <w:rPr>
                <w:rFonts w:cs="Calibri"/>
              </w:rPr>
            </w:pPr>
            <w:r w:rsidRPr="007D15C3">
              <w:rPr>
                <w:rFonts w:cs="Calibri"/>
              </w:rPr>
              <w:t>69544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55A467" w14:textId="77777777">
            <w:pPr>
              <w:jc w:val="center"/>
              <w:rPr>
                <w:rFonts w:cs="Calibri"/>
              </w:rPr>
            </w:pPr>
            <w:r w:rsidRPr="007D15C3">
              <w:rPr>
                <w:rFonts w:cs="Calibri"/>
              </w:rPr>
              <w:t>WCCU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90EB58" w14:textId="77777777">
            <w:pPr>
              <w:rPr>
                <w:rFonts w:cs="Calibri"/>
              </w:rPr>
            </w:pPr>
            <w:r w:rsidRPr="007D15C3">
              <w:rPr>
                <w:rFonts w:cs="Calibri"/>
              </w:rPr>
              <w:t xml:space="preserve">             395,106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A16656" w14:textId="77777777">
            <w:pPr>
              <w:rPr>
                <w:rFonts w:cs="Calibri"/>
              </w:rPr>
            </w:pPr>
            <w:r w:rsidRPr="007D15C3">
              <w:rPr>
                <w:rFonts w:cs="Calibri"/>
              </w:rPr>
              <w:t xml:space="preserve">               395,102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DFC323" w14:textId="77777777">
            <w:pPr>
              <w:jc w:val="right"/>
              <w:rPr>
                <w:rFonts w:cs="Calibri"/>
              </w:rPr>
            </w:pPr>
            <w:r w:rsidRPr="007D15C3">
              <w:rPr>
                <w:rFonts w:cs="Calibri"/>
              </w:rPr>
              <w:t>$3,096</w:t>
            </w:r>
          </w:p>
        </w:tc>
      </w:tr>
      <w:tr w14:paraId="5CA56D3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FCA8F4" w14:textId="77777777">
            <w:pPr>
              <w:jc w:val="center"/>
              <w:rPr>
                <w:rFonts w:cs="Calibri"/>
              </w:rPr>
            </w:pPr>
            <w:r w:rsidRPr="007D15C3">
              <w:rPr>
                <w:rFonts w:cs="Calibri"/>
              </w:rPr>
              <w:t>3001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EA6584" w14:textId="77777777">
            <w:pPr>
              <w:jc w:val="center"/>
              <w:rPr>
                <w:rFonts w:cs="Calibri"/>
              </w:rPr>
            </w:pPr>
            <w:r w:rsidRPr="007D15C3">
              <w:rPr>
                <w:rFonts w:cs="Calibri"/>
              </w:rPr>
              <w:t>WCCV-TV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456C3B" w14:textId="77777777">
            <w:pPr>
              <w:rPr>
                <w:rFonts w:cs="Calibri"/>
              </w:rPr>
            </w:pPr>
            <w:r w:rsidRPr="007D15C3">
              <w:rPr>
                <w:rFonts w:cs="Calibri"/>
              </w:rPr>
              <w:t xml:space="preserve">          3,391,703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55EBA0" w14:textId="77777777">
            <w:pPr>
              <w:rPr>
                <w:rFonts w:cs="Calibri"/>
              </w:rPr>
            </w:pPr>
            <w:r w:rsidRPr="007D15C3">
              <w:rPr>
                <w:rFonts w:cs="Calibri"/>
              </w:rPr>
              <w:t xml:space="preserve">            2,482,544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3D2AF3" w14:textId="77777777">
            <w:pPr>
              <w:jc w:val="right"/>
              <w:rPr>
                <w:rFonts w:cs="Calibri"/>
              </w:rPr>
            </w:pPr>
            <w:r w:rsidRPr="007D15C3">
              <w:rPr>
                <w:rFonts w:cs="Calibri"/>
              </w:rPr>
              <w:t>$16,168</w:t>
            </w:r>
          </w:p>
        </w:tc>
      </w:tr>
      <w:tr w14:paraId="0CCAFE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5CA982" w14:textId="77777777">
            <w:pPr>
              <w:jc w:val="center"/>
              <w:rPr>
                <w:rFonts w:cs="Calibri"/>
              </w:rPr>
            </w:pPr>
            <w:r w:rsidRPr="007D15C3">
              <w:rPr>
                <w:rFonts w:cs="Calibri"/>
              </w:rPr>
              <w:t>23937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DFC3BB" w14:textId="77777777">
            <w:pPr>
              <w:jc w:val="center"/>
              <w:rPr>
                <w:rFonts w:cs="Calibri"/>
              </w:rPr>
            </w:pPr>
            <w:r w:rsidRPr="007D15C3">
              <w:rPr>
                <w:rFonts w:cs="Calibri"/>
              </w:rPr>
              <w:t>WCES-TV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64BF2B" w14:textId="77777777">
            <w:pPr>
              <w:rPr>
                <w:rFonts w:cs="Calibri"/>
              </w:rPr>
            </w:pPr>
            <w:r w:rsidRPr="007D15C3">
              <w:rPr>
                <w:rFonts w:cs="Calibri"/>
              </w:rPr>
              <w:t xml:space="preserve">          1,098,868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068D32" w14:textId="77777777">
            <w:pPr>
              <w:rPr>
                <w:rFonts w:cs="Calibri"/>
              </w:rPr>
            </w:pPr>
            <w:r w:rsidRPr="007D15C3">
              <w:rPr>
                <w:rFonts w:cs="Calibri"/>
              </w:rPr>
              <w:t xml:space="preserve">            1,097,706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636FF7" w14:textId="77777777">
            <w:pPr>
              <w:jc w:val="right"/>
              <w:rPr>
                <w:rFonts w:cs="Calibri"/>
              </w:rPr>
            </w:pPr>
            <w:r w:rsidRPr="007D15C3">
              <w:rPr>
                <w:rFonts w:cs="Calibri"/>
              </w:rPr>
              <w:t>$8,603</w:t>
            </w:r>
          </w:p>
        </w:tc>
      </w:tr>
      <w:tr w14:paraId="0A597E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81B9E0" w14:textId="77777777">
            <w:pPr>
              <w:jc w:val="center"/>
              <w:rPr>
                <w:rFonts w:cs="Calibri"/>
              </w:rPr>
            </w:pPr>
            <w:r w:rsidRPr="007D15C3">
              <w:rPr>
                <w:rFonts w:cs="Calibri"/>
              </w:rPr>
              <w:t>65666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C4AF34" w14:textId="77777777">
            <w:pPr>
              <w:jc w:val="center"/>
              <w:rPr>
                <w:rFonts w:cs="Calibri"/>
              </w:rPr>
            </w:pPr>
            <w:r w:rsidRPr="007D15C3">
              <w:rPr>
                <w:rFonts w:cs="Calibri"/>
              </w:rPr>
              <w:t>WCET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8215CB" w14:textId="77777777">
            <w:pPr>
              <w:rPr>
                <w:rFonts w:cs="Calibri"/>
              </w:rPr>
            </w:pPr>
            <w:r w:rsidRPr="007D15C3">
              <w:rPr>
                <w:rFonts w:cs="Calibri"/>
              </w:rPr>
              <w:t xml:space="preserve">          3,122,924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8AAD30" w14:textId="77777777">
            <w:pPr>
              <w:rPr>
                <w:rFonts w:cs="Calibri"/>
              </w:rPr>
            </w:pPr>
            <w:r w:rsidRPr="007D15C3">
              <w:rPr>
                <w:rFonts w:cs="Calibri"/>
              </w:rPr>
              <w:t xml:space="preserve">            3,108,328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22FD3A" w14:textId="77777777">
            <w:pPr>
              <w:jc w:val="right"/>
              <w:rPr>
                <w:rFonts w:cs="Calibri"/>
              </w:rPr>
            </w:pPr>
            <w:r w:rsidRPr="007D15C3">
              <w:rPr>
                <w:rFonts w:cs="Calibri"/>
              </w:rPr>
              <w:t>$24,360</w:t>
            </w:r>
          </w:p>
        </w:tc>
      </w:tr>
      <w:tr w14:paraId="1022BF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52F136" w14:textId="77777777">
            <w:pPr>
              <w:jc w:val="center"/>
              <w:rPr>
                <w:rFonts w:cs="Calibri"/>
              </w:rPr>
            </w:pPr>
            <w:r w:rsidRPr="007D15C3">
              <w:rPr>
                <w:rFonts w:cs="Calibri"/>
              </w:rPr>
              <w:t>46755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FC7C82" w14:textId="77777777">
            <w:pPr>
              <w:jc w:val="center"/>
              <w:rPr>
                <w:rFonts w:cs="Calibri"/>
              </w:rPr>
            </w:pPr>
            <w:r w:rsidRPr="007D15C3">
              <w:rPr>
                <w:rFonts w:cs="Calibri"/>
              </w:rPr>
              <w:t>WCFE-TV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41638A" w14:textId="77777777">
            <w:pPr>
              <w:rPr>
                <w:rFonts w:cs="Calibri"/>
              </w:rPr>
            </w:pPr>
            <w:r w:rsidRPr="007D15C3">
              <w:rPr>
                <w:rFonts w:cs="Calibri"/>
              </w:rPr>
              <w:t xml:space="preserve">             445,131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947694" w14:textId="77777777">
            <w:pPr>
              <w:rPr>
                <w:rFonts w:cs="Calibri"/>
              </w:rPr>
            </w:pPr>
            <w:r w:rsidRPr="007D15C3">
              <w:rPr>
                <w:rFonts w:cs="Calibri"/>
              </w:rPr>
              <w:t xml:space="preserve">               411,198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95F69D" w14:textId="77777777">
            <w:pPr>
              <w:jc w:val="right"/>
              <w:rPr>
                <w:rFonts w:cs="Calibri"/>
              </w:rPr>
            </w:pPr>
            <w:r w:rsidRPr="007D15C3">
              <w:rPr>
                <w:rFonts w:cs="Calibri"/>
              </w:rPr>
              <w:t>$3,223</w:t>
            </w:r>
          </w:p>
        </w:tc>
      </w:tr>
      <w:tr w14:paraId="69A6ADF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23E77F" w14:textId="77777777">
            <w:pPr>
              <w:jc w:val="center"/>
              <w:rPr>
                <w:rFonts w:cs="Calibri"/>
              </w:rPr>
            </w:pPr>
            <w:r w:rsidRPr="007D15C3">
              <w:rPr>
                <w:rFonts w:cs="Calibri"/>
              </w:rPr>
              <w:t>71280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74C170" w14:textId="77777777">
            <w:pPr>
              <w:jc w:val="center"/>
              <w:rPr>
                <w:rFonts w:cs="Calibri"/>
              </w:rPr>
            </w:pPr>
            <w:r w:rsidRPr="007D15C3">
              <w:rPr>
                <w:rFonts w:cs="Calibri"/>
              </w:rPr>
              <w:t>WCHS-TV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2DB869" w14:textId="77777777">
            <w:pPr>
              <w:rPr>
                <w:rFonts w:cs="Calibri"/>
              </w:rPr>
            </w:pPr>
            <w:r w:rsidRPr="007D15C3">
              <w:rPr>
                <w:rFonts w:cs="Calibri"/>
              </w:rPr>
              <w:t xml:space="preserve">          1,352,824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085C00" w14:textId="77777777">
            <w:pPr>
              <w:rPr>
                <w:rFonts w:cs="Calibri"/>
              </w:rPr>
            </w:pPr>
            <w:r w:rsidRPr="007D15C3">
              <w:rPr>
                <w:rFonts w:cs="Calibri"/>
              </w:rPr>
              <w:t xml:space="preserve">            1,274,766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BE4D42" w14:textId="77777777">
            <w:pPr>
              <w:jc w:val="right"/>
              <w:rPr>
                <w:rFonts w:cs="Calibri"/>
              </w:rPr>
            </w:pPr>
            <w:r w:rsidRPr="007D15C3">
              <w:rPr>
                <w:rFonts w:cs="Calibri"/>
              </w:rPr>
              <w:t>$9,990</w:t>
            </w:r>
          </w:p>
        </w:tc>
      </w:tr>
      <w:tr w14:paraId="3CA9206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6D10DC" w14:textId="77777777">
            <w:pPr>
              <w:jc w:val="center"/>
              <w:rPr>
                <w:rFonts w:cs="Calibri"/>
              </w:rPr>
            </w:pPr>
            <w:r w:rsidRPr="007D15C3">
              <w:rPr>
                <w:rFonts w:cs="Calibri"/>
              </w:rPr>
              <w:t>42124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2C94E1" w14:textId="77777777">
            <w:pPr>
              <w:jc w:val="center"/>
              <w:rPr>
                <w:rFonts w:cs="Calibri"/>
              </w:rPr>
            </w:pPr>
            <w:r w:rsidRPr="007D15C3">
              <w:rPr>
                <w:rFonts w:cs="Calibri"/>
              </w:rPr>
              <w:t>WCIA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581DC2" w14:textId="77777777">
            <w:pPr>
              <w:rPr>
                <w:rFonts w:cs="Calibri"/>
              </w:rPr>
            </w:pPr>
            <w:r w:rsidRPr="007D15C3">
              <w:rPr>
                <w:rFonts w:cs="Calibri"/>
              </w:rPr>
              <w:t xml:space="preserve">             796,609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7A60C9" w14:textId="77777777">
            <w:pPr>
              <w:rPr>
                <w:rFonts w:cs="Calibri"/>
              </w:rPr>
            </w:pPr>
            <w:r w:rsidRPr="007D15C3">
              <w:rPr>
                <w:rFonts w:cs="Calibri"/>
              </w:rPr>
              <w:t xml:space="preserve">               795,428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DFD989" w14:textId="77777777">
            <w:pPr>
              <w:jc w:val="right"/>
              <w:rPr>
                <w:rFonts w:cs="Calibri"/>
              </w:rPr>
            </w:pPr>
            <w:r w:rsidRPr="007D15C3">
              <w:rPr>
                <w:rFonts w:cs="Calibri"/>
              </w:rPr>
              <w:t>$6,234</w:t>
            </w:r>
          </w:p>
        </w:tc>
      </w:tr>
      <w:tr w14:paraId="73C5EF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4DF6A0" w14:textId="77777777">
            <w:pPr>
              <w:jc w:val="center"/>
              <w:rPr>
                <w:rFonts w:cs="Calibri"/>
              </w:rPr>
            </w:pPr>
            <w:r w:rsidRPr="007D15C3">
              <w:rPr>
                <w:rFonts w:cs="Calibri"/>
              </w:rPr>
              <w:t>711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FB29B9" w14:textId="77777777">
            <w:pPr>
              <w:jc w:val="center"/>
              <w:rPr>
                <w:rFonts w:cs="Calibri"/>
              </w:rPr>
            </w:pPr>
            <w:r w:rsidRPr="007D15C3">
              <w:rPr>
                <w:rFonts w:cs="Calibri"/>
              </w:rPr>
              <w:t>WCIQ*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7C70A1" w14:textId="77777777">
            <w:pPr>
              <w:rPr>
                <w:rFonts w:cs="Calibri"/>
              </w:rPr>
            </w:pPr>
            <w:r w:rsidRPr="007D15C3">
              <w:rPr>
                <w:rFonts w:cs="Calibri"/>
              </w:rPr>
              <w:t xml:space="preserve">          3,181,068</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F9A2D5" w14:textId="77777777">
            <w:pPr>
              <w:rPr>
                <w:rFonts w:cs="Calibri"/>
              </w:rPr>
            </w:pPr>
            <w:r w:rsidRPr="007D15C3">
              <w:rPr>
                <w:rFonts w:cs="Calibri"/>
              </w:rPr>
              <w:t xml:space="preserve">            3,033,573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E8B71F" w14:textId="77777777">
            <w:pPr>
              <w:jc w:val="right"/>
              <w:rPr>
                <w:rFonts w:cs="Calibri"/>
              </w:rPr>
            </w:pPr>
            <w:r w:rsidRPr="007D15C3">
              <w:rPr>
                <w:rFonts w:cs="Calibri"/>
              </w:rPr>
              <w:t>$23,774</w:t>
            </w:r>
          </w:p>
        </w:tc>
      </w:tr>
      <w:tr w14:paraId="23AFFF7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8BDAF8" w14:textId="77777777">
            <w:pPr>
              <w:jc w:val="center"/>
              <w:rPr>
                <w:rFonts w:cs="Calibri"/>
              </w:rPr>
            </w:pPr>
            <w:r w:rsidRPr="007D15C3">
              <w:rPr>
                <w:rFonts w:cs="Calibri"/>
              </w:rPr>
              <w:t>71428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5C0861" w14:textId="77777777">
            <w:pPr>
              <w:jc w:val="center"/>
              <w:rPr>
                <w:rFonts w:cs="Calibri"/>
              </w:rPr>
            </w:pPr>
            <w:r w:rsidRPr="007D15C3">
              <w:rPr>
                <w:rFonts w:cs="Calibri"/>
              </w:rPr>
              <w:t>WCIU-TV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BA3220" w14:textId="77777777">
            <w:pPr>
              <w:rPr>
                <w:rFonts w:cs="Calibri"/>
              </w:rPr>
            </w:pPr>
            <w:r w:rsidRPr="007D15C3">
              <w:rPr>
                <w:rFonts w:cs="Calibri"/>
              </w:rPr>
              <w:t xml:space="preserve">          9,891,328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21DB00" w14:textId="77777777">
            <w:pPr>
              <w:rPr>
                <w:rFonts w:cs="Calibri"/>
              </w:rPr>
            </w:pPr>
            <w:r w:rsidRPr="007D15C3">
              <w:rPr>
                <w:rFonts w:cs="Calibri"/>
              </w:rPr>
              <w:t xml:space="preserve">            9,888,390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DB85FC" w14:textId="77777777">
            <w:pPr>
              <w:jc w:val="right"/>
              <w:rPr>
                <w:rFonts w:cs="Calibri"/>
              </w:rPr>
            </w:pPr>
            <w:r w:rsidRPr="007D15C3">
              <w:rPr>
                <w:rFonts w:cs="Calibri"/>
              </w:rPr>
              <w:t>$77,495</w:t>
            </w:r>
          </w:p>
        </w:tc>
      </w:tr>
      <w:tr w14:paraId="3E0226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E8803A" w14:textId="77777777">
            <w:pPr>
              <w:jc w:val="center"/>
              <w:rPr>
                <w:rFonts w:cs="Calibri"/>
              </w:rPr>
            </w:pPr>
            <w:r w:rsidRPr="007D15C3">
              <w:rPr>
                <w:rFonts w:cs="Calibri"/>
              </w:rPr>
              <w:t>9015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8BFE8C" w14:textId="77777777">
            <w:pPr>
              <w:jc w:val="center"/>
              <w:rPr>
                <w:rFonts w:cs="Calibri"/>
              </w:rPr>
            </w:pPr>
            <w:r w:rsidRPr="007D15C3">
              <w:rPr>
                <w:rFonts w:cs="Calibri"/>
              </w:rPr>
              <w:t>WCIV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B113A7" w14:textId="77777777">
            <w:pPr>
              <w:rPr>
                <w:rFonts w:cs="Calibri"/>
              </w:rPr>
            </w:pPr>
            <w:r w:rsidRPr="007D15C3">
              <w:rPr>
                <w:rFonts w:cs="Calibri"/>
              </w:rPr>
              <w:t xml:space="preserve">          1,152,800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4BE2DB" w14:textId="77777777">
            <w:pPr>
              <w:rPr>
                <w:rFonts w:cs="Calibri"/>
              </w:rPr>
            </w:pPr>
            <w:r w:rsidRPr="007D15C3">
              <w:rPr>
                <w:rFonts w:cs="Calibri"/>
              </w:rPr>
              <w:t xml:space="preserve">            1,152,800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4AC8B2" w14:textId="77777777">
            <w:pPr>
              <w:jc w:val="right"/>
              <w:rPr>
                <w:rFonts w:cs="Calibri"/>
              </w:rPr>
            </w:pPr>
            <w:r w:rsidRPr="007D15C3">
              <w:rPr>
                <w:rFonts w:cs="Calibri"/>
              </w:rPr>
              <w:t>$9,034</w:t>
            </w:r>
          </w:p>
        </w:tc>
      </w:tr>
      <w:tr w14:paraId="20AE916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7A0B25" w14:textId="77777777">
            <w:pPr>
              <w:jc w:val="center"/>
              <w:rPr>
                <w:rFonts w:cs="Calibri"/>
              </w:rPr>
            </w:pPr>
            <w:r w:rsidRPr="007D15C3">
              <w:rPr>
                <w:rFonts w:cs="Calibri"/>
              </w:rPr>
              <w:t>42116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0A8F84" w14:textId="77777777">
            <w:pPr>
              <w:jc w:val="center"/>
              <w:rPr>
                <w:rFonts w:cs="Calibri"/>
              </w:rPr>
            </w:pPr>
            <w:r w:rsidRPr="007D15C3">
              <w:rPr>
                <w:rFonts w:cs="Calibri"/>
              </w:rPr>
              <w:t>WCIX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308535" w14:textId="77777777">
            <w:pPr>
              <w:rPr>
                <w:rFonts w:cs="Calibri"/>
              </w:rPr>
            </w:pPr>
            <w:r w:rsidRPr="007D15C3">
              <w:rPr>
                <w:rFonts w:cs="Calibri"/>
              </w:rPr>
              <w:t xml:space="preserve">             554,002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731C51" w14:textId="77777777">
            <w:pPr>
              <w:rPr>
                <w:rFonts w:cs="Calibri"/>
              </w:rPr>
            </w:pPr>
            <w:r w:rsidRPr="007D15C3">
              <w:rPr>
                <w:rFonts w:cs="Calibri"/>
              </w:rPr>
              <w:t xml:space="preserve">               549,682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123601" w14:textId="77777777">
            <w:pPr>
              <w:jc w:val="right"/>
              <w:rPr>
                <w:rFonts w:cs="Calibri"/>
              </w:rPr>
            </w:pPr>
            <w:r w:rsidRPr="007D15C3">
              <w:rPr>
                <w:rFonts w:cs="Calibri"/>
              </w:rPr>
              <w:t>$4,308</w:t>
            </w:r>
          </w:p>
        </w:tc>
      </w:tr>
      <w:tr w14:paraId="279260E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0C78AD" w14:textId="77777777">
            <w:pPr>
              <w:jc w:val="center"/>
              <w:rPr>
                <w:rFonts w:cs="Calibri"/>
              </w:rPr>
            </w:pPr>
            <w:r w:rsidRPr="007D15C3">
              <w:rPr>
                <w:rFonts w:cs="Calibri"/>
              </w:rPr>
              <w:t>16993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7E6C66" w14:textId="77777777">
            <w:pPr>
              <w:jc w:val="center"/>
              <w:rPr>
                <w:rFonts w:cs="Calibri"/>
              </w:rPr>
            </w:pPr>
            <w:r w:rsidRPr="007D15C3">
              <w:rPr>
                <w:rFonts w:cs="Calibri"/>
              </w:rPr>
              <w:t>WCJB-TV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115FF2" w14:textId="77777777">
            <w:pPr>
              <w:rPr>
                <w:rFonts w:cs="Calibri"/>
              </w:rPr>
            </w:pPr>
            <w:r w:rsidRPr="007D15C3">
              <w:rPr>
                <w:rFonts w:cs="Calibri"/>
              </w:rPr>
              <w:t xml:space="preserve">             977,492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9A870D" w14:textId="77777777">
            <w:pPr>
              <w:rPr>
                <w:rFonts w:cs="Calibri"/>
              </w:rPr>
            </w:pPr>
            <w:r w:rsidRPr="007D15C3">
              <w:rPr>
                <w:rFonts w:cs="Calibri"/>
              </w:rPr>
              <w:t xml:space="preserve">               977,492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3BEA25" w14:textId="77777777">
            <w:pPr>
              <w:jc w:val="right"/>
              <w:rPr>
                <w:rFonts w:cs="Calibri"/>
              </w:rPr>
            </w:pPr>
            <w:r w:rsidRPr="007D15C3">
              <w:rPr>
                <w:rFonts w:cs="Calibri"/>
              </w:rPr>
              <w:t>$7,661</w:t>
            </w:r>
          </w:p>
        </w:tc>
      </w:tr>
      <w:tr w14:paraId="278DD13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9CB1D2" w14:textId="77777777">
            <w:pPr>
              <w:jc w:val="center"/>
              <w:rPr>
                <w:rFonts w:cs="Calibri"/>
              </w:rPr>
            </w:pPr>
            <w:r w:rsidRPr="007D15C3">
              <w:rPr>
                <w:rFonts w:cs="Calibri"/>
              </w:rPr>
              <w:t>11125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5EA3B3" w14:textId="77777777">
            <w:pPr>
              <w:jc w:val="center"/>
              <w:rPr>
                <w:rFonts w:cs="Calibri"/>
              </w:rPr>
            </w:pPr>
            <w:r w:rsidRPr="007D15C3">
              <w:rPr>
                <w:rFonts w:cs="Calibri"/>
              </w:rPr>
              <w:t>WCLF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BADEC5" w14:textId="77777777">
            <w:pPr>
              <w:rPr>
                <w:rFonts w:cs="Calibri"/>
              </w:rPr>
            </w:pPr>
            <w:r w:rsidRPr="007D15C3">
              <w:rPr>
                <w:rFonts w:cs="Calibri"/>
              </w:rPr>
              <w:t xml:space="preserve">          4,097,389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01161D" w14:textId="77777777">
            <w:pPr>
              <w:rPr>
                <w:rFonts w:cs="Calibri"/>
              </w:rPr>
            </w:pPr>
            <w:r w:rsidRPr="007D15C3">
              <w:rPr>
                <w:rFonts w:cs="Calibri"/>
              </w:rPr>
              <w:t xml:space="preserve">            4,096,624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BA3B9C" w14:textId="77777777">
            <w:pPr>
              <w:jc w:val="right"/>
              <w:rPr>
                <w:rFonts w:cs="Calibri"/>
              </w:rPr>
            </w:pPr>
            <w:r w:rsidRPr="007D15C3">
              <w:rPr>
                <w:rFonts w:cs="Calibri"/>
              </w:rPr>
              <w:t>$32,105</w:t>
            </w:r>
          </w:p>
        </w:tc>
      </w:tr>
      <w:tr w14:paraId="30CE1A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A053CC" w14:textId="77777777">
            <w:pPr>
              <w:jc w:val="center"/>
              <w:rPr>
                <w:rFonts w:cs="Calibri"/>
              </w:rPr>
            </w:pPr>
            <w:r w:rsidRPr="007D15C3">
              <w:rPr>
                <w:rFonts w:cs="Calibri"/>
              </w:rPr>
              <w:t>68007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BB75A7" w14:textId="77777777">
            <w:pPr>
              <w:jc w:val="center"/>
              <w:rPr>
                <w:rFonts w:cs="Calibri"/>
              </w:rPr>
            </w:pPr>
            <w:r w:rsidRPr="007D15C3">
              <w:rPr>
                <w:rFonts w:cs="Calibri"/>
              </w:rPr>
              <w:t>WCLJ-TV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9D5883" w14:textId="77777777">
            <w:pPr>
              <w:rPr>
                <w:rFonts w:cs="Calibri"/>
              </w:rPr>
            </w:pPr>
            <w:r w:rsidRPr="007D15C3">
              <w:rPr>
                <w:rFonts w:cs="Calibri"/>
              </w:rPr>
              <w:t xml:space="preserve">          2,258,426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59996A" w14:textId="77777777">
            <w:pPr>
              <w:rPr>
                <w:rFonts w:cs="Calibri"/>
              </w:rPr>
            </w:pPr>
            <w:r w:rsidRPr="007D15C3">
              <w:rPr>
                <w:rFonts w:cs="Calibri"/>
              </w:rPr>
              <w:t xml:space="preserve">            2,256,937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5F7310" w14:textId="77777777">
            <w:pPr>
              <w:jc w:val="right"/>
              <w:rPr>
                <w:rFonts w:cs="Calibri"/>
              </w:rPr>
            </w:pPr>
            <w:r w:rsidRPr="007D15C3">
              <w:rPr>
                <w:rFonts w:cs="Calibri"/>
              </w:rPr>
              <w:t>$17,688</w:t>
            </w:r>
          </w:p>
        </w:tc>
      </w:tr>
      <w:tr w14:paraId="3982E88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E7438C" w14:textId="77777777">
            <w:pPr>
              <w:jc w:val="center"/>
              <w:rPr>
                <w:rFonts w:cs="Calibri"/>
              </w:rPr>
            </w:pPr>
            <w:r w:rsidRPr="007D15C3">
              <w:rPr>
                <w:rFonts w:cs="Calibri"/>
              </w:rPr>
              <w:t>50781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175595" w14:textId="77777777">
            <w:pPr>
              <w:jc w:val="center"/>
              <w:rPr>
                <w:rFonts w:cs="Calibri"/>
              </w:rPr>
            </w:pPr>
            <w:r w:rsidRPr="007D15C3">
              <w:rPr>
                <w:rFonts w:cs="Calibri"/>
              </w:rPr>
              <w:t>WCMH-TV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3B1B8F" w14:textId="77777777">
            <w:pPr>
              <w:rPr>
                <w:rFonts w:cs="Calibri"/>
              </w:rPr>
            </w:pPr>
            <w:r w:rsidRPr="007D15C3">
              <w:rPr>
                <w:rFonts w:cs="Calibri"/>
              </w:rPr>
              <w:t xml:space="preserve">          2,756,260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9CFC0A" w14:textId="77777777">
            <w:pPr>
              <w:rPr>
                <w:rFonts w:cs="Calibri"/>
              </w:rPr>
            </w:pPr>
            <w:r w:rsidRPr="007D15C3">
              <w:rPr>
                <w:rFonts w:cs="Calibri"/>
              </w:rPr>
              <w:t xml:space="preserve">            2,712,989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7DE33A" w14:textId="77777777">
            <w:pPr>
              <w:jc w:val="right"/>
              <w:rPr>
                <w:rFonts w:cs="Calibri"/>
              </w:rPr>
            </w:pPr>
            <w:r w:rsidRPr="007D15C3">
              <w:rPr>
                <w:rFonts w:cs="Calibri"/>
              </w:rPr>
              <w:t>$21,262</w:t>
            </w:r>
          </w:p>
        </w:tc>
      </w:tr>
      <w:tr w14:paraId="6F5C73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1EA528" w14:textId="77777777">
            <w:pPr>
              <w:jc w:val="center"/>
              <w:rPr>
                <w:rFonts w:cs="Calibri"/>
              </w:rPr>
            </w:pPr>
            <w:r w:rsidRPr="007D15C3">
              <w:rPr>
                <w:rFonts w:cs="Calibri"/>
              </w:rPr>
              <w:t>9917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B2D8E2" w14:textId="77777777">
            <w:pPr>
              <w:jc w:val="center"/>
              <w:rPr>
                <w:rFonts w:cs="Calibri"/>
              </w:rPr>
            </w:pPr>
            <w:r w:rsidRPr="007D15C3">
              <w:rPr>
                <w:rFonts w:cs="Calibri"/>
              </w:rPr>
              <w:t>WCML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37188F" w14:textId="77777777">
            <w:pPr>
              <w:rPr>
                <w:rFonts w:cs="Calibri"/>
              </w:rPr>
            </w:pPr>
            <w:r w:rsidRPr="007D15C3">
              <w:rPr>
                <w:rFonts w:cs="Calibri"/>
              </w:rPr>
              <w:t xml:space="preserve">             233,439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B62A93" w14:textId="77777777">
            <w:pPr>
              <w:rPr>
                <w:rFonts w:cs="Calibri"/>
              </w:rPr>
            </w:pPr>
            <w:r w:rsidRPr="007D15C3">
              <w:rPr>
                <w:rFonts w:cs="Calibri"/>
              </w:rPr>
              <w:t xml:space="preserve">               224,255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8C105C" w14:textId="77777777">
            <w:pPr>
              <w:jc w:val="right"/>
              <w:rPr>
                <w:rFonts w:cs="Calibri"/>
              </w:rPr>
            </w:pPr>
            <w:r w:rsidRPr="007D15C3">
              <w:rPr>
                <w:rFonts w:cs="Calibri"/>
              </w:rPr>
              <w:t>$1,757</w:t>
            </w:r>
          </w:p>
        </w:tc>
      </w:tr>
      <w:tr w14:paraId="5384B2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D2C21B" w14:textId="77777777">
            <w:pPr>
              <w:jc w:val="center"/>
              <w:rPr>
                <w:rFonts w:cs="Calibri"/>
              </w:rPr>
            </w:pPr>
            <w:r w:rsidRPr="007D15C3">
              <w:rPr>
                <w:rFonts w:cs="Calibri"/>
              </w:rPr>
              <w:t>9908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6D68CA" w14:textId="77777777">
            <w:pPr>
              <w:jc w:val="center"/>
              <w:rPr>
                <w:rFonts w:cs="Calibri"/>
              </w:rPr>
            </w:pPr>
            <w:r w:rsidRPr="007D15C3">
              <w:rPr>
                <w:rFonts w:cs="Calibri"/>
              </w:rPr>
              <w:t>WCMU-TV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59E532" w14:textId="77777777">
            <w:pPr>
              <w:rPr>
                <w:rFonts w:cs="Calibri"/>
              </w:rPr>
            </w:pPr>
            <w:r w:rsidRPr="007D15C3">
              <w:rPr>
                <w:rFonts w:cs="Calibri"/>
              </w:rPr>
              <w:t xml:space="preserve">             707,702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BAAADF" w14:textId="77777777">
            <w:pPr>
              <w:rPr>
                <w:rFonts w:cs="Calibri"/>
              </w:rPr>
            </w:pPr>
            <w:r w:rsidRPr="007D15C3">
              <w:rPr>
                <w:rFonts w:cs="Calibri"/>
              </w:rPr>
              <w:t xml:space="preserve">               699,551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3A02A8" w14:textId="77777777">
            <w:pPr>
              <w:jc w:val="right"/>
              <w:rPr>
                <w:rFonts w:cs="Calibri"/>
              </w:rPr>
            </w:pPr>
            <w:r w:rsidRPr="007D15C3">
              <w:rPr>
                <w:rFonts w:cs="Calibri"/>
              </w:rPr>
              <w:t>$5,482</w:t>
            </w:r>
          </w:p>
        </w:tc>
      </w:tr>
      <w:tr w14:paraId="61622F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B1B62A" w14:textId="77777777">
            <w:pPr>
              <w:jc w:val="center"/>
              <w:rPr>
                <w:rFonts w:cs="Calibri"/>
              </w:rPr>
            </w:pPr>
            <w:r w:rsidRPr="007D15C3">
              <w:rPr>
                <w:rFonts w:cs="Calibri"/>
              </w:rPr>
              <w:t>9922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A62281" w14:textId="77777777">
            <w:pPr>
              <w:jc w:val="center"/>
              <w:rPr>
                <w:rFonts w:cs="Calibri"/>
              </w:rPr>
            </w:pPr>
            <w:r w:rsidRPr="007D15C3">
              <w:rPr>
                <w:rFonts w:cs="Calibri"/>
              </w:rPr>
              <w:t>WCMV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868004" w14:textId="77777777">
            <w:pPr>
              <w:rPr>
                <w:rFonts w:cs="Calibri"/>
              </w:rPr>
            </w:pPr>
            <w:r w:rsidRPr="007D15C3">
              <w:rPr>
                <w:rFonts w:cs="Calibri"/>
              </w:rPr>
              <w:t xml:space="preserve">             418,707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E9C211" w14:textId="77777777">
            <w:pPr>
              <w:rPr>
                <w:rFonts w:cs="Calibri"/>
              </w:rPr>
            </w:pPr>
            <w:r w:rsidRPr="007D15C3">
              <w:rPr>
                <w:rFonts w:cs="Calibri"/>
              </w:rPr>
              <w:t xml:space="preserve">               407,222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C6CAE3" w14:textId="77777777">
            <w:pPr>
              <w:jc w:val="right"/>
              <w:rPr>
                <w:rFonts w:cs="Calibri"/>
              </w:rPr>
            </w:pPr>
            <w:r w:rsidRPr="007D15C3">
              <w:rPr>
                <w:rFonts w:cs="Calibri"/>
              </w:rPr>
              <w:t>$3,191</w:t>
            </w:r>
          </w:p>
        </w:tc>
      </w:tr>
      <w:tr w14:paraId="5C1D4D6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C8BEDA" w14:textId="77777777">
            <w:pPr>
              <w:jc w:val="center"/>
              <w:rPr>
                <w:rFonts w:cs="Calibri"/>
              </w:rPr>
            </w:pPr>
            <w:r w:rsidRPr="007D15C3">
              <w:rPr>
                <w:rFonts w:cs="Calibri"/>
              </w:rPr>
              <w:t>9913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4E6280" w14:textId="77777777">
            <w:pPr>
              <w:jc w:val="center"/>
              <w:rPr>
                <w:rFonts w:cs="Calibri"/>
              </w:rPr>
            </w:pPr>
            <w:r w:rsidRPr="007D15C3">
              <w:rPr>
                <w:rFonts w:cs="Calibri"/>
              </w:rPr>
              <w:t>WCMW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258FE8" w14:textId="77777777">
            <w:pPr>
              <w:rPr>
                <w:rFonts w:cs="Calibri"/>
              </w:rPr>
            </w:pPr>
            <w:r w:rsidRPr="007D15C3">
              <w:rPr>
                <w:rFonts w:cs="Calibri"/>
              </w:rPr>
              <w:t xml:space="preserve">             106,975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0E9517" w14:textId="77777777">
            <w:pPr>
              <w:rPr>
                <w:rFonts w:cs="Calibri"/>
              </w:rPr>
            </w:pPr>
            <w:r w:rsidRPr="007D15C3">
              <w:rPr>
                <w:rFonts w:cs="Calibri"/>
              </w:rPr>
              <w:t xml:space="preserve">               104,859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7A7D15" w14:textId="77777777">
            <w:pPr>
              <w:jc w:val="right"/>
              <w:rPr>
                <w:rFonts w:cs="Calibri"/>
              </w:rPr>
            </w:pPr>
            <w:r w:rsidRPr="007D15C3">
              <w:rPr>
                <w:rFonts w:cs="Calibri"/>
              </w:rPr>
              <w:t>$822</w:t>
            </w:r>
          </w:p>
        </w:tc>
      </w:tr>
      <w:tr w14:paraId="65A8C4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2FE3F3" w14:textId="77777777">
            <w:pPr>
              <w:jc w:val="center"/>
              <w:rPr>
                <w:rFonts w:cs="Calibri"/>
              </w:rPr>
            </w:pPr>
            <w:r w:rsidRPr="007D15C3">
              <w:rPr>
                <w:rFonts w:cs="Calibri"/>
              </w:rPr>
              <w:t>32326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48D891" w14:textId="77777777">
            <w:pPr>
              <w:jc w:val="center"/>
              <w:rPr>
                <w:rFonts w:cs="Calibri"/>
              </w:rPr>
            </w:pPr>
            <w:r w:rsidRPr="007D15C3">
              <w:rPr>
                <w:rFonts w:cs="Calibri"/>
              </w:rPr>
              <w:t>WCNC-TV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A8ECBF" w14:textId="77777777">
            <w:pPr>
              <w:rPr>
                <w:rFonts w:cs="Calibri"/>
              </w:rPr>
            </w:pPr>
            <w:r w:rsidRPr="007D15C3">
              <w:rPr>
                <w:rFonts w:cs="Calibri"/>
              </w:rPr>
              <w:t xml:space="preserve">          3,822,849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8F2C75" w14:textId="77777777">
            <w:pPr>
              <w:rPr>
                <w:rFonts w:cs="Calibri"/>
              </w:rPr>
            </w:pPr>
            <w:r w:rsidRPr="007D15C3">
              <w:rPr>
                <w:rFonts w:cs="Calibri"/>
              </w:rPr>
              <w:t xml:space="preserve">            3,747,880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A972E0" w14:textId="77777777">
            <w:pPr>
              <w:jc w:val="right"/>
              <w:rPr>
                <w:rFonts w:cs="Calibri"/>
              </w:rPr>
            </w:pPr>
            <w:r w:rsidRPr="007D15C3">
              <w:rPr>
                <w:rFonts w:cs="Calibri"/>
              </w:rPr>
              <w:t>$29,372</w:t>
            </w:r>
          </w:p>
        </w:tc>
      </w:tr>
      <w:tr w14:paraId="3CB9278E"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7BEE03" w14:textId="77777777">
            <w:pPr>
              <w:jc w:val="center"/>
              <w:rPr>
                <w:rFonts w:cs="Calibri"/>
              </w:rPr>
            </w:pPr>
            <w:r w:rsidRPr="007D15C3">
              <w:rPr>
                <w:rFonts w:cs="Calibri"/>
              </w:rPr>
              <w:t>53734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2B66AAE1" w14:textId="77777777">
            <w:pPr>
              <w:jc w:val="center"/>
              <w:rPr>
                <w:rFonts w:cs="Calibri"/>
              </w:rPr>
            </w:pPr>
            <w:r w:rsidRPr="007D15C3">
              <w:rPr>
                <w:rFonts w:cs="Calibri"/>
              </w:rPr>
              <w:t>WCNY-TV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CB63FA6" w14:textId="77777777">
            <w:pPr>
              <w:rPr>
                <w:rFonts w:cs="Calibri"/>
              </w:rPr>
            </w:pPr>
            <w:r w:rsidRPr="007D15C3">
              <w:rPr>
                <w:rFonts w:cs="Calibri"/>
              </w:rPr>
              <w:t xml:space="preserve">          1,358,685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6B488D7" w14:textId="77777777">
            <w:pPr>
              <w:rPr>
                <w:rFonts w:cs="Calibri"/>
              </w:rPr>
            </w:pPr>
            <w:r w:rsidRPr="007D15C3">
              <w:rPr>
                <w:rFonts w:cs="Calibri"/>
              </w:rPr>
              <w:t xml:space="preserve">            1,290,632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6F2692A" w14:textId="77777777">
            <w:pPr>
              <w:jc w:val="right"/>
              <w:rPr>
                <w:rFonts w:cs="Calibri"/>
              </w:rPr>
            </w:pPr>
            <w:r w:rsidRPr="007D15C3">
              <w:rPr>
                <w:rFonts w:cs="Calibri"/>
              </w:rPr>
              <w:t>$10,115</w:t>
            </w:r>
          </w:p>
        </w:tc>
      </w:tr>
      <w:tr w14:paraId="5B04F7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2F4E60" w14:textId="77777777">
            <w:pPr>
              <w:jc w:val="center"/>
              <w:rPr>
                <w:rFonts w:cs="Calibri"/>
              </w:rPr>
            </w:pPr>
            <w:r w:rsidRPr="007D15C3">
              <w:rPr>
                <w:rFonts w:cs="Calibri"/>
              </w:rPr>
              <w:t>73642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DE7FE7" w14:textId="77777777">
            <w:pPr>
              <w:jc w:val="center"/>
              <w:rPr>
                <w:rFonts w:cs="Calibri"/>
              </w:rPr>
            </w:pPr>
            <w:r w:rsidRPr="007D15C3">
              <w:rPr>
                <w:rFonts w:cs="Calibri"/>
              </w:rPr>
              <w:t>WCOV-TV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DDC89E" w14:textId="77777777">
            <w:pPr>
              <w:rPr>
                <w:rFonts w:cs="Calibri"/>
              </w:rPr>
            </w:pPr>
            <w:r w:rsidRPr="007D15C3">
              <w:rPr>
                <w:rFonts w:cs="Calibri"/>
              </w:rPr>
              <w:t xml:space="preserve">             862,899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660713" w14:textId="77777777">
            <w:pPr>
              <w:rPr>
                <w:rFonts w:cs="Calibri"/>
              </w:rPr>
            </w:pPr>
            <w:r w:rsidRPr="007D15C3">
              <w:rPr>
                <w:rFonts w:cs="Calibri"/>
              </w:rPr>
              <w:t xml:space="preserve">               859,333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2A4E26" w14:textId="77777777">
            <w:pPr>
              <w:jc w:val="right"/>
              <w:rPr>
                <w:rFonts w:cs="Calibri"/>
              </w:rPr>
            </w:pPr>
            <w:r w:rsidRPr="007D15C3">
              <w:rPr>
                <w:rFonts w:cs="Calibri"/>
              </w:rPr>
              <w:t>$6,735</w:t>
            </w:r>
          </w:p>
        </w:tc>
      </w:tr>
      <w:tr w14:paraId="696D91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98A2EC" w14:textId="77777777">
            <w:pPr>
              <w:jc w:val="center"/>
              <w:rPr>
                <w:rFonts w:cs="Calibri"/>
              </w:rPr>
            </w:pPr>
            <w:r w:rsidRPr="007D15C3">
              <w:rPr>
                <w:rFonts w:cs="Calibri"/>
              </w:rPr>
              <w:t>40618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AF305E" w14:textId="77777777">
            <w:pPr>
              <w:jc w:val="center"/>
              <w:rPr>
                <w:rFonts w:cs="Calibri"/>
              </w:rPr>
            </w:pPr>
            <w:r w:rsidRPr="007D15C3">
              <w:rPr>
                <w:rFonts w:cs="Calibri"/>
              </w:rPr>
              <w:t>WCPB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DF70EC" w14:textId="77777777">
            <w:pPr>
              <w:rPr>
                <w:rFonts w:cs="Calibri"/>
              </w:rPr>
            </w:pPr>
            <w:r w:rsidRPr="007D15C3">
              <w:rPr>
                <w:rFonts w:cs="Calibri"/>
              </w:rPr>
              <w:t xml:space="preserve">             560,426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FBE15A" w14:textId="77777777">
            <w:pPr>
              <w:rPr>
                <w:rFonts w:cs="Calibri"/>
              </w:rPr>
            </w:pPr>
            <w:r w:rsidRPr="007D15C3">
              <w:rPr>
                <w:rFonts w:cs="Calibri"/>
              </w:rPr>
              <w:t xml:space="preserve">               560,426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012ED0" w14:textId="77777777">
            <w:pPr>
              <w:jc w:val="right"/>
              <w:rPr>
                <w:rFonts w:cs="Calibri"/>
              </w:rPr>
            </w:pPr>
            <w:r w:rsidRPr="007D15C3">
              <w:rPr>
                <w:rFonts w:cs="Calibri"/>
              </w:rPr>
              <w:t>$4,392</w:t>
            </w:r>
          </w:p>
        </w:tc>
      </w:tr>
      <w:tr w14:paraId="52ECAE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717884" w14:textId="77777777">
            <w:pPr>
              <w:jc w:val="center"/>
              <w:rPr>
                <w:rFonts w:cs="Calibri"/>
              </w:rPr>
            </w:pPr>
            <w:r w:rsidRPr="007D15C3">
              <w:rPr>
                <w:rFonts w:cs="Calibri"/>
              </w:rPr>
              <w:t>59438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2918F9" w14:textId="77777777">
            <w:pPr>
              <w:jc w:val="center"/>
              <w:rPr>
                <w:rFonts w:cs="Calibri"/>
              </w:rPr>
            </w:pPr>
            <w:r w:rsidRPr="007D15C3">
              <w:rPr>
                <w:rFonts w:cs="Calibri"/>
              </w:rPr>
              <w:t>WCPO-TV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AFEB10" w14:textId="77777777">
            <w:pPr>
              <w:rPr>
                <w:rFonts w:cs="Calibri"/>
              </w:rPr>
            </w:pPr>
            <w:r w:rsidRPr="007D15C3">
              <w:rPr>
                <w:rFonts w:cs="Calibri"/>
              </w:rPr>
              <w:t xml:space="preserve">          3,328,920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D9A027" w14:textId="77777777">
            <w:pPr>
              <w:rPr>
                <w:rFonts w:cs="Calibri"/>
              </w:rPr>
            </w:pPr>
            <w:r w:rsidRPr="007D15C3">
              <w:rPr>
                <w:rFonts w:cs="Calibri"/>
              </w:rPr>
              <w:t xml:space="preserve">            3,311,833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E1BBC1" w14:textId="77777777">
            <w:pPr>
              <w:jc w:val="right"/>
              <w:rPr>
                <w:rFonts w:cs="Calibri"/>
              </w:rPr>
            </w:pPr>
            <w:r w:rsidRPr="007D15C3">
              <w:rPr>
                <w:rFonts w:cs="Calibri"/>
              </w:rPr>
              <w:t>$25,955</w:t>
            </w:r>
          </w:p>
        </w:tc>
      </w:tr>
      <w:tr w14:paraId="1E1567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FB10EA" w14:textId="77777777">
            <w:pPr>
              <w:jc w:val="center"/>
              <w:rPr>
                <w:rFonts w:cs="Calibri"/>
              </w:rPr>
            </w:pPr>
            <w:r w:rsidRPr="007D15C3">
              <w:rPr>
                <w:rFonts w:cs="Calibri"/>
              </w:rPr>
              <w:t>10981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C4D96B" w14:textId="77777777">
            <w:pPr>
              <w:jc w:val="center"/>
              <w:rPr>
                <w:rFonts w:cs="Calibri"/>
              </w:rPr>
            </w:pPr>
            <w:r w:rsidRPr="007D15C3">
              <w:rPr>
                <w:rFonts w:cs="Calibri"/>
              </w:rPr>
              <w:t>WCPX-TV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D5B3BD" w14:textId="77777777">
            <w:pPr>
              <w:rPr>
                <w:rFonts w:cs="Calibri"/>
              </w:rPr>
            </w:pPr>
            <w:r w:rsidRPr="007D15C3">
              <w:rPr>
                <w:rFonts w:cs="Calibri"/>
              </w:rPr>
              <w:t xml:space="preserve">          9,674,477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5D39A4" w14:textId="77777777">
            <w:pPr>
              <w:rPr>
                <w:rFonts w:cs="Calibri"/>
              </w:rPr>
            </w:pPr>
            <w:r w:rsidRPr="007D15C3">
              <w:rPr>
                <w:rFonts w:cs="Calibri"/>
              </w:rPr>
              <w:t xml:space="preserve">            9,673,859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793C91" w14:textId="77777777">
            <w:pPr>
              <w:jc w:val="right"/>
              <w:rPr>
                <w:rFonts w:cs="Calibri"/>
              </w:rPr>
            </w:pPr>
            <w:r w:rsidRPr="007D15C3">
              <w:rPr>
                <w:rFonts w:cs="Calibri"/>
              </w:rPr>
              <w:t>$75,814</w:t>
            </w:r>
          </w:p>
        </w:tc>
      </w:tr>
      <w:tr w14:paraId="0A5DC35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2CEDBA" w14:textId="77777777">
            <w:pPr>
              <w:jc w:val="center"/>
              <w:rPr>
                <w:rFonts w:cs="Calibri"/>
              </w:rPr>
            </w:pPr>
            <w:r w:rsidRPr="007D15C3">
              <w:rPr>
                <w:rFonts w:cs="Calibri"/>
              </w:rPr>
              <w:t>71297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A8D674" w14:textId="77777777">
            <w:pPr>
              <w:jc w:val="center"/>
              <w:rPr>
                <w:rFonts w:cs="Calibri"/>
              </w:rPr>
            </w:pPr>
            <w:r w:rsidRPr="007D15C3">
              <w:rPr>
                <w:rFonts w:cs="Calibri"/>
              </w:rPr>
              <w:t>WCSC-TV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3810D6" w14:textId="77777777">
            <w:pPr>
              <w:rPr>
                <w:rFonts w:cs="Calibri"/>
              </w:rPr>
            </w:pPr>
            <w:r w:rsidRPr="007D15C3">
              <w:rPr>
                <w:rFonts w:cs="Calibri"/>
              </w:rPr>
              <w:t xml:space="preserve">          1,028,018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EA9C69" w14:textId="77777777">
            <w:pPr>
              <w:rPr>
                <w:rFonts w:cs="Calibri"/>
              </w:rPr>
            </w:pPr>
            <w:r w:rsidRPr="007D15C3">
              <w:rPr>
                <w:rFonts w:cs="Calibri"/>
              </w:rPr>
              <w:t xml:space="preserve">            1,028,018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7F4A9B" w14:textId="77777777">
            <w:pPr>
              <w:jc w:val="right"/>
              <w:rPr>
                <w:rFonts w:cs="Calibri"/>
              </w:rPr>
            </w:pPr>
            <w:r w:rsidRPr="007D15C3">
              <w:rPr>
                <w:rFonts w:cs="Calibri"/>
              </w:rPr>
              <w:t>$8,057</w:t>
            </w:r>
          </w:p>
        </w:tc>
      </w:tr>
      <w:tr w14:paraId="37C809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1BF929" w14:textId="77777777">
            <w:pPr>
              <w:jc w:val="center"/>
              <w:rPr>
                <w:rFonts w:cs="Calibri"/>
              </w:rPr>
            </w:pPr>
            <w:r w:rsidRPr="007D15C3">
              <w:rPr>
                <w:rFonts w:cs="Calibri"/>
              </w:rPr>
              <w:t>39664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326CD7" w14:textId="77777777">
            <w:pPr>
              <w:jc w:val="center"/>
              <w:rPr>
                <w:rFonts w:cs="Calibri"/>
              </w:rPr>
            </w:pPr>
            <w:r w:rsidRPr="007D15C3">
              <w:rPr>
                <w:rFonts w:cs="Calibri"/>
              </w:rPr>
              <w:t>WCSH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8650DD" w14:textId="77777777">
            <w:pPr>
              <w:rPr>
                <w:rFonts w:cs="Calibri"/>
              </w:rPr>
            </w:pPr>
            <w:r w:rsidRPr="007D15C3">
              <w:rPr>
                <w:rFonts w:cs="Calibri"/>
              </w:rPr>
              <w:t xml:space="preserve">          1,682,955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D9298B" w14:textId="77777777">
            <w:pPr>
              <w:rPr>
                <w:rFonts w:cs="Calibri"/>
              </w:rPr>
            </w:pPr>
            <w:r w:rsidRPr="007D15C3">
              <w:rPr>
                <w:rFonts w:cs="Calibri"/>
              </w:rPr>
              <w:t xml:space="preserve">            1,457,618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1B8B9E" w14:textId="77777777">
            <w:pPr>
              <w:jc w:val="right"/>
              <w:rPr>
                <w:rFonts w:cs="Calibri"/>
              </w:rPr>
            </w:pPr>
            <w:r w:rsidRPr="007D15C3">
              <w:rPr>
                <w:rFonts w:cs="Calibri"/>
              </w:rPr>
              <w:t>$11,423</w:t>
            </w:r>
          </w:p>
        </w:tc>
      </w:tr>
      <w:tr w14:paraId="385C3A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171EAA" w14:textId="77777777">
            <w:pPr>
              <w:jc w:val="center"/>
              <w:rPr>
                <w:rFonts w:cs="Calibri"/>
              </w:rPr>
            </w:pPr>
            <w:r w:rsidRPr="007D15C3">
              <w:rPr>
                <w:rFonts w:cs="Calibri"/>
              </w:rPr>
              <w:t>69479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000765" w14:textId="77777777">
            <w:pPr>
              <w:jc w:val="center"/>
              <w:rPr>
                <w:rFonts w:cs="Calibri"/>
              </w:rPr>
            </w:pPr>
            <w:r w:rsidRPr="007D15C3">
              <w:rPr>
                <w:rFonts w:cs="Calibri"/>
              </w:rPr>
              <w:t>WCTE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288AE7" w14:textId="77777777">
            <w:pPr>
              <w:rPr>
                <w:rFonts w:cs="Calibri"/>
              </w:rPr>
            </w:pPr>
            <w:r w:rsidRPr="007D15C3">
              <w:rPr>
                <w:rFonts w:cs="Calibri"/>
              </w:rPr>
              <w:t xml:space="preserve">             612,760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659842" w14:textId="77777777">
            <w:pPr>
              <w:rPr>
                <w:rFonts w:cs="Calibri"/>
              </w:rPr>
            </w:pPr>
            <w:r w:rsidRPr="007D15C3">
              <w:rPr>
                <w:rFonts w:cs="Calibri"/>
              </w:rPr>
              <w:t xml:space="preserve">               541,314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8EFBBB" w14:textId="77777777">
            <w:pPr>
              <w:jc w:val="right"/>
              <w:rPr>
                <w:rFonts w:cs="Calibri"/>
              </w:rPr>
            </w:pPr>
            <w:r w:rsidRPr="007D15C3">
              <w:rPr>
                <w:rFonts w:cs="Calibri"/>
              </w:rPr>
              <w:t>$4,242</w:t>
            </w:r>
          </w:p>
        </w:tc>
      </w:tr>
      <w:tr w14:paraId="074276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388869" w14:textId="77777777">
            <w:pPr>
              <w:jc w:val="center"/>
              <w:rPr>
                <w:rFonts w:cs="Calibri"/>
              </w:rPr>
            </w:pPr>
            <w:r w:rsidRPr="007D15C3">
              <w:rPr>
                <w:rFonts w:cs="Calibri"/>
              </w:rPr>
              <w:t>18334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D5F093" w14:textId="77777777">
            <w:pPr>
              <w:jc w:val="center"/>
              <w:rPr>
                <w:rFonts w:cs="Calibri"/>
              </w:rPr>
            </w:pPr>
            <w:r w:rsidRPr="007D15C3">
              <w:rPr>
                <w:rFonts w:cs="Calibri"/>
              </w:rPr>
              <w:t>WCTI-TV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7AF55E" w14:textId="77777777">
            <w:pPr>
              <w:rPr>
                <w:rFonts w:cs="Calibri"/>
              </w:rPr>
            </w:pPr>
            <w:r w:rsidRPr="007D15C3">
              <w:rPr>
                <w:rFonts w:cs="Calibri"/>
              </w:rPr>
              <w:t xml:space="preserve">          1,680,664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23F94F" w14:textId="77777777">
            <w:pPr>
              <w:rPr>
                <w:rFonts w:cs="Calibri"/>
              </w:rPr>
            </w:pPr>
            <w:r w:rsidRPr="007D15C3">
              <w:rPr>
                <w:rFonts w:cs="Calibri"/>
              </w:rPr>
              <w:t xml:space="preserve">            1,678,237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1FFD3B" w14:textId="77777777">
            <w:pPr>
              <w:jc w:val="right"/>
              <w:rPr>
                <w:rFonts w:cs="Calibri"/>
              </w:rPr>
            </w:pPr>
            <w:r w:rsidRPr="007D15C3">
              <w:rPr>
                <w:rFonts w:cs="Calibri"/>
              </w:rPr>
              <w:t>$13,152</w:t>
            </w:r>
          </w:p>
        </w:tc>
      </w:tr>
      <w:tr w14:paraId="21376F2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C45F0D" w14:textId="77777777">
            <w:pPr>
              <w:jc w:val="center"/>
              <w:rPr>
                <w:rFonts w:cs="Calibri"/>
              </w:rPr>
            </w:pPr>
            <w:r w:rsidRPr="007D15C3">
              <w:rPr>
                <w:rFonts w:cs="Calibri"/>
              </w:rPr>
              <w:t>31590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7F3A35" w14:textId="77777777">
            <w:pPr>
              <w:jc w:val="center"/>
              <w:rPr>
                <w:rFonts w:cs="Calibri"/>
              </w:rPr>
            </w:pPr>
            <w:r w:rsidRPr="007D15C3">
              <w:rPr>
                <w:rFonts w:cs="Calibri"/>
              </w:rPr>
              <w:t>WCTV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E8DDD8" w14:textId="77777777">
            <w:pPr>
              <w:rPr>
                <w:rFonts w:cs="Calibri"/>
              </w:rPr>
            </w:pPr>
            <w:r w:rsidRPr="007D15C3">
              <w:rPr>
                <w:rFonts w:cs="Calibri"/>
              </w:rPr>
              <w:t xml:space="preserve">          1,049,825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937218" w14:textId="77777777">
            <w:pPr>
              <w:rPr>
                <w:rFonts w:cs="Calibri"/>
              </w:rPr>
            </w:pPr>
            <w:r w:rsidRPr="007D15C3">
              <w:rPr>
                <w:rFonts w:cs="Calibri"/>
              </w:rPr>
              <w:t xml:space="preserve">            1,049,779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CFFA0" w14:textId="77777777">
            <w:pPr>
              <w:jc w:val="right"/>
              <w:rPr>
                <w:rFonts w:cs="Calibri"/>
              </w:rPr>
            </w:pPr>
            <w:r w:rsidRPr="007D15C3">
              <w:rPr>
                <w:rFonts w:cs="Calibri"/>
              </w:rPr>
              <w:t>$8,227</w:t>
            </w:r>
          </w:p>
        </w:tc>
      </w:tr>
      <w:tr w14:paraId="1CCB464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B0C0DA" w14:textId="77777777">
            <w:pPr>
              <w:jc w:val="center"/>
              <w:rPr>
                <w:rFonts w:cs="Calibri"/>
              </w:rPr>
            </w:pPr>
            <w:r w:rsidRPr="007D15C3">
              <w:rPr>
                <w:rFonts w:cs="Calibri"/>
              </w:rPr>
              <w:t>33081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E34B2E" w14:textId="77777777">
            <w:pPr>
              <w:jc w:val="center"/>
              <w:rPr>
                <w:rFonts w:cs="Calibri"/>
              </w:rPr>
            </w:pPr>
            <w:r w:rsidRPr="007D15C3">
              <w:rPr>
                <w:rFonts w:cs="Calibri"/>
              </w:rPr>
              <w:t>WCTX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C7F157" w14:textId="77777777">
            <w:pPr>
              <w:rPr>
                <w:rFonts w:cs="Calibri"/>
              </w:rPr>
            </w:pPr>
            <w:r w:rsidRPr="007D15C3">
              <w:rPr>
                <w:rFonts w:cs="Calibri"/>
              </w:rPr>
              <w:t xml:space="preserve">          7,844,936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8250F9" w14:textId="77777777">
            <w:pPr>
              <w:rPr>
                <w:rFonts w:cs="Calibri"/>
              </w:rPr>
            </w:pPr>
            <w:r w:rsidRPr="007D15C3">
              <w:rPr>
                <w:rFonts w:cs="Calibri"/>
              </w:rPr>
              <w:t xml:space="preserve">            7,332,431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694D68" w14:textId="77777777">
            <w:pPr>
              <w:jc w:val="right"/>
              <w:rPr>
                <w:rFonts w:cs="Calibri"/>
              </w:rPr>
            </w:pPr>
            <w:r w:rsidRPr="007D15C3">
              <w:rPr>
                <w:rFonts w:cs="Calibri"/>
              </w:rPr>
              <w:t>$57,464</w:t>
            </w:r>
          </w:p>
        </w:tc>
      </w:tr>
      <w:tr w14:paraId="7D5559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54E8AB" w14:textId="77777777">
            <w:pPr>
              <w:jc w:val="center"/>
              <w:rPr>
                <w:rFonts w:cs="Calibri"/>
              </w:rPr>
            </w:pPr>
            <w:r w:rsidRPr="007D15C3">
              <w:rPr>
                <w:rFonts w:cs="Calibri"/>
              </w:rPr>
              <w:t>65684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6EB9CA" w14:textId="77777777">
            <w:pPr>
              <w:jc w:val="center"/>
              <w:rPr>
                <w:rFonts w:cs="Calibri"/>
              </w:rPr>
            </w:pPr>
            <w:r w:rsidRPr="007D15C3">
              <w:rPr>
                <w:rFonts w:cs="Calibri"/>
              </w:rPr>
              <w:t>WCVB-TV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DA7A23" w14:textId="77777777">
            <w:pPr>
              <w:rPr>
                <w:rFonts w:cs="Calibri"/>
              </w:rPr>
            </w:pPr>
            <w:r w:rsidRPr="007D15C3">
              <w:rPr>
                <w:rFonts w:cs="Calibri"/>
              </w:rPr>
              <w:t xml:space="preserve">          7,741,540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8C5F04" w14:textId="77777777">
            <w:pPr>
              <w:rPr>
                <w:rFonts w:cs="Calibri"/>
              </w:rPr>
            </w:pPr>
            <w:r w:rsidRPr="007D15C3">
              <w:rPr>
                <w:rFonts w:cs="Calibri"/>
              </w:rPr>
              <w:t xml:space="preserve">            7,606,326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25EF2C" w14:textId="77777777">
            <w:pPr>
              <w:jc w:val="right"/>
              <w:rPr>
                <w:rFonts w:cs="Calibri"/>
              </w:rPr>
            </w:pPr>
            <w:r w:rsidRPr="007D15C3">
              <w:rPr>
                <w:rFonts w:cs="Calibri"/>
              </w:rPr>
              <w:t>$59,611</w:t>
            </w:r>
          </w:p>
        </w:tc>
      </w:tr>
      <w:tr w14:paraId="69FF09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4C0126" w14:textId="77777777">
            <w:pPr>
              <w:jc w:val="center"/>
              <w:rPr>
                <w:rFonts w:cs="Calibri"/>
              </w:rPr>
            </w:pPr>
            <w:r w:rsidRPr="007D15C3">
              <w:rPr>
                <w:rFonts w:cs="Calibri"/>
              </w:rPr>
              <w:t>9987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D4DFF3" w14:textId="77777777">
            <w:pPr>
              <w:jc w:val="center"/>
              <w:rPr>
                <w:rFonts w:cs="Calibri"/>
              </w:rPr>
            </w:pPr>
            <w:r w:rsidRPr="007D15C3">
              <w:rPr>
                <w:rFonts w:cs="Calibri"/>
              </w:rPr>
              <w:t>WCVE-TV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A0629E" w14:textId="77777777">
            <w:pPr>
              <w:rPr>
                <w:rFonts w:cs="Calibri"/>
              </w:rPr>
            </w:pPr>
            <w:r w:rsidRPr="007D15C3">
              <w:rPr>
                <w:rFonts w:cs="Calibri"/>
              </w:rPr>
              <w:t xml:space="preserve">          1,582,094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F40C1B" w14:textId="77777777">
            <w:pPr>
              <w:rPr>
                <w:rFonts w:cs="Calibri"/>
              </w:rPr>
            </w:pPr>
            <w:r w:rsidRPr="007D15C3">
              <w:rPr>
                <w:rFonts w:cs="Calibri"/>
              </w:rPr>
              <w:t xml:space="preserve">            1,581,725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81574D" w14:textId="77777777">
            <w:pPr>
              <w:jc w:val="right"/>
              <w:rPr>
                <w:rFonts w:cs="Calibri"/>
              </w:rPr>
            </w:pPr>
            <w:r w:rsidRPr="007D15C3">
              <w:rPr>
                <w:rFonts w:cs="Calibri"/>
              </w:rPr>
              <w:t>$12,396</w:t>
            </w:r>
          </w:p>
        </w:tc>
      </w:tr>
      <w:tr w14:paraId="15CB51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20309C" w14:textId="77777777">
            <w:pPr>
              <w:jc w:val="center"/>
              <w:rPr>
                <w:rFonts w:cs="Calibri"/>
              </w:rPr>
            </w:pPr>
            <w:r w:rsidRPr="007D15C3">
              <w:rPr>
                <w:rFonts w:cs="Calibri"/>
              </w:rPr>
              <w:t>83304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F5BE72" w14:textId="77777777">
            <w:pPr>
              <w:jc w:val="center"/>
              <w:rPr>
                <w:rFonts w:cs="Calibri"/>
              </w:rPr>
            </w:pPr>
            <w:r w:rsidRPr="007D15C3">
              <w:rPr>
                <w:rFonts w:cs="Calibri"/>
              </w:rPr>
              <w:t>WCVI-TV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97D2F0" w14:textId="77777777">
            <w:pPr>
              <w:rPr>
                <w:rFonts w:cs="Calibri"/>
              </w:rPr>
            </w:pPr>
            <w:r w:rsidRPr="007D15C3">
              <w:rPr>
                <w:rFonts w:cs="Calibri"/>
              </w:rPr>
              <w:t xml:space="preserve">               50,601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840B84" w14:textId="77777777">
            <w:pPr>
              <w:rPr>
                <w:rFonts w:cs="Calibri"/>
              </w:rPr>
            </w:pPr>
            <w:r w:rsidRPr="007D15C3">
              <w:rPr>
                <w:rFonts w:cs="Calibri"/>
              </w:rPr>
              <w:t xml:space="preserve">                 50,495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BAA7FC" w14:textId="77777777">
            <w:pPr>
              <w:jc w:val="right"/>
              <w:rPr>
                <w:rFonts w:cs="Calibri"/>
              </w:rPr>
            </w:pPr>
            <w:r w:rsidRPr="007D15C3">
              <w:rPr>
                <w:rFonts w:cs="Calibri"/>
              </w:rPr>
              <w:t>$396</w:t>
            </w:r>
          </w:p>
        </w:tc>
      </w:tr>
      <w:tr w14:paraId="42F6A7E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EF60C4" w14:textId="77777777">
            <w:pPr>
              <w:jc w:val="center"/>
              <w:rPr>
                <w:rFonts w:cs="Calibri"/>
              </w:rPr>
            </w:pPr>
            <w:r w:rsidRPr="007D15C3">
              <w:rPr>
                <w:rFonts w:cs="Calibri"/>
              </w:rPr>
              <w:t>34204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600B09" w14:textId="77777777">
            <w:pPr>
              <w:jc w:val="center"/>
              <w:rPr>
                <w:rFonts w:cs="Calibri"/>
              </w:rPr>
            </w:pPr>
            <w:r w:rsidRPr="007D15C3">
              <w:rPr>
                <w:rFonts w:cs="Calibri"/>
              </w:rPr>
              <w:t>WCVN-TV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9404DA" w14:textId="77777777">
            <w:pPr>
              <w:rPr>
                <w:rFonts w:cs="Calibri"/>
              </w:rPr>
            </w:pPr>
            <w:r w:rsidRPr="007D15C3">
              <w:rPr>
                <w:rFonts w:cs="Calibri"/>
              </w:rPr>
              <w:t xml:space="preserve">          2,108,475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8AFBF5" w14:textId="77777777">
            <w:pPr>
              <w:rPr>
                <w:rFonts w:cs="Calibri"/>
              </w:rPr>
            </w:pPr>
            <w:r w:rsidRPr="007D15C3">
              <w:rPr>
                <w:rFonts w:cs="Calibri"/>
              </w:rPr>
              <w:t xml:space="preserve">            2,100,226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F0C65D" w14:textId="77777777">
            <w:pPr>
              <w:jc w:val="right"/>
              <w:rPr>
                <w:rFonts w:cs="Calibri"/>
              </w:rPr>
            </w:pPr>
            <w:r w:rsidRPr="007D15C3">
              <w:rPr>
                <w:rFonts w:cs="Calibri"/>
              </w:rPr>
              <w:t>$16,459</w:t>
            </w:r>
          </w:p>
        </w:tc>
      </w:tr>
      <w:tr w14:paraId="1A37567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93A1F5" w14:textId="77777777">
            <w:pPr>
              <w:jc w:val="center"/>
              <w:rPr>
                <w:rFonts w:cs="Calibri"/>
              </w:rPr>
            </w:pPr>
            <w:r w:rsidRPr="007D15C3">
              <w:rPr>
                <w:rFonts w:cs="Calibri"/>
              </w:rPr>
              <w:t>9989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B8FC76" w14:textId="77777777">
            <w:pPr>
              <w:jc w:val="center"/>
              <w:rPr>
                <w:rFonts w:cs="Calibri"/>
              </w:rPr>
            </w:pPr>
            <w:r w:rsidRPr="007D15C3">
              <w:rPr>
                <w:rFonts w:cs="Calibri"/>
              </w:rPr>
              <w:t>WCVW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BA0726" w14:textId="77777777">
            <w:pPr>
              <w:rPr>
                <w:rFonts w:cs="Calibri"/>
              </w:rPr>
            </w:pPr>
            <w:r w:rsidRPr="007D15C3">
              <w:rPr>
                <w:rFonts w:cs="Calibri"/>
              </w:rPr>
              <w:t xml:space="preserve">          1,461,748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B0ECD5" w14:textId="77777777">
            <w:pPr>
              <w:rPr>
                <w:rFonts w:cs="Calibri"/>
              </w:rPr>
            </w:pPr>
            <w:r w:rsidRPr="007D15C3">
              <w:rPr>
                <w:rFonts w:cs="Calibri"/>
              </w:rPr>
              <w:t xml:space="preserve">            1,461,643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7A91C8" w14:textId="77777777">
            <w:pPr>
              <w:jc w:val="right"/>
              <w:rPr>
                <w:rFonts w:cs="Calibri"/>
              </w:rPr>
            </w:pPr>
            <w:r w:rsidRPr="007D15C3">
              <w:rPr>
                <w:rFonts w:cs="Calibri"/>
              </w:rPr>
              <w:t>$11,455</w:t>
            </w:r>
          </w:p>
        </w:tc>
      </w:tr>
      <w:tr w14:paraId="4B6557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FBC3AE" w14:textId="77777777">
            <w:pPr>
              <w:jc w:val="center"/>
              <w:rPr>
                <w:rFonts w:cs="Calibri"/>
              </w:rPr>
            </w:pPr>
            <w:r w:rsidRPr="007D15C3">
              <w:rPr>
                <w:rFonts w:cs="Calibri"/>
              </w:rPr>
              <w:t>73042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8EBE81" w14:textId="77777777">
            <w:pPr>
              <w:jc w:val="center"/>
              <w:rPr>
                <w:rFonts w:cs="Calibri"/>
              </w:rPr>
            </w:pPr>
            <w:r w:rsidRPr="007D15C3">
              <w:rPr>
                <w:rFonts w:cs="Calibri"/>
              </w:rPr>
              <w:t>WCWF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2F41F7" w14:textId="77777777">
            <w:pPr>
              <w:rPr>
                <w:rFonts w:cs="Calibri"/>
              </w:rPr>
            </w:pPr>
            <w:r w:rsidRPr="007D15C3">
              <w:rPr>
                <w:rFonts w:cs="Calibri"/>
              </w:rPr>
              <w:t xml:space="preserve">          1,040,984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02782C" w14:textId="77777777">
            <w:pPr>
              <w:rPr>
                <w:rFonts w:cs="Calibri"/>
              </w:rPr>
            </w:pPr>
            <w:r w:rsidRPr="007D15C3">
              <w:rPr>
                <w:rFonts w:cs="Calibri"/>
              </w:rPr>
              <w:t xml:space="preserve">            1,040,525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C908D9" w14:textId="77777777">
            <w:pPr>
              <w:jc w:val="right"/>
              <w:rPr>
                <w:rFonts w:cs="Calibri"/>
              </w:rPr>
            </w:pPr>
            <w:r w:rsidRPr="007D15C3">
              <w:rPr>
                <w:rFonts w:cs="Calibri"/>
              </w:rPr>
              <w:t>$8,155</w:t>
            </w:r>
          </w:p>
        </w:tc>
      </w:tr>
      <w:tr w14:paraId="692A50B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C7A9F8" w14:textId="77777777">
            <w:pPr>
              <w:jc w:val="center"/>
              <w:rPr>
                <w:rFonts w:cs="Calibri"/>
              </w:rPr>
            </w:pPr>
            <w:r w:rsidRPr="007D15C3">
              <w:rPr>
                <w:rFonts w:cs="Calibri"/>
              </w:rPr>
              <w:t>35385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D03216" w14:textId="77777777">
            <w:pPr>
              <w:jc w:val="center"/>
              <w:rPr>
                <w:rFonts w:cs="Calibri"/>
              </w:rPr>
            </w:pPr>
            <w:r w:rsidRPr="007D15C3">
              <w:rPr>
                <w:rFonts w:cs="Calibri"/>
              </w:rPr>
              <w:t>WCWG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1E492B" w14:textId="77777777">
            <w:pPr>
              <w:rPr>
                <w:rFonts w:cs="Calibri"/>
              </w:rPr>
            </w:pPr>
            <w:r w:rsidRPr="007D15C3">
              <w:rPr>
                <w:rFonts w:cs="Calibri"/>
              </w:rPr>
              <w:t xml:space="preserve">          3,630,551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E99B8F" w14:textId="77777777">
            <w:pPr>
              <w:rPr>
                <w:rFonts w:cs="Calibri"/>
              </w:rPr>
            </w:pPr>
            <w:r w:rsidRPr="007D15C3">
              <w:rPr>
                <w:rFonts w:cs="Calibri"/>
              </w:rPr>
              <w:t xml:space="preserve">            3,299,114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01ABD7" w14:textId="77777777">
            <w:pPr>
              <w:jc w:val="right"/>
              <w:rPr>
                <w:rFonts w:cs="Calibri"/>
              </w:rPr>
            </w:pPr>
            <w:r w:rsidRPr="007D15C3">
              <w:rPr>
                <w:rFonts w:cs="Calibri"/>
              </w:rPr>
              <w:t>$25,855</w:t>
            </w:r>
          </w:p>
        </w:tc>
      </w:tr>
      <w:tr w14:paraId="58CEBF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674EC1" w14:textId="77777777">
            <w:pPr>
              <w:jc w:val="center"/>
              <w:rPr>
                <w:rFonts w:cs="Calibri"/>
              </w:rPr>
            </w:pPr>
            <w:r w:rsidRPr="007D15C3">
              <w:rPr>
                <w:rFonts w:cs="Calibri"/>
              </w:rPr>
              <w:t>29712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450685" w14:textId="77777777">
            <w:pPr>
              <w:jc w:val="center"/>
              <w:rPr>
                <w:rFonts w:cs="Calibri"/>
              </w:rPr>
            </w:pPr>
            <w:r w:rsidRPr="007D15C3">
              <w:rPr>
                <w:rFonts w:cs="Calibri"/>
              </w:rPr>
              <w:t>WCWJ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18164E" w14:textId="77777777">
            <w:pPr>
              <w:rPr>
                <w:rFonts w:cs="Calibri"/>
              </w:rPr>
            </w:pPr>
            <w:r w:rsidRPr="007D15C3">
              <w:rPr>
                <w:rFonts w:cs="Calibri"/>
              </w:rPr>
              <w:t xml:space="preserve">          1,582,959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1C56B9" w14:textId="77777777">
            <w:pPr>
              <w:rPr>
                <w:rFonts w:cs="Calibri"/>
              </w:rPr>
            </w:pPr>
            <w:r w:rsidRPr="007D15C3">
              <w:rPr>
                <w:rFonts w:cs="Calibri"/>
              </w:rPr>
              <w:t xml:space="preserve">            1,582,959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37CD60" w14:textId="77777777">
            <w:pPr>
              <w:jc w:val="right"/>
              <w:rPr>
                <w:rFonts w:cs="Calibri"/>
              </w:rPr>
            </w:pPr>
            <w:r w:rsidRPr="007D15C3">
              <w:rPr>
                <w:rFonts w:cs="Calibri"/>
              </w:rPr>
              <w:t>$12,406</w:t>
            </w:r>
          </w:p>
        </w:tc>
      </w:tr>
      <w:tr w14:paraId="25C7A14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826F1F" w14:textId="77777777">
            <w:pPr>
              <w:jc w:val="center"/>
              <w:rPr>
                <w:rFonts w:cs="Calibri"/>
              </w:rPr>
            </w:pPr>
            <w:r w:rsidRPr="007D15C3">
              <w:rPr>
                <w:rFonts w:cs="Calibri"/>
              </w:rPr>
              <w:t>73264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ED9F00" w14:textId="77777777">
            <w:pPr>
              <w:jc w:val="center"/>
              <w:rPr>
                <w:rFonts w:cs="Calibri"/>
              </w:rPr>
            </w:pPr>
            <w:r w:rsidRPr="007D15C3">
              <w:rPr>
                <w:rFonts w:cs="Calibri"/>
              </w:rPr>
              <w:t>WCWN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F99952" w14:textId="77777777">
            <w:pPr>
              <w:rPr>
                <w:rFonts w:cs="Calibri"/>
              </w:rPr>
            </w:pPr>
            <w:r w:rsidRPr="007D15C3">
              <w:rPr>
                <w:rFonts w:cs="Calibri"/>
              </w:rPr>
              <w:t xml:space="preserve">          1,698,469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7B9BDB" w14:textId="77777777">
            <w:pPr>
              <w:rPr>
                <w:rFonts w:cs="Calibri"/>
              </w:rPr>
            </w:pPr>
            <w:r w:rsidRPr="007D15C3">
              <w:rPr>
                <w:rFonts w:cs="Calibri"/>
              </w:rPr>
              <w:t xml:space="preserve">            1,512,848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16FBD2" w14:textId="77777777">
            <w:pPr>
              <w:jc w:val="right"/>
              <w:rPr>
                <w:rFonts w:cs="Calibri"/>
              </w:rPr>
            </w:pPr>
            <w:r w:rsidRPr="007D15C3">
              <w:rPr>
                <w:rFonts w:cs="Calibri"/>
              </w:rPr>
              <w:t>$11,856</w:t>
            </w:r>
          </w:p>
        </w:tc>
      </w:tr>
      <w:tr w14:paraId="1FC2D6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82C92D" w14:textId="77777777">
            <w:pPr>
              <w:jc w:val="center"/>
              <w:rPr>
                <w:rFonts w:cs="Calibri"/>
              </w:rPr>
            </w:pPr>
            <w:r w:rsidRPr="007D15C3">
              <w:rPr>
                <w:rFonts w:cs="Calibri"/>
              </w:rPr>
              <w:t>2455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6CBFE2" w14:textId="77777777">
            <w:pPr>
              <w:jc w:val="center"/>
              <w:rPr>
                <w:rFonts w:cs="Calibri"/>
              </w:rPr>
            </w:pPr>
            <w:r w:rsidRPr="007D15C3">
              <w:rPr>
                <w:rFonts w:cs="Calibri"/>
              </w:rPr>
              <w:t>WCYB-TV*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09F061" w14:textId="77777777">
            <w:pPr>
              <w:rPr>
                <w:rFonts w:cs="Calibri"/>
              </w:rPr>
            </w:pPr>
            <w:r w:rsidRPr="007D15C3">
              <w:rPr>
                <w:rFonts w:cs="Calibri"/>
              </w:rPr>
              <w:t xml:space="preserve">          2,363,002</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57AAAF" w14:textId="77777777">
            <w:pPr>
              <w:rPr>
                <w:rFonts w:cs="Calibri"/>
              </w:rPr>
            </w:pPr>
            <w:r w:rsidRPr="007D15C3">
              <w:rPr>
                <w:rFonts w:cs="Calibri"/>
              </w:rPr>
              <w:t xml:space="preserve">            2,057,404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3BAF5A" w14:textId="77777777">
            <w:pPr>
              <w:jc w:val="right"/>
              <w:rPr>
                <w:rFonts w:cs="Calibri"/>
              </w:rPr>
            </w:pPr>
            <w:r w:rsidRPr="007D15C3">
              <w:rPr>
                <w:rFonts w:cs="Calibri"/>
              </w:rPr>
              <w:t>$16,124</w:t>
            </w:r>
          </w:p>
        </w:tc>
      </w:tr>
      <w:tr w14:paraId="6C9EFFE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BA3EA6" w14:textId="77777777">
            <w:pPr>
              <w:jc w:val="center"/>
              <w:rPr>
                <w:rFonts w:cs="Calibri"/>
              </w:rPr>
            </w:pPr>
            <w:r w:rsidRPr="007D15C3">
              <w:rPr>
                <w:rFonts w:cs="Calibri"/>
              </w:rPr>
              <w:t>11291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020FAA" w14:textId="77777777">
            <w:pPr>
              <w:jc w:val="center"/>
              <w:rPr>
                <w:rFonts w:cs="Calibri"/>
              </w:rPr>
            </w:pPr>
            <w:r w:rsidRPr="007D15C3">
              <w:rPr>
                <w:rFonts w:cs="Calibri"/>
              </w:rPr>
              <w:t>WDAF-TV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1FD0C9" w14:textId="77777777">
            <w:pPr>
              <w:rPr>
                <w:rFonts w:cs="Calibri"/>
              </w:rPr>
            </w:pPr>
            <w:r w:rsidRPr="007D15C3">
              <w:rPr>
                <w:rFonts w:cs="Calibri"/>
              </w:rPr>
              <w:t xml:space="preserve">          2,539,581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999BAA" w14:textId="77777777">
            <w:pPr>
              <w:rPr>
                <w:rFonts w:cs="Calibri"/>
              </w:rPr>
            </w:pPr>
            <w:r w:rsidRPr="007D15C3">
              <w:rPr>
                <w:rFonts w:cs="Calibri"/>
              </w:rPr>
              <w:t xml:space="preserve">            2,537,411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F5B149" w14:textId="77777777">
            <w:pPr>
              <w:jc w:val="right"/>
              <w:rPr>
                <w:rFonts w:cs="Calibri"/>
              </w:rPr>
            </w:pPr>
            <w:r w:rsidRPr="007D15C3">
              <w:rPr>
                <w:rFonts w:cs="Calibri"/>
              </w:rPr>
              <w:t>$19,886</w:t>
            </w:r>
          </w:p>
        </w:tc>
      </w:tr>
      <w:tr w14:paraId="60B359D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CC3E93" w14:textId="77777777">
            <w:pPr>
              <w:jc w:val="center"/>
              <w:rPr>
                <w:rFonts w:cs="Calibri"/>
              </w:rPr>
            </w:pPr>
            <w:r w:rsidRPr="007D15C3">
              <w:rPr>
                <w:rFonts w:cs="Calibri"/>
              </w:rPr>
              <w:t>21250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8963F1" w14:textId="77777777">
            <w:pPr>
              <w:jc w:val="center"/>
              <w:rPr>
                <w:rFonts w:cs="Calibri"/>
              </w:rPr>
            </w:pPr>
            <w:r w:rsidRPr="007D15C3">
              <w:rPr>
                <w:rFonts w:cs="Calibri"/>
              </w:rPr>
              <w:t>WDAM-TV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CC0CE3" w14:textId="77777777">
            <w:pPr>
              <w:rPr>
                <w:rFonts w:cs="Calibri"/>
              </w:rPr>
            </w:pPr>
            <w:r w:rsidRPr="007D15C3">
              <w:rPr>
                <w:rFonts w:cs="Calibri"/>
              </w:rPr>
              <w:t xml:space="preserve">             512,594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172F84" w14:textId="77777777">
            <w:pPr>
              <w:rPr>
                <w:rFonts w:cs="Calibri"/>
              </w:rPr>
            </w:pPr>
            <w:r w:rsidRPr="007D15C3">
              <w:rPr>
                <w:rFonts w:cs="Calibri"/>
              </w:rPr>
              <w:t xml:space="preserve">               500,343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86A6A1" w14:textId="77777777">
            <w:pPr>
              <w:jc w:val="right"/>
              <w:rPr>
                <w:rFonts w:cs="Calibri"/>
              </w:rPr>
            </w:pPr>
            <w:r w:rsidRPr="007D15C3">
              <w:rPr>
                <w:rFonts w:cs="Calibri"/>
              </w:rPr>
              <w:t>$3,921</w:t>
            </w:r>
          </w:p>
        </w:tc>
      </w:tr>
      <w:tr w14:paraId="151B3F8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8B3200" w14:textId="77777777">
            <w:pPr>
              <w:jc w:val="center"/>
              <w:rPr>
                <w:rFonts w:cs="Calibri"/>
              </w:rPr>
            </w:pPr>
            <w:r w:rsidRPr="007D15C3">
              <w:rPr>
                <w:rFonts w:cs="Calibri"/>
              </w:rPr>
              <w:t>22129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0A051E" w14:textId="77777777">
            <w:pPr>
              <w:jc w:val="center"/>
              <w:rPr>
                <w:rFonts w:cs="Calibri"/>
              </w:rPr>
            </w:pPr>
            <w:r w:rsidRPr="007D15C3">
              <w:rPr>
                <w:rFonts w:cs="Calibri"/>
              </w:rPr>
              <w:t>WDAY-TV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72FE94" w14:textId="77777777">
            <w:pPr>
              <w:rPr>
                <w:rFonts w:cs="Calibri"/>
              </w:rPr>
            </w:pPr>
            <w:r w:rsidRPr="007D15C3">
              <w:rPr>
                <w:rFonts w:cs="Calibri"/>
              </w:rPr>
              <w:t xml:space="preserve">             339,239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9D53D3" w14:textId="77777777">
            <w:pPr>
              <w:rPr>
                <w:rFonts w:cs="Calibri"/>
              </w:rPr>
            </w:pPr>
            <w:r w:rsidRPr="007D15C3">
              <w:rPr>
                <w:rFonts w:cs="Calibri"/>
              </w:rPr>
              <w:t xml:space="preserve">               338,856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A59A3F" w14:textId="77777777">
            <w:pPr>
              <w:jc w:val="right"/>
              <w:rPr>
                <w:rFonts w:cs="Calibri"/>
              </w:rPr>
            </w:pPr>
            <w:r w:rsidRPr="007D15C3">
              <w:rPr>
                <w:rFonts w:cs="Calibri"/>
              </w:rPr>
              <w:t>$2,656</w:t>
            </w:r>
          </w:p>
        </w:tc>
      </w:tr>
      <w:tr w14:paraId="6B74DC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5FD875" w14:textId="77777777">
            <w:pPr>
              <w:jc w:val="center"/>
              <w:rPr>
                <w:rFonts w:cs="Calibri"/>
              </w:rPr>
            </w:pPr>
            <w:r w:rsidRPr="007D15C3">
              <w:rPr>
                <w:rFonts w:cs="Calibri"/>
              </w:rPr>
              <w:t>22124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FFDADE" w14:textId="77777777">
            <w:pPr>
              <w:jc w:val="center"/>
              <w:rPr>
                <w:rFonts w:cs="Calibri"/>
              </w:rPr>
            </w:pPr>
            <w:r w:rsidRPr="007D15C3">
              <w:rPr>
                <w:rFonts w:cs="Calibri"/>
              </w:rPr>
              <w:t>WDAZ-TV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7C52BC" w14:textId="77777777">
            <w:pPr>
              <w:rPr>
                <w:rFonts w:cs="Calibri"/>
              </w:rPr>
            </w:pPr>
            <w:r w:rsidRPr="007D15C3">
              <w:rPr>
                <w:rFonts w:cs="Calibri"/>
              </w:rPr>
              <w:t xml:space="preserve">             151,720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7ED934" w14:textId="77777777">
            <w:pPr>
              <w:rPr>
                <w:rFonts w:cs="Calibri"/>
              </w:rPr>
            </w:pPr>
            <w:r w:rsidRPr="007D15C3">
              <w:rPr>
                <w:rFonts w:cs="Calibri"/>
              </w:rPr>
              <w:t xml:space="preserve">               151,659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5F70BD" w14:textId="77777777">
            <w:pPr>
              <w:jc w:val="right"/>
              <w:rPr>
                <w:rFonts w:cs="Calibri"/>
              </w:rPr>
            </w:pPr>
            <w:r w:rsidRPr="007D15C3">
              <w:rPr>
                <w:rFonts w:cs="Calibri"/>
              </w:rPr>
              <w:t>$1,189</w:t>
            </w:r>
          </w:p>
        </w:tc>
      </w:tr>
      <w:tr w14:paraId="4E69F7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2D8CD1" w14:textId="77777777">
            <w:pPr>
              <w:jc w:val="center"/>
              <w:rPr>
                <w:rFonts w:cs="Calibri"/>
              </w:rPr>
            </w:pPr>
            <w:r w:rsidRPr="007D15C3">
              <w:rPr>
                <w:rFonts w:cs="Calibri"/>
              </w:rPr>
              <w:t>71325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801BFF" w14:textId="77777777">
            <w:pPr>
              <w:jc w:val="center"/>
              <w:rPr>
                <w:rFonts w:cs="Calibri"/>
              </w:rPr>
            </w:pPr>
            <w:r w:rsidRPr="007D15C3">
              <w:rPr>
                <w:rFonts w:cs="Calibri"/>
              </w:rPr>
              <w:t>WDBB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BED908" w14:textId="77777777">
            <w:pPr>
              <w:rPr>
                <w:rFonts w:cs="Calibri"/>
              </w:rPr>
            </w:pPr>
            <w:r w:rsidRPr="007D15C3">
              <w:rPr>
                <w:rFonts w:cs="Calibri"/>
              </w:rPr>
              <w:t xml:space="preserve">          1,669,214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98E81C" w14:textId="77777777">
            <w:pPr>
              <w:rPr>
                <w:rFonts w:cs="Calibri"/>
              </w:rPr>
            </w:pPr>
            <w:r w:rsidRPr="007D15C3">
              <w:rPr>
                <w:rFonts w:cs="Calibri"/>
              </w:rPr>
              <w:t xml:space="preserve">            1,646,336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0D8312" w14:textId="77777777">
            <w:pPr>
              <w:jc w:val="right"/>
              <w:rPr>
                <w:rFonts w:cs="Calibri"/>
              </w:rPr>
            </w:pPr>
            <w:r w:rsidRPr="007D15C3">
              <w:rPr>
                <w:rFonts w:cs="Calibri"/>
              </w:rPr>
              <w:t>$12,902</w:t>
            </w:r>
          </w:p>
        </w:tc>
      </w:tr>
      <w:tr w14:paraId="7700D27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4D5D70" w14:textId="77777777">
            <w:pPr>
              <w:jc w:val="center"/>
              <w:rPr>
                <w:rFonts w:cs="Calibri"/>
              </w:rPr>
            </w:pPr>
            <w:r w:rsidRPr="007D15C3">
              <w:rPr>
                <w:rFonts w:cs="Calibri"/>
              </w:rPr>
              <w:t>71326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0660E2" w14:textId="77777777">
            <w:pPr>
              <w:jc w:val="center"/>
              <w:rPr>
                <w:rFonts w:cs="Calibri"/>
              </w:rPr>
            </w:pPr>
            <w:r w:rsidRPr="007D15C3">
              <w:rPr>
                <w:rFonts w:cs="Calibri"/>
              </w:rPr>
              <w:t>WDBD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BFBE13" w14:textId="77777777">
            <w:pPr>
              <w:rPr>
                <w:rFonts w:cs="Calibri"/>
              </w:rPr>
            </w:pPr>
            <w:r w:rsidRPr="007D15C3">
              <w:rPr>
                <w:rFonts w:cs="Calibri"/>
              </w:rPr>
              <w:t xml:space="preserve">             940,665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EBE865" w14:textId="77777777">
            <w:pPr>
              <w:rPr>
                <w:rFonts w:cs="Calibri"/>
              </w:rPr>
            </w:pPr>
            <w:r w:rsidRPr="007D15C3">
              <w:rPr>
                <w:rFonts w:cs="Calibri"/>
              </w:rPr>
              <w:t xml:space="preserve">               939,489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3F5084" w14:textId="77777777">
            <w:pPr>
              <w:jc w:val="right"/>
              <w:rPr>
                <w:rFonts w:cs="Calibri"/>
              </w:rPr>
            </w:pPr>
            <w:r w:rsidRPr="007D15C3">
              <w:rPr>
                <w:rFonts w:cs="Calibri"/>
              </w:rPr>
              <w:t>$7,363</w:t>
            </w:r>
          </w:p>
        </w:tc>
      </w:tr>
      <w:tr w14:paraId="6F7B02F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96D21B" w14:textId="77777777">
            <w:pPr>
              <w:jc w:val="center"/>
              <w:rPr>
                <w:rFonts w:cs="Calibri"/>
              </w:rPr>
            </w:pPr>
            <w:r w:rsidRPr="007D15C3">
              <w:rPr>
                <w:rFonts w:cs="Calibri"/>
              </w:rPr>
              <w:t>71329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073C89" w14:textId="77777777">
            <w:pPr>
              <w:jc w:val="center"/>
              <w:rPr>
                <w:rFonts w:cs="Calibri"/>
              </w:rPr>
            </w:pPr>
            <w:r w:rsidRPr="007D15C3">
              <w:rPr>
                <w:rFonts w:cs="Calibri"/>
              </w:rPr>
              <w:t>WDBJ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AA2ECF" w14:textId="77777777">
            <w:pPr>
              <w:rPr>
                <w:rFonts w:cs="Calibri"/>
              </w:rPr>
            </w:pPr>
            <w:r w:rsidRPr="007D15C3">
              <w:rPr>
                <w:rFonts w:cs="Calibri"/>
              </w:rPr>
              <w:t xml:space="preserve">          1,606,844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D28946" w14:textId="77777777">
            <w:pPr>
              <w:rPr>
                <w:rFonts w:cs="Calibri"/>
              </w:rPr>
            </w:pPr>
            <w:r w:rsidRPr="007D15C3">
              <w:rPr>
                <w:rFonts w:cs="Calibri"/>
              </w:rPr>
              <w:t xml:space="preserve">            1,439,716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E9269C" w14:textId="77777777">
            <w:pPr>
              <w:jc w:val="right"/>
              <w:rPr>
                <w:rFonts w:cs="Calibri"/>
              </w:rPr>
            </w:pPr>
            <w:r w:rsidRPr="007D15C3">
              <w:rPr>
                <w:rFonts w:cs="Calibri"/>
              </w:rPr>
              <w:t>$11,283</w:t>
            </w:r>
          </w:p>
        </w:tc>
      </w:tr>
      <w:tr w14:paraId="41D0C1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2DA4D5" w14:textId="77777777">
            <w:pPr>
              <w:jc w:val="center"/>
              <w:rPr>
                <w:rFonts w:cs="Calibri"/>
              </w:rPr>
            </w:pPr>
            <w:r w:rsidRPr="007D15C3">
              <w:rPr>
                <w:rFonts w:cs="Calibri"/>
              </w:rPr>
              <w:t>51567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1956D2" w14:textId="77777777">
            <w:pPr>
              <w:jc w:val="center"/>
              <w:rPr>
                <w:rFonts w:cs="Calibri"/>
              </w:rPr>
            </w:pPr>
            <w:r w:rsidRPr="007D15C3">
              <w:rPr>
                <w:rFonts w:cs="Calibri"/>
              </w:rPr>
              <w:t>WDCA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248F27" w14:textId="77777777">
            <w:pPr>
              <w:rPr>
                <w:rFonts w:cs="Calibri"/>
              </w:rPr>
            </w:pPr>
            <w:r w:rsidRPr="007D15C3">
              <w:rPr>
                <w:rFonts w:cs="Calibri"/>
              </w:rPr>
              <w:t xml:space="preserve">          8,070,491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94B557" w14:textId="77777777">
            <w:pPr>
              <w:rPr>
                <w:rFonts w:cs="Calibri"/>
              </w:rPr>
            </w:pPr>
            <w:r w:rsidRPr="007D15C3">
              <w:rPr>
                <w:rFonts w:cs="Calibri"/>
              </w:rPr>
              <w:t xml:space="preserve">            8,015,328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FDB335" w14:textId="77777777">
            <w:pPr>
              <w:jc w:val="right"/>
              <w:rPr>
                <w:rFonts w:cs="Calibri"/>
              </w:rPr>
            </w:pPr>
            <w:r w:rsidRPr="007D15C3">
              <w:rPr>
                <w:rFonts w:cs="Calibri"/>
              </w:rPr>
              <w:t>$62,816</w:t>
            </w:r>
          </w:p>
        </w:tc>
      </w:tr>
      <w:tr w14:paraId="63C7D8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A050D9" w14:textId="77777777">
            <w:pPr>
              <w:jc w:val="center"/>
              <w:rPr>
                <w:rFonts w:cs="Calibri"/>
              </w:rPr>
            </w:pPr>
            <w:r w:rsidRPr="007D15C3">
              <w:rPr>
                <w:rFonts w:cs="Calibri"/>
              </w:rPr>
              <w:t>16530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4A39C6" w14:textId="77777777">
            <w:pPr>
              <w:jc w:val="center"/>
              <w:rPr>
                <w:rFonts w:cs="Calibri"/>
              </w:rPr>
            </w:pPr>
            <w:r w:rsidRPr="007D15C3">
              <w:rPr>
                <w:rFonts w:cs="Calibri"/>
              </w:rPr>
              <w:t>WDCQ-TV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972976" w14:textId="77777777">
            <w:pPr>
              <w:rPr>
                <w:rFonts w:cs="Calibri"/>
              </w:rPr>
            </w:pPr>
            <w:r w:rsidRPr="007D15C3">
              <w:rPr>
                <w:rFonts w:cs="Calibri"/>
              </w:rPr>
              <w:t xml:space="preserve">          1,269,199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1E729D" w14:textId="77777777">
            <w:pPr>
              <w:rPr>
                <w:rFonts w:cs="Calibri"/>
              </w:rPr>
            </w:pPr>
            <w:r w:rsidRPr="007D15C3">
              <w:rPr>
                <w:rFonts w:cs="Calibri"/>
              </w:rPr>
              <w:t xml:space="preserve">            1,269,199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1FD1FE" w14:textId="77777777">
            <w:pPr>
              <w:jc w:val="right"/>
              <w:rPr>
                <w:rFonts w:cs="Calibri"/>
              </w:rPr>
            </w:pPr>
            <w:r w:rsidRPr="007D15C3">
              <w:rPr>
                <w:rFonts w:cs="Calibri"/>
              </w:rPr>
              <w:t>$9,947</w:t>
            </w:r>
          </w:p>
        </w:tc>
      </w:tr>
      <w:tr w14:paraId="3AF81D7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D3825E" w14:textId="77777777">
            <w:pPr>
              <w:jc w:val="center"/>
              <w:rPr>
                <w:rFonts w:cs="Calibri"/>
              </w:rPr>
            </w:pPr>
            <w:r w:rsidRPr="007D15C3">
              <w:rPr>
                <w:rFonts w:cs="Calibri"/>
              </w:rPr>
              <w:t>30576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3CF53D" w14:textId="77777777">
            <w:pPr>
              <w:jc w:val="center"/>
              <w:rPr>
                <w:rFonts w:cs="Calibri"/>
              </w:rPr>
            </w:pPr>
            <w:r w:rsidRPr="007D15C3">
              <w:rPr>
                <w:rFonts w:cs="Calibri"/>
              </w:rPr>
              <w:t>WDCW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98FBA0" w14:textId="77777777">
            <w:pPr>
              <w:rPr>
                <w:rFonts w:cs="Calibri"/>
              </w:rPr>
            </w:pPr>
            <w:r w:rsidRPr="007D15C3">
              <w:rPr>
                <w:rFonts w:cs="Calibri"/>
              </w:rPr>
              <w:t xml:space="preserve">          8,155,998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FA1A7E" w14:textId="77777777">
            <w:pPr>
              <w:rPr>
                <w:rFonts w:cs="Calibri"/>
              </w:rPr>
            </w:pPr>
            <w:r w:rsidRPr="007D15C3">
              <w:rPr>
                <w:rFonts w:cs="Calibri"/>
              </w:rPr>
              <w:t xml:space="preserve">            8,114,847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D726CB" w14:textId="77777777">
            <w:pPr>
              <w:jc w:val="right"/>
              <w:rPr>
                <w:rFonts w:cs="Calibri"/>
              </w:rPr>
            </w:pPr>
            <w:r w:rsidRPr="007D15C3">
              <w:rPr>
                <w:rFonts w:cs="Calibri"/>
              </w:rPr>
              <w:t>$63,596</w:t>
            </w:r>
          </w:p>
        </w:tc>
      </w:tr>
      <w:tr w14:paraId="2997E6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8FA217" w14:textId="77777777">
            <w:pPr>
              <w:jc w:val="center"/>
              <w:rPr>
                <w:rFonts w:cs="Calibri"/>
              </w:rPr>
            </w:pPr>
            <w:r w:rsidRPr="007D15C3">
              <w:rPr>
                <w:rFonts w:cs="Calibri"/>
              </w:rPr>
              <w:t>54385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4A4537" w14:textId="77777777">
            <w:pPr>
              <w:jc w:val="center"/>
              <w:rPr>
                <w:rFonts w:cs="Calibri"/>
              </w:rPr>
            </w:pPr>
            <w:r w:rsidRPr="007D15C3">
              <w:rPr>
                <w:rFonts w:cs="Calibri"/>
              </w:rPr>
              <w:t>WDEF-TV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4E284C" w14:textId="77777777">
            <w:pPr>
              <w:rPr>
                <w:rFonts w:cs="Calibri"/>
              </w:rPr>
            </w:pPr>
            <w:r w:rsidRPr="007D15C3">
              <w:rPr>
                <w:rFonts w:cs="Calibri"/>
              </w:rPr>
              <w:t xml:space="preserve">          1,731,483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6CB2DE" w14:textId="77777777">
            <w:pPr>
              <w:rPr>
                <w:rFonts w:cs="Calibri"/>
              </w:rPr>
            </w:pPr>
            <w:r w:rsidRPr="007D15C3">
              <w:rPr>
                <w:rFonts w:cs="Calibri"/>
              </w:rPr>
              <w:t xml:space="preserve">            1,508,250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16BE85" w14:textId="77777777">
            <w:pPr>
              <w:jc w:val="right"/>
              <w:rPr>
                <w:rFonts w:cs="Calibri"/>
              </w:rPr>
            </w:pPr>
            <w:r w:rsidRPr="007D15C3">
              <w:rPr>
                <w:rFonts w:cs="Calibri"/>
              </w:rPr>
              <w:t>$11,820</w:t>
            </w:r>
          </w:p>
        </w:tc>
      </w:tr>
      <w:tr w14:paraId="5E085B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6A3C8F" w14:textId="77777777">
            <w:pPr>
              <w:jc w:val="center"/>
              <w:rPr>
                <w:rFonts w:cs="Calibri"/>
              </w:rPr>
            </w:pPr>
            <w:r w:rsidRPr="007D15C3">
              <w:rPr>
                <w:rFonts w:cs="Calibri"/>
              </w:rPr>
              <w:t>32851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A22312" w14:textId="77777777">
            <w:pPr>
              <w:jc w:val="center"/>
              <w:rPr>
                <w:rFonts w:cs="Calibri"/>
              </w:rPr>
            </w:pPr>
            <w:r w:rsidRPr="007D15C3">
              <w:rPr>
                <w:rFonts w:cs="Calibri"/>
              </w:rPr>
              <w:t>WDFX-TV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2863AC" w14:textId="77777777">
            <w:pPr>
              <w:rPr>
                <w:rFonts w:cs="Calibri"/>
              </w:rPr>
            </w:pPr>
            <w:r w:rsidRPr="007D15C3">
              <w:rPr>
                <w:rFonts w:cs="Calibri"/>
              </w:rPr>
              <w:t xml:space="preserve">             271,499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849A2C" w14:textId="77777777">
            <w:pPr>
              <w:rPr>
                <w:rFonts w:cs="Calibri"/>
              </w:rPr>
            </w:pPr>
            <w:r w:rsidRPr="007D15C3">
              <w:rPr>
                <w:rFonts w:cs="Calibri"/>
              </w:rPr>
              <w:t xml:space="preserve">               270,942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1B57E9" w14:textId="77777777">
            <w:pPr>
              <w:jc w:val="right"/>
              <w:rPr>
                <w:rFonts w:cs="Calibri"/>
              </w:rPr>
            </w:pPr>
            <w:r w:rsidRPr="007D15C3">
              <w:rPr>
                <w:rFonts w:cs="Calibri"/>
              </w:rPr>
              <w:t>$2,123</w:t>
            </w:r>
          </w:p>
        </w:tc>
      </w:tr>
      <w:tr w14:paraId="3E3210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B9EFEE" w14:textId="77777777">
            <w:pPr>
              <w:jc w:val="center"/>
              <w:rPr>
                <w:rFonts w:cs="Calibri"/>
              </w:rPr>
            </w:pPr>
            <w:r w:rsidRPr="007D15C3">
              <w:rPr>
                <w:rFonts w:cs="Calibri"/>
              </w:rPr>
              <w:t>43846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36367B" w14:textId="77777777">
            <w:pPr>
              <w:jc w:val="center"/>
              <w:rPr>
                <w:rFonts w:cs="Calibri"/>
              </w:rPr>
            </w:pPr>
            <w:r w:rsidRPr="007D15C3">
              <w:rPr>
                <w:rFonts w:cs="Calibri"/>
              </w:rPr>
              <w:t>WDHN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D4EF4B" w14:textId="77777777">
            <w:pPr>
              <w:rPr>
                <w:rFonts w:cs="Calibri"/>
              </w:rPr>
            </w:pPr>
            <w:r w:rsidRPr="007D15C3">
              <w:rPr>
                <w:rFonts w:cs="Calibri"/>
              </w:rPr>
              <w:t xml:space="preserve">             452,377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ECDC39" w14:textId="77777777">
            <w:pPr>
              <w:rPr>
                <w:rFonts w:cs="Calibri"/>
              </w:rPr>
            </w:pPr>
            <w:r w:rsidRPr="007D15C3">
              <w:rPr>
                <w:rFonts w:cs="Calibri"/>
              </w:rPr>
              <w:t xml:space="preserve">               451,978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C95796" w14:textId="77777777">
            <w:pPr>
              <w:jc w:val="right"/>
              <w:rPr>
                <w:rFonts w:cs="Calibri"/>
              </w:rPr>
            </w:pPr>
            <w:r w:rsidRPr="007D15C3">
              <w:rPr>
                <w:rFonts w:cs="Calibri"/>
              </w:rPr>
              <w:t>$3,542</w:t>
            </w:r>
          </w:p>
        </w:tc>
      </w:tr>
      <w:tr w14:paraId="6B107B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AB0885" w14:textId="77777777">
            <w:pPr>
              <w:jc w:val="center"/>
              <w:rPr>
                <w:rFonts w:cs="Calibri"/>
              </w:rPr>
            </w:pPr>
            <w:r w:rsidRPr="007D15C3">
              <w:rPr>
                <w:rFonts w:cs="Calibri"/>
              </w:rPr>
              <w:t>71338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72A165" w14:textId="77777777">
            <w:pPr>
              <w:jc w:val="center"/>
              <w:rPr>
                <w:rFonts w:cs="Calibri"/>
              </w:rPr>
            </w:pPr>
            <w:r w:rsidRPr="007D15C3">
              <w:rPr>
                <w:rFonts w:cs="Calibri"/>
              </w:rPr>
              <w:t>WDIO-DT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A679AD" w14:textId="77777777">
            <w:pPr>
              <w:rPr>
                <w:rFonts w:cs="Calibri"/>
              </w:rPr>
            </w:pPr>
            <w:r w:rsidRPr="007D15C3">
              <w:rPr>
                <w:rFonts w:cs="Calibri"/>
              </w:rPr>
              <w:t xml:space="preserve">             341,506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96E7D1" w14:textId="77777777">
            <w:pPr>
              <w:rPr>
                <w:rFonts w:cs="Calibri"/>
              </w:rPr>
            </w:pPr>
            <w:r w:rsidRPr="007D15C3">
              <w:rPr>
                <w:rFonts w:cs="Calibri"/>
              </w:rPr>
              <w:t xml:space="preserve">               327,469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483470" w14:textId="77777777">
            <w:pPr>
              <w:jc w:val="right"/>
              <w:rPr>
                <w:rFonts w:cs="Calibri"/>
              </w:rPr>
            </w:pPr>
            <w:r w:rsidRPr="007D15C3">
              <w:rPr>
                <w:rFonts w:cs="Calibri"/>
              </w:rPr>
              <w:t>$2,566</w:t>
            </w:r>
          </w:p>
        </w:tc>
      </w:tr>
      <w:tr w14:paraId="5AC2C42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67CD56" w14:textId="77777777">
            <w:pPr>
              <w:jc w:val="center"/>
              <w:rPr>
                <w:rFonts w:cs="Calibri"/>
              </w:rPr>
            </w:pPr>
            <w:r w:rsidRPr="007D15C3">
              <w:rPr>
                <w:rFonts w:cs="Calibri"/>
              </w:rPr>
              <w:t>714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3D47C4" w14:textId="77777777">
            <w:pPr>
              <w:jc w:val="center"/>
              <w:rPr>
                <w:rFonts w:cs="Calibri"/>
              </w:rPr>
            </w:pPr>
            <w:r w:rsidRPr="007D15C3">
              <w:rPr>
                <w:rFonts w:cs="Calibri"/>
              </w:rPr>
              <w:t>WDIQ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F6F6DB" w14:textId="77777777">
            <w:pPr>
              <w:rPr>
                <w:rFonts w:cs="Calibri"/>
              </w:rPr>
            </w:pPr>
            <w:r w:rsidRPr="007D15C3">
              <w:rPr>
                <w:rFonts w:cs="Calibri"/>
              </w:rPr>
              <w:t xml:space="preserve">             663,062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69026F" w14:textId="77777777">
            <w:pPr>
              <w:rPr>
                <w:rFonts w:cs="Calibri"/>
              </w:rPr>
            </w:pPr>
            <w:r w:rsidRPr="007D15C3">
              <w:rPr>
                <w:rFonts w:cs="Calibri"/>
              </w:rPr>
              <w:t xml:space="preserve">               620,124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8F0BC2" w14:textId="77777777">
            <w:pPr>
              <w:jc w:val="right"/>
              <w:rPr>
                <w:rFonts w:cs="Calibri"/>
              </w:rPr>
            </w:pPr>
            <w:r w:rsidRPr="007D15C3">
              <w:rPr>
                <w:rFonts w:cs="Calibri"/>
              </w:rPr>
              <w:t>$4,860</w:t>
            </w:r>
          </w:p>
        </w:tc>
      </w:tr>
      <w:tr w14:paraId="4856E2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EAF7BB" w14:textId="77777777">
            <w:pPr>
              <w:jc w:val="center"/>
              <w:rPr>
                <w:rFonts w:cs="Calibri"/>
              </w:rPr>
            </w:pPr>
            <w:r w:rsidRPr="007D15C3">
              <w:rPr>
                <w:rFonts w:cs="Calibri"/>
              </w:rPr>
              <w:t>53114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2EC7A7" w14:textId="77777777">
            <w:pPr>
              <w:jc w:val="center"/>
              <w:rPr>
                <w:rFonts w:cs="Calibri"/>
              </w:rPr>
            </w:pPr>
            <w:r w:rsidRPr="007D15C3">
              <w:rPr>
                <w:rFonts w:cs="Calibri"/>
              </w:rPr>
              <w:t>WDIV-TV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AE4248" w14:textId="77777777">
            <w:pPr>
              <w:rPr>
                <w:rFonts w:cs="Calibri"/>
              </w:rPr>
            </w:pPr>
            <w:r w:rsidRPr="007D15C3">
              <w:rPr>
                <w:rFonts w:cs="Calibri"/>
              </w:rPr>
              <w:t xml:space="preserve">          5,425,162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31C495" w14:textId="77777777">
            <w:pPr>
              <w:rPr>
                <w:rFonts w:cs="Calibri"/>
              </w:rPr>
            </w:pPr>
            <w:r w:rsidRPr="007D15C3">
              <w:rPr>
                <w:rFonts w:cs="Calibri"/>
              </w:rPr>
              <w:t xml:space="preserve">            5,424,963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4F6EB4" w14:textId="77777777">
            <w:pPr>
              <w:jc w:val="right"/>
              <w:rPr>
                <w:rFonts w:cs="Calibri"/>
              </w:rPr>
            </w:pPr>
            <w:r w:rsidRPr="007D15C3">
              <w:rPr>
                <w:rFonts w:cs="Calibri"/>
              </w:rPr>
              <w:t>$42,515</w:t>
            </w:r>
          </w:p>
        </w:tc>
      </w:tr>
      <w:tr w14:paraId="421793AD"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46E201" w14:textId="77777777">
            <w:pPr>
              <w:jc w:val="center"/>
              <w:rPr>
                <w:rFonts w:cs="Calibri"/>
              </w:rPr>
            </w:pPr>
            <w:r w:rsidRPr="007D15C3">
              <w:rPr>
                <w:rFonts w:cs="Calibri"/>
              </w:rPr>
              <w:t>71427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25927EA" w14:textId="77777777">
            <w:pPr>
              <w:jc w:val="center"/>
              <w:rPr>
                <w:rFonts w:cs="Calibri"/>
              </w:rPr>
            </w:pPr>
            <w:r w:rsidRPr="007D15C3">
              <w:rPr>
                <w:rFonts w:cs="Calibri"/>
              </w:rPr>
              <w:t>WDJT-TV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15D16E6" w14:textId="77777777">
            <w:pPr>
              <w:rPr>
                <w:rFonts w:cs="Calibri"/>
              </w:rPr>
            </w:pPr>
            <w:r w:rsidRPr="007D15C3">
              <w:rPr>
                <w:rFonts w:cs="Calibri"/>
              </w:rPr>
              <w:t xml:space="preserve">          3,085,540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B4435B2" w14:textId="77777777">
            <w:pPr>
              <w:rPr>
                <w:rFonts w:cs="Calibri"/>
              </w:rPr>
            </w:pPr>
            <w:r w:rsidRPr="007D15C3">
              <w:rPr>
                <w:rFonts w:cs="Calibri"/>
              </w:rPr>
              <w:t xml:space="preserve">            3,081,475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2CCB3B9" w14:textId="77777777">
            <w:pPr>
              <w:jc w:val="right"/>
              <w:rPr>
                <w:rFonts w:cs="Calibri"/>
              </w:rPr>
            </w:pPr>
            <w:r w:rsidRPr="007D15C3">
              <w:rPr>
                <w:rFonts w:cs="Calibri"/>
              </w:rPr>
              <w:t>$24,150</w:t>
            </w:r>
          </w:p>
        </w:tc>
      </w:tr>
      <w:tr w14:paraId="07A311C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893B07" w14:textId="77777777">
            <w:pPr>
              <w:jc w:val="center"/>
              <w:rPr>
                <w:rFonts w:cs="Calibri"/>
              </w:rPr>
            </w:pPr>
            <w:r w:rsidRPr="007D15C3">
              <w:rPr>
                <w:rFonts w:cs="Calibri"/>
              </w:rPr>
              <w:t>39561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AA3397" w14:textId="77777777">
            <w:pPr>
              <w:jc w:val="center"/>
              <w:rPr>
                <w:rFonts w:cs="Calibri"/>
              </w:rPr>
            </w:pPr>
            <w:r w:rsidRPr="007D15C3">
              <w:rPr>
                <w:rFonts w:cs="Calibri"/>
              </w:rPr>
              <w:t>WDKA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89FC9B" w14:textId="77777777">
            <w:pPr>
              <w:rPr>
                <w:rFonts w:cs="Calibri"/>
              </w:rPr>
            </w:pPr>
            <w:r w:rsidRPr="007D15C3">
              <w:rPr>
                <w:rFonts w:cs="Calibri"/>
              </w:rPr>
              <w:t xml:space="preserve">             621,903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AC6421" w14:textId="77777777">
            <w:pPr>
              <w:rPr>
                <w:rFonts w:cs="Calibri"/>
              </w:rPr>
            </w:pPr>
            <w:r w:rsidRPr="007D15C3">
              <w:rPr>
                <w:rFonts w:cs="Calibri"/>
              </w:rPr>
              <w:t xml:space="preserve">               620,169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8A2B12" w14:textId="77777777">
            <w:pPr>
              <w:jc w:val="right"/>
              <w:rPr>
                <w:rFonts w:cs="Calibri"/>
              </w:rPr>
            </w:pPr>
            <w:r w:rsidRPr="007D15C3">
              <w:rPr>
                <w:rFonts w:cs="Calibri"/>
              </w:rPr>
              <w:t>$4,860</w:t>
            </w:r>
          </w:p>
        </w:tc>
      </w:tr>
      <w:tr w14:paraId="65AD5FE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ECE624" w14:textId="77777777">
            <w:pPr>
              <w:jc w:val="center"/>
              <w:rPr>
                <w:rFonts w:cs="Calibri"/>
              </w:rPr>
            </w:pPr>
            <w:r w:rsidRPr="007D15C3">
              <w:rPr>
                <w:rFonts w:cs="Calibri"/>
              </w:rPr>
              <w:t>64017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45C26E" w14:textId="77777777">
            <w:pPr>
              <w:jc w:val="center"/>
              <w:rPr>
                <w:rFonts w:cs="Calibri"/>
              </w:rPr>
            </w:pPr>
            <w:r w:rsidRPr="007D15C3">
              <w:rPr>
                <w:rFonts w:cs="Calibri"/>
              </w:rPr>
              <w:t>WDKY-TV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40B726" w14:textId="77777777">
            <w:pPr>
              <w:rPr>
                <w:rFonts w:cs="Calibri"/>
              </w:rPr>
            </w:pPr>
            <w:r w:rsidRPr="007D15C3">
              <w:rPr>
                <w:rFonts w:cs="Calibri"/>
              </w:rPr>
              <w:t xml:space="preserve">          1,204,817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BF07B1" w14:textId="77777777">
            <w:pPr>
              <w:rPr>
                <w:rFonts w:cs="Calibri"/>
              </w:rPr>
            </w:pPr>
            <w:r w:rsidRPr="007D15C3">
              <w:rPr>
                <w:rFonts w:cs="Calibri"/>
              </w:rPr>
              <w:t xml:space="preserve">            1,173,579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96F7CE" w14:textId="77777777">
            <w:pPr>
              <w:jc w:val="right"/>
              <w:rPr>
                <w:rFonts w:cs="Calibri"/>
              </w:rPr>
            </w:pPr>
            <w:r w:rsidRPr="007D15C3">
              <w:rPr>
                <w:rFonts w:cs="Calibri"/>
              </w:rPr>
              <w:t>$9,197</w:t>
            </w:r>
          </w:p>
        </w:tc>
      </w:tr>
      <w:tr w14:paraId="0F3ABB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44A7A9" w14:textId="77777777">
            <w:pPr>
              <w:jc w:val="center"/>
              <w:rPr>
                <w:rFonts w:cs="Calibri"/>
              </w:rPr>
            </w:pPr>
            <w:r w:rsidRPr="007D15C3">
              <w:rPr>
                <w:rFonts w:cs="Calibri"/>
              </w:rPr>
              <w:t>67893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E0E592" w14:textId="77777777">
            <w:pPr>
              <w:jc w:val="center"/>
              <w:rPr>
                <w:rFonts w:cs="Calibri"/>
              </w:rPr>
            </w:pPr>
            <w:r w:rsidRPr="007D15C3">
              <w:rPr>
                <w:rFonts w:cs="Calibri"/>
              </w:rPr>
              <w:t>WDLI-TV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D3F072" w14:textId="77777777">
            <w:pPr>
              <w:rPr>
                <w:rFonts w:cs="Calibri"/>
              </w:rPr>
            </w:pPr>
            <w:r w:rsidRPr="007D15C3">
              <w:rPr>
                <w:rFonts w:cs="Calibri"/>
              </w:rPr>
              <w:t xml:space="preserve">          4,147,298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BC4086" w14:textId="77777777">
            <w:pPr>
              <w:rPr>
                <w:rFonts w:cs="Calibri"/>
              </w:rPr>
            </w:pPr>
            <w:r w:rsidRPr="007D15C3">
              <w:rPr>
                <w:rFonts w:cs="Calibri"/>
              </w:rPr>
              <w:t xml:space="preserve">            4,114,920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0418DD" w14:textId="77777777">
            <w:pPr>
              <w:jc w:val="right"/>
              <w:rPr>
                <w:rFonts w:cs="Calibri"/>
              </w:rPr>
            </w:pPr>
            <w:r w:rsidRPr="007D15C3">
              <w:rPr>
                <w:rFonts w:cs="Calibri"/>
              </w:rPr>
              <w:t>$32,249</w:t>
            </w:r>
          </w:p>
        </w:tc>
      </w:tr>
      <w:tr w14:paraId="7670D28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32B9E6" w14:textId="77777777">
            <w:pPr>
              <w:jc w:val="center"/>
              <w:rPr>
                <w:rFonts w:cs="Calibri"/>
              </w:rPr>
            </w:pPr>
            <w:r w:rsidRPr="007D15C3">
              <w:rPr>
                <w:rFonts w:cs="Calibri"/>
              </w:rPr>
              <w:t>72335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128199" w14:textId="77777777">
            <w:pPr>
              <w:jc w:val="center"/>
              <w:rPr>
                <w:rFonts w:cs="Calibri"/>
              </w:rPr>
            </w:pPr>
            <w:r w:rsidRPr="007D15C3">
              <w:rPr>
                <w:rFonts w:cs="Calibri"/>
              </w:rPr>
              <w:t>WDPB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02AAA5" w14:textId="77777777">
            <w:pPr>
              <w:rPr>
                <w:rFonts w:cs="Calibri"/>
              </w:rPr>
            </w:pPr>
            <w:r w:rsidRPr="007D15C3">
              <w:rPr>
                <w:rFonts w:cs="Calibri"/>
              </w:rPr>
              <w:t xml:space="preserve">             596,888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592A2D" w14:textId="77777777">
            <w:pPr>
              <w:rPr>
                <w:rFonts w:cs="Calibri"/>
              </w:rPr>
            </w:pPr>
            <w:r w:rsidRPr="007D15C3">
              <w:rPr>
                <w:rFonts w:cs="Calibri"/>
              </w:rPr>
              <w:t xml:space="preserve">               596,888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B3B698" w14:textId="77777777">
            <w:pPr>
              <w:jc w:val="right"/>
              <w:rPr>
                <w:rFonts w:cs="Calibri"/>
              </w:rPr>
            </w:pPr>
            <w:r w:rsidRPr="007D15C3">
              <w:rPr>
                <w:rFonts w:cs="Calibri"/>
              </w:rPr>
              <w:t>$4,678</w:t>
            </w:r>
          </w:p>
        </w:tc>
      </w:tr>
      <w:tr w14:paraId="1D31B7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49D27F" w14:textId="77777777">
            <w:pPr>
              <w:jc w:val="center"/>
              <w:rPr>
                <w:rFonts w:cs="Calibri"/>
              </w:rPr>
            </w:pPr>
            <w:r w:rsidRPr="007D15C3">
              <w:rPr>
                <w:rFonts w:cs="Calibri"/>
              </w:rPr>
              <w:t>83740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1D2E5F" w14:textId="77777777">
            <w:pPr>
              <w:jc w:val="center"/>
              <w:rPr>
                <w:rFonts w:cs="Calibri"/>
              </w:rPr>
            </w:pPr>
            <w:r w:rsidRPr="007D15C3">
              <w:rPr>
                <w:rFonts w:cs="Calibri"/>
              </w:rPr>
              <w:t>WDPM-DT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88E35B" w14:textId="77777777">
            <w:pPr>
              <w:rPr>
                <w:rFonts w:cs="Calibri"/>
              </w:rPr>
            </w:pPr>
            <w:r w:rsidRPr="007D15C3">
              <w:rPr>
                <w:rFonts w:cs="Calibri"/>
              </w:rPr>
              <w:t xml:space="preserve">          1,365,977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86E2AB" w14:textId="77777777">
            <w:pPr>
              <w:rPr>
                <w:rFonts w:cs="Calibri"/>
              </w:rPr>
            </w:pPr>
            <w:r w:rsidRPr="007D15C3">
              <w:rPr>
                <w:rFonts w:cs="Calibri"/>
              </w:rPr>
              <w:t xml:space="preserve">            1,364,744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B26DFA" w14:textId="77777777">
            <w:pPr>
              <w:jc w:val="right"/>
              <w:rPr>
                <w:rFonts w:cs="Calibri"/>
              </w:rPr>
            </w:pPr>
            <w:r w:rsidRPr="007D15C3">
              <w:rPr>
                <w:rFonts w:cs="Calibri"/>
              </w:rPr>
              <w:t>$10,695</w:t>
            </w:r>
          </w:p>
        </w:tc>
      </w:tr>
      <w:tr w14:paraId="7A33C2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5DA075" w14:textId="77777777">
            <w:pPr>
              <w:jc w:val="center"/>
              <w:rPr>
                <w:rFonts w:cs="Calibri"/>
              </w:rPr>
            </w:pPr>
            <w:r w:rsidRPr="007D15C3">
              <w:rPr>
                <w:rFonts w:cs="Calibri"/>
              </w:rPr>
              <w:t>1283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E17899" w14:textId="77777777">
            <w:pPr>
              <w:jc w:val="center"/>
              <w:rPr>
                <w:rFonts w:cs="Calibri"/>
              </w:rPr>
            </w:pPr>
            <w:r w:rsidRPr="007D15C3">
              <w:rPr>
                <w:rFonts w:cs="Calibri"/>
              </w:rPr>
              <w:t>WDPN-TV*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DC8C74" w14:textId="77777777">
            <w:pPr>
              <w:rPr>
                <w:rFonts w:cs="Calibri"/>
              </w:rPr>
            </w:pPr>
            <w:r w:rsidRPr="007D15C3">
              <w:rPr>
                <w:rFonts w:cs="Calibri"/>
              </w:rPr>
              <w:t xml:space="preserve">        11,594,463</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05162F" w14:textId="77777777">
            <w:pPr>
              <w:rPr>
                <w:rFonts w:cs="Calibri"/>
              </w:rPr>
            </w:pPr>
            <w:r w:rsidRPr="007D15C3">
              <w:rPr>
                <w:rFonts w:cs="Calibri"/>
              </w:rPr>
              <w:t xml:space="preserve">          11,467,616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30CCF5" w14:textId="77777777">
            <w:pPr>
              <w:jc w:val="right"/>
              <w:rPr>
                <w:rFonts w:cs="Calibri"/>
              </w:rPr>
            </w:pPr>
            <w:r w:rsidRPr="007D15C3">
              <w:rPr>
                <w:rFonts w:cs="Calibri"/>
              </w:rPr>
              <w:t>$89,872</w:t>
            </w:r>
          </w:p>
        </w:tc>
      </w:tr>
      <w:tr w14:paraId="710816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BC46A3" w14:textId="77777777">
            <w:pPr>
              <w:jc w:val="center"/>
              <w:rPr>
                <w:rFonts w:cs="Calibri"/>
              </w:rPr>
            </w:pPr>
            <w:r w:rsidRPr="007D15C3">
              <w:rPr>
                <w:rFonts w:cs="Calibri"/>
              </w:rPr>
              <w:t>6476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EEAEC3" w14:textId="77777777">
            <w:pPr>
              <w:jc w:val="center"/>
              <w:rPr>
                <w:rFonts w:cs="Calibri"/>
              </w:rPr>
            </w:pPr>
            <w:r w:rsidRPr="007D15C3">
              <w:rPr>
                <w:rFonts w:cs="Calibri"/>
              </w:rPr>
              <w:t>WDPX-TV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B3369E" w14:textId="77777777">
            <w:pPr>
              <w:rPr>
                <w:rFonts w:cs="Calibri"/>
              </w:rPr>
            </w:pPr>
            <w:r w:rsidRPr="007D15C3">
              <w:rPr>
                <w:rFonts w:cs="Calibri"/>
              </w:rPr>
              <w:t xml:space="preserve">          6,833,712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434C0C" w14:textId="77777777">
            <w:pPr>
              <w:rPr>
                <w:rFonts w:cs="Calibri"/>
              </w:rPr>
            </w:pPr>
            <w:r w:rsidRPr="007D15C3">
              <w:rPr>
                <w:rFonts w:cs="Calibri"/>
              </w:rPr>
              <w:t xml:space="preserve">            6,761,949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C963D7" w14:textId="77777777">
            <w:pPr>
              <w:jc w:val="right"/>
              <w:rPr>
                <w:rFonts w:cs="Calibri"/>
              </w:rPr>
            </w:pPr>
            <w:r w:rsidRPr="007D15C3">
              <w:rPr>
                <w:rFonts w:cs="Calibri"/>
              </w:rPr>
              <w:t>$52,993</w:t>
            </w:r>
          </w:p>
        </w:tc>
      </w:tr>
      <w:tr w14:paraId="662051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45E6D3" w14:textId="77777777">
            <w:pPr>
              <w:jc w:val="center"/>
              <w:rPr>
                <w:rFonts w:cs="Calibri"/>
              </w:rPr>
            </w:pPr>
            <w:r w:rsidRPr="007D15C3">
              <w:rPr>
                <w:rFonts w:cs="Calibri"/>
              </w:rPr>
              <w:t>28476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B509CA" w14:textId="77777777">
            <w:pPr>
              <w:jc w:val="center"/>
              <w:rPr>
                <w:rFonts w:cs="Calibri"/>
              </w:rPr>
            </w:pPr>
            <w:r w:rsidRPr="007D15C3">
              <w:rPr>
                <w:rFonts w:cs="Calibri"/>
              </w:rPr>
              <w:t>WDRB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455BC1" w14:textId="77777777">
            <w:pPr>
              <w:rPr>
                <w:rFonts w:cs="Calibri"/>
              </w:rPr>
            </w:pPr>
            <w:r w:rsidRPr="007D15C3">
              <w:rPr>
                <w:rFonts w:cs="Calibri"/>
              </w:rPr>
              <w:t xml:space="preserve">          1,987,708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DDDEFE" w14:textId="77777777">
            <w:pPr>
              <w:rPr>
                <w:rFonts w:cs="Calibri"/>
              </w:rPr>
            </w:pPr>
            <w:r w:rsidRPr="007D15C3">
              <w:rPr>
                <w:rFonts w:cs="Calibri"/>
              </w:rPr>
              <w:t xml:space="preserve">            1,971,926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C094FC" w14:textId="77777777">
            <w:pPr>
              <w:jc w:val="right"/>
              <w:rPr>
                <w:rFonts w:cs="Calibri"/>
              </w:rPr>
            </w:pPr>
            <w:r w:rsidRPr="007D15C3">
              <w:rPr>
                <w:rFonts w:cs="Calibri"/>
              </w:rPr>
              <w:t>$15,454</w:t>
            </w:r>
          </w:p>
        </w:tc>
      </w:tr>
      <w:tr w14:paraId="460B8D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EEFF8A" w14:textId="77777777">
            <w:pPr>
              <w:jc w:val="center"/>
              <w:rPr>
                <w:rFonts w:cs="Calibri"/>
              </w:rPr>
            </w:pPr>
            <w:r w:rsidRPr="007D15C3">
              <w:rPr>
                <w:rFonts w:cs="Calibri"/>
              </w:rPr>
              <w:t>12171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CE1158" w14:textId="77777777">
            <w:pPr>
              <w:jc w:val="center"/>
              <w:rPr>
                <w:rFonts w:cs="Calibri"/>
              </w:rPr>
            </w:pPr>
            <w:r w:rsidRPr="007D15C3">
              <w:rPr>
                <w:rFonts w:cs="Calibri"/>
              </w:rPr>
              <w:t>WDSC-TV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7C505C" w14:textId="77777777">
            <w:pPr>
              <w:rPr>
                <w:rFonts w:cs="Calibri"/>
              </w:rPr>
            </w:pPr>
            <w:r w:rsidRPr="007D15C3">
              <w:rPr>
                <w:rFonts w:cs="Calibri"/>
              </w:rPr>
              <w:t xml:space="preserve">          3,376,247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23B44F" w14:textId="77777777">
            <w:pPr>
              <w:rPr>
                <w:rFonts w:cs="Calibri"/>
              </w:rPr>
            </w:pPr>
            <w:r w:rsidRPr="007D15C3">
              <w:rPr>
                <w:rFonts w:cs="Calibri"/>
              </w:rPr>
              <w:t xml:space="preserve">            3,376,247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C92134" w14:textId="77777777">
            <w:pPr>
              <w:jc w:val="right"/>
              <w:rPr>
                <w:rFonts w:cs="Calibri"/>
              </w:rPr>
            </w:pPr>
            <w:r w:rsidRPr="007D15C3">
              <w:rPr>
                <w:rFonts w:cs="Calibri"/>
              </w:rPr>
              <w:t>$26,460</w:t>
            </w:r>
          </w:p>
        </w:tc>
      </w:tr>
      <w:tr w14:paraId="13217A9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5176BF" w14:textId="77777777">
            <w:pPr>
              <w:jc w:val="center"/>
              <w:rPr>
                <w:rFonts w:cs="Calibri"/>
              </w:rPr>
            </w:pPr>
            <w:r w:rsidRPr="007D15C3">
              <w:rPr>
                <w:rFonts w:cs="Calibri"/>
              </w:rPr>
              <w:t>17726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456491" w14:textId="77777777">
            <w:pPr>
              <w:jc w:val="center"/>
              <w:rPr>
                <w:rFonts w:cs="Calibri"/>
              </w:rPr>
            </w:pPr>
            <w:r w:rsidRPr="007D15C3">
              <w:rPr>
                <w:rFonts w:cs="Calibri"/>
              </w:rPr>
              <w:t>WDSE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2FC6B8" w14:textId="77777777">
            <w:pPr>
              <w:rPr>
                <w:rFonts w:cs="Calibri"/>
              </w:rPr>
            </w:pPr>
            <w:r w:rsidRPr="007D15C3">
              <w:rPr>
                <w:rFonts w:cs="Calibri"/>
              </w:rPr>
              <w:t xml:space="preserve">             330,994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E77BF3" w14:textId="77777777">
            <w:pPr>
              <w:rPr>
                <w:rFonts w:cs="Calibri"/>
              </w:rPr>
            </w:pPr>
            <w:r w:rsidRPr="007D15C3">
              <w:rPr>
                <w:rFonts w:cs="Calibri"/>
              </w:rPr>
              <w:t xml:space="preserve">               316,643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8B03E6" w14:textId="77777777">
            <w:pPr>
              <w:jc w:val="right"/>
              <w:rPr>
                <w:rFonts w:cs="Calibri"/>
              </w:rPr>
            </w:pPr>
            <w:r w:rsidRPr="007D15C3">
              <w:rPr>
                <w:rFonts w:cs="Calibri"/>
              </w:rPr>
              <w:t>$2,482</w:t>
            </w:r>
          </w:p>
        </w:tc>
      </w:tr>
      <w:tr w14:paraId="4CE0357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693D17" w14:textId="77777777">
            <w:pPr>
              <w:jc w:val="center"/>
              <w:rPr>
                <w:rFonts w:cs="Calibri"/>
              </w:rPr>
            </w:pPr>
            <w:r w:rsidRPr="007D15C3">
              <w:rPr>
                <w:rFonts w:cs="Calibri"/>
              </w:rPr>
              <w:t>71353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59585A" w14:textId="77777777">
            <w:pPr>
              <w:jc w:val="center"/>
              <w:rPr>
                <w:rFonts w:cs="Calibri"/>
              </w:rPr>
            </w:pPr>
            <w:r w:rsidRPr="007D15C3">
              <w:rPr>
                <w:rFonts w:cs="Calibri"/>
              </w:rPr>
              <w:t>WDSI-TV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9F22A1" w14:textId="77777777">
            <w:pPr>
              <w:rPr>
                <w:rFonts w:cs="Calibri"/>
              </w:rPr>
            </w:pPr>
            <w:r w:rsidRPr="007D15C3">
              <w:rPr>
                <w:rFonts w:cs="Calibri"/>
              </w:rPr>
              <w:t xml:space="preserve">          1,100,302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003B3A" w14:textId="77777777">
            <w:pPr>
              <w:rPr>
                <w:rFonts w:cs="Calibri"/>
              </w:rPr>
            </w:pPr>
            <w:r w:rsidRPr="007D15C3">
              <w:rPr>
                <w:rFonts w:cs="Calibri"/>
              </w:rPr>
              <w:t xml:space="preserve">            1,042,191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ECF782" w14:textId="77777777">
            <w:pPr>
              <w:jc w:val="right"/>
              <w:rPr>
                <w:rFonts w:cs="Calibri"/>
              </w:rPr>
            </w:pPr>
            <w:r w:rsidRPr="007D15C3">
              <w:rPr>
                <w:rFonts w:cs="Calibri"/>
              </w:rPr>
              <w:t>$8,168</w:t>
            </w:r>
          </w:p>
        </w:tc>
      </w:tr>
      <w:tr w14:paraId="19D67C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6F8D77" w14:textId="77777777">
            <w:pPr>
              <w:jc w:val="center"/>
              <w:rPr>
                <w:rFonts w:cs="Calibri"/>
              </w:rPr>
            </w:pPr>
            <w:r w:rsidRPr="007D15C3">
              <w:rPr>
                <w:rFonts w:cs="Calibri"/>
              </w:rPr>
              <w:t>71357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92DE67" w14:textId="77777777">
            <w:pPr>
              <w:jc w:val="center"/>
              <w:rPr>
                <w:rFonts w:cs="Calibri"/>
              </w:rPr>
            </w:pPr>
            <w:r w:rsidRPr="007D15C3">
              <w:rPr>
                <w:rFonts w:cs="Calibri"/>
              </w:rPr>
              <w:t>WDSU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6AFCE5" w14:textId="77777777">
            <w:pPr>
              <w:rPr>
                <w:rFonts w:cs="Calibri"/>
              </w:rPr>
            </w:pPr>
            <w:r w:rsidRPr="007D15C3">
              <w:rPr>
                <w:rFonts w:cs="Calibri"/>
              </w:rPr>
              <w:t xml:space="preserve">          1,613,076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74B11D" w14:textId="77777777">
            <w:pPr>
              <w:rPr>
                <w:rFonts w:cs="Calibri"/>
              </w:rPr>
            </w:pPr>
            <w:r w:rsidRPr="007D15C3">
              <w:rPr>
                <w:rFonts w:cs="Calibri"/>
              </w:rPr>
              <w:t xml:space="preserve">            1,613,076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BB69CB" w14:textId="77777777">
            <w:pPr>
              <w:jc w:val="right"/>
              <w:rPr>
                <w:rFonts w:cs="Calibri"/>
              </w:rPr>
            </w:pPr>
            <w:r w:rsidRPr="007D15C3">
              <w:rPr>
                <w:rFonts w:cs="Calibri"/>
              </w:rPr>
              <w:t>$12,642</w:t>
            </w:r>
          </w:p>
        </w:tc>
      </w:tr>
      <w:tr w14:paraId="35CA3C5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7E4EE3" w14:textId="77777777">
            <w:pPr>
              <w:jc w:val="center"/>
              <w:rPr>
                <w:rFonts w:cs="Calibri"/>
              </w:rPr>
            </w:pPr>
            <w:r w:rsidRPr="007D15C3">
              <w:rPr>
                <w:rFonts w:cs="Calibri"/>
              </w:rPr>
              <w:t>7908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A53DD3" w14:textId="77777777">
            <w:pPr>
              <w:jc w:val="center"/>
              <w:rPr>
                <w:rFonts w:cs="Calibri"/>
              </w:rPr>
            </w:pPr>
            <w:r w:rsidRPr="007D15C3">
              <w:rPr>
                <w:rFonts w:cs="Calibri"/>
              </w:rPr>
              <w:t>WDTI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417596" w14:textId="77777777">
            <w:pPr>
              <w:rPr>
                <w:rFonts w:cs="Calibri"/>
              </w:rPr>
            </w:pPr>
            <w:r w:rsidRPr="007D15C3">
              <w:rPr>
                <w:rFonts w:cs="Calibri"/>
              </w:rPr>
              <w:t xml:space="preserve">          2,095,312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48BC3A" w14:textId="77777777">
            <w:pPr>
              <w:rPr>
                <w:rFonts w:cs="Calibri"/>
              </w:rPr>
            </w:pPr>
            <w:r w:rsidRPr="007D15C3">
              <w:rPr>
                <w:rFonts w:cs="Calibri"/>
              </w:rPr>
              <w:t xml:space="preserve">            2,094,395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69FAE1" w14:textId="77777777">
            <w:pPr>
              <w:jc w:val="right"/>
              <w:rPr>
                <w:rFonts w:cs="Calibri"/>
              </w:rPr>
            </w:pPr>
            <w:r w:rsidRPr="007D15C3">
              <w:rPr>
                <w:rFonts w:cs="Calibri"/>
              </w:rPr>
              <w:t>$16,414</w:t>
            </w:r>
          </w:p>
        </w:tc>
      </w:tr>
      <w:tr w14:paraId="1AE9B0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78BA35" w14:textId="77777777">
            <w:pPr>
              <w:jc w:val="center"/>
              <w:rPr>
                <w:rFonts w:cs="Calibri"/>
              </w:rPr>
            </w:pPr>
            <w:r w:rsidRPr="007D15C3">
              <w:rPr>
                <w:rFonts w:cs="Calibri"/>
              </w:rPr>
              <w:t>65690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8C415E" w14:textId="77777777">
            <w:pPr>
              <w:jc w:val="center"/>
              <w:rPr>
                <w:rFonts w:cs="Calibri"/>
              </w:rPr>
            </w:pPr>
            <w:r w:rsidRPr="007D15C3">
              <w:rPr>
                <w:rFonts w:cs="Calibri"/>
              </w:rPr>
              <w:t>WDTN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B4A33E" w14:textId="77777777">
            <w:pPr>
              <w:rPr>
                <w:rFonts w:cs="Calibri"/>
              </w:rPr>
            </w:pPr>
            <w:r w:rsidRPr="007D15C3">
              <w:rPr>
                <w:rFonts w:cs="Calibri"/>
              </w:rPr>
              <w:t xml:space="preserve">          3,660,544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E7512D" w14:textId="77777777">
            <w:pPr>
              <w:rPr>
                <w:rFonts w:cs="Calibri"/>
              </w:rPr>
            </w:pPr>
            <w:r w:rsidRPr="007D15C3">
              <w:rPr>
                <w:rFonts w:cs="Calibri"/>
              </w:rPr>
              <w:t xml:space="preserve">            3,646,874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21E20B" w14:textId="77777777">
            <w:pPr>
              <w:jc w:val="right"/>
              <w:rPr>
                <w:rFonts w:cs="Calibri"/>
              </w:rPr>
            </w:pPr>
            <w:r w:rsidRPr="007D15C3">
              <w:rPr>
                <w:rFonts w:cs="Calibri"/>
              </w:rPr>
              <w:t>$28,581</w:t>
            </w:r>
          </w:p>
        </w:tc>
      </w:tr>
      <w:tr w14:paraId="2C9C9D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2F10D8" w14:textId="77777777">
            <w:pPr>
              <w:jc w:val="center"/>
              <w:rPr>
                <w:rFonts w:cs="Calibri"/>
              </w:rPr>
            </w:pPr>
            <w:r w:rsidRPr="007D15C3">
              <w:rPr>
                <w:rFonts w:cs="Calibri"/>
              </w:rPr>
              <w:t>70592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A5E671" w14:textId="77777777">
            <w:pPr>
              <w:jc w:val="center"/>
              <w:rPr>
                <w:rFonts w:cs="Calibri"/>
              </w:rPr>
            </w:pPr>
            <w:r w:rsidRPr="007D15C3">
              <w:rPr>
                <w:rFonts w:cs="Calibri"/>
              </w:rPr>
              <w:t>WDTV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864AD4" w14:textId="77777777">
            <w:pPr>
              <w:rPr>
                <w:rFonts w:cs="Calibri"/>
              </w:rPr>
            </w:pPr>
            <w:r w:rsidRPr="007D15C3">
              <w:rPr>
                <w:rFonts w:cs="Calibri"/>
              </w:rPr>
              <w:t xml:space="preserve">             962,532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F16F52" w14:textId="77777777">
            <w:pPr>
              <w:rPr>
                <w:rFonts w:cs="Calibri"/>
              </w:rPr>
            </w:pPr>
            <w:r w:rsidRPr="007D15C3">
              <w:rPr>
                <w:rFonts w:cs="Calibri"/>
              </w:rPr>
              <w:t xml:space="preserve">               850,394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48817E" w14:textId="77777777">
            <w:pPr>
              <w:jc w:val="right"/>
              <w:rPr>
                <w:rFonts w:cs="Calibri"/>
              </w:rPr>
            </w:pPr>
            <w:r w:rsidRPr="007D15C3">
              <w:rPr>
                <w:rFonts w:cs="Calibri"/>
              </w:rPr>
              <w:t>$6,665</w:t>
            </w:r>
          </w:p>
        </w:tc>
      </w:tr>
      <w:tr w14:paraId="6DDE897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4F886F" w14:textId="77777777">
            <w:pPr>
              <w:jc w:val="center"/>
              <w:rPr>
                <w:rFonts w:cs="Calibri"/>
              </w:rPr>
            </w:pPr>
            <w:r w:rsidRPr="007D15C3">
              <w:rPr>
                <w:rFonts w:cs="Calibri"/>
              </w:rPr>
              <w:t>25045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31C225" w14:textId="77777777">
            <w:pPr>
              <w:jc w:val="center"/>
              <w:rPr>
                <w:rFonts w:cs="Calibri"/>
              </w:rPr>
            </w:pPr>
            <w:r w:rsidRPr="007D15C3">
              <w:rPr>
                <w:rFonts w:cs="Calibri"/>
              </w:rPr>
              <w:t>WDVM-TV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F1EBA6" w14:textId="77777777">
            <w:pPr>
              <w:rPr>
                <w:rFonts w:cs="Calibri"/>
              </w:rPr>
            </w:pPr>
            <w:r w:rsidRPr="007D15C3">
              <w:rPr>
                <w:rFonts w:cs="Calibri"/>
              </w:rPr>
              <w:t xml:space="preserve">          3,074,837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E9E97D" w14:textId="77777777">
            <w:pPr>
              <w:rPr>
                <w:rFonts w:cs="Calibri"/>
              </w:rPr>
            </w:pPr>
            <w:r w:rsidRPr="007D15C3">
              <w:rPr>
                <w:rFonts w:cs="Calibri"/>
              </w:rPr>
              <w:t xml:space="preserve">            2,646,508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AF445D" w14:textId="77777777">
            <w:pPr>
              <w:jc w:val="right"/>
              <w:rPr>
                <w:rFonts w:cs="Calibri"/>
              </w:rPr>
            </w:pPr>
            <w:r w:rsidRPr="007D15C3">
              <w:rPr>
                <w:rFonts w:cs="Calibri"/>
              </w:rPr>
              <w:t>$20,741</w:t>
            </w:r>
          </w:p>
        </w:tc>
      </w:tr>
      <w:tr w14:paraId="678DE54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4C605E" w14:textId="77777777">
            <w:pPr>
              <w:jc w:val="center"/>
              <w:rPr>
                <w:rFonts w:cs="Calibri"/>
              </w:rPr>
            </w:pPr>
            <w:r w:rsidRPr="007D15C3">
              <w:rPr>
                <w:rFonts w:cs="Calibri"/>
              </w:rPr>
              <w:t>4110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19AA39" w14:textId="77777777">
            <w:pPr>
              <w:jc w:val="center"/>
              <w:rPr>
                <w:rFonts w:cs="Calibri"/>
              </w:rPr>
            </w:pPr>
            <w:r w:rsidRPr="007D15C3">
              <w:rPr>
                <w:rFonts w:cs="Calibri"/>
              </w:rPr>
              <w:t>WDWL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A42FC3" w14:textId="77777777">
            <w:pPr>
              <w:rPr>
                <w:rFonts w:cs="Calibri"/>
              </w:rPr>
            </w:pPr>
            <w:r w:rsidRPr="007D15C3">
              <w:rPr>
                <w:rFonts w:cs="Calibri"/>
              </w:rPr>
              <w:t xml:space="preserve">          2,638,361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C92A9F" w14:textId="77777777">
            <w:pPr>
              <w:rPr>
                <w:rFonts w:cs="Calibri"/>
              </w:rPr>
            </w:pPr>
            <w:r w:rsidRPr="007D15C3">
              <w:rPr>
                <w:rFonts w:cs="Calibri"/>
              </w:rPr>
              <w:t xml:space="preserve">            2,379,555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750D59" w14:textId="77777777">
            <w:pPr>
              <w:jc w:val="right"/>
              <w:rPr>
                <w:rFonts w:cs="Calibri"/>
              </w:rPr>
            </w:pPr>
            <w:r w:rsidRPr="007D15C3">
              <w:rPr>
                <w:rFonts w:cs="Calibri"/>
              </w:rPr>
              <w:t>$15,497</w:t>
            </w:r>
          </w:p>
        </w:tc>
      </w:tr>
      <w:tr w14:paraId="49C785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A19562" w14:textId="77777777">
            <w:pPr>
              <w:jc w:val="center"/>
              <w:rPr>
                <w:rFonts w:cs="Calibri"/>
              </w:rPr>
            </w:pPr>
            <w:r w:rsidRPr="007D15C3">
              <w:rPr>
                <w:rFonts w:cs="Calibri"/>
              </w:rPr>
              <w:t>49421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EC9A1B" w14:textId="77777777">
            <w:pPr>
              <w:jc w:val="center"/>
              <w:rPr>
                <w:rFonts w:cs="Calibri"/>
              </w:rPr>
            </w:pPr>
            <w:r w:rsidRPr="007D15C3">
              <w:rPr>
                <w:rFonts w:cs="Calibri"/>
              </w:rPr>
              <w:t>WEAO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E0DEEA" w14:textId="77777777">
            <w:pPr>
              <w:rPr>
                <w:rFonts w:cs="Calibri"/>
              </w:rPr>
            </w:pPr>
            <w:r w:rsidRPr="007D15C3">
              <w:rPr>
                <w:rFonts w:cs="Calibri"/>
              </w:rPr>
              <w:t xml:space="preserve">          3,919,602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D4A06F" w14:textId="77777777">
            <w:pPr>
              <w:rPr>
                <w:rFonts w:cs="Calibri"/>
              </w:rPr>
            </w:pPr>
            <w:r w:rsidRPr="007D15C3">
              <w:rPr>
                <w:rFonts w:cs="Calibri"/>
              </w:rPr>
              <w:t xml:space="preserve">            3,892,146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1B8B9A" w14:textId="77777777">
            <w:pPr>
              <w:jc w:val="right"/>
              <w:rPr>
                <w:rFonts w:cs="Calibri"/>
              </w:rPr>
            </w:pPr>
            <w:r w:rsidRPr="007D15C3">
              <w:rPr>
                <w:rFonts w:cs="Calibri"/>
              </w:rPr>
              <w:t>$30,503</w:t>
            </w:r>
          </w:p>
        </w:tc>
      </w:tr>
      <w:tr w14:paraId="41DCAAD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59C205" w14:textId="77777777">
            <w:pPr>
              <w:jc w:val="center"/>
              <w:rPr>
                <w:rFonts w:cs="Calibri"/>
              </w:rPr>
            </w:pPr>
            <w:r w:rsidRPr="007D15C3">
              <w:rPr>
                <w:rFonts w:cs="Calibri"/>
              </w:rPr>
              <w:t>71363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74DB9C" w14:textId="77777777">
            <w:pPr>
              <w:jc w:val="center"/>
              <w:rPr>
                <w:rFonts w:cs="Calibri"/>
              </w:rPr>
            </w:pPr>
            <w:r w:rsidRPr="007D15C3">
              <w:rPr>
                <w:rFonts w:cs="Calibri"/>
              </w:rPr>
              <w:t>WEAR-TV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19C670" w14:textId="77777777">
            <w:pPr>
              <w:rPr>
                <w:rFonts w:cs="Calibri"/>
              </w:rPr>
            </w:pPr>
            <w:r w:rsidRPr="007D15C3">
              <w:rPr>
                <w:rFonts w:cs="Calibri"/>
              </w:rPr>
              <w:t xml:space="preserve">          1,524,131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DE9D90" w14:textId="77777777">
            <w:pPr>
              <w:rPr>
                <w:rFonts w:cs="Calibri"/>
              </w:rPr>
            </w:pPr>
            <w:r w:rsidRPr="007D15C3">
              <w:rPr>
                <w:rFonts w:cs="Calibri"/>
              </w:rPr>
              <w:t xml:space="preserve">            1,523,479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4F8636" w14:textId="77777777">
            <w:pPr>
              <w:jc w:val="right"/>
              <w:rPr>
                <w:rFonts w:cs="Calibri"/>
              </w:rPr>
            </w:pPr>
            <w:r w:rsidRPr="007D15C3">
              <w:rPr>
                <w:rFonts w:cs="Calibri"/>
              </w:rPr>
              <w:t>$11,940</w:t>
            </w:r>
          </w:p>
        </w:tc>
      </w:tr>
      <w:tr w14:paraId="4C6F05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930998" w14:textId="77777777">
            <w:pPr>
              <w:jc w:val="center"/>
              <w:rPr>
                <w:rFonts w:cs="Calibri"/>
              </w:rPr>
            </w:pPr>
            <w:r w:rsidRPr="007D15C3">
              <w:rPr>
                <w:rFonts w:cs="Calibri"/>
              </w:rPr>
              <w:t>7893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E3DFFE" w14:textId="77777777">
            <w:pPr>
              <w:jc w:val="center"/>
              <w:rPr>
                <w:rFonts w:cs="Calibri"/>
              </w:rPr>
            </w:pPr>
            <w:r w:rsidRPr="007D15C3">
              <w:rPr>
                <w:rFonts w:cs="Calibri"/>
              </w:rPr>
              <w:t>WEAU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14C999" w14:textId="77777777">
            <w:pPr>
              <w:rPr>
                <w:rFonts w:cs="Calibri"/>
              </w:rPr>
            </w:pPr>
            <w:r w:rsidRPr="007D15C3">
              <w:rPr>
                <w:rFonts w:cs="Calibri"/>
              </w:rPr>
              <w:t xml:space="preserve">             991,019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86C082" w14:textId="77777777">
            <w:pPr>
              <w:rPr>
                <w:rFonts w:cs="Calibri"/>
              </w:rPr>
            </w:pPr>
            <w:r w:rsidRPr="007D15C3">
              <w:rPr>
                <w:rFonts w:cs="Calibri"/>
              </w:rPr>
              <w:t xml:space="preserve">               952,513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941177" w14:textId="77777777">
            <w:pPr>
              <w:jc w:val="right"/>
              <w:rPr>
                <w:rFonts w:cs="Calibri"/>
              </w:rPr>
            </w:pPr>
            <w:r w:rsidRPr="007D15C3">
              <w:rPr>
                <w:rFonts w:cs="Calibri"/>
              </w:rPr>
              <w:t>$7,465</w:t>
            </w:r>
          </w:p>
        </w:tc>
      </w:tr>
      <w:tr w14:paraId="70F2404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21C99E" w14:textId="77777777">
            <w:pPr>
              <w:jc w:val="center"/>
              <w:rPr>
                <w:rFonts w:cs="Calibri"/>
              </w:rPr>
            </w:pPr>
            <w:r w:rsidRPr="007D15C3">
              <w:rPr>
                <w:rFonts w:cs="Calibri"/>
              </w:rPr>
              <w:t>61003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40A2F0" w14:textId="77777777">
            <w:pPr>
              <w:jc w:val="center"/>
              <w:rPr>
                <w:rFonts w:cs="Calibri"/>
              </w:rPr>
            </w:pPr>
            <w:r w:rsidRPr="007D15C3">
              <w:rPr>
                <w:rFonts w:cs="Calibri"/>
              </w:rPr>
              <w:t>WEBA-TV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B7CAA6" w14:textId="77777777">
            <w:pPr>
              <w:rPr>
                <w:rFonts w:cs="Calibri"/>
              </w:rPr>
            </w:pPr>
            <w:r w:rsidRPr="007D15C3">
              <w:rPr>
                <w:rFonts w:cs="Calibri"/>
              </w:rPr>
              <w:t xml:space="preserve">             645,039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E606A5" w14:textId="77777777">
            <w:pPr>
              <w:rPr>
                <w:rFonts w:cs="Calibri"/>
              </w:rPr>
            </w:pPr>
            <w:r w:rsidRPr="007D15C3">
              <w:rPr>
                <w:rFonts w:cs="Calibri"/>
              </w:rPr>
              <w:t xml:space="preserve">               635,967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998E3A" w14:textId="77777777">
            <w:pPr>
              <w:jc w:val="right"/>
              <w:rPr>
                <w:rFonts w:cs="Calibri"/>
              </w:rPr>
            </w:pPr>
            <w:r w:rsidRPr="007D15C3">
              <w:rPr>
                <w:rFonts w:cs="Calibri"/>
              </w:rPr>
              <w:t>$4,984</w:t>
            </w:r>
          </w:p>
        </w:tc>
      </w:tr>
      <w:tr w14:paraId="3DA683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99C648" w14:textId="77777777">
            <w:pPr>
              <w:jc w:val="center"/>
              <w:rPr>
                <w:rFonts w:cs="Calibri"/>
              </w:rPr>
            </w:pPr>
            <w:r w:rsidRPr="007D15C3">
              <w:rPr>
                <w:rFonts w:cs="Calibri"/>
              </w:rPr>
              <w:t>19561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5878D1" w14:textId="77777777">
            <w:pPr>
              <w:jc w:val="center"/>
              <w:rPr>
                <w:rFonts w:cs="Calibri"/>
              </w:rPr>
            </w:pPr>
            <w:r w:rsidRPr="007D15C3">
              <w:rPr>
                <w:rFonts w:cs="Calibri"/>
              </w:rPr>
              <w:t>WECN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1FE0C4" w14:textId="77777777">
            <w:pPr>
              <w:rPr>
                <w:rFonts w:cs="Calibri"/>
              </w:rPr>
            </w:pPr>
            <w:r w:rsidRPr="007D15C3">
              <w:rPr>
                <w:rFonts w:cs="Calibri"/>
              </w:rPr>
              <w:t xml:space="preserve">          2,886,669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FE75D3" w14:textId="77777777">
            <w:pPr>
              <w:rPr>
                <w:rFonts w:cs="Calibri"/>
              </w:rPr>
            </w:pPr>
            <w:r w:rsidRPr="007D15C3">
              <w:rPr>
                <w:rFonts w:cs="Calibri"/>
              </w:rPr>
              <w:t xml:space="preserve">            2,596,015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FB0974" w14:textId="77777777">
            <w:pPr>
              <w:jc w:val="right"/>
              <w:rPr>
                <w:rFonts w:cs="Calibri"/>
              </w:rPr>
            </w:pPr>
            <w:r w:rsidRPr="007D15C3">
              <w:rPr>
                <w:rFonts w:cs="Calibri"/>
              </w:rPr>
              <w:t>$16,907</w:t>
            </w:r>
          </w:p>
        </w:tc>
      </w:tr>
      <w:tr w14:paraId="3B8696F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21E9AF" w14:textId="77777777">
            <w:pPr>
              <w:jc w:val="center"/>
              <w:rPr>
                <w:rFonts w:cs="Calibri"/>
              </w:rPr>
            </w:pPr>
            <w:r w:rsidRPr="007D15C3">
              <w:rPr>
                <w:rFonts w:cs="Calibri"/>
              </w:rPr>
              <w:t>48666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0EAC94" w14:textId="77777777">
            <w:pPr>
              <w:jc w:val="center"/>
              <w:rPr>
                <w:rFonts w:cs="Calibri"/>
              </w:rPr>
            </w:pPr>
            <w:r w:rsidRPr="007D15C3">
              <w:rPr>
                <w:rFonts w:cs="Calibri"/>
              </w:rPr>
              <w:t>WECT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FF609D" w14:textId="77777777">
            <w:pPr>
              <w:rPr>
                <w:rFonts w:cs="Calibri"/>
              </w:rPr>
            </w:pPr>
            <w:r w:rsidRPr="007D15C3">
              <w:rPr>
                <w:rFonts w:cs="Calibri"/>
              </w:rPr>
              <w:t xml:space="preserve">          1,134,918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2A3F61" w14:textId="77777777">
            <w:pPr>
              <w:rPr>
                <w:rFonts w:cs="Calibri"/>
              </w:rPr>
            </w:pPr>
            <w:r w:rsidRPr="007D15C3">
              <w:rPr>
                <w:rFonts w:cs="Calibri"/>
              </w:rPr>
              <w:t xml:space="preserve">            1,134,918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CE25A2" w14:textId="77777777">
            <w:pPr>
              <w:jc w:val="right"/>
              <w:rPr>
                <w:rFonts w:cs="Calibri"/>
              </w:rPr>
            </w:pPr>
            <w:r w:rsidRPr="007D15C3">
              <w:rPr>
                <w:rFonts w:cs="Calibri"/>
              </w:rPr>
              <w:t>$8,894</w:t>
            </w:r>
          </w:p>
        </w:tc>
      </w:tr>
      <w:tr w14:paraId="7F5EE0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593BFF" w14:textId="77777777">
            <w:pPr>
              <w:jc w:val="center"/>
              <w:rPr>
                <w:rFonts w:cs="Calibri"/>
              </w:rPr>
            </w:pPr>
            <w:r w:rsidRPr="007D15C3">
              <w:rPr>
                <w:rFonts w:cs="Calibri"/>
              </w:rPr>
              <w:t>13602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5F7210" w14:textId="77777777">
            <w:pPr>
              <w:jc w:val="center"/>
              <w:rPr>
                <w:rFonts w:cs="Calibri"/>
              </w:rPr>
            </w:pPr>
            <w:r w:rsidRPr="007D15C3">
              <w:rPr>
                <w:rFonts w:cs="Calibri"/>
              </w:rPr>
              <w:t>WEDH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A7B424" w14:textId="77777777">
            <w:pPr>
              <w:rPr>
                <w:rFonts w:cs="Calibri"/>
              </w:rPr>
            </w:pPr>
            <w:r w:rsidRPr="007D15C3">
              <w:rPr>
                <w:rFonts w:cs="Calibri"/>
              </w:rPr>
              <w:t xml:space="preserve">          5,328,800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B6AB3C" w14:textId="77777777">
            <w:pPr>
              <w:rPr>
                <w:rFonts w:cs="Calibri"/>
              </w:rPr>
            </w:pPr>
            <w:r w:rsidRPr="007D15C3">
              <w:rPr>
                <w:rFonts w:cs="Calibri"/>
              </w:rPr>
              <w:t xml:space="preserve">            4,724,167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D3F4B1" w14:textId="77777777">
            <w:pPr>
              <w:jc w:val="right"/>
              <w:rPr>
                <w:rFonts w:cs="Calibri"/>
              </w:rPr>
            </w:pPr>
            <w:r w:rsidRPr="007D15C3">
              <w:rPr>
                <w:rFonts w:cs="Calibri"/>
              </w:rPr>
              <w:t>$37,023</w:t>
            </w:r>
          </w:p>
        </w:tc>
      </w:tr>
      <w:tr w14:paraId="528E97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CDC8B2" w14:textId="77777777">
            <w:pPr>
              <w:jc w:val="center"/>
              <w:rPr>
                <w:rFonts w:cs="Calibri"/>
              </w:rPr>
            </w:pPr>
            <w:r w:rsidRPr="007D15C3">
              <w:rPr>
                <w:rFonts w:cs="Calibri"/>
              </w:rPr>
              <w:t>13607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993F95" w14:textId="77777777">
            <w:pPr>
              <w:jc w:val="center"/>
              <w:rPr>
                <w:rFonts w:cs="Calibri"/>
              </w:rPr>
            </w:pPr>
            <w:r w:rsidRPr="007D15C3">
              <w:rPr>
                <w:rFonts w:cs="Calibri"/>
              </w:rPr>
              <w:t>WEDN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293F1F" w14:textId="77777777">
            <w:pPr>
              <w:rPr>
                <w:rFonts w:cs="Calibri"/>
              </w:rPr>
            </w:pPr>
            <w:r w:rsidRPr="007D15C3">
              <w:rPr>
                <w:rFonts w:cs="Calibri"/>
              </w:rPr>
              <w:t xml:space="preserve">          3,451,170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677C2D" w14:textId="77777777">
            <w:pPr>
              <w:rPr>
                <w:rFonts w:cs="Calibri"/>
              </w:rPr>
            </w:pPr>
            <w:r w:rsidRPr="007D15C3">
              <w:rPr>
                <w:rFonts w:cs="Calibri"/>
              </w:rPr>
              <w:t xml:space="preserve">            2,643,344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13A42F" w14:textId="77777777">
            <w:pPr>
              <w:jc w:val="right"/>
              <w:rPr>
                <w:rFonts w:cs="Calibri"/>
              </w:rPr>
            </w:pPr>
            <w:r w:rsidRPr="007D15C3">
              <w:rPr>
                <w:rFonts w:cs="Calibri"/>
              </w:rPr>
              <w:t>$20,716</w:t>
            </w:r>
          </w:p>
        </w:tc>
      </w:tr>
      <w:tr w14:paraId="1A03FB2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47E6B6" w14:textId="77777777">
            <w:pPr>
              <w:jc w:val="center"/>
              <w:rPr>
                <w:rFonts w:cs="Calibri"/>
              </w:rPr>
            </w:pPr>
            <w:r w:rsidRPr="007D15C3">
              <w:rPr>
                <w:rFonts w:cs="Calibri"/>
              </w:rPr>
              <w:t>69338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6AB048" w14:textId="77777777">
            <w:pPr>
              <w:jc w:val="center"/>
              <w:rPr>
                <w:rFonts w:cs="Calibri"/>
              </w:rPr>
            </w:pPr>
            <w:r w:rsidRPr="007D15C3">
              <w:rPr>
                <w:rFonts w:cs="Calibri"/>
              </w:rPr>
              <w:t>WEDQ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F97DAA" w14:textId="77777777">
            <w:pPr>
              <w:rPr>
                <w:rFonts w:cs="Calibri"/>
              </w:rPr>
            </w:pPr>
            <w:r w:rsidRPr="007D15C3">
              <w:rPr>
                <w:rFonts w:cs="Calibri"/>
              </w:rPr>
              <w:t xml:space="preserve">          4,882,446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56D5D9" w14:textId="77777777">
            <w:pPr>
              <w:rPr>
                <w:rFonts w:cs="Calibri"/>
              </w:rPr>
            </w:pPr>
            <w:r w:rsidRPr="007D15C3">
              <w:rPr>
                <w:rFonts w:cs="Calibri"/>
              </w:rPr>
              <w:t xml:space="preserve">            4,881,322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56BFAD" w14:textId="77777777">
            <w:pPr>
              <w:jc w:val="right"/>
              <w:rPr>
                <w:rFonts w:cs="Calibri"/>
              </w:rPr>
            </w:pPr>
            <w:r w:rsidRPr="007D15C3">
              <w:rPr>
                <w:rFonts w:cs="Calibri"/>
              </w:rPr>
              <w:t>$38,255</w:t>
            </w:r>
          </w:p>
        </w:tc>
      </w:tr>
      <w:tr w14:paraId="6F33FA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C706EC" w14:textId="77777777">
            <w:pPr>
              <w:jc w:val="center"/>
              <w:rPr>
                <w:rFonts w:cs="Calibri"/>
              </w:rPr>
            </w:pPr>
            <w:r w:rsidRPr="007D15C3">
              <w:rPr>
                <w:rFonts w:cs="Calibri"/>
              </w:rPr>
              <w:t>21808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6159F5" w14:textId="77777777">
            <w:pPr>
              <w:jc w:val="center"/>
              <w:rPr>
                <w:rFonts w:cs="Calibri"/>
              </w:rPr>
            </w:pPr>
            <w:r w:rsidRPr="007D15C3">
              <w:rPr>
                <w:rFonts w:cs="Calibri"/>
              </w:rPr>
              <w:t>WEDU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C4FE1F" w14:textId="77777777">
            <w:pPr>
              <w:rPr>
                <w:rFonts w:cs="Calibri"/>
              </w:rPr>
            </w:pPr>
            <w:r w:rsidRPr="007D15C3">
              <w:rPr>
                <w:rFonts w:cs="Calibri"/>
              </w:rPr>
              <w:t xml:space="preserve">          5,379,887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55B73E" w14:textId="77777777">
            <w:pPr>
              <w:rPr>
                <w:rFonts w:cs="Calibri"/>
              </w:rPr>
            </w:pPr>
            <w:r w:rsidRPr="007D15C3">
              <w:rPr>
                <w:rFonts w:cs="Calibri"/>
              </w:rPr>
              <w:t xml:space="preserve">            5,365,612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63800A" w14:textId="77777777">
            <w:pPr>
              <w:jc w:val="right"/>
              <w:rPr>
                <w:rFonts w:cs="Calibri"/>
              </w:rPr>
            </w:pPr>
            <w:r w:rsidRPr="007D15C3">
              <w:rPr>
                <w:rFonts w:cs="Calibri"/>
              </w:rPr>
              <w:t>$42,050</w:t>
            </w:r>
          </w:p>
        </w:tc>
      </w:tr>
      <w:tr w14:paraId="2144E8D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1E6F99" w14:textId="77777777">
            <w:pPr>
              <w:jc w:val="center"/>
              <w:rPr>
                <w:rFonts w:cs="Calibri"/>
              </w:rPr>
            </w:pPr>
            <w:r w:rsidRPr="007D15C3">
              <w:rPr>
                <w:rFonts w:cs="Calibri"/>
              </w:rPr>
              <w:t>13594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AC0BBD" w14:textId="77777777">
            <w:pPr>
              <w:jc w:val="center"/>
              <w:rPr>
                <w:rFonts w:cs="Calibri"/>
              </w:rPr>
            </w:pPr>
            <w:r w:rsidRPr="007D15C3">
              <w:rPr>
                <w:rFonts w:cs="Calibri"/>
              </w:rPr>
              <w:t>WEDW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4B0C42" w14:textId="77777777">
            <w:pPr>
              <w:rPr>
                <w:rFonts w:cs="Calibri"/>
              </w:rPr>
            </w:pPr>
            <w:r w:rsidRPr="007D15C3">
              <w:rPr>
                <w:rFonts w:cs="Calibri"/>
              </w:rPr>
              <w:t xml:space="preserve">          5,996,408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21F51A" w14:textId="77777777">
            <w:pPr>
              <w:rPr>
                <w:rFonts w:cs="Calibri"/>
              </w:rPr>
            </w:pPr>
            <w:r w:rsidRPr="007D15C3">
              <w:rPr>
                <w:rFonts w:cs="Calibri"/>
              </w:rPr>
              <w:t xml:space="preserve">            5,544,708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C4CEF9" w14:textId="77777777">
            <w:pPr>
              <w:jc w:val="right"/>
              <w:rPr>
                <w:rFonts w:cs="Calibri"/>
              </w:rPr>
            </w:pPr>
            <w:r w:rsidRPr="007D15C3">
              <w:rPr>
                <w:rFonts w:cs="Calibri"/>
              </w:rPr>
              <w:t>$43,454</w:t>
            </w:r>
          </w:p>
        </w:tc>
      </w:tr>
      <w:tr w14:paraId="36EADF5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A57DC2" w14:textId="77777777">
            <w:pPr>
              <w:jc w:val="center"/>
              <w:rPr>
                <w:rFonts w:cs="Calibri"/>
              </w:rPr>
            </w:pPr>
            <w:r w:rsidRPr="007D15C3">
              <w:rPr>
                <w:rFonts w:cs="Calibri"/>
              </w:rPr>
              <w:t>13595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D66CC5" w14:textId="77777777">
            <w:pPr>
              <w:jc w:val="center"/>
              <w:rPr>
                <w:rFonts w:cs="Calibri"/>
              </w:rPr>
            </w:pPr>
            <w:r w:rsidRPr="007D15C3">
              <w:rPr>
                <w:rFonts w:cs="Calibri"/>
              </w:rPr>
              <w:t>WEDY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178D9F" w14:textId="77777777">
            <w:pPr>
              <w:rPr>
                <w:rFonts w:cs="Calibri"/>
              </w:rPr>
            </w:pPr>
            <w:r w:rsidRPr="007D15C3">
              <w:rPr>
                <w:rFonts w:cs="Calibri"/>
              </w:rPr>
              <w:t xml:space="preserve">          5,328,800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A0CE40" w14:textId="77777777">
            <w:pPr>
              <w:rPr>
                <w:rFonts w:cs="Calibri"/>
              </w:rPr>
            </w:pPr>
            <w:r w:rsidRPr="007D15C3">
              <w:rPr>
                <w:rFonts w:cs="Calibri"/>
              </w:rPr>
              <w:t xml:space="preserve">            4,724,167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153DA6" w14:textId="77777777">
            <w:pPr>
              <w:jc w:val="right"/>
              <w:rPr>
                <w:rFonts w:cs="Calibri"/>
              </w:rPr>
            </w:pPr>
            <w:r w:rsidRPr="007D15C3">
              <w:rPr>
                <w:rFonts w:cs="Calibri"/>
              </w:rPr>
              <w:t>$37,023</w:t>
            </w:r>
          </w:p>
        </w:tc>
      </w:tr>
      <w:tr w14:paraId="61009F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863AB5" w14:textId="77777777">
            <w:pPr>
              <w:jc w:val="center"/>
              <w:rPr>
                <w:rFonts w:cs="Calibri"/>
              </w:rPr>
            </w:pPr>
            <w:r w:rsidRPr="007D15C3">
              <w:rPr>
                <w:rFonts w:cs="Calibri"/>
              </w:rPr>
              <w:t>24801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871D81" w14:textId="77777777">
            <w:pPr>
              <w:jc w:val="center"/>
              <w:rPr>
                <w:rFonts w:cs="Calibri"/>
              </w:rPr>
            </w:pPr>
            <w:r w:rsidRPr="007D15C3">
              <w:rPr>
                <w:rFonts w:cs="Calibri"/>
              </w:rPr>
              <w:t>WEEK-TV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839922" w14:textId="77777777">
            <w:pPr>
              <w:rPr>
                <w:rFonts w:cs="Calibri"/>
              </w:rPr>
            </w:pPr>
            <w:r w:rsidRPr="007D15C3">
              <w:rPr>
                <w:rFonts w:cs="Calibri"/>
              </w:rPr>
              <w:t xml:space="preserve">             698,238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967AD5" w14:textId="77777777">
            <w:pPr>
              <w:rPr>
                <w:rFonts w:cs="Calibri"/>
              </w:rPr>
            </w:pPr>
            <w:r w:rsidRPr="007D15C3">
              <w:rPr>
                <w:rFonts w:cs="Calibri"/>
              </w:rPr>
              <w:t xml:space="preserve">               698,220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F2E9CF" w14:textId="77777777">
            <w:pPr>
              <w:jc w:val="right"/>
              <w:rPr>
                <w:rFonts w:cs="Calibri"/>
              </w:rPr>
            </w:pPr>
            <w:r w:rsidRPr="007D15C3">
              <w:rPr>
                <w:rFonts w:cs="Calibri"/>
              </w:rPr>
              <w:t>$5,472</w:t>
            </w:r>
          </w:p>
        </w:tc>
      </w:tr>
      <w:tr w14:paraId="2488A6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EF7619" w14:textId="77777777">
            <w:pPr>
              <w:jc w:val="center"/>
              <w:rPr>
                <w:rFonts w:cs="Calibri"/>
              </w:rPr>
            </w:pPr>
            <w:r w:rsidRPr="007D15C3">
              <w:rPr>
                <w:rFonts w:cs="Calibri"/>
              </w:rPr>
              <w:t>6744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9294D1" w14:textId="77777777">
            <w:pPr>
              <w:jc w:val="center"/>
              <w:rPr>
                <w:rFonts w:cs="Calibri"/>
              </w:rPr>
            </w:pPr>
            <w:r w:rsidRPr="007D15C3">
              <w:rPr>
                <w:rFonts w:cs="Calibri"/>
              </w:rPr>
              <w:t>WEFS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63F9F5" w14:textId="77777777">
            <w:pPr>
              <w:rPr>
                <w:rFonts w:cs="Calibri"/>
              </w:rPr>
            </w:pPr>
            <w:r w:rsidRPr="007D15C3">
              <w:rPr>
                <w:rFonts w:cs="Calibri"/>
              </w:rPr>
              <w:t xml:space="preserve">          3,380,743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78F249" w14:textId="77777777">
            <w:pPr>
              <w:rPr>
                <w:rFonts w:cs="Calibri"/>
              </w:rPr>
            </w:pPr>
            <w:r w:rsidRPr="007D15C3">
              <w:rPr>
                <w:rFonts w:cs="Calibri"/>
              </w:rPr>
              <w:t xml:space="preserve">            3,380,743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F3C2E4" w14:textId="77777777">
            <w:pPr>
              <w:jc w:val="right"/>
              <w:rPr>
                <w:rFonts w:cs="Calibri"/>
              </w:rPr>
            </w:pPr>
            <w:r w:rsidRPr="007D15C3">
              <w:rPr>
                <w:rFonts w:cs="Calibri"/>
              </w:rPr>
              <w:t>$26,495</w:t>
            </w:r>
          </w:p>
        </w:tc>
      </w:tr>
      <w:tr w14:paraId="63F26B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5833D8" w14:textId="77777777">
            <w:pPr>
              <w:jc w:val="center"/>
              <w:rPr>
                <w:rFonts w:cs="Calibri"/>
              </w:rPr>
            </w:pPr>
            <w:r w:rsidRPr="007D15C3">
              <w:rPr>
                <w:rFonts w:cs="Calibri"/>
              </w:rPr>
              <w:t>24215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C9B27F" w14:textId="77777777">
            <w:pPr>
              <w:jc w:val="center"/>
              <w:rPr>
                <w:rFonts w:cs="Calibri"/>
              </w:rPr>
            </w:pPr>
            <w:r w:rsidRPr="007D15C3">
              <w:rPr>
                <w:rFonts w:cs="Calibri"/>
              </w:rPr>
              <w:t>WEHT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1817C" w14:textId="77777777">
            <w:pPr>
              <w:rPr>
                <w:rFonts w:cs="Calibri"/>
              </w:rPr>
            </w:pPr>
            <w:r w:rsidRPr="007D15C3">
              <w:rPr>
                <w:rFonts w:cs="Calibri"/>
              </w:rPr>
              <w:t xml:space="preserve">             847,299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615999" w14:textId="77777777">
            <w:pPr>
              <w:rPr>
                <w:rFonts w:cs="Calibri"/>
              </w:rPr>
            </w:pPr>
            <w:r w:rsidRPr="007D15C3">
              <w:rPr>
                <w:rFonts w:cs="Calibri"/>
              </w:rPr>
              <w:t xml:space="preserve">               835,128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B71D79" w14:textId="77777777">
            <w:pPr>
              <w:jc w:val="right"/>
              <w:rPr>
                <w:rFonts w:cs="Calibri"/>
              </w:rPr>
            </w:pPr>
            <w:r w:rsidRPr="007D15C3">
              <w:rPr>
                <w:rFonts w:cs="Calibri"/>
              </w:rPr>
              <w:t>$6,545</w:t>
            </w:r>
          </w:p>
        </w:tc>
      </w:tr>
      <w:tr w14:paraId="1F964B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036423" w14:textId="77777777">
            <w:pPr>
              <w:jc w:val="center"/>
              <w:rPr>
                <w:rFonts w:cs="Calibri"/>
              </w:rPr>
            </w:pPr>
            <w:r w:rsidRPr="007D15C3">
              <w:rPr>
                <w:rFonts w:cs="Calibri"/>
              </w:rPr>
              <w:t>721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258C8D" w14:textId="77777777">
            <w:pPr>
              <w:jc w:val="center"/>
              <w:rPr>
                <w:rFonts w:cs="Calibri"/>
              </w:rPr>
            </w:pPr>
            <w:r w:rsidRPr="007D15C3">
              <w:rPr>
                <w:rFonts w:cs="Calibri"/>
              </w:rPr>
              <w:t>WEIQ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8DBE09" w14:textId="77777777">
            <w:pPr>
              <w:rPr>
                <w:rFonts w:cs="Calibri"/>
              </w:rPr>
            </w:pPr>
            <w:r w:rsidRPr="007D15C3">
              <w:rPr>
                <w:rFonts w:cs="Calibri"/>
              </w:rPr>
              <w:t xml:space="preserve">          1,046,465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C03DAF" w14:textId="77777777">
            <w:pPr>
              <w:rPr>
                <w:rFonts w:cs="Calibri"/>
              </w:rPr>
            </w:pPr>
            <w:r w:rsidRPr="007D15C3">
              <w:rPr>
                <w:rFonts w:cs="Calibri"/>
              </w:rPr>
              <w:t xml:space="preserve">            1,046,116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0B10F5" w14:textId="77777777">
            <w:pPr>
              <w:jc w:val="right"/>
              <w:rPr>
                <w:rFonts w:cs="Calibri"/>
              </w:rPr>
            </w:pPr>
            <w:r w:rsidRPr="007D15C3">
              <w:rPr>
                <w:rFonts w:cs="Calibri"/>
              </w:rPr>
              <w:t>$8,198</w:t>
            </w:r>
          </w:p>
        </w:tc>
      </w:tr>
      <w:tr w14:paraId="6DFD10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CF5584" w14:textId="77777777">
            <w:pPr>
              <w:jc w:val="center"/>
              <w:rPr>
                <w:rFonts w:cs="Calibri"/>
              </w:rPr>
            </w:pPr>
            <w:r w:rsidRPr="007D15C3">
              <w:rPr>
                <w:rFonts w:cs="Calibri"/>
              </w:rPr>
              <w:t>18301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108411" w14:textId="77777777">
            <w:pPr>
              <w:jc w:val="center"/>
              <w:rPr>
                <w:rFonts w:cs="Calibri"/>
              </w:rPr>
            </w:pPr>
            <w:r w:rsidRPr="007D15C3">
              <w:rPr>
                <w:rFonts w:cs="Calibri"/>
              </w:rPr>
              <w:t>WEIU-TV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A75539" w14:textId="77777777">
            <w:pPr>
              <w:rPr>
                <w:rFonts w:cs="Calibri"/>
              </w:rPr>
            </w:pPr>
            <w:r w:rsidRPr="007D15C3">
              <w:rPr>
                <w:rFonts w:cs="Calibri"/>
              </w:rPr>
              <w:t xml:space="preserve">             462,775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7D2567" w14:textId="77777777">
            <w:pPr>
              <w:rPr>
                <w:rFonts w:cs="Calibri"/>
              </w:rPr>
            </w:pPr>
            <w:r w:rsidRPr="007D15C3">
              <w:rPr>
                <w:rFonts w:cs="Calibri"/>
              </w:rPr>
              <w:t xml:space="preserve">               462,711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10B502" w14:textId="77777777">
            <w:pPr>
              <w:jc w:val="right"/>
              <w:rPr>
                <w:rFonts w:cs="Calibri"/>
              </w:rPr>
            </w:pPr>
            <w:r w:rsidRPr="007D15C3">
              <w:rPr>
                <w:rFonts w:cs="Calibri"/>
              </w:rPr>
              <w:t>$3,626</w:t>
            </w:r>
          </w:p>
        </w:tc>
      </w:tr>
      <w:tr w14:paraId="16AE355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76905A" w14:textId="77777777">
            <w:pPr>
              <w:jc w:val="center"/>
              <w:rPr>
                <w:rFonts w:cs="Calibri"/>
              </w:rPr>
            </w:pPr>
            <w:r w:rsidRPr="007D15C3">
              <w:rPr>
                <w:rFonts w:cs="Calibri"/>
              </w:rPr>
              <w:t>69271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8C80C4" w14:textId="77777777">
            <w:pPr>
              <w:jc w:val="center"/>
              <w:rPr>
                <w:rFonts w:cs="Calibri"/>
              </w:rPr>
            </w:pPr>
            <w:r w:rsidRPr="007D15C3">
              <w:rPr>
                <w:rFonts w:cs="Calibri"/>
              </w:rPr>
              <w:t>WEKW-TV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34E89F" w14:textId="77777777">
            <w:pPr>
              <w:rPr>
                <w:rFonts w:cs="Calibri"/>
              </w:rPr>
            </w:pPr>
            <w:r w:rsidRPr="007D15C3">
              <w:rPr>
                <w:rFonts w:cs="Calibri"/>
              </w:rPr>
              <w:t xml:space="preserve">          1,072,240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CCFAB3" w14:textId="77777777">
            <w:pPr>
              <w:rPr>
                <w:rFonts w:cs="Calibri"/>
              </w:rPr>
            </w:pPr>
            <w:r w:rsidRPr="007D15C3">
              <w:rPr>
                <w:rFonts w:cs="Calibri"/>
              </w:rPr>
              <w:t xml:space="preserve">               546,881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BA5DD2" w14:textId="77777777">
            <w:pPr>
              <w:jc w:val="right"/>
              <w:rPr>
                <w:rFonts w:cs="Calibri"/>
              </w:rPr>
            </w:pPr>
            <w:r w:rsidRPr="007D15C3">
              <w:rPr>
                <w:rFonts w:cs="Calibri"/>
              </w:rPr>
              <w:t>$4,286</w:t>
            </w:r>
          </w:p>
        </w:tc>
      </w:tr>
      <w:tr w14:paraId="036234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41A566" w14:textId="77777777">
            <w:pPr>
              <w:jc w:val="center"/>
              <w:rPr>
                <w:rFonts w:cs="Calibri"/>
              </w:rPr>
            </w:pPr>
            <w:r w:rsidRPr="007D15C3">
              <w:rPr>
                <w:rFonts w:cs="Calibri"/>
              </w:rPr>
              <w:t>60825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72FC84" w14:textId="77777777">
            <w:pPr>
              <w:jc w:val="center"/>
              <w:rPr>
                <w:rFonts w:cs="Calibri"/>
              </w:rPr>
            </w:pPr>
            <w:r w:rsidRPr="007D15C3">
              <w:rPr>
                <w:rFonts w:cs="Calibri"/>
              </w:rPr>
              <w:t>WELF-TV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4E3237" w14:textId="77777777">
            <w:pPr>
              <w:rPr>
                <w:rFonts w:cs="Calibri"/>
              </w:rPr>
            </w:pPr>
            <w:r w:rsidRPr="007D15C3">
              <w:rPr>
                <w:rFonts w:cs="Calibri"/>
              </w:rPr>
              <w:t xml:space="preserve">          1,491,382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E92ECA" w14:textId="77777777">
            <w:pPr>
              <w:rPr>
                <w:rFonts w:cs="Calibri"/>
              </w:rPr>
            </w:pPr>
            <w:r w:rsidRPr="007D15C3">
              <w:rPr>
                <w:rFonts w:cs="Calibri"/>
              </w:rPr>
              <w:t xml:space="preserve">            1,414,528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B4C7D0" w14:textId="77777777">
            <w:pPr>
              <w:jc w:val="right"/>
              <w:rPr>
                <w:rFonts w:cs="Calibri"/>
              </w:rPr>
            </w:pPr>
            <w:r w:rsidRPr="007D15C3">
              <w:rPr>
                <w:rFonts w:cs="Calibri"/>
              </w:rPr>
              <w:t>$11,086</w:t>
            </w:r>
          </w:p>
        </w:tc>
      </w:tr>
      <w:tr w14:paraId="611C58D8"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860132" w14:textId="77777777">
            <w:pPr>
              <w:jc w:val="center"/>
              <w:rPr>
                <w:rFonts w:cs="Calibri"/>
              </w:rPr>
            </w:pPr>
            <w:r w:rsidRPr="007D15C3">
              <w:rPr>
                <w:rFonts w:cs="Calibri"/>
              </w:rPr>
              <w:t>26602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4E8D96B" w14:textId="77777777">
            <w:pPr>
              <w:jc w:val="center"/>
              <w:rPr>
                <w:rFonts w:cs="Calibri"/>
              </w:rPr>
            </w:pPr>
            <w:r w:rsidRPr="007D15C3">
              <w:rPr>
                <w:rFonts w:cs="Calibri"/>
              </w:rPr>
              <w:t>WELU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3E9BA30" w14:textId="77777777">
            <w:pPr>
              <w:rPr>
                <w:rFonts w:cs="Calibri"/>
              </w:rPr>
            </w:pPr>
            <w:r w:rsidRPr="007D15C3">
              <w:rPr>
                <w:rFonts w:cs="Calibri"/>
              </w:rPr>
              <w:t xml:space="preserve">          2,248,146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8986E86" w14:textId="77777777">
            <w:pPr>
              <w:rPr>
                <w:rFonts w:cs="Calibri"/>
              </w:rPr>
            </w:pPr>
            <w:r w:rsidRPr="007D15C3">
              <w:rPr>
                <w:rFonts w:cs="Calibri"/>
              </w:rPr>
              <w:t xml:space="preserve">            2,020,075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AD4CF2A" w14:textId="77777777">
            <w:pPr>
              <w:jc w:val="right"/>
              <w:rPr>
                <w:rFonts w:cs="Calibri"/>
              </w:rPr>
            </w:pPr>
            <w:r w:rsidRPr="007D15C3">
              <w:rPr>
                <w:rFonts w:cs="Calibri"/>
              </w:rPr>
              <w:t>$13,156</w:t>
            </w:r>
          </w:p>
        </w:tc>
      </w:tr>
      <w:tr w14:paraId="2EF874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894777" w14:textId="77777777">
            <w:pPr>
              <w:jc w:val="center"/>
              <w:rPr>
                <w:rFonts w:cs="Calibri"/>
              </w:rPr>
            </w:pPr>
            <w:r w:rsidRPr="007D15C3">
              <w:rPr>
                <w:rFonts w:cs="Calibri"/>
              </w:rPr>
              <w:t>40761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87506A" w14:textId="77777777">
            <w:pPr>
              <w:jc w:val="center"/>
              <w:rPr>
                <w:rFonts w:cs="Calibri"/>
              </w:rPr>
            </w:pPr>
            <w:r w:rsidRPr="007D15C3">
              <w:rPr>
                <w:rFonts w:cs="Calibri"/>
              </w:rPr>
              <w:t>WEMT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249E1E" w14:textId="77777777">
            <w:pPr>
              <w:rPr>
                <w:rFonts w:cs="Calibri"/>
              </w:rPr>
            </w:pPr>
            <w:r w:rsidRPr="007D15C3">
              <w:rPr>
                <w:rFonts w:cs="Calibri"/>
              </w:rPr>
              <w:t xml:space="preserve">          1,726,085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D2B3CB" w14:textId="77777777">
            <w:pPr>
              <w:rPr>
                <w:rFonts w:cs="Calibri"/>
              </w:rPr>
            </w:pPr>
            <w:r w:rsidRPr="007D15C3">
              <w:rPr>
                <w:rFonts w:cs="Calibri"/>
              </w:rPr>
              <w:t xml:space="preserve">            1,186,706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487D37" w14:textId="77777777">
            <w:pPr>
              <w:jc w:val="right"/>
              <w:rPr>
                <w:rFonts w:cs="Calibri"/>
              </w:rPr>
            </w:pPr>
            <w:r w:rsidRPr="007D15C3">
              <w:rPr>
                <w:rFonts w:cs="Calibri"/>
              </w:rPr>
              <w:t>$9,300</w:t>
            </w:r>
          </w:p>
        </w:tc>
      </w:tr>
      <w:tr w14:paraId="2A3E22C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8FDFB1" w14:textId="77777777">
            <w:pPr>
              <w:jc w:val="center"/>
              <w:rPr>
                <w:rFonts w:cs="Calibri"/>
              </w:rPr>
            </w:pPr>
            <w:r w:rsidRPr="007D15C3">
              <w:rPr>
                <w:rFonts w:cs="Calibri"/>
              </w:rPr>
              <w:t>69237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853E21" w14:textId="77777777">
            <w:pPr>
              <w:jc w:val="center"/>
              <w:rPr>
                <w:rFonts w:cs="Calibri"/>
              </w:rPr>
            </w:pPr>
            <w:r w:rsidRPr="007D15C3">
              <w:rPr>
                <w:rFonts w:cs="Calibri"/>
              </w:rPr>
              <w:t>WENH-TV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AD2DA3" w14:textId="77777777">
            <w:pPr>
              <w:rPr>
                <w:rFonts w:cs="Calibri"/>
              </w:rPr>
            </w:pPr>
            <w:r w:rsidRPr="007D15C3">
              <w:rPr>
                <w:rFonts w:cs="Calibri"/>
              </w:rPr>
              <w:t xml:space="preserve">          4,500,498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BCA227" w14:textId="77777777">
            <w:pPr>
              <w:rPr>
                <w:rFonts w:cs="Calibri"/>
              </w:rPr>
            </w:pPr>
            <w:r w:rsidRPr="007D15C3">
              <w:rPr>
                <w:rFonts w:cs="Calibri"/>
              </w:rPr>
              <w:t xml:space="preserve">            4,328,222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A58723" w14:textId="77777777">
            <w:pPr>
              <w:jc w:val="right"/>
              <w:rPr>
                <w:rFonts w:cs="Calibri"/>
              </w:rPr>
            </w:pPr>
            <w:r w:rsidRPr="007D15C3">
              <w:rPr>
                <w:rFonts w:cs="Calibri"/>
              </w:rPr>
              <w:t>$33,920</w:t>
            </w:r>
          </w:p>
        </w:tc>
      </w:tr>
      <w:tr w14:paraId="1ABE5F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CA118D" w14:textId="77777777">
            <w:pPr>
              <w:jc w:val="center"/>
              <w:rPr>
                <w:rFonts w:cs="Calibri"/>
              </w:rPr>
            </w:pPr>
            <w:r w:rsidRPr="007D15C3">
              <w:rPr>
                <w:rFonts w:cs="Calibri"/>
              </w:rPr>
              <w:t>71508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102A75" w14:textId="77777777">
            <w:pPr>
              <w:jc w:val="center"/>
              <w:rPr>
                <w:rFonts w:cs="Calibri"/>
              </w:rPr>
            </w:pPr>
            <w:r w:rsidRPr="007D15C3">
              <w:rPr>
                <w:rFonts w:cs="Calibri"/>
              </w:rPr>
              <w:t>WENY-TV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39BB59" w14:textId="77777777">
            <w:pPr>
              <w:rPr>
                <w:rFonts w:cs="Calibri"/>
              </w:rPr>
            </w:pPr>
            <w:r w:rsidRPr="007D15C3">
              <w:rPr>
                <w:rFonts w:cs="Calibri"/>
              </w:rPr>
              <w:t xml:space="preserve">             543,162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D50DF0" w14:textId="77777777">
            <w:pPr>
              <w:rPr>
                <w:rFonts w:cs="Calibri"/>
              </w:rPr>
            </w:pPr>
            <w:r w:rsidRPr="007D15C3">
              <w:rPr>
                <w:rFonts w:cs="Calibri"/>
              </w:rPr>
              <w:t xml:space="preserve">               413,668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848A66" w14:textId="77777777">
            <w:pPr>
              <w:jc w:val="right"/>
              <w:rPr>
                <w:rFonts w:cs="Calibri"/>
              </w:rPr>
            </w:pPr>
            <w:r w:rsidRPr="007D15C3">
              <w:rPr>
                <w:rFonts w:cs="Calibri"/>
              </w:rPr>
              <w:t>$3,242</w:t>
            </w:r>
          </w:p>
        </w:tc>
      </w:tr>
      <w:tr w14:paraId="189C4C8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6528E7" w14:textId="77777777">
            <w:pPr>
              <w:jc w:val="center"/>
              <w:rPr>
                <w:rFonts w:cs="Calibri"/>
              </w:rPr>
            </w:pPr>
            <w:r w:rsidRPr="007D15C3">
              <w:rPr>
                <w:rFonts w:cs="Calibri"/>
              </w:rPr>
              <w:t>83946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DED6A0" w14:textId="77777777">
            <w:pPr>
              <w:jc w:val="center"/>
              <w:rPr>
                <w:rFonts w:cs="Calibri"/>
              </w:rPr>
            </w:pPr>
            <w:r w:rsidRPr="007D15C3">
              <w:rPr>
                <w:rFonts w:cs="Calibri"/>
              </w:rPr>
              <w:t>WEPH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DC6E27" w14:textId="77777777">
            <w:pPr>
              <w:rPr>
                <w:rFonts w:cs="Calibri"/>
              </w:rPr>
            </w:pPr>
            <w:r w:rsidRPr="007D15C3">
              <w:rPr>
                <w:rFonts w:cs="Calibri"/>
              </w:rPr>
              <w:t xml:space="preserve">             604,105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7A8038" w14:textId="77777777">
            <w:pPr>
              <w:rPr>
                <w:rFonts w:cs="Calibri"/>
              </w:rPr>
            </w:pPr>
            <w:r w:rsidRPr="007D15C3">
              <w:rPr>
                <w:rFonts w:cs="Calibri"/>
              </w:rPr>
              <w:t xml:space="preserve">               602,833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95CB13" w14:textId="77777777">
            <w:pPr>
              <w:jc w:val="right"/>
              <w:rPr>
                <w:rFonts w:cs="Calibri"/>
              </w:rPr>
            </w:pPr>
            <w:r w:rsidRPr="007D15C3">
              <w:rPr>
                <w:rFonts w:cs="Calibri"/>
              </w:rPr>
              <w:t>$4,724</w:t>
            </w:r>
          </w:p>
        </w:tc>
      </w:tr>
      <w:tr w14:paraId="3BF177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2FB7F8" w14:textId="77777777">
            <w:pPr>
              <w:jc w:val="center"/>
              <w:rPr>
                <w:rFonts w:cs="Calibri"/>
              </w:rPr>
            </w:pPr>
            <w:r w:rsidRPr="007D15C3">
              <w:rPr>
                <w:rFonts w:cs="Calibri"/>
              </w:rPr>
              <w:t>81508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B18D65" w14:textId="77777777">
            <w:pPr>
              <w:jc w:val="center"/>
              <w:rPr>
                <w:rFonts w:cs="Calibri"/>
              </w:rPr>
            </w:pPr>
            <w:r w:rsidRPr="007D15C3">
              <w:rPr>
                <w:rFonts w:cs="Calibri"/>
              </w:rPr>
              <w:t>WEPX-TV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8A2F89" w14:textId="77777777">
            <w:pPr>
              <w:rPr>
                <w:rFonts w:cs="Calibri"/>
              </w:rPr>
            </w:pPr>
            <w:r w:rsidRPr="007D15C3">
              <w:rPr>
                <w:rFonts w:cs="Calibri"/>
              </w:rPr>
              <w:t xml:space="preserve">             859,535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4E7E6D" w14:textId="77777777">
            <w:pPr>
              <w:rPr>
                <w:rFonts w:cs="Calibri"/>
              </w:rPr>
            </w:pPr>
            <w:r w:rsidRPr="007D15C3">
              <w:rPr>
                <w:rFonts w:cs="Calibri"/>
              </w:rPr>
              <w:t xml:space="preserve">               859,535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54E568" w14:textId="77777777">
            <w:pPr>
              <w:jc w:val="right"/>
              <w:rPr>
                <w:rFonts w:cs="Calibri"/>
              </w:rPr>
            </w:pPr>
            <w:r w:rsidRPr="007D15C3">
              <w:rPr>
                <w:rFonts w:cs="Calibri"/>
              </w:rPr>
              <w:t>$6,736</w:t>
            </w:r>
          </w:p>
        </w:tc>
      </w:tr>
      <w:tr w14:paraId="298B520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706D36" w14:textId="77777777">
            <w:pPr>
              <w:jc w:val="center"/>
              <w:rPr>
                <w:rFonts w:cs="Calibri"/>
              </w:rPr>
            </w:pPr>
            <w:r w:rsidRPr="007D15C3">
              <w:rPr>
                <w:rFonts w:cs="Calibri"/>
              </w:rPr>
              <w:t>25738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1A7B66" w14:textId="77777777">
            <w:pPr>
              <w:jc w:val="center"/>
              <w:rPr>
                <w:rFonts w:cs="Calibri"/>
              </w:rPr>
            </w:pPr>
            <w:r w:rsidRPr="007D15C3">
              <w:rPr>
                <w:rFonts w:cs="Calibri"/>
              </w:rPr>
              <w:t>WESH*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FCB62B" w14:textId="77777777">
            <w:pPr>
              <w:rPr>
                <w:rFonts w:cs="Calibri"/>
              </w:rPr>
            </w:pPr>
            <w:r w:rsidRPr="007D15C3">
              <w:rPr>
                <w:rFonts w:cs="Calibri"/>
              </w:rPr>
              <w:t xml:space="preserve">          4,059,180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E57FB7" w14:textId="77777777">
            <w:pPr>
              <w:rPr>
                <w:rFonts w:cs="Calibri"/>
              </w:rPr>
            </w:pPr>
            <w:r w:rsidRPr="007D15C3">
              <w:rPr>
                <w:rFonts w:cs="Calibri"/>
              </w:rPr>
              <w:t xml:space="preserve">            4,048,459</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615F21" w14:textId="77777777">
            <w:pPr>
              <w:jc w:val="right"/>
              <w:rPr>
                <w:rFonts w:cs="Calibri"/>
              </w:rPr>
            </w:pPr>
            <w:r w:rsidRPr="007D15C3">
              <w:rPr>
                <w:rFonts w:cs="Calibri"/>
              </w:rPr>
              <w:t>$31,728</w:t>
            </w:r>
          </w:p>
        </w:tc>
      </w:tr>
      <w:tr w14:paraId="7B20015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D78720" w14:textId="77777777">
            <w:pPr>
              <w:jc w:val="center"/>
              <w:rPr>
                <w:rFonts w:cs="Calibri"/>
              </w:rPr>
            </w:pPr>
            <w:r w:rsidRPr="007D15C3">
              <w:rPr>
                <w:rFonts w:cs="Calibri"/>
              </w:rPr>
              <w:t>65670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67BEA0" w14:textId="77777777">
            <w:pPr>
              <w:jc w:val="center"/>
              <w:rPr>
                <w:rFonts w:cs="Calibri"/>
              </w:rPr>
            </w:pPr>
            <w:r w:rsidRPr="007D15C3">
              <w:rPr>
                <w:rFonts w:cs="Calibri"/>
              </w:rPr>
              <w:t>WETA-TV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08DE75" w14:textId="77777777">
            <w:pPr>
              <w:rPr>
                <w:rFonts w:cs="Calibri"/>
              </w:rPr>
            </w:pPr>
            <w:r w:rsidRPr="007D15C3">
              <w:rPr>
                <w:rFonts w:cs="Calibri"/>
              </w:rPr>
              <w:t xml:space="preserve">          7,607,834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4B22A4" w14:textId="77777777">
            <w:pPr>
              <w:rPr>
                <w:rFonts w:cs="Calibri"/>
              </w:rPr>
            </w:pPr>
            <w:r w:rsidRPr="007D15C3">
              <w:rPr>
                <w:rFonts w:cs="Calibri"/>
              </w:rPr>
              <w:t xml:space="preserve">            7,576,217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7CDC66" w14:textId="77777777">
            <w:pPr>
              <w:jc w:val="right"/>
              <w:rPr>
                <w:rFonts w:cs="Calibri"/>
              </w:rPr>
            </w:pPr>
            <w:r w:rsidRPr="007D15C3">
              <w:rPr>
                <w:rFonts w:cs="Calibri"/>
              </w:rPr>
              <w:t>$59,375</w:t>
            </w:r>
          </w:p>
        </w:tc>
      </w:tr>
      <w:tr w14:paraId="77FF67E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DFF046" w14:textId="77777777">
            <w:pPr>
              <w:jc w:val="center"/>
              <w:rPr>
                <w:rFonts w:cs="Calibri"/>
              </w:rPr>
            </w:pPr>
            <w:r w:rsidRPr="007D15C3">
              <w:rPr>
                <w:rFonts w:cs="Calibri"/>
              </w:rPr>
              <w:t>69944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11718A" w14:textId="77777777">
            <w:pPr>
              <w:jc w:val="center"/>
              <w:rPr>
                <w:rFonts w:cs="Calibri"/>
              </w:rPr>
            </w:pPr>
            <w:r w:rsidRPr="007D15C3">
              <w:rPr>
                <w:rFonts w:cs="Calibri"/>
              </w:rPr>
              <w:t>WETK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3D993D" w14:textId="77777777">
            <w:pPr>
              <w:rPr>
                <w:rFonts w:cs="Calibri"/>
              </w:rPr>
            </w:pPr>
            <w:r w:rsidRPr="007D15C3">
              <w:rPr>
                <w:rFonts w:cs="Calibri"/>
              </w:rPr>
              <w:t xml:space="preserve">             670,087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2CBEC3" w14:textId="77777777">
            <w:pPr>
              <w:rPr>
                <w:rFonts w:cs="Calibri"/>
              </w:rPr>
            </w:pPr>
            <w:r w:rsidRPr="007D15C3">
              <w:rPr>
                <w:rFonts w:cs="Calibri"/>
              </w:rPr>
              <w:t xml:space="preserve">               558,842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9EED38" w14:textId="77777777">
            <w:pPr>
              <w:jc w:val="right"/>
              <w:rPr>
                <w:rFonts w:cs="Calibri"/>
              </w:rPr>
            </w:pPr>
            <w:r w:rsidRPr="007D15C3">
              <w:rPr>
                <w:rFonts w:cs="Calibri"/>
              </w:rPr>
              <w:t>$4,380</w:t>
            </w:r>
          </w:p>
        </w:tc>
      </w:tr>
      <w:tr w14:paraId="68875B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417B0F" w14:textId="77777777">
            <w:pPr>
              <w:jc w:val="center"/>
              <w:rPr>
                <w:rFonts w:cs="Calibri"/>
              </w:rPr>
            </w:pPr>
            <w:r w:rsidRPr="007D15C3">
              <w:rPr>
                <w:rFonts w:cs="Calibri"/>
              </w:rPr>
              <w:t>60653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1AB137" w14:textId="77777777">
            <w:pPr>
              <w:jc w:val="center"/>
              <w:rPr>
                <w:rFonts w:cs="Calibri"/>
              </w:rPr>
            </w:pPr>
            <w:r w:rsidRPr="007D15C3">
              <w:rPr>
                <w:rFonts w:cs="Calibri"/>
              </w:rPr>
              <w:t>WETM-TV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0D3862" w14:textId="77777777">
            <w:pPr>
              <w:rPr>
                <w:rFonts w:cs="Calibri"/>
              </w:rPr>
            </w:pPr>
            <w:r w:rsidRPr="007D15C3">
              <w:rPr>
                <w:rFonts w:cs="Calibri"/>
              </w:rPr>
              <w:t xml:space="preserve">             721,800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390AA6" w14:textId="77777777">
            <w:pPr>
              <w:rPr>
                <w:rFonts w:cs="Calibri"/>
              </w:rPr>
            </w:pPr>
            <w:r w:rsidRPr="007D15C3">
              <w:rPr>
                <w:rFonts w:cs="Calibri"/>
              </w:rPr>
              <w:t xml:space="preserve">               620,074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5A76AB" w14:textId="77777777">
            <w:pPr>
              <w:jc w:val="right"/>
              <w:rPr>
                <w:rFonts w:cs="Calibri"/>
              </w:rPr>
            </w:pPr>
            <w:r w:rsidRPr="007D15C3">
              <w:rPr>
                <w:rFonts w:cs="Calibri"/>
              </w:rPr>
              <w:t>$4,860</w:t>
            </w:r>
          </w:p>
        </w:tc>
      </w:tr>
      <w:tr w14:paraId="310B06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CA8417" w14:textId="77777777">
            <w:pPr>
              <w:jc w:val="center"/>
              <w:rPr>
                <w:rFonts w:cs="Calibri"/>
              </w:rPr>
            </w:pPr>
            <w:r w:rsidRPr="007D15C3">
              <w:rPr>
                <w:rFonts w:cs="Calibri"/>
              </w:rPr>
              <w:t>18252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3A41FF" w14:textId="77777777">
            <w:pPr>
              <w:jc w:val="center"/>
              <w:rPr>
                <w:rFonts w:cs="Calibri"/>
              </w:rPr>
            </w:pPr>
            <w:r w:rsidRPr="007D15C3">
              <w:rPr>
                <w:rFonts w:cs="Calibri"/>
              </w:rPr>
              <w:t>WETP-TV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028CBC" w14:textId="77777777">
            <w:pPr>
              <w:rPr>
                <w:rFonts w:cs="Calibri"/>
              </w:rPr>
            </w:pPr>
            <w:r w:rsidRPr="007D15C3">
              <w:rPr>
                <w:rFonts w:cs="Calibri"/>
              </w:rPr>
              <w:t xml:space="preserve">          2,087,588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DDCB82" w14:textId="77777777">
            <w:pPr>
              <w:rPr>
                <w:rFonts w:cs="Calibri"/>
              </w:rPr>
            </w:pPr>
            <w:r w:rsidRPr="007D15C3">
              <w:rPr>
                <w:rFonts w:cs="Calibri"/>
              </w:rPr>
              <w:t xml:space="preserve">            1,791,130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D51171" w14:textId="77777777">
            <w:pPr>
              <w:jc w:val="right"/>
              <w:rPr>
                <w:rFonts w:cs="Calibri"/>
              </w:rPr>
            </w:pPr>
            <w:r w:rsidRPr="007D15C3">
              <w:rPr>
                <w:rFonts w:cs="Calibri"/>
              </w:rPr>
              <w:t>$14,037</w:t>
            </w:r>
          </w:p>
        </w:tc>
      </w:tr>
      <w:tr w14:paraId="12F76D7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00610D" w14:textId="77777777">
            <w:pPr>
              <w:jc w:val="center"/>
              <w:rPr>
                <w:rFonts w:cs="Calibri"/>
              </w:rPr>
            </w:pPr>
            <w:r w:rsidRPr="007D15C3">
              <w:rPr>
                <w:rFonts w:cs="Calibri"/>
              </w:rPr>
              <w:t>2709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97F0D6" w14:textId="77777777">
            <w:pPr>
              <w:jc w:val="center"/>
              <w:rPr>
                <w:rFonts w:cs="Calibri"/>
              </w:rPr>
            </w:pPr>
            <w:r w:rsidRPr="007D15C3">
              <w:rPr>
                <w:rFonts w:cs="Calibri"/>
              </w:rPr>
              <w:t>WEUX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FF15AA" w14:textId="77777777">
            <w:pPr>
              <w:rPr>
                <w:rFonts w:cs="Calibri"/>
              </w:rPr>
            </w:pPr>
            <w:r w:rsidRPr="007D15C3">
              <w:rPr>
                <w:rFonts w:cs="Calibri"/>
              </w:rPr>
              <w:t xml:space="preserve">             380,569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EEDF04" w14:textId="77777777">
            <w:pPr>
              <w:rPr>
                <w:rFonts w:cs="Calibri"/>
              </w:rPr>
            </w:pPr>
            <w:r w:rsidRPr="007D15C3">
              <w:rPr>
                <w:rFonts w:cs="Calibri"/>
              </w:rPr>
              <w:t xml:space="preserve">               373,680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EE8881" w14:textId="77777777">
            <w:pPr>
              <w:jc w:val="right"/>
              <w:rPr>
                <w:rFonts w:cs="Calibri"/>
              </w:rPr>
            </w:pPr>
            <w:r w:rsidRPr="007D15C3">
              <w:rPr>
                <w:rFonts w:cs="Calibri"/>
              </w:rPr>
              <w:t>$2,929</w:t>
            </w:r>
          </w:p>
        </w:tc>
      </w:tr>
      <w:tr w14:paraId="7D622AD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305031" w14:textId="77777777">
            <w:pPr>
              <w:jc w:val="center"/>
              <w:rPr>
                <w:rFonts w:cs="Calibri"/>
              </w:rPr>
            </w:pPr>
            <w:r w:rsidRPr="007D15C3">
              <w:rPr>
                <w:rFonts w:cs="Calibri"/>
              </w:rPr>
              <w:t>72041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814457" w14:textId="77777777">
            <w:pPr>
              <w:jc w:val="center"/>
              <w:rPr>
                <w:rFonts w:cs="Calibri"/>
              </w:rPr>
            </w:pPr>
            <w:r w:rsidRPr="007D15C3">
              <w:rPr>
                <w:rFonts w:cs="Calibri"/>
              </w:rPr>
              <w:t>WEVV-TV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277D98" w14:textId="77777777">
            <w:pPr>
              <w:rPr>
                <w:rFonts w:cs="Calibri"/>
              </w:rPr>
            </w:pPr>
            <w:r w:rsidRPr="007D15C3">
              <w:rPr>
                <w:rFonts w:cs="Calibri"/>
              </w:rPr>
              <w:t xml:space="preserve">             752,417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0A0EB5" w14:textId="77777777">
            <w:pPr>
              <w:rPr>
                <w:rFonts w:cs="Calibri"/>
              </w:rPr>
            </w:pPr>
            <w:r w:rsidRPr="007D15C3">
              <w:rPr>
                <w:rFonts w:cs="Calibri"/>
              </w:rPr>
              <w:t xml:space="preserve">               750,555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E2EB1A" w14:textId="77777777">
            <w:pPr>
              <w:jc w:val="right"/>
              <w:rPr>
                <w:rFonts w:cs="Calibri"/>
              </w:rPr>
            </w:pPr>
            <w:r w:rsidRPr="007D15C3">
              <w:rPr>
                <w:rFonts w:cs="Calibri"/>
              </w:rPr>
              <w:t>$5,882</w:t>
            </w:r>
          </w:p>
        </w:tc>
      </w:tr>
      <w:tr w14:paraId="5DD2F6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A139277" w14:textId="77777777">
            <w:pPr>
              <w:jc w:val="center"/>
              <w:rPr>
                <w:rFonts w:cs="Calibri"/>
              </w:rPr>
            </w:pPr>
            <w:r w:rsidRPr="007D15C3">
              <w:rPr>
                <w:rFonts w:cs="Calibri"/>
              </w:rPr>
              <w:t>59441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E6B6F9" w14:textId="77777777">
            <w:pPr>
              <w:jc w:val="center"/>
              <w:rPr>
                <w:rFonts w:cs="Calibri"/>
              </w:rPr>
            </w:pPr>
            <w:r w:rsidRPr="007D15C3">
              <w:rPr>
                <w:rFonts w:cs="Calibri"/>
              </w:rPr>
              <w:t>WEWS-TV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063CD4" w14:textId="77777777">
            <w:pPr>
              <w:rPr>
                <w:rFonts w:cs="Calibri"/>
              </w:rPr>
            </w:pPr>
            <w:r w:rsidRPr="007D15C3">
              <w:rPr>
                <w:rFonts w:cs="Calibri"/>
              </w:rPr>
              <w:t xml:space="preserve">          4,112,984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589111" w14:textId="77777777">
            <w:pPr>
              <w:rPr>
                <w:rFonts w:cs="Calibri"/>
              </w:rPr>
            </w:pPr>
            <w:r w:rsidRPr="007D15C3">
              <w:rPr>
                <w:rFonts w:cs="Calibri"/>
              </w:rPr>
              <w:t xml:space="preserve">            4,078,299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C2235A" w14:textId="77777777">
            <w:pPr>
              <w:jc w:val="right"/>
              <w:rPr>
                <w:rFonts w:cs="Calibri"/>
              </w:rPr>
            </w:pPr>
            <w:r w:rsidRPr="007D15C3">
              <w:rPr>
                <w:rFonts w:cs="Calibri"/>
              </w:rPr>
              <w:t>$31,962</w:t>
            </w:r>
          </w:p>
        </w:tc>
      </w:tr>
      <w:tr w14:paraId="753D436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347B0E" w14:textId="77777777">
            <w:pPr>
              <w:jc w:val="center"/>
              <w:rPr>
                <w:rFonts w:cs="Calibri"/>
              </w:rPr>
            </w:pPr>
            <w:r w:rsidRPr="007D15C3">
              <w:rPr>
                <w:rFonts w:cs="Calibri"/>
              </w:rPr>
              <w:t>72052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6170C5" w14:textId="77777777">
            <w:pPr>
              <w:jc w:val="center"/>
              <w:rPr>
                <w:rFonts w:cs="Calibri"/>
              </w:rPr>
            </w:pPr>
            <w:r w:rsidRPr="007D15C3">
              <w:rPr>
                <w:rFonts w:cs="Calibri"/>
              </w:rPr>
              <w:t>WEYI-TV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30279C" w14:textId="77777777">
            <w:pPr>
              <w:rPr>
                <w:rFonts w:cs="Calibri"/>
              </w:rPr>
            </w:pPr>
            <w:r w:rsidRPr="007D15C3">
              <w:rPr>
                <w:rFonts w:cs="Calibri"/>
              </w:rPr>
              <w:t xml:space="preserve">          3,715,686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6C5C25" w14:textId="77777777">
            <w:pPr>
              <w:rPr>
                <w:rFonts w:cs="Calibri"/>
              </w:rPr>
            </w:pPr>
            <w:r w:rsidRPr="007D15C3">
              <w:rPr>
                <w:rFonts w:cs="Calibri"/>
              </w:rPr>
              <w:t xml:space="preserve">            3,652,991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17D46D" w14:textId="77777777">
            <w:pPr>
              <w:jc w:val="right"/>
              <w:rPr>
                <w:rFonts w:cs="Calibri"/>
              </w:rPr>
            </w:pPr>
            <w:r w:rsidRPr="007D15C3">
              <w:rPr>
                <w:rFonts w:cs="Calibri"/>
              </w:rPr>
              <w:t>$28,628</w:t>
            </w:r>
          </w:p>
        </w:tc>
      </w:tr>
      <w:tr w14:paraId="40ACC67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4F65D0" w14:textId="77777777">
            <w:pPr>
              <w:jc w:val="center"/>
              <w:rPr>
                <w:rFonts w:cs="Calibri"/>
              </w:rPr>
            </w:pPr>
            <w:r w:rsidRPr="007D15C3">
              <w:rPr>
                <w:rFonts w:cs="Calibri"/>
              </w:rPr>
              <w:t>72054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01BA98" w14:textId="77777777">
            <w:pPr>
              <w:jc w:val="center"/>
              <w:rPr>
                <w:rFonts w:cs="Calibri"/>
              </w:rPr>
            </w:pPr>
            <w:r w:rsidRPr="007D15C3">
              <w:rPr>
                <w:rFonts w:cs="Calibri"/>
              </w:rPr>
              <w:t>WFAA*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6057D9" w14:textId="77777777">
            <w:pPr>
              <w:rPr>
                <w:rFonts w:cs="Calibri"/>
              </w:rPr>
            </w:pPr>
            <w:r w:rsidRPr="007D15C3">
              <w:rPr>
                <w:rFonts w:cs="Calibri"/>
              </w:rPr>
              <w:t xml:space="preserve">          6,927,782</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16F8A0" w14:textId="77777777">
            <w:pPr>
              <w:rPr>
                <w:rFonts w:cs="Calibri"/>
              </w:rPr>
            </w:pPr>
            <w:r w:rsidRPr="007D15C3">
              <w:rPr>
                <w:rFonts w:cs="Calibri"/>
              </w:rPr>
              <w:t xml:space="preserve">            6,918,595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4CCEF7" w14:textId="77777777">
            <w:pPr>
              <w:jc w:val="right"/>
              <w:rPr>
                <w:rFonts w:cs="Calibri"/>
              </w:rPr>
            </w:pPr>
            <w:r w:rsidRPr="007D15C3">
              <w:rPr>
                <w:rFonts w:cs="Calibri"/>
              </w:rPr>
              <w:t>$54,221</w:t>
            </w:r>
          </w:p>
        </w:tc>
      </w:tr>
      <w:tr w14:paraId="508B05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461932" w14:textId="77777777">
            <w:pPr>
              <w:jc w:val="center"/>
              <w:rPr>
                <w:rFonts w:cs="Calibri"/>
              </w:rPr>
            </w:pPr>
            <w:r w:rsidRPr="007D15C3">
              <w:rPr>
                <w:rFonts w:cs="Calibri"/>
              </w:rPr>
              <w:t>81669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4170D2" w14:textId="77777777">
            <w:pPr>
              <w:jc w:val="center"/>
              <w:rPr>
                <w:rFonts w:cs="Calibri"/>
              </w:rPr>
            </w:pPr>
            <w:r w:rsidRPr="007D15C3">
              <w:rPr>
                <w:rFonts w:cs="Calibri"/>
              </w:rPr>
              <w:t>WFBD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922A71" w14:textId="77777777">
            <w:pPr>
              <w:rPr>
                <w:rFonts w:cs="Calibri"/>
              </w:rPr>
            </w:pPr>
            <w:r w:rsidRPr="007D15C3">
              <w:rPr>
                <w:rFonts w:cs="Calibri"/>
              </w:rPr>
              <w:t xml:space="preserve">             814,185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72F828" w14:textId="77777777">
            <w:pPr>
              <w:rPr>
                <w:rFonts w:cs="Calibri"/>
              </w:rPr>
            </w:pPr>
            <w:r w:rsidRPr="007D15C3">
              <w:rPr>
                <w:rFonts w:cs="Calibri"/>
              </w:rPr>
              <w:t xml:space="preserve">               813,564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A6FED4" w14:textId="77777777">
            <w:pPr>
              <w:jc w:val="right"/>
              <w:rPr>
                <w:rFonts w:cs="Calibri"/>
              </w:rPr>
            </w:pPr>
            <w:r w:rsidRPr="007D15C3">
              <w:rPr>
                <w:rFonts w:cs="Calibri"/>
              </w:rPr>
              <w:t>$6,376</w:t>
            </w:r>
          </w:p>
        </w:tc>
      </w:tr>
      <w:tr w14:paraId="7D5642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543F71" w14:textId="77777777">
            <w:pPr>
              <w:jc w:val="center"/>
              <w:rPr>
                <w:rFonts w:cs="Calibri"/>
              </w:rPr>
            </w:pPr>
            <w:r w:rsidRPr="007D15C3">
              <w:rPr>
                <w:rFonts w:cs="Calibri"/>
              </w:rPr>
              <w:t>69532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127C76" w14:textId="77777777">
            <w:pPr>
              <w:jc w:val="center"/>
              <w:rPr>
                <w:rFonts w:cs="Calibri"/>
              </w:rPr>
            </w:pPr>
            <w:r w:rsidRPr="007D15C3">
              <w:rPr>
                <w:rFonts w:cs="Calibri"/>
              </w:rPr>
              <w:t>WFDC-DT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3D8D5D" w14:textId="77777777">
            <w:pPr>
              <w:rPr>
                <w:rFonts w:cs="Calibri"/>
              </w:rPr>
            </w:pPr>
            <w:r w:rsidRPr="007D15C3">
              <w:rPr>
                <w:rFonts w:cs="Calibri"/>
              </w:rPr>
              <w:t xml:space="preserve">          8,155,998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65107D" w14:textId="77777777">
            <w:pPr>
              <w:rPr>
                <w:rFonts w:cs="Calibri"/>
              </w:rPr>
            </w:pPr>
            <w:r w:rsidRPr="007D15C3">
              <w:rPr>
                <w:rFonts w:cs="Calibri"/>
              </w:rPr>
              <w:t xml:space="preserve">            8,114,847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364DDF" w14:textId="77777777">
            <w:pPr>
              <w:jc w:val="right"/>
              <w:rPr>
                <w:rFonts w:cs="Calibri"/>
              </w:rPr>
            </w:pPr>
            <w:r w:rsidRPr="007D15C3">
              <w:rPr>
                <w:rFonts w:cs="Calibri"/>
              </w:rPr>
              <w:t>$63,596</w:t>
            </w:r>
          </w:p>
        </w:tc>
      </w:tr>
      <w:tr w14:paraId="3D77A3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393E3C" w14:textId="77777777">
            <w:pPr>
              <w:jc w:val="center"/>
              <w:rPr>
                <w:rFonts w:cs="Calibri"/>
              </w:rPr>
            </w:pPr>
            <w:r w:rsidRPr="007D15C3">
              <w:rPr>
                <w:rFonts w:cs="Calibri"/>
              </w:rPr>
              <w:t>10132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1576AA" w14:textId="77777777">
            <w:pPr>
              <w:jc w:val="center"/>
              <w:rPr>
                <w:rFonts w:cs="Calibri"/>
              </w:rPr>
            </w:pPr>
            <w:r w:rsidRPr="007D15C3">
              <w:rPr>
                <w:rFonts w:cs="Calibri"/>
              </w:rPr>
              <w:t>WFFF-TV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761CC5" w14:textId="77777777">
            <w:pPr>
              <w:rPr>
                <w:rFonts w:cs="Calibri"/>
              </w:rPr>
            </w:pPr>
            <w:r w:rsidRPr="007D15C3">
              <w:rPr>
                <w:rFonts w:cs="Calibri"/>
              </w:rPr>
              <w:t xml:space="preserve">             592,012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3A7035" w14:textId="77777777">
            <w:pPr>
              <w:rPr>
                <w:rFonts w:cs="Calibri"/>
              </w:rPr>
            </w:pPr>
            <w:r w:rsidRPr="007D15C3">
              <w:rPr>
                <w:rFonts w:cs="Calibri"/>
              </w:rPr>
              <w:t xml:space="preserve">               506,744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EF7566" w14:textId="77777777">
            <w:pPr>
              <w:jc w:val="right"/>
              <w:rPr>
                <w:rFonts w:cs="Calibri"/>
              </w:rPr>
            </w:pPr>
            <w:r w:rsidRPr="007D15C3">
              <w:rPr>
                <w:rFonts w:cs="Calibri"/>
              </w:rPr>
              <w:t>$3,971</w:t>
            </w:r>
          </w:p>
        </w:tc>
      </w:tr>
      <w:tr w14:paraId="2FEA58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BD7B07" w14:textId="77777777">
            <w:pPr>
              <w:jc w:val="center"/>
              <w:rPr>
                <w:rFonts w:cs="Calibri"/>
              </w:rPr>
            </w:pPr>
            <w:r w:rsidRPr="007D15C3">
              <w:rPr>
                <w:rFonts w:cs="Calibri"/>
              </w:rPr>
              <w:t>25040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2593A8" w14:textId="77777777">
            <w:pPr>
              <w:jc w:val="center"/>
              <w:rPr>
                <w:rFonts w:cs="Calibri"/>
              </w:rPr>
            </w:pPr>
            <w:r w:rsidRPr="007D15C3">
              <w:rPr>
                <w:rFonts w:cs="Calibri"/>
              </w:rPr>
              <w:t>WFFT-TV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9E8540" w14:textId="77777777">
            <w:pPr>
              <w:rPr>
                <w:rFonts w:cs="Calibri"/>
              </w:rPr>
            </w:pPr>
            <w:r w:rsidRPr="007D15C3">
              <w:rPr>
                <w:rFonts w:cs="Calibri"/>
              </w:rPr>
              <w:t xml:space="preserve">          1,088,489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6AAD56" w14:textId="77777777">
            <w:pPr>
              <w:rPr>
                <w:rFonts w:cs="Calibri"/>
              </w:rPr>
            </w:pPr>
            <w:r w:rsidRPr="007D15C3">
              <w:rPr>
                <w:rFonts w:cs="Calibri"/>
              </w:rPr>
              <w:t xml:space="preserve">            1,088,354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8881DA" w14:textId="77777777">
            <w:pPr>
              <w:jc w:val="right"/>
              <w:rPr>
                <w:rFonts w:cs="Calibri"/>
              </w:rPr>
            </w:pPr>
            <w:r w:rsidRPr="007D15C3">
              <w:rPr>
                <w:rFonts w:cs="Calibri"/>
              </w:rPr>
              <w:t>$8,529</w:t>
            </w:r>
          </w:p>
        </w:tc>
      </w:tr>
      <w:tr w14:paraId="686C96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4735E2" w14:textId="77777777">
            <w:pPr>
              <w:jc w:val="center"/>
              <w:rPr>
                <w:rFonts w:cs="Calibri"/>
              </w:rPr>
            </w:pPr>
            <w:r w:rsidRPr="007D15C3">
              <w:rPr>
                <w:rFonts w:cs="Calibri"/>
              </w:rPr>
              <w:t>11123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EAFB43" w14:textId="77777777">
            <w:pPr>
              <w:jc w:val="center"/>
              <w:rPr>
                <w:rFonts w:cs="Calibri"/>
              </w:rPr>
            </w:pPr>
            <w:r w:rsidRPr="007D15C3">
              <w:rPr>
                <w:rFonts w:cs="Calibri"/>
              </w:rPr>
              <w:t>WFGC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B62336" w14:textId="77777777">
            <w:pPr>
              <w:rPr>
                <w:rFonts w:cs="Calibri"/>
              </w:rPr>
            </w:pPr>
            <w:r w:rsidRPr="007D15C3">
              <w:rPr>
                <w:rFonts w:cs="Calibri"/>
              </w:rPr>
              <w:t xml:space="preserve">          2,759,457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71C1B5" w14:textId="77777777">
            <w:pPr>
              <w:rPr>
                <w:rFonts w:cs="Calibri"/>
              </w:rPr>
            </w:pPr>
            <w:r w:rsidRPr="007D15C3">
              <w:rPr>
                <w:rFonts w:cs="Calibri"/>
              </w:rPr>
              <w:t xml:space="preserve">            2,759,457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211698" w14:textId="77777777">
            <w:pPr>
              <w:jc w:val="right"/>
              <w:rPr>
                <w:rFonts w:cs="Calibri"/>
              </w:rPr>
            </w:pPr>
            <w:r w:rsidRPr="007D15C3">
              <w:rPr>
                <w:rFonts w:cs="Calibri"/>
              </w:rPr>
              <w:t>$21,626</w:t>
            </w:r>
          </w:p>
        </w:tc>
      </w:tr>
      <w:tr w14:paraId="4E9FEF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E58238" w14:textId="77777777">
            <w:pPr>
              <w:jc w:val="center"/>
              <w:rPr>
                <w:rFonts w:cs="Calibri"/>
              </w:rPr>
            </w:pPr>
            <w:r w:rsidRPr="007D15C3">
              <w:rPr>
                <w:rFonts w:cs="Calibri"/>
              </w:rPr>
              <w:t>6554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C16C93" w14:textId="77777777">
            <w:pPr>
              <w:jc w:val="center"/>
              <w:rPr>
                <w:rFonts w:cs="Calibri"/>
              </w:rPr>
            </w:pPr>
            <w:r w:rsidRPr="007D15C3">
              <w:rPr>
                <w:rFonts w:cs="Calibri"/>
              </w:rPr>
              <w:t>WFGX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6EE8CB" w14:textId="77777777">
            <w:pPr>
              <w:rPr>
                <w:rFonts w:cs="Calibri"/>
              </w:rPr>
            </w:pPr>
            <w:r w:rsidRPr="007D15C3">
              <w:rPr>
                <w:rFonts w:cs="Calibri"/>
              </w:rPr>
              <w:t xml:space="preserve">          1,440,245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E57FBA" w14:textId="77777777">
            <w:pPr>
              <w:rPr>
                <w:rFonts w:cs="Calibri"/>
              </w:rPr>
            </w:pPr>
            <w:r w:rsidRPr="007D15C3">
              <w:rPr>
                <w:rFonts w:cs="Calibri"/>
              </w:rPr>
              <w:t xml:space="preserve">            1,437,744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61BD16" w14:textId="77777777">
            <w:pPr>
              <w:jc w:val="right"/>
              <w:rPr>
                <w:rFonts w:cs="Calibri"/>
              </w:rPr>
            </w:pPr>
            <w:r w:rsidRPr="007D15C3">
              <w:rPr>
                <w:rFonts w:cs="Calibri"/>
              </w:rPr>
              <w:t>$11,268</w:t>
            </w:r>
          </w:p>
        </w:tc>
      </w:tr>
      <w:tr w14:paraId="5729B90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C23A04" w14:textId="77777777">
            <w:pPr>
              <w:jc w:val="center"/>
              <w:rPr>
                <w:rFonts w:cs="Calibri"/>
              </w:rPr>
            </w:pPr>
            <w:r w:rsidRPr="007D15C3">
              <w:rPr>
                <w:rFonts w:cs="Calibri"/>
              </w:rPr>
              <w:t>13991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389CE4" w14:textId="77777777">
            <w:pPr>
              <w:jc w:val="center"/>
              <w:rPr>
                <w:rFonts w:cs="Calibri"/>
              </w:rPr>
            </w:pPr>
            <w:r w:rsidRPr="007D15C3">
              <w:rPr>
                <w:rFonts w:cs="Calibri"/>
              </w:rPr>
              <w:t>WFIE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E7D72E" w14:textId="77777777">
            <w:pPr>
              <w:rPr>
                <w:rFonts w:cs="Calibri"/>
              </w:rPr>
            </w:pPr>
            <w:r w:rsidRPr="007D15C3">
              <w:rPr>
                <w:rFonts w:cs="Calibri"/>
              </w:rPr>
              <w:t xml:space="preserve">             731,856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36DF65" w14:textId="77777777">
            <w:pPr>
              <w:rPr>
                <w:rFonts w:cs="Calibri"/>
              </w:rPr>
            </w:pPr>
            <w:r w:rsidRPr="007D15C3">
              <w:rPr>
                <w:rFonts w:cs="Calibri"/>
              </w:rPr>
              <w:t xml:space="preserve">               729,985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24FDCE" w14:textId="77777777">
            <w:pPr>
              <w:jc w:val="right"/>
              <w:rPr>
                <w:rFonts w:cs="Calibri"/>
              </w:rPr>
            </w:pPr>
            <w:r w:rsidRPr="007D15C3">
              <w:rPr>
                <w:rFonts w:cs="Calibri"/>
              </w:rPr>
              <w:t>$5,721</w:t>
            </w:r>
          </w:p>
        </w:tc>
      </w:tr>
      <w:tr w14:paraId="61B7E2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AD132B" w14:textId="77777777">
            <w:pPr>
              <w:jc w:val="center"/>
              <w:rPr>
                <w:rFonts w:cs="Calibri"/>
              </w:rPr>
            </w:pPr>
            <w:r w:rsidRPr="007D15C3">
              <w:rPr>
                <w:rFonts w:cs="Calibri"/>
              </w:rPr>
              <w:t>715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C54497" w14:textId="77777777">
            <w:pPr>
              <w:jc w:val="center"/>
              <w:rPr>
                <w:rFonts w:cs="Calibri"/>
              </w:rPr>
            </w:pPr>
            <w:r w:rsidRPr="007D15C3">
              <w:rPr>
                <w:rFonts w:cs="Calibri"/>
              </w:rPr>
              <w:t>WFIQ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E54B50" w14:textId="77777777">
            <w:pPr>
              <w:rPr>
                <w:rFonts w:cs="Calibri"/>
              </w:rPr>
            </w:pPr>
            <w:r w:rsidRPr="007D15C3">
              <w:rPr>
                <w:rFonts w:cs="Calibri"/>
              </w:rPr>
              <w:t xml:space="preserve">             546,563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8742EF" w14:textId="77777777">
            <w:pPr>
              <w:rPr>
                <w:rFonts w:cs="Calibri"/>
              </w:rPr>
            </w:pPr>
            <w:r w:rsidRPr="007D15C3">
              <w:rPr>
                <w:rFonts w:cs="Calibri"/>
              </w:rPr>
              <w:t xml:space="preserve">               544,258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1FA2DE" w14:textId="77777777">
            <w:pPr>
              <w:jc w:val="right"/>
              <w:rPr>
                <w:rFonts w:cs="Calibri"/>
              </w:rPr>
            </w:pPr>
            <w:r w:rsidRPr="007D15C3">
              <w:rPr>
                <w:rFonts w:cs="Calibri"/>
              </w:rPr>
              <w:t>$4,265</w:t>
            </w:r>
          </w:p>
        </w:tc>
      </w:tr>
      <w:tr w14:paraId="0898BB6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7A6AF9" w14:textId="77777777">
            <w:pPr>
              <w:jc w:val="center"/>
              <w:rPr>
                <w:rFonts w:cs="Calibri"/>
              </w:rPr>
            </w:pPr>
            <w:r w:rsidRPr="007D15C3">
              <w:rPr>
                <w:rFonts w:cs="Calibri"/>
              </w:rPr>
              <w:t>64592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66BE0F" w14:textId="77777777">
            <w:pPr>
              <w:jc w:val="center"/>
              <w:rPr>
                <w:rFonts w:cs="Calibri"/>
              </w:rPr>
            </w:pPr>
            <w:r w:rsidRPr="007D15C3">
              <w:rPr>
                <w:rFonts w:cs="Calibri"/>
              </w:rPr>
              <w:t>WFLA-TV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95F2A1" w14:textId="77777777">
            <w:pPr>
              <w:rPr>
                <w:rFonts w:cs="Calibri"/>
              </w:rPr>
            </w:pPr>
            <w:r w:rsidRPr="007D15C3">
              <w:rPr>
                <w:rFonts w:cs="Calibri"/>
              </w:rPr>
              <w:t xml:space="preserve">          5,450,176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89F8A2" w14:textId="77777777">
            <w:pPr>
              <w:rPr>
                <w:rFonts w:cs="Calibri"/>
              </w:rPr>
            </w:pPr>
            <w:r w:rsidRPr="007D15C3">
              <w:rPr>
                <w:rFonts w:cs="Calibri"/>
              </w:rPr>
              <w:t xml:space="preserve">            5,446,917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14449B" w14:textId="77777777">
            <w:pPr>
              <w:jc w:val="right"/>
              <w:rPr>
                <w:rFonts w:cs="Calibri"/>
              </w:rPr>
            </w:pPr>
            <w:r w:rsidRPr="007D15C3">
              <w:rPr>
                <w:rFonts w:cs="Calibri"/>
              </w:rPr>
              <w:t>$42,687</w:t>
            </w:r>
          </w:p>
        </w:tc>
      </w:tr>
      <w:tr w14:paraId="2D56B9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5A8176" w14:textId="77777777">
            <w:pPr>
              <w:jc w:val="center"/>
              <w:rPr>
                <w:rFonts w:cs="Calibri"/>
              </w:rPr>
            </w:pPr>
            <w:r w:rsidRPr="007D15C3">
              <w:rPr>
                <w:rFonts w:cs="Calibri"/>
              </w:rPr>
              <w:t>22211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256F4C" w14:textId="77777777">
            <w:pPr>
              <w:jc w:val="center"/>
              <w:rPr>
                <w:rFonts w:cs="Calibri"/>
              </w:rPr>
            </w:pPr>
            <w:r w:rsidRPr="007D15C3">
              <w:rPr>
                <w:rFonts w:cs="Calibri"/>
              </w:rPr>
              <w:t>WFLD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2B91DF" w14:textId="77777777">
            <w:pPr>
              <w:rPr>
                <w:rFonts w:cs="Calibri"/>
              </w:rPr>
            </w:pPr>
            <w:r w:rsidRPr="007D15C3">
              <w:rPr>
                <w:rFonts w:cs="Calibri"/>
              </w:rPr>
              <w:t xml:space="preserve">          9,957,301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87FAFE" w14:textId="77777777">
            <w:pPr>
              <w:rPr>
                <w:rFonts w:cs="Calibri"/>
              </w:rPr>
            </w:pPr>
            <w:r w:rsidRPr="007D15C3">
              <w:rPr>
                <w:rFonts w:cs="Calibri"/>
              </w:rPr>
              <w:t xml:space="preserve">            9,954,828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B4BA2B" w14:textId="77777777">
            <w:pPr>
              <w:jc w:val="right"/>
              <w:rPr>
                <w:rFonts w:cs="Calibri"/>
              </w:rPr>
            </w:pPr>
            <w:r w:rsidRPr="007D15C3">
              <w:rPr>
                <w:rFonts w:cs="Calibri"/>
              </w:rPr>
              <w:t>$78,016</w:t>
            </w:r>
          </w:p>
        </w:tc>
      </w:tr>
      <w:tr w14:paraId="7E575E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19E77C" w14:textId="77777777">
            <w:pPr>
              <w:jc w:val="center"/>
              <w:rPr>
                <w:rFonts w:cs="Calibri"/>
              </w:rPr>
            </w:pPr>
            <w:r w:rsidRPr="007D15C3">
              <w:rPr>
                <w:rFonts w:cs="Calibri"/>
              </w:rPr>
              <w:t>72060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D26AE5" w14:textId="77777777">
            <w:pPr>
              <w:jc w:val="center"/>
              <w:rPr>
                <w:rFonts w:cs="Calibri"/>
              </w:rPr>
            </w:pPr>
            <w:r w:rsidRPr="007D15C3">
              <w:rPr>
                <w:rFonts w:cs="Calibri"/>
              </w:rPr>
              <w:t>WFLI-TV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5BADED" w14:textId="77777777">
            <w:pPr>
              <w:rPr>
                <w:rFonts w:cs="Calibri"/>
              </w:rPr>
            </w:pPr>
            <w:r w:rsidRPr="007D15C3">
              <w:rPr>
                <w:rFonts w:cs="Calibri"/>
              </w:rPr>
              <w:t xml:space="preserve">          1,272,913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2C5C07" w14:textId="77777777">
            <w:pPr>
              <w:rPr>
                <w:rFonts w:cs="Calibri"/>
              </w:rPr>
            </w:pPr>
            <w:r w:rsidRPr="007D15C3">
              <w:rPr>
                <w:rFonts w:cs="Calibri"/>
              </w:rPr>
              <w:t xml:space="preserve">            1,125,349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D346FF" w14:textId="77777777">
            <w:pPr>
              <w:jc w:val="right"/>
              <w:rPr>
                <w:rFonts w:cs="Calibri"/>
              </w:rPr>
            </w:pPr>
            <w:r w:rsidRPr="007D15C3">
              <w:rPr>
                <w:rFonts w:cs="Calibri"/>
              </w:rPr>
              <w:t>$8,819</w:t>
            </w:r>
          </w:p>
        </w:tc>
      </w:tr>
      <w:tr w14:paraId="139217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E1B670" w14:textId="77777777">
            <w:pPr>
              <w:jc w:val="center"/>
              <w:rPr>
                <w:rFonts w:cs="Calibri"/>
              </w:rPr>
            </w:pPr>
            <w:r w:rsidRPr="007D15C3">
              <w:rPr>
                <w:rFonts w:cs="Calibri"/>
              </w:rPr>
              <w:t>39736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20DFB3" w14:textId="77777777">
            <w:pPr>
              <w:jc w:val="center"/>
              <w:rPr>
                <w:rFonts w:cs="Calibri"/>
              </w:rPr>
            </w:pPr>
            <w:r w:rsidRPr="007D15C3">
              <w:rPr>
                <w:rFonts w:cs="Calibri"/>
              </w:rPr>
              <w:t>WFLX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3296FE" w14:textId="77777777">
            <w:pPr>
              <w:rPr>
                <w:rFonts w:cs="Calibri"/>
              </w:rPr>
            </w:pPr>
            <w:r w:rsidRPr="007D15C3">
              <w:rPr>
                <w:rFonts w:cs="Calibri"/>
              </w:rPr>
              <w:t xml:space="preserve">          5,740,086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D75442" w14:textId="77777777">
            <w:pPr>
              <w:rPr>
                <w:rFonts w:cs="Calibri"/>
              </w:rPr>
            </w:pPr>
            <w:r w:rsidRPr="007D15C3">
              <w:rPr>
                <w:rFonts w:cs="Calibri"/>
              </w:rPr>
              <w:t xml:space="preserve">            5,740,086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C8347A" w14:textId="77777777">
            <w:pPr>
              <w:jc w:val="right"/>
              <w:rPr>
                <w:rFonts w:cs="Calibri"/>
              </w:rPr>
            </w:pPr>
            <w:r w:rsidRPr="007D15C3">
              <w:rPr>
                <w:rFonts w:cs="Calibri"/>
              </w:rPr>
              <w:t>$44,985</w:t>
            </w:r>
          </w:p>
        </w:tc>
      </w:tr>
      <w:tr w14:paraId="1F46D63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A0E66E" w14:textId="77777777">
            <w:pPr>
              <w:jc w:val="center"/>
              <w:rPr>
                <w:rFonts w:cs="Calibri"/>
              </w:rPr>
            </w:pPr>
            <w:r w:rsidRPr="007D15C3">
              <w:rPr>
                <w:rFonts w:cs="Calibri"/>
              </w:rPr>
              <w:t>72062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B50897" w14:textId="77777777">
            <w:pPr>
              <w:jc w:val="center"/>
              <w:rPr>
                <w:rFonts w:cs="Calibri"/>
              </w:rPr>
            </w:pPr>
            <w:r w:rsidRPr="007D15C3">
              <w:rPr>
                <w:rFonts w:cs="Calibri"/>
              </w:rPr>
              <w:t>WFMJ-TV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1761A5" w14:textId="77777777">
            <w:pPr>
              <w:rPr>
                <w:rFonts w:cs="Calibri"/>
              </w:rPr>
            </w:pPr>
            <w:r w:rsidRPr="007D15C3">
              <w:rPr>
                <w:rFonts w:cs="Calibri"/>
              </w:rPr>
              <w:t xml:space="preserve">          3,504,955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09DA26" w14:textId="77777777">
            <w:pPr>
              <w:rPr>
                <w:rFonts w:cs="Calibri"/>
              </w:rPr>
            </w:pPr>
            <w:r w:rsidRPr="007D15C3">
              <w:rPr>
                <w:rFonts w:cs="Calibri"/>
              </w:rPr>
              <w:t xml:space="preserve">            3,262,270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02AA2A" w14:textId="77777777">
            <w:pPr>
              <w:jc w:val="right"/>
              <w:rPr>
                <w:rFonts w:cs="Calibri"/>
              </w:rPr>
            </w:pPr>
            <w:r w:rsidRPr="007D15C3">
              <w:rPr>
                <w:rFonts w:cs="Calibri"/>
              </w:rPr>
              <w:t>$25,566</w:t>
            </w:r>
          </w:p>
        </w:tc>
      </w:tr>
      <w:tr w14:paraId="244406F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B95B8D9" w14:textId="77777777">
            <w:pPr>
              <w:jc w:val="center"/>
              <w:rPr>
                <w:rFonts w:cs="Calibri"/>
              </w:rPr>
            </w:pPr>
            <w:r w:rsidRPr="007D15C3">
              <w:rPr>
                <w:rFonts w:cs="Calibri"/>
              </w:rPr>
              <w:t>72064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E1631B" w14:textId="77777777">
            <w:pPr>
              <w:jc w:val="center"/>
              <w:rPr>
                <w:rFonts w:cs="Calibri"/>
              </w:rPr>
            </w:pPr>
            <w:r w:rsidRPr="007D15C3">
              <w:rPr>
                <w:rFonts w:cs="Calibri"/>
              </w:rPr>
              <w:t>WFMY-TV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A3C978" w14:textId="77777777">
            <w:pPr>
              <w:rPr>
                <w:rFonts w:cs="Calibri"/>
              </w:rPr>
            </w:pPr>
            <w:r w:rsidRPr="007D15C3">
              <w:rPr>
                <w:rFonts w:cs="Calibri"/>
              </w:rPr>
              <w:t xml:space="preserve">          4,772,783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74BF16" w14:textId="77777777">
            <w:pPr>
              <w:rPr>
                <w:rFonts w:cs="Calibri"/>
              </w:rPr>
            </w:pPr>
            <w:r w:rsidRPr="007D15C3">
              <w:rPr>
                <w:rFonts w:cs="Calibri"/>
              </w:rPr>
              <w:t xml:space="preserve">            4,740,684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D37534" w14:textId="77777777">
            <w:pPr>
              <w:jc w:val="right"/>
              <w:rPr>
                <w:rFonts w:cs="Calibri"/>
              </w:rPr>
            </w:pPr>
            <w:r w:rsidRPr="007D15C3">
              <w:rPr>
                <w:rFonts w:cs="Calibri"/>
              </w:rPr>
              <w:t>$37,153</w:t>
            </w:r>
          </w:p>
        </w:tc>
      </w:tr>
      <w:tr w14:paraId="18F928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CADDC2" w14:textId="77777777">
            <w:pPr>
              <w:jc w:val="center"/>
              <w:rPr>
                <w:rFonts w:cs="Calibri"/>
              </w:rPr>
            </w:pPr>
            <w:r w:rsidRPr="007D15C3">
              <w:rPr>
                <w:rFonts w:cs="Calibri"/>
              </w:rPr>
              <w:t>39884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AA3AA2" w14:textId="77777777">
            <w:pPr>
              <w:jc w:val="center"/>
              <w:rPr>
                <w:rFonts w:cs="Calibri"/>
              </w:rPr>
            </w:pPr>
            <w:r w:rsidRPr="007D15C3">
              <w:rPr>
                <w:rFonts w:cs="Calibri"/>
              </w:rPr>
              <w:t>WFMZ-TV*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984CEA" w14:textId="77777777">
            <w:pPr>
              <w:rPr>
                <w:rFonts w:cs="Calibri"/>
              </w:rPr>
            </w:pPr>
            <w:r w:rsidRPr="007D15C3">
              <w:rPr>
                <w:rFonts w:cs="Calibri"/>
              </w:rPr>
              <w:t xml:space="preserve">        10,613,847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CB94B6" w14:textId="77777777">
            <w:pPr>
              <w:rPr>
                <w:rFonts w:cs="Calibri"/>
              </w:rPr>
            </w:pPr>
            <w:r w:rsidRPr="007D15C3">
              <w:rPr>
                <w:rFonts w:cs="Calibri"/>
              </w:rPr>
              <w:t xml:space="preserve">          9,474,797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14CC94" w14:textId="77777777">
            <w:pPr>
              <w:jc w:val="right"/>
              <w:rPr>
                <w:rFonts w:cs="Calibri"/>
              </w:rPr>
            </w:pPr>
            <w:r w:rsidRPr="007D15C3">
              <w:rPr>
                <w:rFonts w:cs="Calibri"/>
              </w:rPr>
              <w:t>$74,254</w:t>
            </w:r>
          </w:p>
        </w:tc>
      </w:tr>
      <w:tr w14:paraId="6A64BB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815B5A" w14:textId="77777777">
            <w:pPr>
              <w:jc w:val="center"/>
              <w:rPr>
                <w:rFonts w:cs="Calibri"/>
              </w:rPr>
            </w:pPr>
            <w:r w:rsidRPr="007D15C3">
              <w:rPr>
                <w:rFonts w:cs="Calibri"/>
              </w:rPr>
              <w:t>83943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9A581F" w14:textId="77777777">
            <w:pPr>
              <w:jc w:val="center"/>
              <w:rPr>
                <w:rFonts w:cs="Calibri"/>
              </w:rPr>
            </w:pPr>
            <w:r w:rsidRPr="007D15C3">
              <w:rPr>
                <w:rFonts w:cs="Calibri"/>
              </w:rPr>
              <w:t>WFNA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338197" w14:textId="77777777">
            <w:pPr>
              <w:rPr>
                <w:rFonts w:cs="Calibri"/>
              </w:rPr>
            </w:pPr>
            <w:r w:rsidRPr="007D15C3">
              <w:rPr>
                <w:rFonts w:cs="Calibri"/>
              </w:rPr>
              <w:t xml:space="preserve">          1,391,519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FF6004" w14:textId="77777777">
            <w:pPr>
              <w:rPr>
                <w:rFonts w:cs="Calibri"/>
              </w:rPr>
            </w:pPr>
            <w:r w:rsidRPr="007D15C3">
              <w:rPr>
                <w:rFonts w:cs="Calibri"/>
              </w:rPr>
              <w:t xml:space="preserve">            1,390,447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132AFB" w14:textId="77777777">
            <w:pPr>
              <w:jc w:val="right"/>
              <w:rPr>
                <w:rFonts w:cs="Calibri"/>
              </w:rPr>
            </w:pPr>
            <w:r w:rsidRPr="007D15C3">
              <w:rPr>
                <w:rFonts w:cs="Calibri"/>
              </w:rPr>
              <w:t>$10,897</w:t>
            </w:r>
          </w:p>
        </w:tc>
      </w:tr>
      <w:tr w14:paraId="2BC8BE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79C896" w14:textId="77777777">
            <w:pPr>
              <w:jc w:val="center"/>
              <w:rPr>
                <w:rFonts w:cs="Calibri"/>
              </w:rPr>
            </w:pPr>
            <w:r w:rsidRPr="007D15C3">
              <w:rPr>
                <w:rFonts w:cs="Calibri"/>
              </w:rPr>
              <w:t>47902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10E6FB" w14:textId="77777777">
            <w:pPr>
              <w:jc w:val="center"/>
              <w:rPr>
                <w:rFonts w:cs="Calibri"/>
              </w:rPr>
            </w:pPr>
            <w:r w:rsidRPr="007D15C3">
              <w:rPr>
                <w:rFonts w:cs="Calibri"/>
              </w:rPr>
              <w:t>WFOR-TV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79DF68" w14:textId="77777777">
            <w:pPr>
              <w:rPr>
                <w:rFonts w:cs="Calibri"/>
              </w:rPr>
            </w:pPr>
            <w:r w:rsidRPr="007D15C3">
              <w:rPr>
                <w:rFonts w:cs="Calibri"/>
              </w:rPr>
              <w:t xml:space="preserve">          5,398,266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7C89C7" w14:textId="77777777">
            <w:pPr>
              <w:rPr>
                <w:rFonts w:cs="Calibri"/>
              </w:rPr>
            </w:pPr>
            <w:r w:rsidRPr="007D15C3">
              <w:rPr>
                <w:rFonts w:cs="Calibri"/>
              </w:rPr>
              <w:t xml:space="preserve">            5,398,266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BE4778" w14:textId="77777777">
            <w:pPr>
              <w:jc w:val="right"/>
              <w:rPr>
                <w:rFonts w:cs="Calibri"/>
              </w:rPr>
            </w:pPr>
            <w:r w:rsidRPr="007D15C3">
              <w:rPr>
                <w:rFonts w:cs="Calibri"/>
              </w:rPr>
              <w:t>$42,306</w:t>
            </w:r>
          </w:p>
        </w:tc>
      </w:tr>
      <w:tr w14:paraId="0139E7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517F82" w14:textId="77777777">
            <w:pPr>
              <w:jc w:val="center"/>
              <w:rPr>
                <w:rFonts w:cs="Calibri"/>
              </w:rPr>
            </w:pPr>
            <w:r w:rsidRPr="007D15C3">
              <w:rPr>
                <w:rFonts w:cs="Calibri"/>
              </w:rPr>
              <w:t>11909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959045" w14:textId="77777777">
            <w:pPr>
              <w:jc w:val="center"/>
              <w:rPr>
                <w:rFonts w:cs="Calibri"/>
              </w:rPr>
            </w:pPr>
            <w:r w:rsidRPr="007D15C3">
              <w:rPr>
                <w:rFonts w:cs="Calibri"/>
              </w:rPr>
              <w:t>WFOX-TV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CC6C12" w14:textId="77777777">
            <w:pPr>
              <w:rPr>
                <w:rFonts w:cs="Calibri"/>
              </w:rPr>
            </w:pPr>
            <w:r w:rsidRPr="007D15C3">
              <w:rPr>
                <w:rFonts w:cs="Calibri"/>
              </w:rPr>
              <w:t xml:space="preserve">          1,602,888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5AF9E8" w14:textId="77777777">
            <w:pPr>
              <w:rPr>
                <w:rFonts w:cs="Calibri"/>
              </w:rPr>
            </w:pPr>
            <w:r w:rsidRPr="007D15C3">
              <w:rPr>
                <w:rFonts w:cs="Calibri"/>
              </w:rPr>
              <w:t xml:space="preserve">            1,602,888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320D6E" w14:textId="77777777">
            <w:pPr>
              <w:jc w:val="right"/>
              <w:rPr>
                <w:rFonts w:cs="Calibri"/>
              </w:rPr>
            </w:pPr>
            <w:r w:rsidRPr="007D15C3">
              <w:rPr>
                <w:rFonts w:cs="Calibri"/>
              </w:rPr>
              <w:t>$12,562</w:t>
            </w:r>
          </w:p>
        </w:tc>
      </w:tr>
      <w:tr w14:paraId="773045E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7D0386" w14:textId="77777777">
            <w:pPr>
              <w:jc w:val="center"/>
              <w:rPr>
                <w:rFonts w:cs="Calibri"/>
              </w:rPr>
            </w:pPr>
            <w:r w:rsidRPr="007D15C3">
              <w:rPr>
                <w:rFonts w:cs="Calibri"/>
              </w:rPr>
              <w:t>40626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FD03CC" w14:textId="77777777">
            <w:pPr>
              <w:jc w:val="center"/>
              <w:rPr>
                <w:rFonts w:cs="Calibri"/>
              </w:rPr>
            </w:pPr>
            <w:r w:rsidRPr="007D15C3">
              <w:rPr>
                <w:rFonts w:cs="Calibri"/>
              </w:rPr>
              <w:t>WFPT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877F77" w14:textId="77777777">
            <w:pPr>
              <w:rPr>
                <w:rFonts w:cs="Calibri"/>
              </w:rPr>
            </w:pPr>
            <w:r w:rsidRPr="007D15C3">
              <w:rPr>
                <w:rFonts w:cs="Calibri"/>
              </w:rPr>
              <w:t xml:space="preserve">          5,829,226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31CBFF" w14:textId="77777777">
            <w:pPr>
              <w:rPr>
                <w:rFonts w:cs="Calibri"/>
              </w:rPr>
            </w:pPr>
            <w:r w:rsidRPr="007D15C3">
              <w:rPr>
                <w:rFonts w:cs="Calibri"/>
              </w:rPr>
              <w:t xml:space="preserve">            5,442,352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6BF8B1" w14:textId="77777777">
            <w:pPr>
              <w:jc w:val="right"/>
              <w:rPr>
                <w:rFonts w:cs="Calibri"/>
              </w:rPr>
            </w:pPr>
            <w:r w:rsidRPr="007D15C3">
              <w:rPr>
                <w:rFonts w:cs="Calibri"/>
              </w:rPr>
              <w:t>$42,652</w:t>
            </w:r>
          </w:p>
        </w:tc>
      </w:tr>
      <w:tr w14:paraId="081DF0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F7E567" w14:textId="77777777">
            <w:pPr>
              <w:jc w:val="center"/>
              <w:rPr>
                <w:rFonts w:cs="Calibri"/>
              </w:rPr>
            </w:pPr>
            <w:r w:rsidRPr="007D15C3">
              <w:rPr>
                <w:rFonts w:cs="Calibri"/>
              </w:rPr>
              <w:t>21245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285265" w14:textId="77777777">
            <w:pPr>
              <w:jc w:val="center"/>
              <w:rPr>
                <w:rFonts w:cs="Calibri"/>
              </w:rPr>
            </w:pPr>
            <w:r w:rsidRPr="007D15C3">
              <w:rPr>
                <w:rFonts w:cs="Calibri"/>
              </w:rPr>
              <w:t>WFPX-TV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EDCC74" w14:textId="77777777">
            <w:pPr>
              <w:rPr>
                <w:rFonts w:cs="Calibri"/>
              </w:rPr>
            </w:pPr>
            <w:r w:rsidRPr="007D15C3">
              <w:rPr>
                <w:rFonts w:cs="Calibri"/>
              </w:rPr>
              <w:t xml:space="preserve">          2,637,949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C93704" w14:textId="77777777">
            <w:pPr>
              <w:rPr>
                <w:rFonts w:cs="Calibri"/>
              </w:rPr>
            </w:pPr>
            <w:r w:rsidRPr="007D15C3">
              <w:rPr>
                <w:rFonts w:cs="Calibri"/>
              </w:rPr>
              <w:t xml:space="preserve">            2,634,141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5042C3" w14:textId="77777777">
            <w:pPr>
              <w:jc w:val="right"/>
              <w:rPr>
                <w:rFonts w:cs="Calibri"/>
              </w:rPr>
            </w:pPr>
            <w:r w:rsidRPr="007D15C3">
              <w:rPr>
                <w:rFonts w:cs="Calibri"/>
              </w:rPr>
              <w:t>$20,644</w:t>
            </w:r>
          </w:p>
        </w:tc>
      </w:tr>
      <w:tr w14:paraId="79CB3A6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8F3248" w14:textId="77777777">
            <w:pPr>
              <w:jc w:val="center"/>
              <w:rPr>
                <w:rFonts w:cs="Calibri"/>
              </w:rPr>
            </w:pPr>
            <w:r w:rsidRPr="007D15C3">
              <w:rPr>
                <w:rFonts w:cs="Calibri"/>
              </w:rPr>
              <w:t>25396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88F542" w14:textId="77777777">
            <w:pPr>
              <w:jc w:val="center"/>
              <w:rPr>
                <w:rFonts w:cs="Calibri"/>
              </w:rPr>
            </w:pPr>
            <w:r w:rsidRPr="007D15C3">
              <w:rPr>
                <w:rFonts w:cs="Calibri"/>
              </w:rPr>
              <w:t>WFQX-TV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35BD9E" w14:textId="77777777">
            <w:pPr>
              <w:rPr>
                <w:rFonts w:cs="Calibri"/>
              </w:rPr>
            </w:pPr>
            <w:r w:rsidRPr="007D15C3">
              <w:rPr>
                <w:rFonts w:cs="Calibri"/>
              </w:rPr>
              <w:t xml:space="preserve">             537,340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B82BAB" w14:textId="77777777">
            <w:pPr>
              <w:rPr>
                <w:rFonts w:cs="Calibri"/>
              </w:rPr>
            </w:pPr>
            <w:r w:rsidRPr="007D15C3">
              <w:rPr>
                <w:rFonts w:cs="Calibri"/>
              </w:rPr>
              <w:t xml:space="preserve">               534,314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700DB9" w14:textId="77777777">
            <w:pPr>
              <w:jc w:val="right"/>
              <w:rPr>
                <w:rFonts w:cs="Calibri"/>
              </w:rPr>
            </w:pPr>
            <w:r w:rsidRPr="007D15C3">
              <w:rPr>
                <w:rFonts w:cs="Calibri"/>
              </w:rPr>
              <w:t>$4,187</w:t>
            </w:r>
          </w:p>
        </w:tc>
      </w:tr>
      <w:tr w14:paraId="5B47A87D"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8DB86D" w14:textId="77777777">
            <w:pPr>
              <w:jc w:val="center"/>
              <w:rPr>
                <w:rFonts w:cs="Calibri"/>
              </w:rPr>
            </w:pPr>
            <w:r w:rsidRPr="007D15C3">
              <w:rPr>
                <w:rFonts w:cs="Calibri"/>
              </w:rPr>
              <w:t>9635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4BE8EA10" w14:textId="77777777">
            <w:pPr>
              <w:jc w:val="center"/>
              <w:rPr>
                <w:rFonts w:cs="Calibri"/>
              </w:rPr>
            </w:pPr>
            <w:r w:rsidRPr="007D15C3">
              <w:rPr>
                <w:rFonts w:cs="Calibri"/>
              </w:rPr>
              <w:t>WFRV-TV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168580E" w14:textId="77777777">
            <w:pPr>
              <w:rPr>
                <w:rFonts w:cs="Calibri"/>
              </w:rPr>
            </w:pPr>
            <w:r w:rsidRPr="007D15C3">
              <w:rPr>
                <w:rFonts w:cs="Calibri"/>
              </w:rPr>
              <w:t xml:space="preserve">          1,201,204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B06EEAC" w14:textId="77777777">
            <w:pPr>
              <w:rPr>
                <w:rFonts w:cs="Calibri"/>
              </w:rPr>
            </w:pPr>
            <w:r w:rsidRPr="007D15C3">
              <w:rPr>
                <w:rFonts w:cs="Calibri"/>
              </w:rPr>
              <w:t xml:space="preserve">            1,200,502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3FF114E" w14:textId="77777777">
            <w:pPr>
              <w:jc w:val="right"/>
              <w:rPr>
                <w:rFonts w:cs="Calibri"/>
              </w:rPr>
            </w:pPr>
            <w:r w:rsidRPr="007D15C3">
              <w:rPr>
                <w:rFonts w:cs="Calibri"/>
              </w:rPr>
              <w:t>$9,408</w:t>
            </w:r>
          </w:p>
        </w:tc>
      </w:tr>
      <w:tr w14:paraId="25265D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17A45E" w14:textId="77777777">
            <w:pPr>
              <w:jc w:val="center"/>
              <w:rPr>
                <w:rFonts w:cs="Calibri"/>
              </w:rPr>
            </w:pPr>
            <w:r w:rsidRPr="007D15C3">
              <w:rPr>
                <w:rFonts w:cs="Calibri"/>
              </w:rPr>
              <w:t>53115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0985A4" w14:textId="77777777">
            <w:pPr>
              <w:jc w:val="center"/>
              <w:rPr>
                <w:rFonts w:cs="Calibri"/>
              </w:rPr>
            </w:pPr>
            <w:r w:rsidRPr="007D15C3">
              <w:rPr>
                <w:rFonts w:cs="Calibri"/>
              </w:rPr>
              <w:t>WFSB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588FBD" w14:textId="77777777">
            <w:pPr>
              <w:rPr>
                <w:rFonts w:cs="Calibri"/>
              </w:rPr>
            </w:pPr>
            <w:r w:rsidRPr="007D15C3">
              <w:rPr>
                <w:rFonts w:cs="Calibri"/>
              </w:rPr>
              <w:t xml:space="preserve">          4,752,788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8F111D" w14:textId="77777777">
            <w:pPr>
              <w:rPr>
                <w:rFonts w:cs="Calibri"/>
              </w:rPr>
            </w:pPr>
            <w:r w:rsidRPr="007D15C3">
              <w:rPr>
                <w:rFonts w:cs="Calibri"/>
              </w:rPr>
              <w:t xml:space="preserve">            4,370,519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905C02" w14:textId="77777777">
            <w:pPr>
              <w:jc w:val="right"/>
              <w:rPr>
                <w:rFonts w:cs="Calibri"/>
              </w:rPr>
            </w:pPr>
            <w:r w:rsidRPr="007D15C3">
              <w:rPr>
                <w:rFonts w:cs="Calibri"/>
              </w:rPr>
              <w:t>$34,252</w:t>
            </w:r>
          </w:p>
        </w:tc>
      </w:tr>
      <w:tr w14:paraId="79753AB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D8B22B" w14:textId="77777777">
            <w:pPr>
              <w:jc w:val="center"/>
              <w:rPr>
                <w:rFonts w:cs="Calibri"/>
              </w:rPr>
            </w:pPr>
            <w:r w:rsidRPr="007D15C3">
              <w:rPr>
                <w:rFonts w:cs="Calibri"/>
              </w:rPr>
              <w:t>6093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37FF5A" w14:textId="77777777">
            <w:pPr>
              <w:jc w:val="center"/>
              <w:rPr>
                <w:rFonts w:cs="Calibri"/>
              </w:rPr>
            </w:pPr>
            <w:r w:rsidRPr="007D15C3">
              <w:rPr>
                <w:rFonts w:cs="Calibri"/>
              </w:rPr>
              <w:t>WFSG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BF078" w14:textId="77777777">
            <w:pPr>
              <w:rPr>
                <w:rFonts w:cs="Calibri"/>
              </w:rPr>
            </w:pPr>
            <w:r w:rsidRPr="007D15C3">
              <w:rPr>
                <w:rFonts w:cs="Calibri"/>
              </w:rPr>
              <w:t xml:space="preserve">             364,961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54FE17" w14:textId="77777777">
            <w:pPr>
              <w:rPr>
                <w:rFonts w:cs="Calibri"/>
              </w:rPr>
            </w:pPr>
            <w:r w:rsidRPr="007D15C3">
              <w:rPr>
                <w:rFonts w:cs="Calibri"/>
              </w:rPr>
              <w:t xml:space="preserve">               364,796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A491AC" w14:textId="77777777">
            <w:pPr>
              <w:jc w:val="right"/>
              <w:rPr>
                <w:rFonts w:cs="Calibri"/>
              </w:rPr>
            </w:pPr>
            <w:r w:rsidRPr="007D15C3">
              <w:rPr>
                <w:rFonts w:cs="Calibri"/>
              </w:rPr>
              <w:t>$2,859</w:t>
            </w:r>
          </w:p>
        </w:tc>
      </w:tr>
      <w:tr w14:paraId="78618D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5B5AE6" w14:textId="77777777">
            <w:pPr>
              <w:jc w:val="center"/>
              <w:rPr>
                <w:rFonts w:cs="Calibri"/>
              </w:rPr>
            </w:pPr>
            <w:r w:rsidRPr="007D15C3">
              <w:rPr>
                <w:rFonts w:cs="Calibri"/>
              </w:rPr>
              <w:t>21801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BAF54F" w14:textId="77777777">
            <w:pPr>
              <w:jc w:val="center"/>
              <w:rPr>
                <w:rFonts w:cs="Calibri"/>
              </w:rPr>
            </w:pPr>
            <w:r w:rsidRPr="007D15C3">
              <w:rPr>
                <w:rFonts w:cs="Calibri"/>
              </w:rPr>
              <w:t>WFSU-TV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61A3AD" w14:textId="77777777">
            <w:pPr>
              <w:rPr>
                <w:rFonts w:cs="Calibri"/>
              </w:rPr>
            </w:pPr>
            <w:r w:rsidRPr="007D15C3">
              <w:rPr>
                <w:rFonts w:cs="Calibri"/>
              </w:rPr>
              <w:t xml:space="preserve">             576,105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D104BC" w14:textId="77777777">
            <w:pPr>
              <w:rPr>
                <w:rFonts w:cs="Calibri"/>
              </w:rPr>
            </w:pPr>
            <w:r w:rsidRPr="007D15C3">
              <w:rPr>
                <w:rFonts w:cs="Calibri"/>
              </w:rPr>
              <w:t xml:space="preserve">               576,093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AF4E73" w14:textId="77777777">
            <w:pPr>
              <w:jc w:val="right"/>
              <w:rPr>
                <w:rFonts w:cs="Calibri"/>
              </w:rPr>
            </w:pPr>
            <w:r w:rsidRPr="007D15C3">
              <w:rPr>
                <w:rFonts w:cs="Calibri"/>
              </w:rPr>
              <w:t>$4,515</w:t>
            </w:r>
          </w:p>
        </w:tc>
      </w:tr>
      <w:tr w14:paraId="71DA4B6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89232C" w14:textId="77777777">
            <w:pPr>
              <w:jc w:val="center"/>
              <w:rPr>
                <w:rFonts w:cs="Calibri"/>
              </w:rPr>
            </w:pPr>
            <w:r w:rsidRPr="007D15C3">
              <w:rPr>
                <w:rFonts w:cs="Calibri"/>
              </w:rPr>
              <w:t>11913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173005" w14:textId="77777777">
            <w:pPr>
              <w:jc w:val="center"/>
              <w:rPr>
                <w:rFonts w:cs="Calibri"/>
              </w:rPr>
            </w:pPr>
            <w:r w:rsidRPr="007D15C3">
              <w:rPr>
                <w:rFonts w:cs="Calibri"/>
              </w:rPr>
              <w:t>WFTC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99EBE9" w14:textId="77777777">
            <w:pPr>
              <w:rPr>
                <w:rFonts w:cs="Calibri"/>
              </w:rPr>
            </w:pPr>
            <w:r w:rsidRPr="007D15C3">
              <w:rPr>
                <w:rFonts w:cs="Calibri"/>
              </w:rPr>
              <w:t xml:space="preserve">          3,787,177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FC170B" w14:textId="77777777">
            <w:pPr>
              <w:rPr>
                <w:rFonts w:cs="Calibri"/>
              </w:rPr>
            </w:pPr>
            <w:r w:rsidRPr="007D15C3">
              <w:rPr>
                <w:rFonts w:cs="Calibri"/>
              </w:rPr>
              <w:t xml:space="preserve">            3,770,207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0CF330" w14:textId="77777777">
            <w:pPr>
              <w:jc w:val="right"/>
              <w:rPr>
                <w:rFonts w:cs="Calibri"/>
              </w:rPr>
            </w:pPr>
            <w:r w:rsidRPr="007D15C3">
              <w:rPr>
                <w:rFonts w:cs="Calibri"/>
              </w:rPr>
              <w:t>$29,547</w:t>
            </w:r>
          </w:p>
        </w:tc>
      </w:tr>
      <w:tr w14:paraId="51AE61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8ACB5C" w14:textId="77777777">
            <w:pPr>
              <w:jc w:val="center"/>
              <w:rPr>
                <w:rFonts w:cs="Calibri"/>
              </w:rPr>
            </w:pPr>
            <w:r w:rsidRPr="007D15C3">
              <w:rPr>
                <w:rFonts w:cs="Calibri"/>
              </w:rPr>
              <w:t>64588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A883D5" w14:textId="77777777">
            <w:pPr>
              <w:jc w:val="center"/>
              <w:rPr>
                <w:rFonts w:cs="Calibri"/>
              </w:rPr>
            </w:pPr>
            <w:r w:rsidRPr="007D15C3">
              <w:rPr>
                <w:rFonts w:cs="Calibri"/>
              </w:rPr>
              <w:t>WFTS-TV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D63C14" w14:textId="77777777">
            <w:pPr>
              <w:rPr>
                <w:rFonts w:cs="Calibri"/>
              </w:rPr>
            </w:pPr>
            <w:r w:rsidRPr="007D15C3">
              <w:rPr>
                <w:rFonts w:cs="Calibri"/>
              </w:rPr>
              <w:t xml:space="preserve">          5,077,970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CB797E" w14:textId="77777777">
            <w:pPr>
              <w:rPr>
                <w:rFonts w:cs="Calibri"/>
              </w:rPr>
            </w:pPr>
            <w:r w:rsidRPr="007D15C3">
              <w:rPr>
                <w:rFonts w:cs="Calibri"/>
              </w:rPr>
              <w:t xml:space="preserve">            5,077,719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00D9C0" w14:textId="77777777">
            <w:pPr>
              <w:jc w:val="right"/>
              <w:rPr>
                <w:rFonts w:cs="Calibri"/>
              </w:rPr>
            </w:pPr>
            <w:r w:rsidRPr="007D15C3">
              <w:rPr>
                <w:rFonts w:cs="Calibri"/>
              </w:rPr>
              <w:t>$39,794</w:t>
            </w:r>
          </w:p>
        </w:tc>
      </w:tr>
      <w:tr w14:paraId="229CF4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E7371E" w14:textId="77777777">
            <w:pPr>
              <w:jc w:val="center"/>
              <w:rPr>
                <w:rFonts w:cs="Calibri"/>
              </w:rPr>
            </w:pPr>
            <w:r w:rsidRPr="007D15C3">
              <w:rPr>
                <w:rFonts w:cs="Calibri"/>
              </w:rPr>
              <w:t>16788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3A55FD" w14:textId="77777777">
            <w:pPr>
              <w:jc w:val="center"/>
              <w:rPr>
                <w:rFonts w:cs="Calibri"/>
              </w:rPr>
            </w:pPr>
            <w:r w:rsidRPr="007D15C3">
              <w:rPr>
                <w:rFonts w:cs="Calibri"/>
              </w:rPr>
              <w:t>WFTT-TV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018774" w14:textId="77777777">
            <w:pPr>
              <w:rPr>
                <w:rFonts w:cs="Calibri"/>
              </w:rPr>
            </w:pPr>
            <w:r w:rsidRPr="007D15C3">
              <w:rPr>
                <w:rFonts w:cs="Calibri"/>
              </w:rPr>
              <w:t xml:space="preserve">          4,523,828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B63DFE" w14:textId="77777777">
            <w:pPr>
              <w:rPr>
                <w:rFonts w:cs="Calibri"/>
              </w:rPr>
            </w:pPr>
            <w:r w:rsidRPr="007D15C3">
              <w:rPr>
                <w:rFonts w:cs="Calibri"/>
              </w:rPr>
              <w:t xml:space="preserve">            4,521,879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74EC5F" w14:textId="77777777">
            <w:pPr>
              <w:jc w:val="right"/>
              <w:rPr>
                <w:rFonts w:cs="Calibri"/>
              </w:rPr>
            </w:pPr>
            <w:r w:rsidRPr="007D15C3">
              <w:rPr>
                <w:rFonts w:cs="Calibri"/>
              </w:rPr>
              <w:t>$35,438</w:t>
            </w:r>
          </w:p>
        </w:tc>
      </w:tr>
      <w:tr w14:paraId="186675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4C29A2" w14:textId="77777777">
            <w:pPr>
              <w:jc w:val="center"/>
              <w:rPr>
                <w:rFonts w:cs="Calibri"/>
              </w:rPr>
            </w:pPr>
            <w:r w:rsidRPr="007D15C3">
              <w:rPr>
                <w:rFonts w:cs="Calibri"/>
              </w:rPr>
              <w:t>72076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E6168C" w14:textId="77777777">
            <w:pPr>
              <w:jc w:val="center"/>
              <w:rPr>
                <w:rFonts w:cs="Calibri"/>
              </w:rPr>
            </w:pPr>
            <w:r w:rsidRPr="007D15C3">
              <w:rPr>
                <w:rFonts w:cs="Calibri"/>
              </w:rPr>
              <w:t>WFTV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FBEBE0" w14:textId="77777777">
            <w:pPr>
              <w:rPr>
                <w:rFonts w:cs="Calibri"/>
              </w:rPr>
            </w:pPr>
            <w:r w:rsidRPr="007D15C3">
              <w:rPr>
                <w:rFonts w:cs="Calibri"/>
              </w:rPr>
              <w:t xml:space="preserve">          3,849,576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94C340" w14:textId="77777777">
            <w:pPr>
              <w:rPr>
                <w:rFonts w:cs="Calibri"/>
              </w:rPr>
            </w:pPr>
            <w:r w:rsidRPr="007D15C3">
              <w:rPr>
                <w:rFonts w:cs="Calibri"/>
              </w:rPr>
              <w:t xml:space="preserve">            3,849,576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131DAF" w14:textId="77777777">
            <w:pPr>
              <w:jc w:val="right"/>
              <w:rPr>
                <w:rFonts w:cs="Calibri"/>
              </w:rPr>
            </w:pPr>
            <w:r w:rsidRPr="007D15C3">
              <w:rPr>
                <w:rFonts w:cs="Calibri"/>
              </w:rPr>
              <w:t>$30,169</w:t>
            </w:r>
          </w:p>
        </w:tc>
      </w:tr>
      <w:tr w14:paraId="073E1A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AC1AD2" w14:textId="77777777">
            <w:pPr>
              <w:jc w:val="center"/>
              <w:rPr>
                <w:rFonts w:cs="Calibri"/>
              </w:rPr>
            </w:pPr>
            <w:r w:rsidRPr="007D15C3">
              <w:rPr>
                <w:rFonts w:cs="Calibri"/>
              </w:rPr>
              <w:t>70649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8DC195" w14:textId="77777777">
            <w:pPr>
              <w:jc w:val="center"/>
              <w:rPr>
                <w:rFonts w:cs="Calibri"/>
              </w:rPr>
            </w:pPr>
            <w:r w:rsidRPr="007D15C3">
              <w:rPr>
                <w:rFonts w:cs="Calibri"/>
              </w:rPr>
              <w:t>WFTX-TV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483C0E" w14:textId="77777777">
            <w:pPr>
              <w:rPr>
                <w:rFonts w:cs="Calibri"/>
              </w:rPr>
            </w:pPr>
            <w:r w:rsidRPr="007D15C3">
              <w:rPr>
                <w:rFonts w:cs="Calibri"/>
              </w:rPr>
              <w:t xml:space="preserve">          1,775,097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34D780" w14:textId="77777777">
            <w:pPr>
              <w:rPr>
                <w:rFonts w:cs="Calibri"/>
              </w:rPr>
            </w:pPr>
            <w:r w:rsidRPr="007D15C3">
              <w:rPr>
                <w:rFonts w:cs="Calibri"/>
              </w:rPr>
              <w:t xml:space="preserve">            1,775,097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3C315B" w14:textId="77777777">
            <w:pPr>
              <w:jc w:val="right"/>
              <w:rPr>
                <w:rFonts w:cs="Calibri"/>
              </w:rPr>
            </w:pPr>
            <w:r w:rsidRPr="007D15C3">
              <w:rPr>
                <w:rFonts w:cs="Calibri"/>
              </w:rPr>
              <w:t>$13,911</w:t>
            </w:r>
          </w:p>
        </w:tc>
      </w:tr>
      <w:tr w14:paraId="65300D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81A07A" w14:textId="77777777">
            <w:pPr>
              <w:jc w:val="center"/>
              <w:rPr>
                <w:rFonts w:cs="Calibri"/>
              </w:rPr>
            </w:pPr>
            <w:r w:rsidRPr="007D15C3">
              <w:rPr>
                <w:rFonts w:cs="Calibri"/>
              </w:rPr>
              <w:t>60553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F64E00" w14:textId="77777777">
            <w:pPr>
              <w:jc w:val="center"/>
              <w:rPr>
                <w:rFonts w:cs="Calibri"/>
              </w:rPr>
            </w:pPr>
            <w:r w:rsidRPr="007D15C3">
              <w:rPr>
                <w:rFonts w:cs="Calibri"/>
              </w:rPr>
              <w:t>WFTY-DT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1B1C36" w14:textId="77777777">
            <w:pPr>
              <w:rPr>
                <w:rFonts w:cs="Calibri"/>
              </w:rPr>
            </w:pPr>
            <w:r w:rsidRPr="007D15C3">
              <w:rPr>
                <w:rFonts w:cs="Calibri"/>
              </w:rPr>
              <w:t xml:space="preserve">          5,678,755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15FEA9" w14:textId="77777777">
            <w:pPr>
              <w:rPr>
                <w:rFonts w:cs="Calibri"/>
              </w:rPr>
            </w:pPr>
            <w:r w:rsidRPr="007D15C3">
              <w:rPr>
                <w:rFonts w:cs="Calibri"/>
              </w:rPr>
              <w:t xml:space="preserve">            5,560,460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D77855" w14:textId="77777777">
            <w:pPr>
              <w:jc w:val="right"/>
              <w:rPr>
                <w:rFonts w:cs="Calibri"/>
              </w:rPr>
            </w:pPr>
            <w:r w:rsidRPr="007D15C3">
              <w:rPr>
                <w:rFonts w:cs="Calibri"/>
              </w:rPr>
              <w:t>$43,577</w:t>
            </w:r>
          </w:p>
        </w:tc>
      </w:tr>
      <w:tr w14:paraId="0BC31B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89738C" w14:textId="77777777">
            <w:pPr>
              <w:jc w:val="center"/>
              <w:rPr>
                <w:rFonts w:cs="Calibri"/>
              </w:rPr>
            </w:pPr>
            <w:r w:rsidRPr="007D15C3">
              <w:rPr>
                <w:rFonts w:cs="Calibri"/>
              </w:rPr>
              <w:t>25395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22B506" w14:textId="77777777">
            <w:pPr>
              <w:jc w:val="center"/>
              <w:rPr>
                <w:rFonts w:cs="Calibri"/>
              </w:rPr>
            </w:pPr>
            <w:r w:rsidRPr="007D15C3">
              <w:rPr>
                <w:rFonts w:cs="Calibri"/>
              </w:rPr>
              <w:t>WFUP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87880F" w14:textId="77777777">
            <w:pPr>
              <w:rPr>
                <w:rFonts w:cs="Calibri"/>
              </w:rPr>
            </w:pPr>
            <w:r w:rsidRPr="007D15C3">
              <w:rPr>
                <w:rFonts w:cs="Calibri"/>
              </w:rPr>
              <w:t xml:space="preserve">             217,655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7BA256" w14:textId="77777777">
            <w:pPr>
              <w:rPr>
                <w:rFonts w:cs="Calibri"/>
              </w:rPr>
            </w:pPr>
            <w:r w:rsidRPr="007D15C3">
              <w:rPr>
                <w:rFonts w:cs="Calibri"/>
              </w:rPr>
              <w:t xml:space="preserve">               216,861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0F6C86" w14:textId="77777777">
            <w:pPr>
              <w:jc w:val="right"/>
              <w:rPr>
                <w:rFonts w:cs="Calibri"/>
              </w:rPr>
            </w:pPr>
            <w:r w:rsidRPr="007D15C3">
              <w:rPr>
                <w:rFonts w:cs="Calibri"/>
              </w:rPr>
              <w:t>$1,700</w:t>
            </w:r>
          </w:p>
        </w:tc>
      </w:tr>
      <w:tr w14:paraId="408F60C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0CBB77" w14:textId="77777777">
            <w:pPr>
              <w:jc w:val="center"/>
              <w:rPr>
                <w:rFonts w:cs="Calibri"/>
              </w:rPr>
            </w:pPr>
            <w:r w:rsidRPr="007D15C3">
              <w:rPr>
                <w:rFonts w:cs="Calibri"/>
              </w:rPr>
              <w:t>60555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80A3D7" w14:textId="77777777">
            <w:pPr>
              <w:jc w:val="center"/>
              <w:rPr>
                <w:rFonts w:cs="Calibri"/>
              </w:rPr>
            </w:pPr>
            <w:r w:rsidRPr="007D15C3">
              <w:rPr>
                <w:rFonts w:cs="Calibri"/>
              </w:rPr>
              <w:t>WFUT-DT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1A4041" w14:textId="77777777">
            <w:pPr>
              <w:rPr>
                <w:rFonts w:cs="Calibri"/>
              </w:rPr>
            </w:pPr>
            <w:r w:rsidRPr="007D15C3">
              <w:rPr>
                <w:rFonts w:cs="Calibri"/>
              </w:rPr>
              <w:t xml:space="preserve">        19,992,096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1FCC97" w14:textId="77777777">
            <w:pPr>
              <w:rPr>
                <w:rFonts w:cs="Calibri"/>
              </w:rPr>
            </w:pPr>
            <w:r w:rsidRPr="007D15C3">
              <w:rPr>
                <w:rFonts w:cs="Calibri"/>
              </w:rPr>
              <w:t xml:space="preserve">          19,643,518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F88192" w14:textId="77777777">
            <w:pPr>
              <w:jc w:val="right"/>
              <w:rPr>
                <w:rFonts w:cs="Calibri"/>
              </w:rPr>
            </w:pPr>
            <w:r w:rsidRPr="007D15C3">
              <w:rPr>
                <w:rFonts w:cs="Calibri"/>
              </w:rPr>
              <w:t>$153,946</w:t>
            </w:r>
          </w:p>
        </w:tc>
      </w:tr>
      <w:tr w14:paraId="7890FBB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81A377" w14:textId="77777777">
            <w:pPr>
              <w:jc w:val="center"/>
              <w:rPr>
                <w:rFonts w:cs="Calibri"/>
              </w:rPr>
            </w:pPr>
            <w:r w:rsidRPr="007D15C3">
              <w:rPr>
                <w:rFonts w:cs="Calibri"/>
              </w:rPr>
              <w:t>22108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68E3E6" w14:textId="77777777">
            <w:pPr>
              <w:jc w:val="center"/>
              <w:rPr>
                <w:rFonts w:cs="Calibri"/>
              </w:rPr>
            </w:pPr>
            <w:r w:rsidRPr="007D15C3">
              <w:rPr>
                <w:rFonts w:cs="Calibri"/>
              </w:rPr>
              <w:t>WFWA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FBB5F7" w14:textId="77777777">
            <w:pPr>
              <w:rPr>
                <w:rFonts w:cs="Calibri"/>
              </w:rPr>
            </w:pPr>
            <w:r w:rsidRPr="007D15C3">
              <w:rPr>
                <w:rFonts w:cs="Calibri"/>
              </w:rPr>
              <w:t xml:space="preserve">          1,035,114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807C2E" w14:textId="77777777">
            <w:pPr>
              <w:rPr>
                <w:rFonts w:cs="Calibri"/>
              </w:rPr>
            </w:pPr>
            <w:r w:rsidRPr="007D15C3">
              <w:rPr>
                <w:rFonts w:cs="Calibri"/>
              </w:rPr>
              <w:t xml:space="preserve">            1,034,862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28B413" w14:textId="77777777">
            <w:pPr>
              <w:jc w:val="right"/>
              <w:rPr>
                <w:rFonts w:cs="Calibri"/>
              </w:rPr>
            </w:pPr>
            <w:r w:rsidRPr="007D15C3">
              <w:rPr>
                <w:rFonts w:cs="Calibri"/>
              </w:rPr>
              <w:t>$8,110</w:t>
            </w:r>
          </w:p>
        </w:tc>
      </w:tr>
      <w:tr w14:paraId="06D8D09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149761" w14:textId="77777777">
            <w:pPr>
              <w:jc w:val="center"/>
              <w:rPr>
                <w:rFonts w:cs="Calibri"/>
              </w:rPr>
            </w:pPr>
            <w:r w:rsidRPr="007D15C3">
              <w:rPr>
                <w:rFonts w:cs="Calibri"/>
              </w:rPr>
              <w:t>9054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005B99" w14:textId="77777777">
            <w:pPr>
              <w:jc w:val="center"/>
              <w:rPr>
                <w:rFonts w:cs="Calibri"/>
              </w:rPr>
            </w:pPr>
            <w:r w:rsidRPr="007D15C3">
              <w:rPr>
                <w:rFonts w:cs="Calibri"/>
              </w:rPr>
              <w:t>WFXB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C6E410" w14:textId="77777777">
            <w:pPr>
              <w:rPr>
                <w:rFonts w:cs="Calibri"/>
              </w:rPr>
            </w:pPr>
            <w:r w:rsidRPr="007D15C3">
              <w:rPr>
                <w:rFonts w:cs="Calibri"/>
              </w:rPr>
              <w:t xml:space="preserve">          1,393,865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27E75F" w14:textId="77777777">
            <w:pPr>
              <w:rPr>
                <w:rFonts w:cs="Calibri"/>
              </w:rPr>
            </w:pPr>
            <w:r w:rsidRPr="007D15C3">
              <w:rPr>
                <w:rFonts w:cs="Calibri"/>
              </w:rPr>
              <w:t xml:space="preserve">            1,393,510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E3EBC6" w14:textId="77777777">
            <w:pPr>
              <w:jc w:val="right"/>
              <w:rPr>
                <w:rFonts w:cs="Calibri"/>
              </w:rPr>
            </w:pPr>
            <w:r w:rsidRPr="007D15C3">
              <w:rPr>
                <w:rFonts w:cs="Calibri"/>
              </w:rPr>
              <w:t>$10,921</w:t>
            </w:r>
          </w:p>
        </w:tc>
      </w:tr>
      <w:tr w14:paraId="00B2EFF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C7EE07" w14:textId="77777777">
            <w:pPr>
              <w:jc w:val="center"/>
              <w:rPr>
                <w:rFonts w:cs="Calibri"/>
              </w:rPr>
            </w:pPr>
            <w:r w:rsidRPr="007D15C3">
              <w:rPr>
                <w:rFonts w:cs="Calibri"/>
              </w:rPr>
              <w:t>3228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0357F5" w14:textId="77777777">
            <w:pPr>
              <w:jc w:val="center"/>
              <w:rPr>
                <w:rFonts w:cs="Calibri"/>
              </w:rPr>
            </w:pPr>
            <w:r w:rsidRPr="007D15C3">
              <w:rPr>
                <w:rFonts w:cs="Calibri"/>
              </w:rPr>
              <w:t>WFXG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5254E7" w14:textId="77777777">
            <w:pPr>
              <w:rPr>
                <w:rFonts w:cs="Calibri"/>
              </w:rPr>
            </w:pPr>
            <w:r w:rsidRPr="007D15C3">
              <w:rPr>
                <w:rFonts w:cs="Calibri"/>
              </w:rPr>
              <w:t xml:space="preserve">          1,070,032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900858" w14:textId="77777777">
            <w:pPr>
              <w:rPr>
                <w:rFonts w:cs="Calibri"/>
              </w:rPr>
            </w:pPr>
            <w:r w:rsidRPr="007D15C3">
              <w:rPr>
                <w:rFonts w:cs="Calibri"/>
              </w:rPr>
              <w:t xml:space="preserve">            1,057,760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9CFD6B" w14:textId="77777777">
            <w:pPr>
              <w:jc w:val="right"/>
              <w:rPr>
                <w:rFonts w:cs="Calibri"/>
              </w:rPr>
            </w:pPr>
            <w:r w:rsidRPr="007D15C3">
              <w:rPr>
                <w:rFonts w:cs="Calibri"/>
              </w:rPr>
              <w:t>$8,290</w:t>
            </w:r>
          </w:p>
        </w:tc>
      </w:tr>
      <w:tr w14:paraId="57E499E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AD1845" w14:textId="77777777">
            <w:pPr>
              <w:jc w:val="center"/>
              <w:rPr>
                <w:rFonts w:cs="Calibri"/>
              </w:rPr>
            </w:pPr>
            <w:r w:rsidRPr="007D15C3">
              <w:rPr>
                <w:rFonts w:cs="Calibri"/>
              </w:rPr>
              <w:t>70815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88EFB9" w14:textId="77777777">
            <w:pPr>
              <w:jc w:val="center"/>
              <w:rPr>
                <w:rFonts w:cs="Calibri"/>
              </w:rPr>
            </w:pPr>
            <w:r w:rsidRPr="007D15C3">
              <w:rPr>
                <w:rFonts w:cs="Calibri"/>
              </w:rPr>
              <w:t>WFXL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617DBA" w14:textId="77777777">
            <w:pPr>
              <w:rPr>
                <w:rFonts w:cs="Calibri"/>
              </w:rPr>
            </w:pPr>
            <w:r w:rsidRPr="007D15C3">
              <w:rPr>
                <w:rFonts w:cs="Calibri"/>
              </w:rPr>
              <w:t xml:space="preserve">             793,637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21032B" w14:textId="77777777">
            <w:pPr>
              <w:rPr>
                <w:rFonts w:cs="Calibri"/>
              </w:rPr>
            </w:pPr>
            <w:r w:rsidRPr="007D15C3">
              <w:rPr>
                <w:rFonts w:cs="Calibri"/>
              </w:rPr>
              <w:t xml:space="preserve">               785,106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833DBF" w14:textId="77777777">
            <w:pPr>
              <w:jc w:val="right"/>
              <w:rPr>
                <w:rFonts w:cs="Calibri"/>
              </w:rPr>
            </w:pPr>
            <w:r w:rsidRPr="007D15C3">
              <w:rPr>
                <w:rFonts w:cs="Calibri"/>
              </w:rPr>
              <w:t>$6,153</w:t>
            </w:r>
          </w:p>
        </w:tc>
      </w:tr>
      <w:tr w14:paraId="1BF7B91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F14B18" w14:textId="77777777">
            <w:pPr>
              <w:jc w:val="center"/>
              <w:rPr>
                <w:rFonts w:cs="Calibri"/>
              </w:rPr>
            </w:pPr>
            <w:r w:rsidRPr="007D15C3">
              <w:rPr>
                <w:rFonts w:cs="Calibri"/>
              </w:rPr>
              <w:t>19707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DAD48C" w14:textId="77777777">
            <w:pPr>
              <w:jc w:val="center"/>
              <w:rPr>
                <w:rFonts w:cs="Calibri"/>
              </w:rPr>
            </w:pPr>
            <w:r w:rsidRPr="007D15C3">
              <w:rPr>
                <w:rFonts w:cs="Calibri"/>
              </w:rPr>
              <w:t>WFXP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18F061" w14:textId="77777777">
            <w:pPr>
              <w:rPr>
                <w:rFonts w:cs="Calibri"/>
              </w:rPr>
            </w:pPr>
            <w:r w:rsidRPr="007D15C3">
              <w:rPr>
                <w:rFonts w:cs="Calibri"/>
              </w:rPr>
              <w:t xml:space="preserve">             583,315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CA73E8" w14:textId="77777777">
            <w:pPr>
              <w:rPr>
                <w:rFonts w:cs="Calibri"/>
              </w:rPr>
            </w:pPr>
            <w:r w:rsidRPr="007D15C3">
              <w:rPr>
                <w:rFonts w:cs="Calibri"/>
              </w:rPr>
              <w:t xml:space="preserve">               562,500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CD6DBD" w14:textId="77777777">
            <w:pPr>
              <w:jc w:val="right"/>
              <w:rPr>
                <w:rFonts w:cs="Calibri"/>
              </w:rPr>
            </w:pPr>
            <w:r w:rsidRPr="007D15C3">
              <w:rPr>
                <w:rFonts w:cs="Calibri"/>
              </w:rPr>
              <w:t>$4,408</w:t>
            </w:r>
          </w:p>
        </w:tc>
      </w:tr>
      <w:tr w14:paraId="0388B8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8366A5" w14:textId="77777777">
            <w:pPr>
              <w:jc w:val="center"/>
              <w:rPr>
                <w:rFonts w:cs="Calibri"/>
              </w:rPr>
            </w:pPr>
            <w:r w:rsidRPr="007D15C3">
              <w:rPr>
                <w:rFonts w:cs="Calibri"/>
              </w:rPr>
              <w:t>24813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057487" w14:textId="77777777">
            <w:pPr>
              <w:jc w:val="center"/>
              <w:rPr>
                <w:rFonts w:cs="Calibri"/>
              </w:rPr>
            </w:pPr>
            <w:r w:rsidRPr="007D15C3">
              <w:rPr>
                <w:rFonts w:cs="Calibri"/>
              </w:rPr>
              <w:t>WFXR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541572" w14:textId="77777777">
            <w:pPr>
              <w:rPr>
                <w:rFonts w:cs="Calibri"/>
              </w:rPr>
            </w:pPr>
            <w:r w:rsidRPr="007D15C3">
              <w:rPr>
                <w:rFonts w:cs="Calibri"/>
              </w:rPr>
              <w:t xml:space="preserve">          1,426,061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C764F2" w14:textId="77777777">
            <w:pPr>
              <w:rPr>
                <w:rFonts w:cs="Calibri"/>
              </w:rPr>
            </w:pPr>
            <w:r w:rsidRPr="007D15C3">
              <w:rPr>
                <w:rFonts w:cs="Calibri"/>
              </w:rPr>
              <w:t xml:space="preserve">            1,286,450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786A0A" w14:textId="77777777">
            <w:pPr>
              <w:jc w:val="right"/>
              <w:rPr>
                <w:rFonts w:cs="Calibri"/>
              </w:rPr>
            </w:pPr>
            <w:r w:rsidRPr="007D15C3">
              <w:rPr>
                <w:rFonts w:cs="Calibri"/>
              </w:rPr>
              <w:t>$10,082</w:t>
            </w:r>
          </w:p>
        </w:tc>
      </w:tr>
      <w:tr w14:paraId="01A979E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0BBFAC" w14:textId="77777777">
            <w:pPr>
              <w:jc w:val="center"/>
              <w:rPr>
                <w:rFonts w:cs="Calibri"/>
              </w:rPr>
            </w:pPr>
            <w:r w:rsidRPr="007D15C3">
              <w:rPr>
                <w:rFonts w:cs="Calibri"/>
              </w:rPr>
              <w:t>6463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C502FB" w14:textId="77777777">
            <w:pPr>
              <w:jc w:val="center"/>
              <w:rPr>
                <w:rFonts w:cs="Calibri"/>
              </w:rPr>
            </w:pPr>
            <w:r w:rsidRPr="007D15C3">
              <w:rPr>
                <w:rFonts w:cs="Calibri"/>
              </w:rPr>
              <w:t>WFXT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103B66" w14:textId="77777777">
            <w:pPr>
              <w:rPr>
                <w:rFonts w:cs="Calibri"/>
              </w:rPr>
            </w:pPr>
            <w:r w:rsidRPr="007D15C3">
              <w:rPr>
                <w:rFonts w:cs="Calibri"/>
              </w:rPr>
              <w:t xml:space="preserve">          7,494,070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C3A2F9" w14:textId="77777777">
            <w:pPr>
              <w:rPr>
                <w:rFonts w:cs="Calibri"/>
              </w:rPr>
            </w:pPr>
            <w:r w:rsidRPr="007D15C3">
              <w:rPr>
                <w:rFonts w:cs="Calibri"/>
              </w:rPr>
              <w:t xml:space="preserve">            7,400,830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503260" w14:textId="77777777">
            <w:pPr>
              <w:jc w:val="right"/>
              <w:rPr>
                <w:rFonts w:cs="Calibri"/>
              </w:rPr>
            </w:pPr>
            <w:r w:rsidRPr="007D15C3">
              <w:rPr>
                <w:rFonts w:cs="Calibri"/>
              </w:rPr>
              <w:t>$58,000</w:t>
            </w:r>
          </w:p>
        </w:tc>
      </w:tr>
      <w:tr w14:paraId="3741D6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B62B0B" w14:textId="77777777">
            <w:pPr>
              <w:jc w:val="center"/>
              <w:rPr>
                <w:rFonts w:cs="Calibri"/>
              </w:rPr>
            </w:pPr>
            <w:r w:rsidRPr="007D15C3">
              <w:rPr>
                <w:rFonts w:cs="Calibri"/>
              </w:rPr>
              <w:t>22245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9E3192" w14:textId="77777777">
            <w:pPr>
              <w:jc w:val="center"/>
              <w:rPr>
                <w:rFonts w:cs="Calibri"/>
              </w:rPr>
            </w:pPr>
            <w:r w:rsidRPr="007D15C3">
              <w:rPr>
                <w:rFonts w:cs="Calibri"/>
              </w:rPr>
              <w:t>WFXU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E0748C" w14:textId="77777777">
            <w:pPr>
              <w:rPr>
                <w:rFonts w:cs="Calibri"/>
              </w:rPr>
            </w:pPr>
            <w:r w:rsidRPr="007D15C3">
              <w:rPr>
                <w:rFonts w:cs="Calibri"/>
              </w:rPr>
              <w:t xml:space="preserve">             211,721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E3F5C7" w14:textId="77777777">
            <w:pPr>
              <w:rPr>
                <w:rFonts w:cs="Calibri"/>
              </w:rPr>
            </w:pPr>
            <w:r w:rsidRPr="007D15C3">
              <w:rPr>
                <w:rFonts w:cs="Calibri"/>
              </w:rPr>
              <w:t xml:space="preserve">               211,721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58A1BE" w14:textId="77777777">
            <w:pPr>
              <w:jc w:val="right"/>
              <w:rPr>
                <w:rFonts w:cs="Calibri"/>
              </w:rPr>
            </w:pPr>
            <w:r w:rsidRPr="007D15C3">
              <w:rPr>
                <w:rFonts w:cs="Calibri"/>
              </w:rPr>
              <w:t>$1,659</w:t>
            </w:r>
          </w:p>
        </w:tc>
      </w:tr>
      <w:tr w14:paraId="645532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D5B72F" w14:textId="77777777">
            <w:pPr>
              <w:jc w:val="center"/>
              <w:rPr>
                <w:rFonts w:cs="Calibri"/>
              </w:rPr>
            </w:pPr>
            <w:r w:rsidRPr="007D15C3">
              <w:rPr>
                <w:rFonts w:cs="Calibri"/>
              </w:rPr>
              <w:t>43424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E18E71" w14:textId="77777777">
            <w:pPr>
              <w:jc w:val="center"/>
              <w:rPr>
                <w:rFonts w:cs="Calibri"/>
              </w:rPr>
            </w:pPr>
            <w:r w:rsidRPr="007D15C3">
              <w:rPr>
                <w:rFonts w:cs="Calibri"/>
              </w:rPr>
              <w:t>WFXV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22755F" w14:textId="77777777">
            <w:pPr>
              <w:rPr>
                <w:rFonts w:cs="Calibri"/>
              </w:rPr>
            </w:pPr>
            <w:r w:rsidRPr="007D15C3">
              <w:rPr>
                <w:rFonts w:cs="Calibri"/>
              </w:rPr>
              <w:t xml:space="preserve">             633,597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FD7BB4" w14:textId="77777777">
            <w:pPr>
              <w:rPr>
                <w:rFonts w:cs="Calibri"/>
              </w:rPr>
            </w:pPr>
            <w:r w:rsidRPr="007D15C3">
              <w:rPr>
                <w:rFonts w:cs="Calibri"/>
              </w:rPr>
              <w:t xml:space="preserve">               558,968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7F7916" w14:textId="77777777">
            <w:pPr>
              <w:jc w:val="right"/>
              <w:rPr>
                <w:rFonts w:cs="Calibri"/>
              </w:rPr>
            </w:pPr>
            <w:r w:rsidRPr="007D15C3">
              <w:rPr>
                <w:rFonts w:cs="Calibri"/>
              </w:rPr>
              <w:t>$4,381</w:t>
            </w:r>
          </w:p>
        </w:tc>
      </w:tr>
      <w:tr w14:paraId="1F9DA8A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8DE58A" w14:textId="77777777">
            <w:pPr>
              <w:jc w:val="center"/>
              <w:rPr>
                <w:rFonts w:cs="Calibri"/>
              </w:rPr>
            </w:pPr>
            <w:r w:rsidRPr="007D15C3">
              <w:rPr>
                <w:rFonts w:cs="Calibri"/>
              </w:rPr>
              <w:t>25236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5ABA603" w14:textId="77777777">
            <w:pPr>
              <w:jc w:val="center"/>
              <w:rPr>
                <w:rFonts w:cs="Calibri"/>
              </w:rPr>
            </w:pPr>
            <w:r w:rsidRPr="007D15C3">
              <w:rPr>
                <w:rFonts w:cs="Calibri"/>
              </w:rPr>
              <w:t>WFXW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0CBADA" w14:textId="77777777">
            <w:pPr>
              <w:rPr>
                <w:rFonts w:cs="Calibri"/>
              </w:rPr>
            </w:pPr>
            <w:r w:rsidRPr="007D15C3">
              <w:rPr>
                <w:rFonts w:cs="Calibri"/>
              </w:rPr>
              <w:t xml:space="preserve">             274,078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68F70A" w14:textId="77777777">
            <w:pPr>
              <w:rPr>
                <w:rFonts w:cs="Calibri"/>
              </w:rPr>
            </w:pPr>
            <w:r w:rsidRPr="007D15C3">
              <w:rPr>
                <w:rFonts w:cs="Calibri"/>
              </w:rPr>
              <w:t xml:space="preserve">               270,967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DA1D2A" w14:textId="77777777">
            <w:pPr>
              <w:jc w:val="right"/>
              <w:rPr>
                <w:rFonts w:cs="Calibri"/>
              </w:rPr>
            </w:pPr>
            <w:r w:rsidRPr="007D15C3">
              <w:rPr>
                <w:rFonts w:cs="Calibri"/>
              </w:rPr>
              <w:t>$2,124</w:t>
            </w:r>
          </w:p>
        </w:tc>
      </w:tr>
      <w:tr w14:paraId="293205B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5AF031" w14:textId="77777777">
            <w:pPr>
              <w:jc w:val="center"/>
              <w:rPr>
                <w:rFonts w:cs="Calibri"/>
              </w:rPr>
            </w:pPr>
            <w:r w:rsidRPr="007D15C3">
              <w:rPr>
                <w:rFonts w:cs="Calibri"/>
              </w:rPr>
              <w:t>41397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BD817D" w14:textId="77777777">
            <w:pPr>
              <w:jc w:val="center"/>
              <w:rPr>
                <w:rFonts w:cs="Calibri"/>
              </w:rPr>
            </w:pPr>
            <w:r w:rsidRPr="007D15C3">
              <w:rPr>
                <w:rFonts w:cs="Calibri"/>
              </w:rPr>
              <w:t>WFYI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1D4B49" w14:textId="77777777">
            <w:pPr>
              <w:rPr>
                <w:rFonts w:cs="Calibri"/>
              </w:rPr>
            </w:pPr>
            <w:r w:rsidRPr="007D15C3">
              <w:rPr>
                <w:rFonts w:cs="Calibri"/>
              </w:rPr>
              <w:t xml:space="preserve">          2,389,627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DE162D" w14:textId="77777777">
            <w:pPr>
              <w:rPr>
                <w:rFonts w:cs="Calibri"/>
              </w:rPr>
            </w:pPr>
            <w:r w:rsidRPr="007D15C3">
              <w:rPr>
                <w:rFonts w:cs="Calibri"/>
              </w:rPr>
              <w:t xml:space="preserve">            2,388,970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0580FB" w14:textId="77777777">
            <w:pPr>
              <w:jc w:val="right"/>
              <w:rPr>
                <w:rFonts w:cs="Calibri"/>
              </w:rPr>
            </w:pPr>
            <w:r w:rsidRPr="007D15C3">
              <w:rPr>
                <w:rFonts w:cs="Calibri"/>
              </w:rPr>
              <w:t>$18,722</w:t>
            </w:r>
          </w:p>
        </w:tc>
      </w:tr>
      <w:tr w14:paraId="61AF734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11D993" w14:textId="77777777">
            <w:pPr>
              <w:jc w:val="center"/>
              <w:rPr>
                <w:rFonts w:cs="Calibri"/>
              </w:rPr>
            </w:pPr>
            <w:r w:rsidRPr="007D15C3">
              <w:rPr>
                <w:rFonts w:cs="Calibri"/>
              </w:rPr>
              <w:t>53930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D4E106" w14:textId="77777777">
            <w:pPr>
              <w:jc w:val="center"/>
              <w:rPr>
                <w:rFonts w:cs="Calibri"/>
              </w:rPr>
            </w:pPr>
            <w:r w:rsidRPr="007D15C3">
              <w:rPr>
                <w:rFonts w:cs="Calibri"/>
              </w:rPr>
              <w:t>WGAL*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C99081" w14:textId="77777777">
            <w:pPr>
              <w:rPr>
                <w:rFonts w:cs="Calibri"/>
              </w:rPr>
            </w:pPr>
            <w:r w:rsidRPr="007D15C3">
              <w:rPr>
                <w:rFonts w:cs="Calibri"/>
              </w:rPr>
              <w:t xml:space="preserve">          6,287,688</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B958F0" w14:textId="77777777">
            <w:pPr>
              <w:rPr>
                <w:rFonts w:cs="Calibri"/>
              </w:rPr>
            </w:pPr>
            <w:r w:rsidRPr="007D15C3">
              <w:rPr>
                <w:rFonts w:cs="Calibri"/>
              </w:rPr>
              <w:t xml:space="preserve">            5,610,833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95D23D" w14:textId="77777777">
            <w:pPr>
              <w:jc w:val="right"/>
              <w:rPr>
                <w:rFonts w:cs="Calibri"/>
              </w:rPr>
            </w:pPr>
            <w:r w:rsidRPr="007D15C3">
              <w:rPr>
                <w:rFonts w:cs="Calibri"/>
              </w:rPr>
              <w:t>$43,972</w:t>
            </w:r>
          </w:p>
        </w:tc>
      </w:tr>
      <w:tr w14:paraId="35B12C6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E76F00" w14:textId="77777777">
            <w:pPr>
              <w:jc w:val="center"/>
              <w:rPr>
                <w:rFonts w:cs="Calibri"/>
              </w:rPr>
            </w:pPr>
            <w:r w:rsidRPr="007D15C3">
              <w:rPr>
                <w:rFonts w:cs="Calibri"/>
              </w:rPr>
              <w:t>2708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9A098D" w14:textId="77777777">
            <w:pPr>
              <w:jc w:val="center"/>
              <w:rPr>
                <w:rFonts w:cs="Calibri"/>
              </w:rPr>
            </w:pPr>
            <w:r w:rsidRPr="007D15C3">
              <w:rPr>
                <w:rFonts w:cs="Calibri"/>
              </w:rPr>
              <w:t>WGBA-TV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6D22B0" w14:textId="77777777">
            <w:pPr>
              <w:rPr>
                <w:rFonts w:cs="Calibri"/>
              </w:rPr>
            </w:pPr>
            <w:r w:rsidRPr="007D15C3">
              <w:rPr>
                <w:rFonts w:cs="Calibri"/>
              </w:rPr>
              <w:t xml:space="preserve">          1,170,375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D8AA2E" w14:textId="77777777">
            <w:pPr>
              <w:rPr>
                <w:rFonts w:cs="Calibri"/>
              </w:rPr>
            </w:pPr>
            <w:r w:rsidRPr="007D15C3">
              <w:rPr>
                <w:rFonts w:cs="Calibri"/>
              </w:rPr>
              <w:t xml:space="preserve">            1,170,127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05844B" w14:textId="77777777">
            <w:pPr>
              <w:jc w:val="right"/>
              <w:rPr>
                <w:rFonts w:cs="Calibri"/>
              </w:rPr>
            </w:pPr>
            <w:r w:rsidRPr="007D15C3">
              <w:rPr>
                <w:rFonts w:cs="Calibri"/>
              </w:rPr>
              <w:t>$9,170</w:t>
            </w:r>
          </w:p>
        </w:tc>
      </w:tr>
      <w:tr w14:paraId="009F02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02431D" w14:textId="77777777">
            <w:pPr>
              <w:jc w:val="center"/>
              <w:rPr>
                <w:rFonts w:cs="Calibri"/>
              </w:rPr>
            </w:pPr>
            <w:r w:rsidRPr="007D15C3">
              <w:rPr>
                <w:rFonts w:cs="Calibri"/>
              </w:rPr>
              <w:t>24314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D5907F" w14:textId="77777777">
            <w:pPr>
              <w:jc w:val="center"/>
              <w:rPr>
                <w:rFonts w:cs="Calibri"/>
              </w:rPr>
            </w:pPr>
            <w:r w:rsidRPr="007D15C3">
              <w:rPr>
                <w:rFonts w:cs="Calibri"/>
              </w:rPr>
              <w:t>WGBC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150D43" w14:textId="77777777">
            <w:pPr>
              <w:rPr>
                <w:rFonts w:cs="Calibri"/>
              </w:rPr>
            </w:pPr>
            <w:r w:rsidRPr="007D15C3">
              <w:rPr>
                <w:rFonts w:cs="Calibri"/>
              </w:rPr>
              <w:t xml:space="preserve">             249,415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AA94DD" w14:textId="77777777">
            <w:pPr>
              <w:rPr>
                <w:rFonts w:cs="Calibri"/>
              </w:rPr>
            </w:pPr>
            <w:r w:rsidRPr="007D15C3">
              <w:rPr>
                <w:rFonts w:cs="Calibri"/>
              </w:rPr>
              <w:t xml:space="preserve">               249,235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1DADBE" w14:textId="77777777">
            <w:pPr>
              <w:jc w:val="right"/>
              <w:rPr>
                <w:rFonts w:cs="Calibri"/>
              </w:rPr>
            </w:pPr>
            <w:r w:rsidRPr="007D15C3">
              <w:rPr>
                <w:rFonts w:cs="Calibri"/>
              </w:rPr>
              <w:t>$1,953</w:t>
            </w:r>
          </w:p>
        </w:tc>
      </w:tr>
      <w:tr w14:paraId="12DB73E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2176FD" w14:textId="77777777">
            <w:pPr>
              <w:jc w:val="center"/>
              <w:rPr>
                <w:rFonts w:cs="Calibri"/>
              </w:rPr>
            </w:pPr>
            <w:r w:rsidRPr="007D15C3">
              <w:rPr>
                <w:rFonts w:cs="Calibri"/>
              </w:rPr>
              <w:t>72099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DEC14B" w14:textId="77777777">
            <w:pPr>
              <w:jc w:val="center"/>
              <w:rPr>
                <w:rFonts w:cs="Calibri"/>
              </w:rPr>
            </w:pPr>
            <w:r w:rsidRPr="007D15C3">
              <w:rPr>
                <w:rFonts w:cs="Calibri"/>
              </w:rPr>
              <w:t>WGBH-TV*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AA4985" w14:textId="77777777">
            <w:pPr>
              <w:rPr>
                <w:rFonts w:cs="Calibri"/>
              </w:rPr>
            </w:pPr>
            <w:r w:rsidRPr="007D15C3">
              <w:rPr>
                <w:rFonts w:cs="Calibri"/>
              </w:rPr>
              <w:t xml:space="preserve">          7,711,842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D31CC0" w14:textId="77777777">
            <w:pPr>
              <w:rPr>
                <w:rFonts w:cs="Calibri"/>
              </w:rPr>
            </w:pPr>
            <w:r w:rsidRPr="007D15C3">
              <w:rPr>
                <w:rFonts w:cs="Calibri"/>
              </w:rPr>
              <w:t xml:space="preserve">            7,601,732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02DCC0" w14:textId="77777777">
            <w:pPr>
              <w:jc w:val="right"/>
              <w:rPr>
                <w:rFonts w:cs="Calibri"/>
              </w:rPr>
            </w:pPr>
            <w:r w:rsidRPr="007D15C3">
              <w:rPr>
                <w:rFonts w:cs="Calibri"/>
              </w:rPr>
              <w:t>$59,575</w:t>
            </w:r>
          </w:p>
        </w:tc>
      </w:tr>
      <w:tr w14:paraId="508429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FA9A66" w14:textId="77777777">
            <w:pPr>
              <w:jc w:val="center"/>
              <w:rPr>
                <w:rFonts w:cs="Calibri"/>
              </w:rPr>
            </w:pPr>
            <w:r w:rsidRPr="007D15C3">
              <w:rPr>
                <w:rFonts w:cs="Calibri"/>
              </w:rPr>
              <w:t>12498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01EBFC" w14:textId="77777777">
            <w:pPr>
              <w:jc w:val="center"/>
              <w:rPr>
                <w:rFonts w:cs="Calibri"/>
              </w:rPr>
            </w:pPr>
            <w:r w:rsidRPr="007D15C3">
              <w:rPr>
                <w:rFonts w:cs="Calibri"/>
              </w:rPr>
              <w:t>WGBO-DT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C6ED7A" w14:textId="77777777">
            <w:pPr>
              <w:rPr>
                <w:rFonts w:cs="Calibri"/>
              </w:rPr>
            </w:pPr>
            <w:r w:rsidRPr="007D15C3">
              <w:rPr>
                <w:rFonts w:cs="Calibri"/>
              </w:rPr>
              <w:t xml:space="preserve">          9,771,815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912D60" w14:textId="77777777">
            <w:pPr>
              <w:rPr>
                <w:rFonts w:cs="Calibri"/>
              </w:rPr>
            </w:pPr>
            <w:r w:rsidRPr="007D15C3">
              <w:rPr>
                <w:rFonts w:cs="Calibri"/>
              </w:rPr>
              <w:t xml:space="preserve">            9,769,552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867D5C" w14:textId="77777777">
            <w:pPr>
              <w:jc w:val="right"/>
              <w:rPr>
                <w:rFonts w:cs="Calibri"/>
              </w:rPr>
            </w:pPr>
            <w:r w:rsidRPr="007D15C3">
              <w:rPr>
                <w:rFonts w:cs="Calibri"/>
              </w:rPr>
              <w:t>$76,564</w:t>
            </w:r>
          </w:p>
        </w:tc>
      </w:tr>
      <w:tr w14:paraId="2E13B6B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2CC617" w14:textId="77777777">
            <w:pPr>
              <w:jc w:val="center"/>
              <w:rPr>
                <w:rFonts w:cs="Calibri"/>
              </w:rPr>
            </w:pPr>
            <w:r w:rsidRPr="007D15C3">
              <w:rPr>
                <w:rFonts w:cs="Calibri"/>
              </w:rPr>
              <w:t>72098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B84E46" w14:textId="77777777">
            <w:pPr>
              <w:jc w:val="center"/>
              <w:rPr>
                <w:rFonts w:cs="Calibri"/>
              </w:rPr>
            </w:pPr>
            <w:r w:rsidRPr="007D15C3">
              <w:rPr>
                <w:rFonts w:cs="Calibri"/>
              </w:rPr>
              <w:t>WGBX-TV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9FBF40" w14:textId="77777777">
            <w:pPr>
              <w:rPr>
                <w:rFonts w:cs="Calibri"/>
              </w:rPr>
            </w:pPr>
            <w:r w:rsidRPr="007D15C3">
              <w:rPr>
                <w:rFonts w:cs="Calibri"/>
              </w:rPr>
              <w:t xml:space="preserve">          7,476,751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78E2B3" w14:textId="77777777">
            <w:pPr>
              <w:rPr>
                <w:rFonts w:cs="Calibri"/>
              </w:rPr>
            </w:pPr>
            <w:r w:rsidRPr="007D15C3">
              <w:rPr>
                <w:rFonts w:cs="Calibri"/>
              </w:rPr>
              <w:t xml:space="preserve">            7,378,958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9DCECF" w14:textId="77777777">
            <w:pPr>
              <w:jc w:val="right"/>
              <w:rPr>
                <w:rFonts w:cs="Calibri"/>
              </w:rPr>
            </w:pPr>
            <w:r w:rsidRPr="007D15C3">
              <w:rPr>
                <w:rFonts w:cs="Calibri"/>
              </w:rPr>
              <w:t>$57,829</w:t>
            </w:r>
          </w:p>
        </w:tc>
      </w:tr>
      <w:tr w14:paraId="48D259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544F76" w14:textId="77777777">
            <w:pPr>
              <w:jc w:val="center"/>
              <w:rPr>
                <w:rFonts w:cs="Calibri"/>
              </w:rPr>
            </w:pPr>
            <w:r w:rsidRPr="007D15C3">
              <w:rPr>
                <w:rFonts w:cs="Calibri"/>
              </w:rPr>
              <w:t>72096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792D52" w14:textId="77777777">
            <w:pPr>
              <w:jc w:val="center"/>
              <w:rPr>
                <w:rFonts w:cs="Calibri"/>
              </w:rPr>
            </w:pPr>
            <w:r w:rsidRPr="007D15C3">
              <w:rPr>
                <w:rFonts w:cs="Calibri"/>
              </w:rPr>
              <w:t>WGBY-TV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CC7942" w14:textId="77777777">
            <w:pPr>
              <w:rPr>
                <w:rFonts w:cs="Calibri"/>
              </w:rPr>
            </w:pPr>
            <w:r w:rsidRPr="007D15C3">
              <w:rPr>
                <w:rFonts w:cs="Calibri"/>
              </w:rPr>
              <w:t xml:space="preserve">          4,470,009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54A3FB" w14:textId="77777777">
            <w:pPr>
              <w:rPr>
                <w:rFonts w:cs="Calibri"/>
              </w:rPr>
            </w:pPr>
            <w:r w:rsidRPr="007D15C3">
              <w:rPr>
                <w:rFonts w:cs="Calibri"/>
              </w:rPr>
              <w:t xml:space="preserve">            3,739,675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23A734" w14:textId="77777777">
            <w:pPr>
              <w:jc w:val="right"/>
              <w:rPr>
                <w:rFonts w:cs="Calibri"/>
              </w:rPr>
            </w:pPr>
            <w:r w:rsidRPr="007D15C3">
              <w:rPr>
                <w:rFonts w:cs="Calibri"/>
              </w:rPr>
              <w:t>$29,308</w:t>
            </w:r>
          </w:p>
        </w:tc>
      </w:tr>
      <w:tr w14:paraId="0FFED60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C4F989" w14:textId="77777777">
            <w:pPr>
              <w:jc w:val="center"/>
              <w:rPr>
                <w:rFonts w:cs="Calibri"/>
              </w:rPr>
            </w:pPr>
            <w:r w:rsidRPr="007D15C3">
              <w:rPr>
                <w:rFonts w:cs="Calibri"/>
              </w:rPr>
              <w:t>72120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A5CF44" w14:textId="77777777">
            <w:pPr>
              <w:jc w:val="center"/>
              <w:rPr>
                <w:rFonts w:cs="Calibri"/>
              </w:rPr>
            </w:pPr>
            <w:r w:rsidRPr="007D15C3">
              <w:rPr>
                <w:rFonts w:cs="Calibri"/>
              </w:rPr>
              <w:t>WGCL-TV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0D3D05" w14:textId="77777777">
            <w:pPr>
              <w:rPr>
                <w:rFonts w:cs="Calibri"/>
              </w:rPr>
            </w:pPr>
            <w:r w:rsidRPr="007D15C3">
              <w:rPr>
                <w:rFonts w:cs="Calibri"/>
              </w:rPr>
              <w:t xml:space="preserve">          6,027,276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EAB012" w14:textId="77777777">
            <w:pPr>
              <w:rPr>
                <w:rFonts w:cs="Calibri"/>
              </w:rPr>
            </w:pPr>
            <w:r w:rsidRPr="007D15C3">
              <w:rPr>
                <w:rFonts w:cs="Calibri"/>
              </w:rPr>
              <w:t xml:space="preserve">            5,961,471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7198C7" w14:textId="77777777">
            <w:pPr>
              <w:jc w:val="right"/>
              <w:rPr>
                <w:rFonts w:cs="Calibri"/>
              </w:rPr>
            </w:pPr>
            <w:r w:rsidRPr="007D15C3">
              <w:rPr>
                <w:rFonts w:cs="Calibri"/>
              </w:rPr>
              <w:t>$46,720</w:t>
            </w:r>
          </w:p>
        </w:tc>
      </w:tr>
      <w:tr w14:paraId="0F82B2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665656" w14:textId="77777777">
            <w:pPr>
              <w:jc w:val="center"/>
              <w:rPr>
                <w:rFonts w:cs="Calibri"/>
              </w:rPr>
            </w:pPr>
            <w:r w:rsidRPr="007D15C3">
              <w:rPr>
                <w:rFonts w:cs="Calibri"/>
              </w:rPr>
              <w:t>62388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0B021F" w14:textId="77777777">
            <w:pPr>
              <w:jc w:val="center"/>
              <w:rPr>
                <w:rFonts w:cs="Calibri"/>
              </w:rPr>
            </w:pPr>
            <w:r w:rsidRPr="007D15C3">
              <w:rPr>
                <w:rFonts w:cs="Calibri"/>
              </w:rPr>
              <w:t>WGCU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5D5A24" w14:textId="77777777">
            <w:pPr>
              <w:rPr>
                <w:rFonts w:cs="Calibri"/>
              </w:rPr>
            </w:pPr>
            <w:r w:rsidRPr="007D15C3">
              <w:rPr>
                <w:rFonts w:cs="Calibri"/>
              </w:rPr>
              <w:t xml:space="preserve">          1,403,602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581316" w14:textId="77777777">
            <w:pPr>
              <w:rPr>
                <w:rFonts w:cs="Calibri"/>
              </w:rPr>
            </w:pPr>
            <w:r w:rsidRPr="007D15C3">
              <w:rPr>
                <w:rFonts w:cs="Calibri"/>
              </w:rPr>
              <w:t xml:space="preserve">            1,403,602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E0FE25" w14:textId="77777777">
            <w:pPr>
              <w:jc w:val="right"/>
              <w:rPr>
                <w:rFonts w:cs="Calibri"/>
              </w:rPr>
            </w:pPr>
            <w:r w:rsidRPr="007D15C3">
              <w:rPr>
                <w:rFonts w:cs="Calibri"/>
              </w:rPr>
              <w:t>$11,000</w:t>
            </w:r>
          </w:p>
        </w:tc>
      </w:tr>
      <w:tr w14:paraId="63E150B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02CE8B" w14:textId="77777777">
            <w:pPr>
              <w:jc w:val="center"/>
              <w:rPr>
                <w:rFonts w:cs="Calibri"/>
              </w:rPr>
            </w:pPr>
            <w:r w:rsidRPr="007D15C3">
              <w:rPr>
                <w:rFonts w:cs="Calibri"/>
              </w:rPr>
              <w:t>54275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BA7C05" w14:textId="77777777">
            <w:pPr>
              <w:jc w:val="center"/>
              <w:rPr>
                <w:rFonts w:cs="Calibri"/>
              </w:rPr>
            </w:pPr>
            <w:r w:rsidRPr="007D15C3">
              <w:rPr>
                <w:rFonts w:cs="Calibri"/>
              </w:rPr>
              <w:t>WGEM-TV*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349744" w14:textId="77777777">
            <w:pPr>
              <w:rPr>
                <w:rFonts w:cs="Calibri"/>
              </w:rPr>
            </w:pPr>
            <w:r w:rsidRPr="007D15C3">
              <w:rPr>
                <w:rFonts w:cs="Calibri"/>
              </w:rPr>
              <w:t xml:space="preserve">             361,598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9C0889" w14:textId="77777777">
            <w:pPr>
              <w:rPr>
                <w:rFonts w:cs="Calibri"/>
              </w:rPr>
            </w:pPr>
            <w:r w:rsidRPr="007D15C3">
              <w:rPr>
                <w:rFonts w:cs="Calibri"/>
              </w:rPr>
              <w:t xml:space="preserve">               356,682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003AEC" w14:textId="77777777">
            <w:pPr>
              <w:jc w:val="right"/>
              <w:rPr>
                <w:rFonts w:cs="Calibri"/>
              </w:rPr>
            </w:pPr>
            <w:r w:rsidRPr="007D15C3">
              <w:rPr>
                <w:rFonts w:cs="Calibri"/>
              </w:rPr>
              <w:t>$2,795</w:t>
            </w:r>
          </w:p>
        </w:tc>
      </w:tr>
      <w:tr w14:paraId="02ACF64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E171CA" w14:textId="77777777">
            <w:pPr>
              <w:jc w:val="center"/>
              <w:rPr>
                <w:rFonts w:cs="Calibri"/>
              </w:rPr>
            </w:pPr>
            <w:r w:rsidRPr="007D15C3">
              <w:rPr>
                <w:rFonts w:cs="Calibri"/>
              </w:rPr>
              <w:t>27387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D723E8" w14:textId="77777777">
            <w:pPr>
              <w:jc w:val="center"/>
              <w:rPr>
                <w:rFonts w:cs="Calibri"/>
              </w:rPr>
            </w:pPr>
            <w:r w:rsidRPr="007D15C3">
              <w:rPr>
                <w:rFonts w:cs="Calibri"/>
              </w:rPr>
              <w:t>WGEN-TV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8946BD" w14:textId="77777777">
            <w:pPr>
              <w:rPr>
                <w:rFonts w:cs="Calibri"/>
              </w:rPr>
            </w:pPr>
            <w:r w:rsidRPr="007D15C3">
              <w:rPr>
                <w:rFonts w:cs="Calibri"/>
              </w:rPr>
              <w:t xml:space="preserve">               43,037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6B70C5" w14:textId="77777777">
            <w:pPr>
              <w:rPr>
                <w:rFonts w:cs="Calibri"/>
              </w:rPr>
            </w:pPr>
            <w:r w:rsidRPr="007D15C3">
              <w:rPr>
                <w:rFonts w:cs="Calibri"/>
              </w:rPr>
              <w:t xml:space="preserve">                 43,037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D1DA34" w14:textId="77777777">
            <w:pPr>
              <w:jc w:val="right"/>
              <w:rPr>
                <w:rFonts w:cs="Calibri"/>
              </w:rPr>
            </w:pPr>
            <w:r w:rsidRPr="007D15C3">
              <w:rPr>
                <w:rFonts w:cs="Calibri"/>
              </w:rPr>
              <w:t>$337</w:t>
            </w:r>
          </w:p>
        </w:tc>
      </w:tr>
      <w:tr w14:paraId="4DF71FC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70BF29" w14:textId="77777777">
            <w:pPr>
              <w:jc w:val="center"/>
              <w:rPr>
                <w:rFonts w:cs="Calibri"/>
              </w:rPr>
            </w:pPr>
            <w:r w:rsidRPr="007D15C3">
              <w:rPr>
                <w:rFonts w:cs="Calibri"/>
              </w:rPr>
              <w:t>7727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6258AB" w14:textId="77777777">
            <w:pPr>
              <w:jc w:val="center"/>
              <w:rPr>
                <w:rFonts w:cs="Calibri"/>
              </w:rPr>
            </w:pPr>
            <w:r w:rsidRPr="007D15C3">
              <w:rPr>
                <w:rFonts w:cs="Calibri"/>
              </w:rPr>
              <w:t>WGFL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F0819F" w14:textId="77777777">
            <w:pPr>
              <w:rPr>
                <w:rFonts w:cs="Calibri"/>
              </w:rPr>
            </w:pPr>
            <w:r w:rsidRPr="007D15C3">
              <w:rPr>
                <w:rFonts w:cs="Calibri"/>
              </w:rPr>
              <w:t xml:space="preserve">             759,234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A98104" w14:textId="77777777">
            <w:pPr>
              <w:rPr>
                <w:rFonts w:cs="Calibri"/>
              </w:rPr>
            </w:pPr>
            <w:r w:rsidRPr="007D15C3">
              <w:rPr>
                <w:rFonts w:cs="Calibri"/>
              </w:rPr>
              <w:t xml:space="preserve">               759,234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C7182D" w14:textId="77777777">
            <w:pPr>
              <w:jc w:val="right"/>
              <w:rPr>
                <w:rFonts w:cs="Calibri"/>
              </w:rPr>
            </w:pPr>
            <w:r w:rsidRPr="007D15C3">
              <w:rPr>
                <w:rFonts w:cs="Calibri"/>
              </w:rPr>
              <w:t>$5,950</w:t>
            </w:r>
          </w:p>
        </w:tc>
      </w:tr>
      <w:tr w14:paraId="06733C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8B3228" w14:textId="77777777">
            <w:pPr>
              <w:jc w:val="center"/>
              <w:rPr>
                <w:rFonts w:cs="Calibri"/>
              </w:rPr>
            </w:pPr>
            <w:r w:rsidRPr="007D15C3">
              <w:rPr>
                <w:rFonts w:cs="Calibri"/>
              </w:rPr>
              <w:t>25682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0FE261" w14:textId="77777777">
            <w:pPr>
              <w:jc w:val="center"/>
              <w:rPr>
                <w:rFonts w:cs="Calibri"/>
              </w:rPr>
            </w:pPr>
            <w:r w:rsidRPr="007D15C3">
              <w:rPr>
                <w:rFonts w:cs="Calibri"/>
              </w:rPr>
              <w:t>WGGB-TV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6C5F68" w14:textId="77777777">
            <w:pPr>
              <w:rPr>
                <w:rFonts w:cs="Calibri"/>
              </w:rPr>
            </w:pPr>
            <w:r w:rsidRPr="007D15C3">
              <w:rPr>
                <w:rFonts w:cs="Calibri"/>
              </w:rPr>
              <w:t xml:space="preserve">          3,443,447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94ED26" w14:textId="77777777">
            <w:pPr>
              <w:rPr>
                <w:rFonts w:cs="Calibri"/>
              </w:rPr>
            </w:pPr>
            <w:r w:rsidRPr="007D15C3">
              <w:rPr>
                <w:rFonts w:cs="Calibri"/>
              </w:rPr>
              <w:t xml:space="preserve">            3,005,875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5AB8DF" w14:textId="77777777">
            <w:pPr>
              <w:jc w:val="right"/>
              <w:rPr>
                <w:rFonts w:cs="Calibri"/>
              </w:rPr>
            </w:pPr>
            <w:r w:rsidRPr="007D15C3">
              <w:rPr>
                <w:rFonts w:cs="Calibri"/>
              </w:rPr>
              <w:t>$23,557</w:t>
            </w:r>
          </w:p>
        </w:tc>
      </w:tr>
      <w:tr w14:paraId="5F36FB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EC51E8" w14:textId="77777777">
            <w:pPr>
              <w:jc w:val="center"/>
              <w:rPr>
                <w:rFonts w:cs="Calibri"/>
              </w:rPr>
            </w:pPr>
            <w:r w:rsidRPr="007D15C3">
              <w:rPr>
                <w:rFonts w:cs="Calibri"/>
              </w:rPr>
              <w:t>11027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0EF192" w14:textId="77777777">
            <w:pPr>
              <w:jc w:val="center"/>
              <w:rPr>
                <w:rFonts w:cs="Calibri"/>
              </w:rPr>
            </w:pPr>
            <w:r w:rsidRPr="007D15C3">
              <w:rPr>
                <w:rFonts w:cs="Calibri"/>
              </w:rPr>
              <w:t>WGGN-TV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564208" w14:textId="77777777">
            <w:pPr>
              <w:rPr>
                <w:rFonts w:cs="Calibri"/>
              </w:rPr>
            </w:pPr>
            <w:r w:rsidRPr="007D15C3">
              <w:rPr>
                <w:rFonts w:cs="Calibri"/>
              </w:rPr>
              <w:t xml:space="preserve">          1,991,462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301E80" w14:textId="77777777">
            <w:pPr>
              <w:rPr>
                <w:rFonts w:cs="Calibri"/>
              </w:rPr>
            </w:pPr>
            <w:r w:rsidRPr="007D15C3">
              <w:rPr>
                <w:rFonts w:cs="Calibri"/>
              </w:rPr>
              <w:t xml:space="preserve">            1,969,331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0ED611" w14:textId="77777777">
            <w:pPr>
              <w:jc w:val="right"/>
              <w:rPr>
                <w:rFonts w:cs="Calibri"/>
              </w:rPr>
            </w:pPr>
            <w:r w:rsidRPr="007D15C3">
              <w:rPr>
                <w:rFonts w:cs="Calibri"/>
              </w:rPr>
              <w:t>$15,434</w:t>
            </w:r>
          </w:p>
        </w:tc>
      </w:tr>
      <w:tr w14:paraId="12A6225A"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4EE59B" w14:textId="77777777">
            <w:pPr>
              <w:jc w:val="center"/>
              <w:rPr>
                <w:rFonts w:cs="Calibri"/>
              </w:rPr>
            </w:pPr>
            <w:r w:rsidRPr="007D15C3">
              <w:rPr>
                <w:rFonts w:cs="Calibri"/>
              </w:rPr>
              <w:t>9064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CCB599A" w14:textId="77777777">
            <w:pPr>
              <w:jc w:val="center"/>
              <w:rPr>
                <w:rFonts w:cs="Calibri"/>
              </w:rPr>
            </w:pPr>
            <w:r w:rsidRPr="007D15C3">
              <w:rPr>
                <w:rFonts w:cs="Calibri"/>
              </w:rPr>
              <w:t>WGGS-TV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039512C" w14:textId="77777777">
            <w:pPr>
              <w:rPr>
                <w:rFonts w:cs="Calibri"/>
              </w:rPr>
            </w:pPr>
            <w:r w:rsidRPr="007D15C3">
              <w:rPr>
                <w:rFonts w:cs="Calibri"/>
              </w:rPr>
              <w:t xml:space="preserve">          2,759,326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1EBD1EF" w14:textId="77777777">
            <w:pPr>
              <w:rPr>
                <w:rFonts w:cs="Calibri"/>
              </w:rPr>
            </w:pPr>
            <w:r w:rsidRPr="007D15C3">
              <w:rPr>
                <w:rFonts w:cs="Calibri"/>
              </w:rPr>
              <w:t xml:space="preserve">            2,705,067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EE1AC91" w14:textId="77777777">
            <w:pPr>
              <w:jc w:val="right"/>
              <w:rPr>
                <w:rFonts w:cs="Calibri"/>
              </w:rPr>
            </w:pPr>
            <w:r w:rsidRPr="007D15C3">
              <w:rPr>
                <w:rFonts w:cs="Calibri"/>
              </w:rPr>
              <w:t>$21,200</w:t>
            </w:r>
          </w:p>
        </w:tc>
      </w:tr>
      <w:tr w14:paraId="1F7C71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808AD9" w14:textId="77777777">
            <w:pPr>
              <w:jc w:val="center"/>
              <w:rPr>
                <w:rFonts w:cs="Calibri"/>
              </w:rPr>
            </w:pPr>
            <w:r w:rsidRPr="007D15C3">
              <w:rPr>
                <w:rFonts w:cs="Calibri"/>
              </w:rPr>
              <w:t>72106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5B6A7F" w14:textId="77777777">
            <w:pPr>
              <w:jc w:val="center"/>
              <w:rPr>
                <w:rFonts w:cs="Calibri"/>
              </w:rPr>
            </w:pPr>
            <w:r w:rsidRPr="007D15C3">
              <w:rPr>
                <w:rFonts w:cs="Calibri"/>
              </w:rPr>
              <w:t>WGHP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113E70" w14:textId="77777777">
            <w:pPr>
              <w:rPr>
                <w:rFonts w:cs="Calibri"/>
              </w:rPr>
            </w:pPr>
            <w:r w:rsidRPr="007D15C3">
              <w:rPr>
                <w:rFonts w:cs="Calibri"/>
              </w:rPr>
              <w:t xml:space="preserve">          3,774,522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95204A" w14:textId="77777777">
            <w:pPr>
              <w:rPr>
                <w:rFonts w:cs="Calibri"/>
              </w:rPr>
            </w:pPr>
            <w:r w:rsidRPr="007D15C3">
              <w:rPr>
                <w:rFonts w:cs="Calibri"/>
              </w:rPr>
              <w:t xml:space="preserve">            3,734,200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047154" w14:textId="77777777">
            <w:pPr>
              <w:jc w:val="right"/>
              <w:rPr>
                <w:rFonts w:cs="Calibri"/>
              </w:rPr>
            </w:pPr>
            <w:r w:rsidRPr="007D15C3">
              <w:rPr>
                <w:rFonts w:cs="Calibri"/>
              </w:rPr>
              <w:t>$29,265</w:t>
            </w:r>
          </w:p>
        </w:tc>
      </w:tr>
      <w:tr w14:paraId="2FD11CC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0A72F2" w14:textId="77777777">
            <w:pPr>
              <w:jc w:val="center"/>
              <w:rPr>
                <w:rFonts w:cs="Calibri"/>
              </w:rPr>
            </w:pPr>
            <w:r w:rsidRPr="007D15C3">
              <w:rPr>
                <w:rFonts w:cs="Calibri"/>
              </w:rPr>
              <w:t>710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E85242" w14:textId="77777777">
            <w:pPr>
              <w:jc w:val="center"/>
              <w:rPr>
                <w:rFonts w:cs="Calibri"/>
              </w:rPr>
            </w:pPr>
            <w:r w:rsidRPr="007D15C3">
              <w:rPr>
                <w:rFonts w:cs="Calibri"/>
              </w:rPr>
              <w:t>WGIQ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A86520" w14:textId="77777777">
            <w:pPr>
              <w:rPr>
                <w:rFonts w:cs="Calibri"/>
              </w:rPr>
            </w:pPr>
            <w:r w:rsidRPr="007D15C3">
              <w:rPr>
                <w:rFonts w:cs="Calibri"/>
              </w:rPr>
              <w:t xml:space="preserve">             363,849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3C4A7B" w14:textId="77777777">
            <w:pPr>
              <w:rPr>
                <w:rFonts w:cs="Calibri"/>
              </w:rPr>
            </w:pPr>
            <w:r w:rsidRPr="007D15C3">
              <w:rPr>
                <w:rFonts w:cs="Calibri"/>
              </w:rPr>
              <w:t xml:space="preserve">               363,806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01F998" w14:textId="77777777">
            <w:pPr>
              <w:jc w:val="right"/>
              <w:rPr>
                <w:rFonts w:cs="Calibri"/>
              </w:rPr>
            </w:pPr>
            <w:r w:rsidRPr="007D15C3">
              <w:rPr>
                <w:rFonts w:cs="Calibri"/>
              </w:rPr>
              <w:t>$2,851</w:t>
            </w:r>
          </w:p>
        </w:tc>
      </w:tr>
      <w:tr w14:paraId="6840ED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4AC37C" w14:textId="77777777">
            <w:pPr>
              <w:jc w:val="center"/>
              <w:rPr>
                <w:rFonts w:cs="Calibri"/>
              </w:rPr>
            </w:pPr>
            <w:r w:rsidRPr="007D15C3">
              <w:rPr>
                <w:rFonts w:cs="Calibri"/>
              </w:rPr>
              <w:t>12520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3A2BD0" w14:textId="77777777">
            <w:pPr>
              <w:jc w:val="center"/>
              <w:rPr>
                <w:rFonts w:cs="Calibri"/>
              </w:rPr>
            </w:pPr>
            <w:r w:rsidRPr="007D15C3">
              <w:rPr>
                <w:rFonts w:cs="Calibri"/>
              </w:rPr>
              <w:t>WGMB-TV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AF9425" w14:textId="77777777">
            <w:pPr>
              <w:rPr>
                <w:rFonts w:cs="Calibri"/>
              </w:rPr>
            </w:pPr>
            <w:r w:rsidRPr="007D15C3">
              <w:rPr>
                <w:rFonts w:cs="Calibri"/>
              </w:rPr>
              <w:t xml:space="preserve">          1,739,804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31127" w14:textId="77777777">
            <w:pPr>
              <w:rPr>
                <w:rFonts w:cs="Calibri"/>
              </w:rPr>
            </w:pPr>
            <w:r w:rsidRPr="007D15C3">
              <w:rPr>
                <w:rFonts w:cs="Calibri"/>
              </w:rPr>
              <w:t xml:space="preserve">            1,739,640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45EA78" w14:textId="77777777">
            <w:pPr>
              <w:jc w:val="right"/>
              <w:rPr>
                <w:rFonts w:cs="Calibri"/>
              </w:rPr>
            </w:pPr>
            <w:r w:rsidRPr="007D15C3">
              <w:rPr>
                <w:rFonts w:cs="Calibri"/>
              </w:rPr>
              <w:t>$13,634</w:t>
            </w:r>
          </w:p>
        </w:tc>
      </w:tr>
      <w:tr w14:paraId="70881C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E868CB" w14:textId="77777777">
            <w:pPr>
              <w:jc w:val="center"/>
              <w:rPr>
                <w:rFonts w:cs="Calibri"/>
              </w:rPr>
            </w:pPr>
            <w:r w:rsidRPr="007D15C3">
              <w:rPr>
                <w:rFonts w:cs="Calibri"/>
              </w:rPr>
              <w:t>25683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08F588" w14:textId="77777777">
            <w:pPr>
              <w:jc w:val="center"/>
              <w:rPr>
                <w:rFonts w:cs="Calibri"/>
              </w:rPr>
            </w:pPr>
            <w:r w:rsidRPr="007D15C3">
              <w:rPr>
                <w:rFonts w:cs="Calibri"/>
              </w:rPr>
              <w:t>WGME-TV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C04EAE" w14:textId="77777777">
            <w:pPr>
              <w:rPr>
                <w:rFonts w:cs="Calibri"/>
              </w:rPr>
            </w:pPr>
            <w:r w:rsidRPr="007D15C3">
              <w:rPr>
                <w:rFonts w:cs="Calibri"/>
              </w:rPr>
              <w:t xml:space="preserve">          1,495,724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972ED3" w14:textId="77777777">
            <w:pPr>
              <w:rPr>
                <w:rFonts w:cs="Calibri"/>
              </w:rPr>
            </w:pPr>
            <w:r w:rsidRPr="007D15C3">
              <w:rPr>
                <w:rFonts w:cs="Calibri"/>
              </w:rPr>
              <w:t xml:space="preserve">            1,325,465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EBFE50" w14:textId="77777777">
            <w:pPr>
              <w:jc w:val="right"/>
              <w:rPr>
                <w:rFonts w:cs="Calibri"/>
              </w:rPr>
            </w:pPr>
            <w:r w:rsidRPr="007D15C3">
              <w:rPr>
                <w:rFonts w:cs="Calibri"/>
              </w:rPr>
              <w:t>$10,388</w:t>
            </w:r>
          </w:p>
        </w:tc>
      </w:tr>
      <w:tr w14:paraId="798E18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BE1C1C" w14:textId="77777777">
            <w:pPr>
              <w:jc w:val="center"/>
              <w:rPr>
                <w:rFonts w:cs="Calibri"/>
              </w:rPr>
            </w:pPr>
            <w:r w:rsidRPr="007D15C3">
              <w:rPr>
                <w:rFonts w:cs="Calibri"/>
              </w:rPr>
              <w:t>24618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4921D6" w14:textId="77777777">
            <w:pPr>
              <w:jc w:val="center"/>
              <w:rPr>
                <w:rFonts w:cs="Calibri"/>
              </w:rPr>
            </w:pPr>
            <w:r w:rsidRPr="007D15C3">
              <w:rPr>
                <w:rFonts w:cs="Calibri"/>
              </w:rPr>
              <w:t>WGNM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A3C30A" w14:textId="77777777">
            <w:pPr>
              <w:rPr>
                <w:rFonts w:cs="Calibri"/>
              </w:rPr>
            </w:pPr>
            <w:r w:rsidRPr="007D15C3">
              <w:rPr>
                <w:rFonts w:cs="Calibri"/>
              </w:rPr>
              <w:t xml:space="preserve">             742,533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7E4E98" w14:textId="77777777">
            <w:pPr>
              <w:rPr>
                <w:rFonts w:cs="Calibri"/>
              </w:rPr>
            </w:pPr>
            <w:r w:rsidRPr="007D15C3">
              <w:rPr>
                <w:rFonts w:cs="Calibri"/>
              </w:rPr>
              <w:t xml:space="preserve">               741,501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99EFB7" w14:textId="77777777">
            <w:pPr>
              <w:jc w:val="right"/>
              <w:rPr>
                <w:rFonts w:cs="Calibri"/>
              </w:rPr>
            </w:pPr>
            <w:r w:rsidRPr="007D15C3">
              <w:rPr>
                <w:rFonts w:cs="Calibri"/>
              </w:rPr>
              <w:t>$5,811</w:t>
            </w:r>
          </w:p>
        </w:tc>
      </w:tr>
      <w:tr w14:paraId="27EFB7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5A115D" w14:textId="77777777">
            <w:pPr>
              <w:jc w:val="center"/>
              <w:rPr>
                <w:rFonts w:cs="Calibri"/>
              </w:rPr>
            </w:pPr>
            <w:r w:rsidRPr="007D15C3">
              <w:rPr>
                <w:rFonts w:cs="Calibri"/>
              </w:rPr>
              <w:t>72119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591319" w14:textId="77777777">
            <w:pPr>
              <w:jc w:val="center"/>
              <w:rPr>
                <w:rFonts w:cs="Calibri"/>
              </w:rPr>
            </w:pPr>
            <w:r w:rsidRPr="007D15C3">
              <w:rPr>
                <w:rFonts w:cs="Calibri"/>
              </w:rPr>
              <w:t>WGNO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3E78A7" w14:textId="77777777">
            <w:pPr>
              <w:rPr>
                <w:rFonts w:cs="Calibri"/>
              </w:rPr>
            </w:pPr>
            <w:r w:rsidRPr="007D15C3">
              <w:rPr>
                <w:rFonts w:cs="Calibri"/>
              </w:rPr>
              <w:t xml:space="preserve">          1,641,765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A77EF3" w14:textId="77777777">
            <w:pPr>
              <w:rPr>
                <w:rFonts w:cs="Calibri"/>
              </w:rPr>
            </w:pPr>
            <w:r w:rsidRPr="007D15C3">
              <w:rPr>
                <w:rFonts w:cs="Calibri"/>
              </w:rPr>
              <w:t xml:space="preserve">            1,641,765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BE19C7" w14:textId="77777777">
            <w:pPr>
              <w:jc w:val="right"/>
              <w:rPr>
                <w:rFonts w:cs="Calibri"/>
              </w:rPr>
            </w:pPr>
            <w:r w:rsidRPr="007D15C3">
              <w:rPr>
                <w:rFonts w:cs="Calibri"/>
              </w:rPr>
              <w:t>$12,867</w:t>
            </w:r>
          </w:p>
        </w:tc>
      </w:tr>
      <w:tr w14:paraId="437270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611794" w14:textId="77777777">
            <w:pPr>
              <w:jc w:val="center"/>
              <w:rPr>
                <w:rFonts w:cs="Calibri"/>
              </w:rPr>
            </w:pPr>
            <w:r w:rsidRPr="007D15C3">
              <w:rPr>
                <w:rFonts w:cs="Calibri"/>
              </w:rPr>
              <w:t>9762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D25890" w14:textId="77777777">
            <w:pPr>
              <w:jc w:val="center"/>
              <w:rPr>
                <w:rFonts w:cs="Calibri"/>
              </w:rPr>
            </w:pPr>
            <w:r w:rsidRPr="007D15C3">
              <w:rPr>
                <w:rFonts w:cs="Calibri"/>
              </w:rPr>
              <w:t>WGNT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9C7750" w14:textId="77777777">
            <w:pPr>
              <w:rPr>
                <w:rFonts w:cs="Calibri"/>
              </w:rPr>
            </w:pPr>
            <w:r w:rsidRPr="007D15C3">
              <w:rPr>
                <w:rFonts w:cs="Calibri"/>
              </w:rPr>
              <w:t xml:space="preserve">          1,875,612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99FA39" w14:textId="77777777">
            <w:pPr>
              <w:rPr>
                <w:rFonts w:cs="Calibri"/>
              </w:rPr>
            </w:pPr>
            <w:r w:rsidRPr="007D15C3">
              <w:rPr>
                <w:rFonts w:cs="Calibri"/>
              </w:rPr>
              <w:t xml:space="preserve">            1,875,578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214576" w14:textId="77777777">
            <w:pPr>
              <w:jc w:val="right"/>
              <w:rPr>
                <w:rFonts w:cs="Calibri"/>
              </w:rPr>
            </w:pPr>
            <w:r w:rsidRPr="007D15C3">
              <w:rPr>
                <w:rFonts w:cs="Calibri"/>
              </w:rPr>
              <w:t>$14,699</w:t>
            </w:r>
          </w:p>
        </w:tc>
      </w:tr>
      <w:tr w14:paraId="503B1A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5E0D0A" w14:textId="77777777">
            <w:pPr>
              <w:jc w:val="center"/>
              <w:rPr>
                <w:rFonts w:cs="Calibri"/>
              </w:rPr>
            </w:pPr>
            <w:r w:rsidRPr="007D15C3">
              <w:rPr>
                <w:rFonts w:cs="Calibri"/>
              </w:rPr>
              <w:t>72115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2704AF" w14:textId="77777777">
            <w:pPr>
              <w:jc w:val="center"/>
              <w:rPr>
                <w:rFonts w:cs="Calibri"/>
              </w:rPr>
            </w:pPr>
            <w:r w:rsidRPr="007D15C3">
              <w:rPr>
                <w:rFonts w:cs="Calibri"/>
              </w:rPr>
              <w:t>WGN-TV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EB956D" w14:textId="77777777">
            <w:pPr>
              <w:rPr>
                <w:rFonts w:cs="Calibri"/>
              </w:rPr>
            </w:pPr>
            <w:r w:rsidRPr="007D15C3">
              <w:rPr>
                <w:rFonts w:cs="Calibri"/>
              </w:rPr>
              <w:t xml:space="preserve">          9,942,959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D04726" w14:textId="77777777">
            <w:pPr>
              <w:rPr>
                <w:rFonts w:cs="Calibri"/>
              </w:rPr>
            </w:pPr>
            <w:r w:rsidRPr="007D15C3">
              <w:rPr>
                <w:rFonts w:cs="Calibri"/>
              </w:rPr>
              <w:t xml:space="preserve">            9,941,552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463A64" w14:textId="77777777">
            <w:pPr>
              <w:jc w:val="right"/>
              <w:rPr>
                <w:rFonts w:cs="Calibri"/>
              </w:rPr>
            </w:pPr>
            <w:r w:rsidRPr="007D15C3">
              <w:rPr>
                <w:rFonts w:cs="Calibri"/>
              </w:rPr>
              <w:t>$77,912</w:t>
            </w:r>
          </w:p>
        </w:tc>
      </w:tr>
      <w:tr w14:paraId="178938B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6F74B9" w14:textId="77777777">
            <w:pPr>
              <w:jc w:val="center"/>
              <w:rPr>
                <w:rFonts w:cs="Calibri"/>
              </w:rPr>
            </w:pPr>
            <w:r w:rsidRPr="007D15C3">
              <w:rPr>
                <w:rFonts w:cs="Calibri"/>
              </w:rPr>
              <w:t>40619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DD983F" w14:textId="77777777">
            <w:pPr>
              <w:jc w:val="center"/>
              <w:rPr>
                <w:rFonts w:cs="Calibri"/>
              </w:rPr>
            </w:pPr>
            <w:r w:rsidRPr="007D15C3">
              <w:rPr>
                <w:rFonts w:cs="Calibri"/>
              </w:rPr>
              <w:t>WGPT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26AE2F" w14:textId="77777777">
            <w:pPr>
              <w:rPr>
                <w:rFonts w:cs="Calibri"/>
              </w:rPr>
            </w:pPr>
            <w:r w:rsidRPr="007D15C3">
              <w:rPr>
                <w:rFonts w:cs="Calibri"/>
              </w:rPr>
              <w:t xml:space="preserve">             578,294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F5204F" w14:textId="77777777">
            <w:pPr>
              <w:rPr>
                <w:rFonts w:cs="Calibri"/>
              </w:rPr>
            </w:pPr>
            <w:r w:rsidRPr="007D15C3">
              <w:rPr>
                <w:rFonts w:cs="Calibri"/>
              </w:rPr>
              <w:t xml:space="preserve">               344,300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E54B5F" w14:textId="77777777">
            <w:pPr>
              <w:jc w:val="right"/>
              <w:rPr>
                <w:rFonts w:cs="Calibri"/>
              </w:rPr>
            </w:pPr>
            <w:r w:rsidRPr="007D15C3">
              <w:rPr>
                <w:rFonts w:cs="Calibri"/>
              </w:rPr>
              <w:t>$2,698</w:t>
            </w:r>
          </w:p>
        </w:tc>
      </w:tr>
      <w:tr w14:paraId="7460C3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5220C6" w14:textId="77777777">
            <w:pPr>
              <w:jc w:val="center"/>
              <w:rPr>
                <w:rFonts w:cs="Calibri"/>
              </w:rPr>
            </w:pPr>
            <w:r w:rsidRPr="007D15C3">
              <w:rPr>
                <w:rFonts w:cs="Calibri"/>
              </w:rPr>
              <w:t>65074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C0004F" w14:textId="77777777">
            <w:pPr>
              <w:jc w:val="center"/>
              <w:rPr>
                <w:rFonts w:cs="Calibri"/>
              </w:rPr>
            </w:pPr>
            <w:r w:rsidRPr="007D15C3">
              <w:rPr>
                <w:rFonts w:cs="Calibri"/>
              </w:rPr>
              <w:t>WGPX-TV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D888E7" w14:textId="77777777">
            <w:pPr>
              <w:rPr>
                <w:rFonts w:cs="Calibri"/>
              </w:rPr>
            </w:pPr>
            <w:r w:rsidRPr="007D15C3">
              <w:rPr>
                <w:rFonts w:cs="Calibri"/>
              </w:rPr>
              <w:t xml:space="preserve">          2,765,350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08D437" w14:textId="77777777">
            <w:pPr>
              <w:rPr>
                <w:rFonts w:cs="Calibri"/>
              </w:rPr>
            </w:pPr>
            <w:r w:rsidRPr="007D15C3">
              <w:rPr>
                <w:rFonts w:cs="Calibri"/>
              </w:rPr>
              <w:t xml:space="preserve">            2,754,743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C23B10" w14:textId="77777777">
            <w:pPr>
              <w:jc w:val="right"/>
              <w:rPr>
                <w:rFonts w:cs="Calibri"/>
              </w:rPr>
            </w:pPr>
            <w:r w:rsidRPr="007D15C3">
              <w:rPr>
                <w:rFonts w:cs="Calibri"/>
              </w:rPr>
              <w:t>$21,589</w:t>
            </w:r>
          </w:p>
        </w:tc>
      </w:tr>
      <w:tr w14:paraId="3B3F7F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26EB2A" w14:textId="77777777">
            <w:pPr>
              <w:jc w:val="center"/>
              <w:rPr>
                <w:rFonts w:cs="Calibri"/>
              </w:rPr>
            </w:pPr>
            <w:r w:rsidRPr="007D15C3">
              <w:rPr>
                <w:rFonts w:cs="Calibri"/>
              </w:rPr>
              <w:t>64547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187B68" w14:textId="77777777">
            <w:pPr>
              <w:jc w:val="center"/>
              <w:rPr>
                <w:rFonts w:cs="Calibri"/>
              </w:rPr>
            </w:pPr>
            <w:r w:rsidRPr="007D15C3">
              <w:rPr>
                <w:rFonts w:cs="Calibri"/>
              </w:rPr>
              <w:t>WGRZ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4313C1" w14:textId="77777777">
            <w:pPr>
              <w:rPr>
                <w:rFonts w:cs="Calibri"/>
              </w:rPr>
            </w:pPr>
            <w:r w:rsidRPr="007D15C3">
              <w:rPr>
                <w:rFonts w:cs="Calibri"/>
              </w:rPr>
              <w:t xml:space="preserve">          1,878,725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59BE30" w14:textId="77777777">
            <w:pPr>
              <w:rPr>
                <w:rFonts w:cs="Calibri"/>
              </w:rPr>
            </w:pPr>
            <w:r w:rsidRPr="007D15C3">
              <w:rPr>
                <w:rFonts w:cs="Calibri"/>
              </w:rPr>
              <w:t xml:space="preserve">            1,812,309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E200A5" w14:textId="77777777">
            <w:pPr>
              <w:jc w:val="right"/>
              <w:rPr>
                <w:rFonts w:cs="Calibri"/>
              </w:rPr>
            </w:pPr>
            <w:r w:rsidRPr="007D15C3">
              <w:rPr>
                <w:rFonts w:cs="Calibri"/>
              </w:rPr>
              <w:t>$14,203</w:t>
            </w:r>
          </w:p>
        </w:tc>
      </w:tr>
      <w:tr w14:paraId="7AFEF63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FEB4E5" w14:textId="77777777">
            <w:pPr>
              <w:jc w:val="center"/>
              <w:rPr>
                <w:rFonts w:cs="Calibri"/>
              </w:rPr>
            </w:pPr>
            <w:r w:rsidRPr="007D15C3">
              <w:rPr>
                <w:rFonts w:cs="Calibri"/>
              </w:rPr>
              <w:t>63329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6E7CF8" w14:textId="77777777">
            <w:pPr>
              <w:jc w:val="center"/>
              <w:rPr>
                <w:rFonts w:cs="Calibri"/>
              </w:rPr>
            </w:pPr>
            <w:r w:rsidRPr="007D15C3">
              <w:rPr>
                <w:rFonts w:cs="Calibri"/>
              </w:rPr>
              <w:t>WGTA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BD36BF" w14:textId="77777777">
            <w:pPr>
              <w:rPr>
                <w:rFonts w:cs="Calibri"/>
              </w:rPr>
            </w:pPr>
            <w:r w:rsidRPr="007D15C3">
              <w:rPr>
                <w:rFonts w:cs="Calibri"/>
              </w:rPr>
              <w:t xml:space="preserve">          1,061,654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EA1295" w14:textId="77777777">
            <w:pPr>
              <w:rPr>
                <w:rFonts w:cs="Calibri"/>
              </w:rPr>
            </w:pPr>
            <w:r w:rsidRPr="007D15C3">
              <w:rPr>
                <w:rFonts w:cs="Calibri"/>
              </w:rPr>
              <w:t xml:space="preserve">            1,030,538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D7A5C2" w14:textId="77777777">
            <w:pPr>
              <w:jc w:val="right"/>
              <w:rPr>
                <w:rFonts w:cs="Calibri"/>
              </w:rPr>
            </w:pPr>
            <w:r w:rsidRPr="007D15C3">
              <w:rPr>
                <w:rFonts w:cs="Calibri"/>
              </w:rPr>
              <w:t>$8,076</w:t>
            </w:r>
          </w:p>
        </w:tc>
      </w:tr>
      <w:tr w14:paraId="75C8572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37932A" w14:textId="77777777">
            <w:pPr>
              <w:jc w:val="center"/>
              <w:rPr>
                <w:rFonts w:cs="Calibri"/>
              </w:rPr>
            </w:pPr>
            <w:r w:rsidRPr="007D15C3">
              <w:rPr>
                <w:rFonts w:cs="Calibri"/>
              </w:rPr>
              <w:t>66285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157252" w14:textId="77777777">
            <w:pPr>
              <w:jc w:val="center"/>
              <w:rPr>
                <w:rFonts w:cs="Calibri"/>
              </w:rPr>
            </w:pPr>
            <w:r w:rsidRPr="007D15C3">
              <w:rPr>
                <w:rFonts w:cs="Calibri"/>
              </w:rPr>
              <w:t>WGTE-TV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CF993E" w14:textId="77777777">
            <w:pPr>
              <w:rPr>
                <w:rFonts w:cs="Calibri"/>
              </w:rPr>
            </w:pPr>
            <w:r w:rsidRPr="007D15C3">
              <w:rPr>
                <w:rFonts w:cs="Calibri"/>
              </w:rPr>
              <w:t xml:space="preserve">          2,210,496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36B71D" w14:textId="77777777">
            <w:pPr>
              <w:rPr>
                <w:rFonts w:cs="Calibri"/>
              </w:rPr>
            </w:pPr>
            <w:r w:rsidRPr="007D15C3">
              <w:rPr>
                <w:rFonts w:cs="Calibri"/>
              </w:rPr>
              <w:t xml:space="preserve">            2,208,927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1BBA56" w14:textId="77777777">
            <w:pPr>
              <w:jc w:val="right"/>
              <w:rPr>
                <w:rFonts w:cs="Calibri"/>
              </w:rPr>
            </w:pPr>
            <w:r w:rsidRPr="007D15C3">
              <w:rPr>
                <w:rFonts w:cs="Calibri"/>
              </w:rPr>
              <w:t>$17,311</w:t>
            </w:r>
          </w:p>
        </w:tc>
      </w:tr>
      <w:tr w14:paraId="388F90B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C51C56" w14:textId="77777777">
            <w:pPr>
              <w:jc w:val="center"/>
              <w:rPr>
                <w:rFonts w:cs="Calibri"/>
              </w:rPr>
            </w:pPr>
            <w:r w:rsidRPr="007D15C3">
              <w:rPr>
                <w:rFonts w:cs="Calibri"/>
              </w:rPr>
              <w:t>59279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DCD1B5" w14:textId="77777777">
            <w:pPr>
              <w:jc w:val="center"/>
              <w:rPr>
                <w:rFonts w:cs="Calibri"/>
              </w:rPr>
            </w:pPr>
            <w:r w:rsidRPr="007D15C3">
              <w:rPr>
                <w:rFonts w:cs="Calibri"/>
              </w:rPr>
              <w:t>WGTQ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65C4A7" w14:textId="77777777">
            <w:pPr>
              <w:rPr>
                <w:rFonts w:cs="Calibri"/>
              </w:rPr>
            </w:pPr>
            <w:r w:rsidRPr="007D15C3">
              <w:rPr>
                <w:rFonts w:cs="Calibri"/>
              </w:rPr>
              <w:t xml:space="preserve">               95,618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360179" w14:textId="77777777">
            <w:pPr>
              <w:rPr>
                <w:rFonts w:cs="Calibri"/>
              </w:rPr>
            </w:pPr>
            <w:r w:rsidRPr="007D15C3">
              <w:rPr>
                <w:rFonts w:cs="Calibri"/>
              </w:rPr>
              <w:t xml:space="preserve">                 92,019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E371C0" w14:textId="77777777">
            <w:pPr>
              <w:jc w:val="right"/>
              <w:rPr>
                <w:rFonts w:cs="Calibri"/>
              </w:rPr>
            </w:pPr>
            <w:r w:rsidRPr="007D15C3">
              <w:rPr>
                <w:rFonts w:cs="Calibri"/>
              </w:rPr>
              <w:t>$721</w:t>
            </w:r>
          </w:p>
        </w:tc>
      </w:tr>
      <w:tr w14:paraId="15ADA9B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AF9EA2" w14:textId="77777777">
            <w:pPr>
              <w:jc w:val="center"/>
              <w:rPr>
                <w:rFonts w:cs="Calibri"/>
              </w:rPr>
            </w:pPr>
            <w:r w:rsidRPr="007D15C3">
              <w:rPr>
                <w:rFonts w:cs="Calibri"/>
              </w:rPr>
              <w:t>59280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65AB1B" w14:textId="77777777">
            <w:pPr>
              <w:jc w:val="center"/>
              <w:rPr>
                <w:rFonts w:cs="Calibri"/>
              </w:rPr>
            </w:pPr>
            <w:r w:rsidRPr="007D15C3">
              <w:rPr>
                <w:rFonts w:cs="Calibri"/>
              </w:rPr>
              <w:t>WGTU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620732" w14:textId="77777777">
            <w:pPr>
              <w:rPr>
                <w:rFonts w:cs="Calibri"/>
              </w:rPr>
            </w:pPr>
            <w:r w:rsidRPr="007D15C3">
              <w:rPr>
                <w:rFonts w:cs="Calibri"/>
              </w:rPr>
              <w:t xml:space="preserve">             358,543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BAE195" w14:textId="77777777">
            <w:pPr>
              <w:rPr>
                <w:rFonts w:cs="Calibri"/>
              </w:rPr>
            </w:pPr>
            <w:r w:rsidRPr="007D15C3">
              <w:rPr>
                <w:rFonts w:cs="Calibri"/>
              </w:rPr>
              <w:t xml:space="preserve">               353,477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6CD17F" w14:textId="77777777">
            <w:pPr>
              <w:jc w:val="right"/>
              <w:rPr>
                <w:rFonts w:cs="Calibri"/>
              </w:rPr>
            </w:pPr>
            <w:r w:rsidRPr="007D15C3">
              <w:rPr>
                <w:rFonts w:cs="Calibri"/>
              </w:rPr>
              <w:t>$2,770</w:t>
            </w:r>
          </w:p>
        </w:tc>
      </w:tr>
      <w:tr w14:paraId="763B47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558A45" w14:textId="77777777">
            <w:pPr>
              <w:jc w:val="center"/>
              <w:rPr>
                <w:rFonts w:cs="Calibri"/>
              </w:rPr>
            </w:pPr>
            <w:r w:rsidRPr="007D15C3">
              <w:rPr>
                <w:rFonts w:cs="Calibri"/>
              </w:rPr>
              <w:t>23948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A649A6" w14:textId="77777777">
            <w:pPr>
              <w:jc w:val="center"/>
              <w:rPr>
                <w:rFonts w:cs="Calibri"/>
              </w:rPr>
            </w:pPr>
            <w:r w:rsidRPr="007D15C3">
              <w:rPr>
                <w:rFonts w:cs="Calibri"/>
              </w:rPr>
              <w:t>WGTV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645FE4" w14:textId="77777777">
            <w:pPr>
              <w:rPr>
                <w:rFonts w:cs="Calibri"/>
              </w:rPr>
            </w:pPr>
            <w:r w:rsidRPr="007D15C3">
              <w:rPr>
                <w:rFonts w:cs="Calibri"/>
              </w:rPr>
              <w:t xml:space="preserve">          5,880,594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BF6798" w14:textId="77777777">
            <w:pPr>
              <w:rPr>
                <w:rFonts w:cs="Calibri"/>
              </w:rPr>
            </w:pPr>
            <w:r w:rsidRPr="007D15C3">
              <w:rPr>
                <w:rFonts w:cs="Calibri"/>
              </w:rPr>
              <w:t xml:space="preserve">            5,832,714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F63424" w14:textId="77777777">
            <w:pPr>
              <w:jc w:val="right"/>
              <w:rPr>
                <w:rFonts w:cs="Calibri"/>
              </w:rPr>
            </w:pPr>
            <w:r w:rsidRPr="007D15C3">
              <w:rPr>
                <w:rFonts w:cs="Calibri"/>
              </w:rPr>
              <w:t>$45,711</w:t>
            </w:r>
          </w:p>
        </w:tc>
      </w:tr>
      <w:tr w14:paraId="7D2427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43633B" w14:textId="77777777">
            <w:pPr>
              <w:jc w:val="center"/>
              <w:rPr>
                <w:rFonts w:cs="Calibri"/>
              </w:rPr>
            </w:pPr>
            <w:r w:rsidRPr="007D15C3">
              <w:rPr>
                <w:rFonts w:cs="Calibri"/>
              </w:rPr>
              <w:t>7623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42AC52" w14:textId="77777777">
            <w:pPr>
              <w:jc w:val="center"/>
              <w:rPr>
                <w:rFonts w:cs="Calibri"/>
              </w:rPr>
            </w:pPr>
            <w:r w:rsidRPr="007D15C3">
              <w:rPr>
                <w:rFonts w:cs="Calibri"/>
              </w:rPr>
              <w:t>WGTW-TV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D9901E" w14:textId="77777777">
            <w:pPr>
              <w:rPr>
                <w:rFonts w:cs="Calibri"/>
              </w:rPr>
            </w:pPr>
            <w:r w:rsidRPr="007D15C3">
              <w:rPr>
                <w:rFonts w:cs="Calibri"/>
              </w:rPr>
              <w:t xml:space="preserve">             807,797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7AAFEF" w14:textId="77777777">
            <w:pPr>
              <w:rPr>
                <w:rFonts w:cs="Calibri"/>
              </w:rPr>
            </w:pPr>
            <w:r w:rsidRPr="007D15C3">
              <w:rPr>
                <w:rFonts w:cs="Calibri"/>
              </w:rPr>
              <w:t xml:space="preserve">               807,797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BC1FFD" w14:textId="77777777">
            <w:pPr>
              <w:jc w:val="right"/>
              <w:rPr>
                <w:rFonts w:cs="Calibri"/>
              </w:rPr>
            </w:pPr>
            <w:r w:rsidRPr="007D15C3">
              <w:rPr>
                <w:rFonts w:cs="Calibri"/>
              </w:rPr>
              <w:t>$6,331</w:t>
            </w:r>
          </w:p>
        </w:tc>
      </w:tr>
      <w:tr w14:paraId="46165C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11ACA5" w14:textId="77777777">
            <w:pPr>
              <w:jc w:val="center"/>
              <w:rPr>
                <w:rFonts w:cs="Calibri"/>
              </w:rPr>
            </w:pPr>
            <w:r w:rsidRPr="007D15C3">
              <w:rPr>
                <w:rFonts w:cs="Calibri"/>
              </w:rPr>
              <w:t>24783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192FB4" w14:textId="77777777">
            <w:pPr>
              <w:jc w:val="center"/>
              <w:rPr>
                <w:rFonts w:cs="Calibri"/>
              </w:rPr>
            </w:pPr>
            <w:r w:rsidRPr="007D15C3">
              <w:rPr>
                <w:rFonts w:cs="Calibri"/>
              </w:rPr>
              <w:t>WGVK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47C650" w14:textId="77777777">
            <w:pPr>
              <w:rPr>
                <w:rFonts w:cs="Calibri"/>
              </w:rPr>
            </w:pPr>
            <w:r w:rsidRPr="007D15C3">
              <w:rPr>
                <w:rFonts w:cs="Calibri"/>
              </w:rPr>
              <w:t xml:space="preserve">          2,439,225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8FAE33" w14:textId="77777777">
            <w:pPr>
              <w:rPr>
                <w:rFonts w:cs="Calibri"/>
              </w:rPr>
            </w:pPr>
            <w:r w:rsidRPr="007D15C3">
              <w:rPr>
                <w:rFonts w:cs="Calibri"/>
              </w:rPr>
              <w:t xml:space="preserve">            2,437,526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1AAAC7" w14:textId="77777777">
            <w:pPr>
              <w:jc w:val="right"/>
              <w:rPr>
                <w:rFonts w:cs="Calibri"/>
              </w:rPr>
            </w:pPr>
            <w:r w:rsidRPr="007D15C3">
              <w:rPr>
                <w:rFonts w:cs="Calibri"/>
              </w:rPr>
              <w:t>$19,103</w:t>
            </w:r>
          </w:p>
        </w:tc>
      </w:tr>
      <w:tr w14:paraId="1AF384F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E29EAC" w14:textId="77777777">
            <w:pPr>
              <w:jc w:val="center"/>
              <w:rPr>
                <w:rFonts w:cs="Calibri"/>
              </w:rPr>
            </w:pPr>
            <w:r w:rsidRPr="007D15C3">
              <w:rPr>
                <w:rFonts w:cs="Calibri"/>
              </w:rPr>
              <w:t>24784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EE177C" w14:textId="77777777">
            <w:pPr>
              <w:jc w:val="center"/>
              <w:rPr>
                <w:rFonts w:cs="Calibri"/>
              </w:rPr>
            </w:pPr>
            <w:r w:rsidRPr="007D15C3">
              <w:rPr>
                <w:rFonts w:cs="Calibri"/>
              </w:rPr>
              <w:t>WGVU-TV*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07B236" w14:textId="77777777">
            <w:pPr>
              <w:rPr>
                <w:rFonts w:cs="Calibri"/>
              </w:rPr>
            </w:pPr>
            <w:r w:rsidRPr="007D15C3">
              <w:rPr>
                <w:rFonts w:cs="Calibri"/>
              </w:rPr>
              <w:t xml:space="preserve">          1,825,744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4C8401" w14:textId="77777777">
            <w:pPr>
              <w:rPr>
                <w:rFonts w:cs="Calibri"/>
              </w:rPr>
            </w:pPr>
            <w:r w:rsidRPr="007D15C3">
              <w:rPr>
                <w:rFonts w:cs="Calibri"/>
              </w:rPr>
              <w:t xml:space="preserve">            1,784,264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70F1A8" w14:textId="77777777">
            <w:pPr>
              <w:jc w:val="right"/>
              <w:rPr>
                <w:rFonts w:cs="Calibri"/>
              </w:rPr>
            </w:pPr>
            <w:r w:rsidRPr="007D15C3">
              <w:rPr>
                <w:rFonts w:cs="Calibri"/>
              </w:rPr>
              <w:t>$13,983</w:t>
            </w:r>
          </w:p>
        </w:tc>
      </w:tr>
      <w:tr w14:paraId="0F7B4A4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409D6C" w14:textId="77777777">
            <w:pPr>
              <w:jc w:val="center"/>
              <w:rPr>
                <w:rFonts w:cs="Calibri"/>
              </w:rPr>
            </w:pPr>
            <w:r w:rsidRPr="007D15C3">
              <w:rPr>
                <w:rFonts w:cs="Calibri"/>
              </w:rPr>
              <w:t>21536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E3F9B9" w14:textId="77777777">
            <w:pPr>
              <w:jc w:val="center"/>
              <w:rPr>
                <w:rFonts w:cs="Calibri"/>
              </w:rPr>
            </w:pPr>
            <w:r w:rsidRPr="007D15C3">
              <w:rPr>
                <w:rFonts w:cs="Calibri"/>
              </w:rPr>
              <w:t>WGWG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EFFE9A" w14:textId="77777777">
            <w:pPr>
              <w:rPr>
                <w:rFonts w:cs="Calibri"/>
              </w:rPr>
            </w:pPr>
            <w:r w:rsidRPr="007D15C3">
              <w:rPr>
                <w:rFonts w:cs="Calibri"/>
              </w:rPr>
              <w:t xml:space="preserve">             986,963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075653" w14:textId="77777777">
            <w:pPr>
              <w:rPr>
                <w:rFonts w:cs="Calibri"/>
              </w:rPr>
            </w:pPr>
            <w:r w:rsidRPr="007D15C3">
              <w:rPr>
                <w:rFonts w:cs="Calibri"/>
              </w:rPr>
              <w:t xml:space="preserve">               986,963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879C13" w14:textId="77777777">
            <w:pPr>
              <w:jc w:val="right"/>
              <w:rPr>
                <w:rFonts w:cs="Calibri"/>
              </w:rPr>
            </w:pPr>
            <w:r w:rsidRPr="007D15C3">
              <w:rPr>
                <w:rFonts w:cs="Calibri"/>
              </w:rPr>
              <w:t>$7,735</w:t>
            </w:r>
          </w:p>
        </w:tc>
      </w:tr>
      <w:tr w14:paraId="4B747E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DDB401" w14:textId="77777777">
            <w:pPr>
              <w:jc w:val="center"/>
              <w:rPr>
                <w:rFonts w:cs="Calibri"/>
              </w:rPr>
            </w:pPr>
            <w:r w:rsidRPr="007D15C3">
              <w:rPr>
                <w:rFonts w:cs="Calibri"/>
              </w:rPr>
              <w:t>56642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4F49E7" w14:textId="77777777">
            <w:pPr>
              <w:jc w:val="center"/>
              <w:rPr>
                <w:rFonts w:cs="Calibri"/>
              </w:rPr>
            </w:pPr>
            <w:r w:rsidRPr="007D15C3">
              <w:rPr>
                <w:rFonts w:cs="Calibri"/>
              </w:rPr>
              <w:t>WGWW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D2FDF4" w14:textId="77777777">
            <w:pPr>
              <w:rPr>
                <w:rFonts w:cs="Calibri"/>
              </w:rPr>
            </w:pPr>
            <w:r w:rsidRPr="007D15C3">
              <w:rPr>
                <w:rFonts w:cs="Calibri"/>
              </w:rPr>
              <w:t xml:space="preserve">          1,677,166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656E14" w14:textId="77777777">
            <w:pPr>
              <w:rPr>
                <w:rFonts w:cs="Calibri"/>
              </w:rPr>
            </w:pPr>
            <w:r w:rsidRPr="007D15C3">
              <w:rPr>
                <w:rFonts w:cs="Calibri"/>
              </w:rPr>
              <w:t xml:space="preserve">            1,647,976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3CD998" w14:textId="77777777">
            <w:pPr>
              <w:jc w:val="right"/>
              <w:rPr>
                <w:rFonts w:cs="Calibri"/>
              </w:rPr>
            </w:pPr>
            <w:r w:rsidRPr="007D15C3">
              <w:rPr>
                <w:rFonts w:cs="Calibri"/>
              </w:rPr>
              <w:t>$12,915</w:t>
            </w:r>
          </w:p>
        </w:tc>
      </w:tr>
      <w:tr w14:paraId="51E910D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2100C4" w14:textId="77777777">
            <w:pPr>
              <w:jc w:val="center"/>
              <w:rPr>
                <w:rFonts w:cs="Calibri"/>
              </w:rPr>
            </w:pPr>
            <w:r w:rsidRPr="007D15C3">
              <w:rPr>
                <w:rFonts w:cs="Calibri"/>
              </w:rPr>
              <w:t>58262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273B84" w14:textId="77777777">
            <w:pPr>
              <w:jc w:val="center"/>
              <w:rPr>
                <w:rFonts w:cs="Calibri"/>
              </w:rPr>
            </w:pPr>
            <w:r w:rsidRPr="007D15C3">
              <w:rPr>
                <w:rFonts w:cs="Calibri"/>
              </w:rPr>
              <w:t>WGXA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230867" w14:textId="77777777">
            <w:pPr>
              <w:rPr>
                <w:rFonts w:cs="Calibri"/>
              </w:rPr>
            </w:pPr>
            <w:r w:rsidRPr="007D15C3">
              <w:rPr>
                <w:rFonts w:cs="Calibri"/>
              </w:rPr>
              <w:t xml:space="preserve">             779,955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061BE7" w14:textId="77777777">
            <w:pPr>
              <w:rPr>
                <w:rFonts w:cs="Calibri"/>
              </w:rPr>
            </w:pPr>
            <w:r w:rsidRPr="007D15C3">
              <w:rPr>
                <w:rFonts w:cs="Calibri"/>
              </w:rPr>
              <w:t xml:space="preserve">               779,087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694782" w14:textId="77777777">
            <w:pPr>
              <w:jc w:val="right"/>
              <w:rPr>
                <w:rFonts w:cs="Calibri"/>
              </w:rPr>
            </w:pPr>
            <w:r w:rsidRPr="007D15C3">
              <w:rPr>
                <w:rFonts w:cs="Calibri"/>
              </w:rPr>
              <w:t>$6,106</w:t>
            </w:r>
          </w:p>
        </w:tc>
      </w:tr>
      <w:tr w14:paraId="379E3AF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387819" w14:textId="77777777">
            <w:pPr>
              <w:jc w:val="center"/>
              <w:rPr>
                <w:rFonts w:cs="Calibri"/>
              </w:rPr>
            </w:pPr>
            <w:r w:rsidRPr="007D15C3">
              <w:rPr>
                <w:rFonts w:cs="Calibri"/>
              </w:rPr>
              <w:t>73371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644F6C" w14:textId="77777777">
            <w:pPr>
              <w:jc w:val="center"/>
              <w:rPr>
                <w:rFonts w:cs="Calibri"/>
              </w:rPr>
            </w:pPr>
            <w:r w:rsidRPr="007D15C3">
              <w:rPr>
                <w:rFonts w:cs="Calibri"/>
              </w:rPr>
              <w:t>WHAM-TV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478AEC" w14:textId="77777777">
            <w:pPr>
              <w:rPr>
                <w:rFonts w:cs="Calibri"/>
              </w:rPr>
            </w:pPr>
            <w:r w:rsidRPr="007D15C3">
              <w:rPr>
                <w:rFonts w:cs="Calibri"/>
              </w:rPr>
              <w:t xml:space="preserve">          1,323,785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A94B6A" w14:textId="77777777">
            <w:pPr>
              <w:rPr>
                <w:rFonts w:cs="Calibri"/>
              </w:rPr>
            </w:pPr>
            <w:r w:rsidRPr="007D15C3">
              <w:rPr>
                <w:rFonts w:cs="Calibri"/>
              </w:rPr>
              <w:t xml:space="preserve">            1,275,674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BEE684" w14:textId="77777777">
            <w:pPr>
              <w:jc w:val="right"/>
              <w:rPr>
                <w:rFonts w:cs="Calibri"/>
              </w:rPr>
            </w:pPr>
            <w:r w:rsidRPr="007D15C3">
              <w:rPr>
                <w:rFonts w:cs="Calibri"/>
              </w:rPr>
              <w:t>$9,997</w:t>
            </w:r>
          </w:p>
        </w:tc>
      </w:tr>
      <w:tr w14:paraId="5CA57A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489D26" w14:textId="77777777">
            <w:pPr>
              <w:jc w:val="center"/>
              <w:rPr>
                <w:rFonts w:cs="Calibri"/>
              </w:rPr>
            </w:pPr>
            <w:r w:rsidRPr="007D15C3">
              <w:rPr>
                <w:rFonts w:cs="Calibri"/>
              </w:rPr>
              <w:t>32327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C193F9" w14:textId="77777777">
            <w:pPr>
              <w:jc w:val="center"/>
              <w:rPr>
                <w:rFonts w:cs="Calibri"/>
              </w:rPr>
            </w:pPr>
            <w:r w:rsidRPr="007D15C3">
              <w:rPr>
                <w:rFonts w:cs="Calibri"/>
              </w:rPr>
              <w:t>WHAS-TV*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5670C7" w14:textId="77777777">
            <w:pPr>
              <w:rPr>
                <w:rFonts w:cs="Calibri"/>
              </w:rPr>
            </w:pPr>
            <w:r w:rsidRPr="007D15C3">
              <w:rPr>
                <w:rFonts w:cs="Calibri"/>
              </w:rPr>
              <w:t xml:space="preserve">          1,955,983</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315A68" w14:textId="77777777">
            <w:pPr>
              <w:rPr>
                <w:rFonts w:cs="Calibri"/>
              </w:rPr>
            </w:pPr>
            <w:r w:rsidRPr="007D15C3">
              <w:rPr>
                <w:rFonts w:cs="Calibri"/>
              </w:rPr>
              <w:t xml:space="preserve">            1,925,901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663900" w14:textId="77777777">
            <w:pPr>
              <w:jc w:val="right"/>
              <w:rPr>
                <w:rFonts w:cs="Calibri"/>
              </w:rPr>
            </w:pPr>
            <w:r w:rsidRPr="007D15C3">
              <w:rPr>
                <w:rFonts w:cs="Calibri"/>
              </w:rPr>
              <w:t>$15,093</w:t>
            </w:r>
          </w:p>
        </w:tc>
      </w:tr>
      <w:tr w14:paraId="136080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4C4378" w14:textId="77777777">
            <w:pPr>
              <w:jc w:val="center"/>
              <w:rPr>
                <w:rFonts w:cs="Calibri"/>
              </w:rPr>
            </w:pPr>
            <w:r w:rsidRPr="007D15C3">
              <w:rPr>
                <w:rFonts w:cs="Calibri"/>
              </w:rPr>
              <w:t>6096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C544DC" w14:textId="77777777">
            <w:pPr>
              <w:jc w:val="center"/>
              <w:rPr>
                <w:rFonts w:cs="Calibri"/>
              </w:rPr>
            </w:pPr>
            <w:r w:rsidRPr="007D15C3">
              <w:rPr>
                <w:rFonts w:cs="Calibri"/>
              </w:rPr>
              <w:t>WHA-TV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EF85D6" w14:textId="77777777">
            <w:pPr>
              <w:rPr>
                <w:rFonts w:cs="Calibri"/>
              </w:rPr>
            </w:pPr>
            <w:r w:rsidRPr="007D15C3">
              <w:rPr>
                <w:rFonts w:cs="Calibri"/>
              </w:rPr>
              <w:t xml:space="preserve">          1,636,473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EE3B62" w14:textId="77777777">
            <w:pPr>
              <w:rPr>
                <w:rFonts w:cs="Calibri"/>
              </w:rPr>
            </w:pPr>
            <w:r w:rsidRPr="007D15C3">
              <w:rPr>
                <w:rFonts w:cs="Calibri"/>
              </w:rPr>
              <w:t xml:space="preserve">            1,629,171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68F3DE" w14:textId="77777777">
            <w:pPr>
              <w:jc w:val="right"/>
              <w:rPr>
                <w:rFonts w:cs="Calibri"/>
              </w:rPr>
            </w:pPr>
            <w:r w:rsidRPr="007D15C3">
              <w:rPr>
                <w:rFonts w:cs="Calibri"/>
              </w:rPr>
              <w:t>$12,768</w:t>
            </w:r>
          </w:p>
        </w:tc>
      </w:tr>
      <w:tr w14:paraId="474789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32CF43" w14:textId="77777777">
            <w:pPr>
              <w:jc w:val="center"/>
              <w:rPr>
                <w:rFonts w:cs="Calibri"/>
              </w:rPr>
            </w:pPr>
            <w:r w:rsidRPr="007D15C3">
              <w:rPr>
                <w:rFonts w:cs="Calibri"/>
              </w:rPr>
              <w:t>13950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464170" w14:textId="77777777">
            <w:pPr>
              <w:jc w:val="center"/>
              <w:rPr>
                <w:rFonts w:cs="Calibri"/>
              </w:rPr>
            </w:pPr>
            <w:r w:rsidRPr="007D15C3">
              <w:rPr>
                <w:rFonts w:cs="Calibri"/>
              </w:rPr>
              <w:t>WHBF-TV*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494885" w14:textId="77777777">
            <w:pPr>
              <w:rPr>
                <w:rFonts w:cs="Calibri"/>
              </w:rPr>
            </w:pPr>
            <w:r w:rsidRPr="007D15C3">
              <w:rPr>
                <w:rFonts w:cs="Calibri"/>
              </w:rPr>
              <w:t xml:space="preserve">          1,712,339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6FE032" w14:textId="77777777">
            <w:pPr>
              <w:rPr>
                <w:rFonts w:cs="Calibri"/>
              </w:rPr>
            </w:pPr>
            <w:r w:rsidRPr="007D15C3">
              <w:rPr>
                <w:rFonts w:cs="Calibri"/>
              </w:rPr>
              <w:t xml:space="preserve">            1,704,072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F8BBC0" w14:textId="77777777">
            <w:pPr>
              <w:jc w:val="right"/>
              <w:rPr>
                <w:rFonts w:cs="Calibri"/>
              </w:rPr>
            </w:pPr>
            <w:r w:rsidRPr="007D15C3">
              <w:rPr>
                <w:rFonts w:cs="Calibri"/>
              </w:rPr>
              <w:t>$13,355</w:t>
            </w:r>
          </w:p>
        </w:tc>
      </w:tr>
      <w:tr w14:paraId="77AF5A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757132" w14:textId="77777777">
            <w:pPr>
              <w:jc w:val="center"/>
              <w:rPr>
                <w:rFonts w:cs="Calibri"/>
              </w:rPr>
            </w:pPr>
            <w:r w:rsidRPr="007D15C3">
              <w:rPr>
                <w:rFonts w:cs="Calibri"/>
              </w:rPr>
              <w:t>12521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8445C3" w14:textId="77777777">
            <w:pPr>
              <w:jc w:val="center"/>
              <w:rPr>
                <w:rFonts w:cs="Calibri"/>
              </w:rPr>
            </w:pPr>
            <w:r w:rsidRPr="007D15C3">
              <w:rPr>
                <w:rFonts w:cs="Calibri"/>
              </w:rPr>
              <w:t>WHBQ-TV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74FEF6" w14:textId="77777777">
            <w:pPr>
              <w:rPr>
                <w:rFonts w:cs="Calibri"/>
              </w:rPr>
            </w:pPr>
            <w:r w:rsidRPr="007D15C3">
              <w:rPr>
                <w:rFonts w:cs="Calibri"/>
              </w:rPr>
              <w:t xml:space="preserve">          1,736,335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661B41" w14:textId="77777777">
            <w:pPr>
              <w:rPr>
                <w:rFonts w:cs="Calibri"/>
              </w:rPr>
            </w:pPr>
            <w:r w:rsidRPr="007D15C3">
              <w:rPr>
                <w:rFonts w:cs="Calibri"/>
              </w:rPr>
              <w:t xml:space="preserve">            1,708,345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305811" w14:textId="77777777">
            <w:pPr>
              <w:jc w:val="right"/>
              <w:rPr>
                <w:rFonts w:cs="Calibri"/>
              </w:rPr>
            </w:pPr>
            <w:r w:rsidRPr="007D15C3">
              <w:rPr>
                <w:rFonts w:cs="Calibri"/>
              </w:rPr>
              <w:t>$13,388</w:t>
            </w:r>
          </w:p>
        </w:tc>
      </w:tr>
      <w:tr w14:paraId="446587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3536F2" w14:textId="77777777">
            <w:pPr>
              <w:jc w:val="center"/>
              <w:rPr>
                <w:rFonts w:cs="Calibri"/>
              </w:rPr>
            </w:pPr>
            <w:r w:rsidRPr="007D15C3">
              <w:rPr>
                <w:rFonts w:cs="Calibri"/>
              </w:rPr>
              <w:t>10894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89B503" w14:textId="77777777">
            <w:pPr>
              <w:jc w:val="center"/>
              <w:rPr>
                <w:rFonts w:cs="Calibri"/>
              </w:rPr>
            </w:pPr>
            <w:r w:rsidRPr="007D15C3">
              <w:rPr>
                <w:rFonts w:cs="Calibri"/>
              </w:rPr>
              <w:t>WHBR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F1F86D" w14:textId="77777777">
            <w:pPr>
              <w:rPr>
                <w:rFonts w:cs="Calibri"/>
              </w:rPr>
            </w:pPr>
            <w:r w:rsidRPr="007D15C3">
              <w:rPr>
                <w:rFonts w:cs="Calibri"/>
              </w:rPr>
              <w:t xml:space="preserve">          1,302,764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D43A40" w14:textId="77777777">
            <w:pPr>
              <w:rPr>
                <w:rFonts w:cs="Calibri"/>
              </w:rPr>
            </w:pPr>
            <w:r w:rsidRPr="007D15C3">
              <w:rPr>
                <w:rFonts w:cs="Calibri"/>
              </w:rPr>
              <w:t xml:space="preserve">            1,302,041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CB7C1F" w14:textId="77777777">
            <w:pPr>
              <w:jc w:val="right"/>
              <w:rPr>
                <w:rFonts w:cs="Calibri"/>
              </w:rPr>
            </w:pPr>
            <w:r w:rsidRPr="007D15C3">
              <w:rPr>
                <w:rFonts w:cs="Calibri"/>
              </w:rPr>
              <w:t>$10,204</w:t>
            </w:r>
          </w:p>
        </w:tc>
      </w:tr>
      <w:tr w14:paraId="60E435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FAFD1B" w14:textId="77777777">
            <w:pPr>
              <w:jc w:val="center"/>
              <w:rPr>
                <w:rFonts w:cs="Calibri"/>
              </w:rPr>
            </w:pPr>
            <w:r w:rsidRPr="007D15C3">
              <w:rPr>
                <w:rFonts w:cs="Calibri"/>
              </w:rPr>
              <w:t>65128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CCA032" w14:textId="77777777">
            <w:pPr>
              <w:jc w:val="center"/>
              <w:rPr>
                <w:rFonts w:cs="Calibri"/>
              </w:rPr>
            </w:pPr>
            <w:r w:rsidRPr="007D15C3">
              <w:rPr>
                <w:rFonts w:cs="Calibri"/>
              </w:rPr>
              <w:t>WHDF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2A5829" w14:textId="77777777">
            <w:pPr>
              <w:rPr>
                <w:rFonts w:cs="Calibri"/>
              </w:rPr>
            </w:pPr>
            <w:r w:rsidRPr="007D15C3">
              <w:rPr>
                <w:rFonts w:cs="Calibri"/>
              </w:rPr>
              <w:t xml:space="preserve">          1,553,469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84E700" w14:textId="77777777">
            <w:pPr>
              <w:rPr>
                <w:rFonts w:cs="Calibri"/>
              </w:rPr>
            </w:pPr>
            <w:r w:rsidRPr="007D15C3">
              <w:rPr>
                <w:rFonts w:cs="Calibri"/>
              </w:rPr>
              <w:t xml:space="preserve">            1,502,852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9EB721" w14:textId="77777777">
            <w:pPr>
              <w:jc w:val="right"/>
              <w:rPr>
                <w:rFonts w:cs="Calibri"/>
              </w:rPr>
            </w:pPr>
            <w:r w:rsidRPr="007D15C3">
              <w:rPr>
                <w:rFonts w:cs="Calibri"/>
              </w:rPr>
              <w:t>$11,778</w:t>
            </w:r>
          </w:p>
        </w:tc>
      </w:tr>
      <w:tr w14:paraId="4D000F1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E322B1" w14:textId="77777777">
            <w:pPr>
              <w:jc w:val="center"/>
              <w:rPr>
                <w:rFonts w:cs="Calibri"/>
              </w:rPr>
            </w:pPr>
            <w:r w:rsidRPr="007D15C3">
              <w:rPr>
                <w:rFonts w:cs="Calibri"/>
              </w:rPr>
              <w:t>72145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B6B6B1" w14:textId="77777777">
            <w:pPr>
              <w:jc w:val="center"/>
              <w:rPr>
                <w:rFonts w:cs="Calibri"/>
              </w:rPr>
            </w:pPr>
            <w:r w:rsidRPr="007D15C3">
              <w:rPr>
                <w:rFonts w:cs="Calibri"/>
              </w:rPr>
              <w:t>WHDH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8B8EB2" w14:textId="77777777">
            <w:pPr>
              <w:rPr>
                <w:rFonts w:cs="Calibri"/>
              </w:rPr>
            </w:pPr>
            <w:r w:rsidRPr="007D15C3">
              <w:rPr>
                <w:rFonts w:cs="Calibri"/>
              </w:rPr>
              <w:t xml:space="preserve">          7,319,659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EE402B" w14:textId="77777777">
            <w:pPr>
              <w:rPr>
                <w:rFonts w:cs="Calibri"/>
              </w:rPr>
            </w:pPr>
            <w:r w:rsidRPr="007D15C3">
              <w:rPr>
                <w:rFonts w:cs="Calibri"/>
              </w:rPr>
              <w:t xml:space="preserve">            7,236,210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2094FB" w14:textId="77777777">
            <w:pPr>
              <w:jc w:val="right"/>
              <w:rPr>
                <w:rFonts w:cs="Calibri"/>
              </w:rPr>
            </w:pPr>
            <w:r w:rsidRPr="007D15C3">
              <w:rPr>
                <w:rFonts w:cs="Calibri"/>
              </w:rPr>
              <w:t>$56,710</w:t>
            </w:r>
          </w:p>
        </w:tc>
      </w:tr>
      <w:tr w14:paraId="156BD15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50B2A4" w14:textId="77777777">
            <w:pPr>
              <w:jc w:val="center"/>
              <w:rPr>
                <w:rFonts w:cs="Calibri"/>
              </w:rPr>
            </w:pPr>
            <w:r w:rsidRPr="007D15C3">
              <w:rPr>
                <w:rFonts w:cs="Calibri"/>
              </w:rPr>
              <w:t>83929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E1EEA8" w14:textId="77777777">
            <w:pPr>
              <w:jc w:val="center"/>
              <w:rPr>
                <w:rFonts w:cs="Calibri"/>
              </w:rPr>
            </w:pPr>
            <w:r w:rsidRPr="007D15C3">
              <w:rPr>
                <w:rFonts w:cs="Calibri"/>
              </w:rPr>
              <w:t>WHDT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8D7BE5" w14:textId="77777777">
            <w:pPr>
              <w:rPr>
                <w:rFonts w:cs="Calibri"/>
              </w:rPr>
            </w:pPr>
            <w:r w:rsidRPr="007D15C3">
              <w:rPr>
                <w:rFonts w:cs="Calibri"/>
              </w:rPr>
              <w:t xml:space="preserve">          5,640,324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D6EA5D" w14:textId="77777777">
            <w:pPr>
              <w:rPr>
                <w:rFonts w:cs="Calibri"/>
              </w:rPr>
            </w:pPr>
            <w:r w:rsidRPr="007D15C3">
              <w:rPr>
                <w:rFonts w:cs="Calibri"/>
              </w:rPr>
              <w:t xml:space="preserve">            5,640,324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E9DA63" w14:textId="77777777">
            <w:pPr>
              <w:jc w:val="right"/>
              <w:rPr>
                <w:rFonts w:cs="Calibri"/>
              </w:rPr>
            </w:pPr>
            <w:r w:rsidRPr="007D15C3">
              <w:rPr>
                <w:rFonts w:cs="Calibri"/>
              </w:rPr>
              <w:t>$44,203</w:t>
            </w:r>
          </w:p>
        </w:tc>
      </w:tr>
      <w:tr w14:paraId="1D07334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4A09F5" w14:textId="77777777">
            <w:pPr>
              <w:jc w:val="center"/>
              <w:rPr>
                <w:rFonts w:cs="Calibri"/>
              </w:rPr>
            </w:pPr>
            <w:r w:rsidRPr="007D15C3">
              <w:rPr>
                <w:rFonts w:cs="Calibri"/>
              </w:rPr>
              <w:t>70041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6CEDAD" w14:textId="77777777">
            <w:pPr>
              <w:jc w:val="center"/>
              <w:rPr>
                <w:rFonts w:cs="Calibri"/>
              </w:rPr>
            </w:pPr>
            <w:r w:rsidRPr="007D15C3">
              <w:rPr>
                <w:rFonts w:cs="Calibri"/>
              </w:rPr>
              <w:t>WHEC-TV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E6A803" w14:textId="77777777">
            <w:pPr>
              <w:rPr>
                <w:rFonts w:cs="Calibri"/>
              </w:rPr>
            </w:pPr>
            <w:r w:rsidRPr="007D15C3">
              <w:rPr>
                <w:rFonts w:cs="Calibri"/>
              </w:rPr>
              <w:t xml:space="preserve">          1,322,243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C874B3" w14:textId="77777777">
            <w:pPr>
              <w:rPr>
                <w:rFonts w:cs="Calibri"/>
              </w:rPr>
            </w:pPr>
            <w:r w:rsidRPr="007D15C3">
              <w:rPr>
                <w:rFonts w:cs="Calibri"/>
              </w:rPr>
              <w:t xml:space="preserve">            1,279,606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31C95F" w14:textId="77777777">
            <w:pPr>
              <w:jc w:val="right"/>
              <w:rPr>
                <w:rFonts w:cs="Calibri"/>
              </w:rPr>
            </w:pPr>
            <w:r w:rsidRPr="007D15C3">
              <w:rPr>
                <w:rFonts w:cs="Calibri"/>
              </w:rPr>
              <w:t>$10,028</w:t>
            </w:r>
          </w:p>
        </w:tc>
      </w:tr>
      <w:tr w14:paraId="136E350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461443" w14:textId="77777777">
            <w:pPr>
              <w:jc w:val="center"/>
              <w:rPr>
                <w:rFonts w:cs="Calibri"/>
              </w:rPr>
            </w:pPr>
            <w:r w:rsidRPr="007D15C3">
              <w:rPr>
                <w:rFonts w:cs="Calibri"/>
              </w:rPr>
              <w:t>67971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842B66" w14:textId="77777777">
            <w:pPr>
              <w:jc w:val="center"/>
              <w:rPr>
                <w:rFonts w:cs="Calibri"/>
              </w:rPr>
            </w:pPr>
            <w:r w:rsidRPr="007D15C3">
              <w:rPr>
                <w:rFonts w:cs="Calibri"/>
              </w:rPr>
              <w:t>WHFT-TV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81D8D3" w14:textId="77777777">
            <w:pPr>
              <w:rPr>
                <w:rFonts w:cs="Calibri"/>
              </w:rPr>
            </w:pPr>
            <w:r w:rsidRPr="007D15C3">
              <w:rPr>
                <w:rFonts w:cs="Calibri"/>
              </w:rPr>
              <w:t xml:space="preserve">          5,417,409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67D85E" w14:textId="77777777">
            <w:pPr>
              <w:rPr>
                <w:rFonts w:cs="Calibri"/>
              </w:rPr>
            </w:pPr>
            <w:r w:rsidRPr="007D15C3">
              <w:rPr>
                <w:rFonts w:cs="Calibri"/>
              </w:rPr>
              <w:t xml:space="preserve">            5,417,409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E44D17" w14:textId="77777777">
            <w:pPr>
              <w:jc w:val="right"/>
              <w:rPr>
                <w:rFonts w:cs="Calibri"/>
              </w:rPr>
            </w:pPr>
            <w:r w:rsidRPr="007D15C3">
              <w:rPr>
                <w:rFonts w:cs="Calibri"/>
              </w:rPr>
              <w:t>$42,456</w:t>
            </w:r>
          </w:p>
        </w:tc>
      </w:tr>
      <w:tr w14:paraId="67FA76C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F48B29" w14:textId="77777777">
            <w:pPr>
              <w:jc w:val="center"/>
              <w:rPr>
                <w:rFonts w:cs="Calibri"/>
              </w:rPr>
            </w:pPr>
            <w:r w:rsidRPr="007D15C3">
              <w:rPr>
                <w:rFonts w:cs="Calibri"/>
              </w:rPr>
              <w:t>41458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8B59EC" w14:textId="77777777">
            <w:pPr>
              <w:jc w:val="center"/>
              <w:rPr>
                <w:rFonts w:cs="Calibri"/>
              </w:rPr>
            </w:pPr>
            <w:r w:rsidRPr="007D15C3">
              <w:rPr>
                <w:rFonts w:cs="Calibri"/>
              </w:rPr>
              <w:t>WHIO-TV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0564CA" w14:textId="77777777">
            <w:pPr>
              <w:rPr>
                <w:rFonts w:cs="Calibri"/>
              </w:rPr>
            </w:pPr>
            <w:r w:rsidRPr="007D15C3">
              <w:rPr>
                <w:rFonts w:cs="Calibri"/>
              </w:rPr>
              <w:t xml:space="preserve">          3,896,757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F859BF" w14:textId="77777777">
            <w:pPr>
              <w:rPr>
                <w:rFonts w:cs="Calibri"/>
              </w:rPr>
            </w:pPr>
            <w:r w:rsidRPr="007D15C3">
              <w:rPr>
                <w:rFonts w:cs="Calibri"/>
              </w:rPr>
              <w:t xml:space="preserve">            3,879,363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97CF59" w14:textId="77777777">
            <w:pPr>
              <w:jc w:val="right"/>
              <w:rPr>
                <w:rFonts w:cs="Calibri"/>
              </w:rPr>
            </w:pPr>
            <w:r w:rsidRPr="007D15C3">
              <w:rPr>
                <w:rFonts w:cs="Calibri"/>
              </w:rPr>
              <w:t>$30,403</w:t>
            </w:r>
          </w:p>
        </w:tc>
      </w:tr>
      <w:tr w14:paraId="195962E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AC7EDA" w14:textId="77777777">
            <w:pPr>
              <w:jc w:val="center"/>
              <w:rPr>
                <w:rFonts w:cs="Calibri"/>
              </w:rPr>
            </w:pPr>
            <w:r w:rsidRPr="007D15C3">
              <w:rPr>
                <w:rFonts w:cs="Calibri"/>
              </w:rPr>
              <w:t>713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8B25A6" w14:textId="77777777">
            <w:pPr>
              <w:jc w:val="center"/>
              <w:rPr>
                <w:rFonts w:cs="Calibri"/>
              </w:rPr>
            </w:pPr>
            <w:r w:rsidRPr="007D15C3">
              <w:rPr>
                <w:rFonts w:cs="Calibri"/>
              </w:rPr>
              <w:t>WHIQ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300A7A" w14:textId="77777777">
            <w:pPr>
              <w:rPr>
                <w:rFonts w:cs="Calibri"/>
              </w:rPr>
            </w:pPr>
            <w:r w:rsidRPr="007D15C3">
              <w:rPr>
                <w:rFonts w:cs="Calibri"/>
              </w:rPr>
              <w:t xml:space="preserve">          1,278,174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0EB480" w14:textId="77777777">
            <w:pPr>
              <w:rPr>
                <w:rFonts w:cs="Calibri"/>
              </w:rPr>
            </w:pPr>
            <w:r w:rsidRPr="007D15C3">
              <w:rPr>
                <w:rFonts w:cs="Calibri"/>
              </w:rPr>
              <w:t xml:space="preserve">            1,225,940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2F6599" w14:textId="77777777">
            <w:pPr>
              <w:jc w:val="right"/>
              <w:rPr>
                <w:rFonts w:cs="Calibri"/>
              </w:rPr>
            </w:pPr>
            <w:r w:rsidRPr="007D15C3">
              <w:rPr>
                <w:rFonts w:cs="Calibri"/>
              </w:rPr>
              <w:t>$9,608</w:t>
            </w:r>
          </w:p>
        </w:tc>
      </w:tr>
      <w:tr w14:paraId="7B401E7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349E07" w14:textId="77777777">
            <w:pPr>
              <w:jc w:val="center"/>
              <w:rPr>
                <w:rFonts w:cs="Calibri"/>
              </w:rPr>
            </w:pPr>
            <w:r w:rsidRPr="007D15C3">
              <w:rPr>
                <w:rFonts w:cs="Calibri"/>
              </w:rPr>
              <w:t>61216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9F1F0E" w14:textId="77777777">
            <w:pPr>
              <w:jc w:val="center"/>
              <w:rPr>
                <w:rFonts w:cs="Calibri"/>
              </w:rPr>
            </w:pPr>
            <w:r w:rsidRPr="007D15C3">
              <w:rPr>
                <w:rFonts w:cs="Calibri"/>
              </w:rPr>
              <w:t>WHIZ-TV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770B84" w14:textId="77777777">
            <w:pPr>
              <w:rPr>
                <w:rFonts w:cs="Calibri"/>
              </w:rPr>
            </w:pPr>
            <w:r w:rsidRPr="007D15C3">
              <w:rPr>
                <w:rFonts w:cs="Calibri"/>
              </w:rPr>
              <w:t xml:space="preserve">             910,864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019FF8" w14:textId="77777777">
            <w:pPr>
              <w:rPr>
                <w:rFonts w:cs="Calibri"/>
              </w:rPr>
            </w:pPr>
            <w:r w:rsidRPr="007D15C3">
              <w:rPr>
                <w:rFonts w:cs="Calibri"/>
              </w:rPr>
              <w:t xml:space="preserve">               831,894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62BED8" w14:textId="77777777">
            <w:pPr>
              <w:jc w:val="right"/>
              <w:rPr>
                <w:rFonts w:cs="Calibri"/>
              </w:rPr>
            </w:pPr>
            <w:r w:rsidRPr="007D15C3">
              <w:rPr>
                <w:rFonts w:cs="Calibri"/>
              </w:rPr>
              <w:t>$6,520</w:t>
            </w:r>
          </w:p>
        </w:tc>
      </w:tr>
      <w:tr w14:paraId="6BF223AF"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DD8555" w14:textId="77777777">
            <w:pPr>
              <w:jc w:val="center"/>
              <w:rPr>
                <w:rFonts w:cs="Calibri"/>
              </w:rPr>
            </w:pPr>
            <w:r w:rsidRPr="007D15C3">
              <w:rPr>
                <w:rFonts w:cs="Calibri"/>
              </w:rPr>
              <w:t>65919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E510071" w14:textId="77777777">
            <w:pPr>
              <w:jc w:val="center"/>
              <w:rPr>
                <w:rFonts w:cs="Calibri"/>
              </w:rPr>
            </w:pPr>
            <w:r w:rsidRPr="007D15C3">
              <w:rPr>
                <w:rFonts w:cs="Calibri"/>
              </w:rPr>
              <w:t>WHKY-TV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48AE4D8" w14:textId="77777777">
            <w:pPr>
              <w:rPr>
                <w:rFonts w:cs="Calibri"/>
              </w:rPr>
            </w:pPr>
            <w:r w:rsidRPr="007D15C3">
              <w:rPr>
                <w:rFonts w:cs="Calibri"/>
              </w:rPr>
              <w:t xml:space="preserve">          3,038,732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F79D443" w14:textId="77777777">
            <w:pPr>
              <w:rPr>
                <w:rFonts w:cs="Calibri"/>
              </w:rPr>
            </w:pPr>
            <w:r w:rsidRPr="007D15C3">
              <w:rPr>
                <w:rFonts w:cs="Calibri"/>
              </w:rPr>
              <w:t xml:space="preserve">            2,974,919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FD0E51B" w14:textId="77777777">
            <w:pPr>
              <w:jc w:val="right"/>
              <w:rPr>
                <w:rFonts w:cs="Calibri"/>
              </w:rPr>
            </w:pPr>
            <w:r w:rsidRPr="007D15C3">
              <w:rPr>
                <w:rFonts w:cs="Calibri"/>
              </w:rPr>
              <w:t>$23,314</w:t>
            </w:r>
          </w:p>
        </w:tc>
      </w:tr>
      <w:tr w14:paraId="1D36B95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4FD979" w14:textId="77777777">
            <w:pPr>
              <w:jc w:val="center"/>
              <w:rPr>
                <w:rFonts w:cs="Calibri"/>
              </w:rPr>
            </w:pPr>
            <w:r w:rsidRPr="007D15C3">
              <w:rPr>
                <w:rFonts w:cs="Calibri"/>
              </w:rPr>
              <w:t>18780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56DC2F" w14:textId="77777777">
            <w:pPr>
              <w:jc w:val="center"/>
              <w:rPr>
                <w:rFonts w:cs="Calibri"/>
              </w:rPr>
            </w:pPr>
            <w:r w:rsidRPr="007D15C3">
              <w:rPr>
                <w:rFonts w:cs="Calibri"/>
              </w:rPr>
              <w:t>WHLA-TV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49E020" w14:textId="77777777">
            <w:pPr>
              <w:rPr>
                <w:rFonts w:cs="Calibri"/>
              </w:rPr>
            </w:pPr>
            <w:r w:rsidRPr="007D15C3">
              <w:rPr>
                <w:rFonts w:cs="Calibri"/>
              </w:rPr>
              <w:t xml:space="preserve">             467,264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27F86D" w14:textId="77777777">
            <w:pPr>
              <w:rPr>
                <w:rFonts w:cs="Calibri"/>
              </w:rPr>
            </w:pPr>
            <w:r w:rsidRPr="007D15C3">
              <w:rPr>
                <w:rFonts w:cs="Calibri"/>
              </w:rPr>
              <w:t xml:space="preserve">               443,002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724E67" w14:textId="77777777">
            <w:pPr>
              <w:jc w:val="right"/>
              <w:rPr>
                <w:rFonts w:cs="Calibri"/>
              </w:rPr>
            </w:pPr>
            <w:r w:rsidRPr="007D15C3">
              <w:rPr>
                <w:rFonts w:cs="Calibri"/>
              </w:rPr>
              <w:t>$3,472</w:t>
            </w:r>
          </w:p>
        </w:tc>
      </w:tr>
      <w:tr w14:paraId="0D104B5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70CBA4" w14:textId="77777777">
            <w:pPr>
              <w:jc w:val="center"/>
              <w:rPr>
                <w:rFonts w:cs="Calibri"/>
              </w:rPr>
            </w:pPr>
            <w:r w:rsidRPr="007D15C3">
              <w:rPr>
                <w:rFonts w:cs="Calibri"/>
              </w:rPr>
              <w:t>48668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4143A6" w14:textId="77777777">
            <w:pPr>
              <w:jc w:val="center"/>
              <w:rPr>
                <w:rFonts w:cs="Calibri"/>
              </w:rPr>
            </w:pPr>
            <w:r w:rsidRPr="007D15C3">
              <w:rPr>
                <w:rFonts w:cs="Calibri"/>
              </w:rPr>
              <w:t>WHLT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CCEE73" w14:textId="77777777">
            <w:pPr>
              <w:rPr>
                <w:rFonts w:cs="Calibri"/>
              </w:rPr>
            </w:pPr>
            <w:r w:rsidRPr="007D15C3">
              <w:rPr>
                <w:rFonts w:cs="Calibri"/>
              </w:rPr>
              <w:t xml:space="preserve">             484,432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E4A5FE" w14:textId="77777777">
            <w:pPr>
              <w:rPr>
                <w:rFonts w:cs="Calibri"/>
              </w:rPr>
            </w:pPr>
            <w:r w:rsidRPr="007D15C3">
              <w:rPr>
                <w:rFonts w:cs="Calibri"/>
              </w:rPr>
              <w:t xml:space="preserve">               483,532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C0D09F" w14:textId="77777777">
            <w:pPr>
              <w:jc w:val="right"/>
              <w:rPr>
                <w:rFonts w:cs="Calibri"/>
              </w:rPr>
            </w:pPr>
            <w:r w:rsidRPr="007D15C3">
              <w:rPr>
                <w:rFonts w:cs="Calibri"/>
              </w:rPr>
              <w:t>$3,789</w:t>
            </w:r>
          </w:p>
        </w:tc>
      </w:tr>
      <w:tr w14:paraId="6A1A0E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26171A" w14:textId="77777777">
            <w:pPr>
              <w:jc w:val="center"/>
              <w:rPr>
                <w:rFonts w:cs="Calibri"/>
              </w:rPr>
            </w:pPr>
            <w:r w:rsidRPr="007D15C3">
              <w:rPr>
                <w:rFonts w:cs="Calibri"/>
              </w:rPr>
              <w:t>24582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510E85" w14:textId="77777777">
            <w:pPr>
              <w:jc w:val="center"/>
              <w:rPr>
                <w:rFonts w:cs="Calibri"/>
              </w:rPr>
            </w:pPr>
            <w:r w:rsidRPr="007D15C3">
              <w:rPr>
                <w:rFonts w:cs="Calibri"/>
              </w:rPr>
              <w:t>WHLV-TV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A6E87E" w14:textId="77777777">
            <w:pPr>
              <w:rPr>
                <w:rFonts w:cs="Calibri"/>
              </w:rPr>
            </w:pPr>
            <w:r w:rsidRPr="007D15C3">
              <w:rPr>
                <w:rFonts w:cs="Calibri"/>
              </w:rPr>
              <w:t xml:space="preserve">          3,825,468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32245C" w14:textId="77777777">
            <w:pPr>
              <w:rPr>
                <w:rFonts w:cs="Calibri"/>
              </w:rPr>
            </w:pPr>
            <w:r w:rsidRPr="007D15C3">
              <w:rPr>
                <w:rFonts w:cs="Calibri"/>
              </w:rPr>
              <w:t xml:space="preserve">            3,825,468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A99731" w14:textId="77777777">
            <w:pPr>
              <w:jc w:val="right"/>
              <w:rPr>
                <w:rFonts w:cs="Calibri"/>
              </w:rPr>
            </w:pPr>
            <w:r w:rsidRPr="007D15C3">
              <w:rPr>
                <w:rFonts w:cs="Calibri"/>
              </w:rPr>
              <w:t>$29,980</w:t>
            </w:r>
          </w:p>
        </w:tc>
      </w:tr>
      <w:tr w14:paraId="02B4C7D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A5DE48" w14:textId="77777777">
            <w:pPr>
              <w:jc w:val="center"/>
              <w:rPr>
                <w:rFonts w:cs="Calibri"/>
              </w:rPr>
            </w:pPr>
            <w:r w:rsidRPr="007D15C3">
              <w:rPr>
                <w:rFonts w:cs="Calibri"/>
              </w:rPr>
              <w:t>37102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4D111F" w14:textId="77777777">
            <w:pPr>
              <w:jc w:val="center"/>
              <w:rPr>
                <w:rFonts w:cs="Calibri"/>
              </w:rPr>
            </w:pPr>
            <w:r w:rsidRPr="007D15C3">
              <w:rPr>
                <w:rFonts w:cs="Calibri"/>
              </w:rPr>
              <w:t>WHMB-TV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96CF78" w14:textId="77777777">
            <w:pPr>
              <w:rPr>
                <w:rFonts w:cs="Calibri"/>
              </w:rPr>
            </w:pPr>
            <w:r w:rsidRPr="007D15C3">
              <w:rPr>
                <w:rFonts w:cs="Calibri"/>
              </w:rPr>
              <w:t xml:space="preserve">          2,847,719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A1F614" w14:textId="77777777">
            <w:pPr>
              <w:rPr>
                <w:rFonts w:cs="Calibri"/>
              </w:rPr>
            </w:pPr>
            <w:r w:rsidRPr="007D15C3">
              <w:rPr>
                <w:rFonts w:cs="Calibri"/>
              </w:rPr>
              <w:t xml:space="preserve">            2,828,250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6A1BAE" w14:textId="77777777">
            <w:pPr>
              <w:jc w:val="right"/>
              <w:rPr>
                <w:rFonts w:cs="Calibri"/>
              </w:rPr>
            </w:pPr>
            <w:r w:rsidRPr="007D15C3">
              <w:rPr>
                <w:rFonts w:cs="Calibri"/>
              </w:rPr>
              <w:t>$22,165</w:t>
            </w:r>
          </w:p>
        </w:tc>
      </w:tr>
      <w:tr w14:paraId="4A8F4C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C625C17" w14:textId="77777777">
            <w:pPr>
              <w:jc w:val="center"/>
              <w:rPr>
                <w:rFonts w:cs="Calibri"/>
              </w:rPr>
            </w:pPr>
            <w:r w:rsidRPr="007D15C3">
              <w:rPr>
                <w:rFonts w:cs="Calibri"/>
              </w:rPr>
              <w:t>61004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73BCEC" w14:textId="77777777">
            <w:pPr>
              <w:jc w:val="center"/>
              <w:rPr>
                <w:rFonts w:cs="Calibri"/>
              </w:rPr>
            </w:pPr>
            <w:r w:rsidRPr="007D15C3">
              <w:rPr>
                <w:rFonts w:cs="Calibri"/>
              </w:rPr>
              <w:t>WHMC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2356C4" w14:textId="77777777">
            <w:pPr>
              <w:rPr>
                <w:rFonts w:cs="Calibri"/>
              </w:rPr>
            </w:pPr>
            <w:r w:rsidRPr="007D15C3">
              <w:rPr>
                <w:rFonts w:cs="Calibri"/>
              </w:rPr>
              <w:t xml:space="preserve">             943,543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C47D69" w14:textId="77777777">
            <w:pPr>
              <w:rPr>
                <w:rFonts w:cs="Calibri"/>
              </w:rPr>
            </w:pPr>
            <w:r w:rsidRPr="007D15C3">
              <w:rPr>
                <w:rFonts w:cs="Calibri"/>
              </w:rPr>
              <w:t xml:space="preserve">               942,807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0C07AD" w14:textId="77777777">
            <w:pPr>
              <w:jc w:val="right"/>
              <w:rPr>
                <w:rFonts w:cs="Calibri"/>
              </w:rPr>
            </w:pPr>
            <w:r w:rsidRPr="007D15C3">
              <w:rPr>
                <w:rFonts w:cs="Calibri"/>
              </w:rPr>
              <w:t>$7,389</w:t>
            </w:r>
          </w:p>
        </w:tc>
      </w:tr>
      <w:tr w14:paraId="7DB637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6BC80C" w14:textId="77777777">
            <w:pPr>
              <w:jc w:val="center"/>
              <w:rPr>
                <w:rFonts w:cs="Calibri"/>
              </w:rPr>
            </w:pPr>
            <w:r w:rsidRPr="007D15C3">
              <w:rPr>
                <w:rFonts w:cs="Calibri"/>
              </w:rPr>
              <w:t>36117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E66E0C" w14:textId="77777777">
            <w:pPr>
              <w:jc w:val="center"/>
              <w:rPr>
                <w:rFonts w:cs="Calibri"/>
              </w:rPr>
            </w:pPr>
            <w:r w:rsidRPr="007D15C3">
              <w:rPr>
                <w:rFonts w:cs="Calibri"/>
              </w:rPr>
              <w:t>WHME-TV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18753C" w14:textId="77777777">
            <w:pPr>
              <w:rPr>
                <w:rFonts w:cs="Calibri"/>
              </w:rPr>
            </w:pPr>
            <w:r w:rsidRPr="007D15C3">
              <w:rPr>
                <w:rFonts w:cs="Calibri"/>
              </w:rPr>
              <w:t xml:space="preserve">          1,271,796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566573" w14:textId="77777777">
            <w:pPr>
              <w:rPr>
                <w:rFonts w:cs="Calibri"/>
              </w:rPr>
            </w:pPr>
            <w:r w:rsidRPr="007D15C3">
              <w:rPr>
                <w:rFonts w:cs="Calibri"/>
              </w:rPr>
              <w:t xml:space="preserve">            1,271,715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7EC0C6" w14:textId="77777777">
            <w:pPr>
              <w:jc w:val="right"/>
              <w:rPr>
                <w:rFonts w:cs="Calibri"/>
              </w:rPr>
            </w:pPr>
            <w:r w:rsidRPr="007D15C3">
              <w:rPr>
                <w:rFonts w:cs="Calibri"/>
              </w:rPr>
              <w:t>$9,966</w:t>
            </w:r>
          </w:p>
        </w:tc>
      </w:tr>
      <w:tr w14:paraId="0FEDDA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6EE175" w14:textId="77777777">
            <w:pPr>
              <w:jc w:val="center"/>
              <w:rPr>
                <w:rFonts w:cs="Calibri"/>
              </w:rPr>
            </w:pPr>
            <w:r w:rsidRPr="007D15C3">
              <w:rPr>
                <w:rFonts w:cs="Calibri"/>
              </w:rPr>
              <w:t>37106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CC1CF3" w14:textId="77777777">
            <w:pPr>
              <w:jc w:val="center"/>
              <w:rPr>
                <w:rFonts w:cs="Calibri"/>
              </w:rPr>
            </w:pPr>
            <w:r w:rsidRPr="007D15C3">
              <w:rPr>
                <w:rFonts w:cs="Calibri"/>
              </w:rPr>
              <w:t>WHNO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7F48C7" w14:textId="77777777">
            <w:pPr>
              <w:rPr>
                <w:rFonts w:cs="Calibri"/>
              </w:rPr>
            </w:pPr>
            <w:r w:rsidRPr="007D15C3">
              <w:rPr>
                <w:rFonts w:cs="Calibri"/>
              </w:rPr>
              <w:t xml:space="preserve">          1,499,653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17E479" w14:textId="77777777">
            <w:pPr>
              <w:rPr>
                <w:rFonts w:cs="Calibri"/>
              </w:rPr>
            </w:pPr>
            <w:r w:rsidRPr="007D15C3">
              <w:rPr>
                <w:rFonts w:cs="Calibri"/>
              </w:rPr>
              <w:t xml:space="preserve">            1,499,653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A4A8D5" w14:textId="77777777">
            <w:pPr>
              <w:jc w:val="right"/>
              <w:rPr>
                <w:rFonts w:cs="Calibri"/>
              </w:rPr>
            </w:pPr>
            <w:r w:rsidRPr="007D15C3">
              <w:rPr>
                <w:rFonts w:cs="Calibri"/>
              </w:rPr>
              <w:t>$11,753</w:t>
            </w:r>
          </w:p>
        </w:tc>
      </w:tr>
      <w:tr w14:paraId="65BDED2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D238E7" w14:textId="77777777">
            <w:pPr>
              <w:jc w:val="center"/>
              <w:rPr>
                <w:rFonts w:cs="Calibri"/>
              </w:rPr>
            </w:pPr>
            <w:r w:rsidRPr="007D15C3">
              <w:rPr>
                <w:rFonts w:cs="Calibri"/>
              </w:rPr>
              <w:t>72300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DDC125" w14:textId="77777777">
            <w:pPr>
              <w:jc w:val="center"/>
              <w:rPr>
                <w:rFonts w:cs="Calibri"/>
              </w:rPr>
            </w:pPr>
            <w:r w:rsidRPr="007D15C3">
              <w:rPr>
                <w:rFonts w:cs="Calibri"/>
              </w:rPr>
              <w:t>WHNS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47905D" w14:textId="77777777">
            <w:pPr>
              <w:rPr>
                <w:rFonts w:cs="Calibri"/>
              </w:rPr>
            </w:pPr>
            <w:r w:rsidRPr="007D15C3">
              <w:rPr>
                <w:rFonts w:cs="Calibri"/>
              </w:rPr>
              <w:t xml:space="preserve">          2,549,397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7A3D84" w14:textId="77777777">
            <w:pPr>
              <w:rPr>
                <w:rFonts w:cs="Calibri"/>
              </w:rPr>
            </w:pPr>
            <w:r w:rsidRPr="007D15C3">
              <w:rPr>
                <w:rFonts w:cs="Calibri"/>
              </w:rPr>
              <w:t xml:space="preserve">            2,266,911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96C2D9" w14:textId="77777777">
            <w:pPr>
              <w:jc w:val="right"/>
              <w:rPr>
                <w:rFonts w:cs="Calibri"/>
              </w:rPr>
            </w:pPr>
            <w:r w:rsidRPr="007D15C3">
              <w:rPr>
                <w:rFonts w:cs="Calibri"/>
              </w:rPr>
              <w:t>$17,766</w:t>
            </w:r>
          </w:p>
        </w:tc>
      </w:tr>
      <w:tr w14:paraId="2C2C45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3ECCDA" w14:textId="77777777">
            <w:pPr>
              <w:jc w:val="center"/>
              <w:rPr>
                <w:rFonts w:cs="Calibri"/>
              </w:rPr>
            </w:pPr>
            <w:r w:rsidRPr="007D15C3">
              <w:rPr>
                <w:rFonts w:cs="Calibri"/>
              </w:rPr>
              <w:t>48693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459411" w14:textId="77777777">
            <w:pPr>
              <w:jc w:val="center"/>
              <w:rPr>
                <w:rFonts w:cs="Calibri"/>
              </w:rPr>
            </w:pPr>
            <w:r w:rsidRPr="007D15C3">
              <w:rPr>
                <w:rFonts w:cs="Calibri"/>
              </w:rPr>
              <w:t>WHNT-TV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4E5E50" w14:textId="77777777">
            <w:pPr>
              <w:rPr>
                <w:rFonts w:cs="Calibri"/>
              </w:rPr>
            </w:pPr>
            <w:r w:rsidRPr="007D15C3">
              <w:rPr>
                <w:rFonts w:cs="Calibri"/>
              </w:rPr>
              <w:t xml:space="preserve">          1,569,885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8512EF" w14:textId="77777777">
            <w:pPr>
              <w:rPr>
                <w:rFonts w:cs="Calibri"/>
              </w:rPr>
            </w:pPr>
            <w:r w:rsidRPr="007D15C3">
              <w:rPr>
                <w:rFonts w:cs="Calibri"/>
              </w:rPr>
              <w:t xml:space="preserve">            1,487,578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341592" w14:textId="77777777">
            <w:pPr>
              <w:jc w:val="right"/>
              <w:rPr>
                <w:rFonts w:cs="Calibri"/>
              </w:rPr>
            </w:pPr>
            <w:r w:rsidRPr="007D15C3">
              <w:rPr>
                <w:rFonts w:cs="Calibri"/>
              </w:rPr>
              <w:t>$11,658</w:t>
            </w:r>
          </w:p>
        </w:tc>
      </w:tr>
      <w:tr w14:paraId="660FA24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63BFBA" w14:textId="77777777">
            <w:pPr>
              <w:jc w:val="center"/>
              <w:rPr>
                <w:rFonts w:cs="Calibri"/>
              </w:rPr>
            </w:pPr>
            <w:r w:rsidRPr="007D15C3">
              <w:rPr>
                <w:rFonts w:cs="Calibri"/>
              </w:rPr>
              <w:t>66221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BF0EC6" w14:textId="77777777">
            <w:pPr>
              <w:jc w:val="center"/>
              <w:rPr>
                <w:rFonts w:cs="Calibri"/>
              </w:rPr>
            </w:pPr>
            <w:r w:rsidRPr="007D15C3">
              <w:rPr>
                <w:rFonts w:cs="Calibri"/>
              </w:rPr>
              <w:t>WHO-DT*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A6915B" w14:textId="77777777">
            <w:pPr>
              <w:rPr>
                <w:rFonts w:cs="Calibri"/>
              </w:rPr>
            </w:pPr>
            <w:r w:rsidRPr="007D15C3">
              <w:rPr>
                <w:rFonts w:cs="Calibri"/>
              </w:rPr>
              <w:t xml:space="preserve">          1,120,480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231837" w14:textId="77777777">
            <w:pPr>
              <w:rPr>
                <w:rFonts w:cs="Calibri"/>
              </w:rPr>
            </w:pPr>
            <w:r w:rsidRPr="007D15C3">
              <w:rPr>
                <w:rFonts w:cs="Calibri"/>
              </w:rPr>
              <w:t xml:space="preserve">            1,099,818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64CCBF" w14:textId="77777777">
            <w:pPr>
              <w:jc w:val="right"/>
              <w:rPr>
                <w:rFonts w:cs="Calibri"/>
              </w:rPr>
            </w:pPr>
            <w:r w:rsidRPr="007D15C3">
              <w:rPr>
                <w:rFonts w:cs="Calibri"/>
              </w:rPr>
              <w:t>$8,619</w:t>
            </w:r>
          </w:p>
        </w:tc>
      </w:tr>
      <w:tr w14:paraId="644FE2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D0CD52" w14:textId="77777777">
            <w:pPr>
              <w:jc w:val="center"/>
              <w:rPr>
                <w:rFonts w:cs="Calibri"/>
              </w:rPr>
            </w:pPr>
            <w:r w:rsidRPr="007D15C3">
              <w:rPr>
                <w:rFonts w:cs="Calibri"/>
              </w:rPr>
              <w:t>6866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5616242" w14:textId="77777777">
            <w:pPr>
              <w:jc w:val="center"/>
              <w:rPr>
                <w:rFonts w:cs="Calibri"/>
              </w:rPr>
            </w:pPr>
            <w:r w:rsidRPr="007D15C3">
              <w:rPr>
                <w:rFonts w:cs="Calibri"/>
              </w:rPr>
              <w:t>WHOI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0362E7" w14:textId="77777777">
            <w:pPr>
              <w:rPr>
                <w:rFonts w:cs="Calibri"/>
              </w:rPr>
            </w:pPr>
            <w:r w:rsidRPr="007D15C3">
              <w:rPr>
                <w:rFonts w:cs="Calibri"/>
              </w:rPr>
              <w:t xml:space="preserve">             679,446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F636EB" w14:textId="77777777">
            <w:pPr>
              <w:rPr>
                <w:rFonts w:cs="Calibri"/>
              </w:rPr>
            </w:pPr>
            <w:r w:rsidRPr="007D15C3">
              <w:rPr>
                <w:rFonts w:cs="Calibri"/>
              </w:rPr>
              <w:t xml:space="preserve">               679,434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A5D101" w14:textId="77777777">
            <w:pPr>
              <w:jc w:val="right"/>
              <w:rPr>
                <w:rFonts w:cs="Calibri"/>
              </w:rPr>
            </w:pPr>
            <w:r w:rsidRPr="007D15C3">
              <w:rPr>
                <w:rFonts w:cs="Calibri"/>
              </w:rPr>
              <w:t>$5,325</w:t>
            </w:r>
          </w:p>
        </w:tc>
      </w:tr>
      <w:tr w14:paraId="6C605B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A248B3" w14:textId="77777777">
            <w:pPr>
              <w:jc w:val="center"/>
              <w:rPr>
                <w:rFonts w:cs="Calibri"/>
              </w:rPr>
            </w:pPr>
            <w:r w:rsidRPr="007D15C3">
              <w:rPr>
                <w:rFonts w:cs="Calibri"/>
              </w:rPr>
              <w:t>72313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CBF6E2" w14:textId="77777777">
            <w:pPr>
              <w:jc w:val="center"/>
              <w:rPr>
                <w:rFonts w:cs="Calibri"/>
              </w:rPr>
            </w:pPr>
            <w:r w:rsidRPr="007D15C3">
              <w:rPr>
                <w:rFonts w:cs="Calibri"/>
              </w:rPr>
              <w:t>WHP-TV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CB1F9B" w14:textId="77777777">
            <w:pPr>
              <w:rPr>
                <w:rFonts w:cs="Calibri"/>
              </w:rPr>
            </w:pPr>
            <w:r w:rsidRPr="007D15C3">
              <w:rPr>
                <w:rFonts w:cs="Calibri"/>
              </w:rPr>
              <w:t xml:space="preserve">          4,030,693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885F89" w14:textId="77777777">
            <w:pPr>
              <w:rPr>
                <w:rFonts w:cs="Calibri"/>
              </w:rPr>
            </w:pPr>
            <w:r w:rsidRPr="007D15C3">
              <w:rPr>
                <w:rFonts w:cs="Calibri"/>
              </w:rPr>
              <w:t xml:space="preserve">            3,538,096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C60FFD" w14:textId="77777777">
            <w:pPr>
              <w:jc w:val="right"/>
              <w:rPr>
                <w:rFonts w:cs="Calibri"/>
              </w:rPr>
            </w:pPr>
            <w:r w:rsidRPr="007D15C3">
              <w:rPr>
                <w:rFonts w:cs="Calibri"/>
              </w:rPr>
              <w:t>$27,728</w:t>
            </w:r>
          </w:p>
        </w:tc>
      </w:tr>
      <w:tr w14:paraId="16E99B0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A775DE" w14:textId="77777777">
            <w:pPr>
              <w:jc w:val="center"/>
              <w:rPr>
                <w:rFonts w:cs="Calibri"/>
              </w:rPr>
            </w:pPr>
            <w:r w:rsidRPr="007D15C3">
              <w:rPr>
                <w:rFonts w:cs="Calibri"/>
              </w:rPr>
              <w:t>51980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61ABC6" w14:textId="77777777">
            <w:pPr>
              <w:jc w:val="center"/>
              <w:rPr>
                <w:rFonts w:cs="Calibri"/>
              </w:rPr>
            </w:pPr>
            <w:r w:rsidRPr="007D15C3">
              <w:rPr>
                <w:rFonts w:cs="Calibri"/>
              </w:rPr>
              <w:t>WHPX-TV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07BAE0" w14:textId="77777777">
            <w:pPr>
              <w:rPr>
                <w:rFonts w:cs="Calibri"/>
              </w:rPr>
            </w:pPr>
            <w:r w:rsidRPr="007D15C3">
              <w:rPr>
                <w:rFonts w:cs="Calibri"/>
              </w:rPr>
              <w:t xml:space="preserve">          5,579,464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98E53D" w14:textId="77777777">
            <w:pPr>
              <w:rPr>
                <w:rFonts w:cs="Calibri"/>
              </w:rPr>
            </w:pPr>
            <w:r w:rsidRPr="007D15C3">
              <w:rPr>
                <w:rFonts w:cs="Calibri"/>
              </w:rPr>
              <w:t xml:space="preserve">            5,114,336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9F2208" w14:textId="77777777">
            <w:pPr>
              <w:jc w:val="right"/>
              <w:rPr>
                <w:rFonts w:cs="Calibri"/>
              </w:rPr>
            </w:pPr>
            <w:r w:rsidRPr="007D15C3">
              <w:rPr>
                <w:rFonts w:cs="Calibri"/>
              </w:rPr>
              <w:t>$40,081</w:t>
            </w:r>
          </w:p>
        </w:tc>
      </w:tr>
      <w:tr w14:paraId="004E6F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EDE4DE" w14:textId="77777777">
            <w:pPr>
              <w:jc w:val="center"/>
              <w:rPr>
                <w:rFonts w:cs="Calibri"/>
              </w:rPr>
            </w:pPr>
            <w:r w:rsidRPr="007D15C3">
              <w:rPr>
                <w:rFonts w:cs="Calibri"/>
              </w:rPr>
              <w:t>73036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71D365" w14:textId="77777777">
            <w:pPr>
              <w:jc w:val="center"/>
              <w:rPr>
                <w:rFonts w:cs="Calibri"/>
              </w:rPr>
            </w:pPr>
            <w:r w:rsidRPr="007D15C3">
              <w:rPr>
                <w:rFonts w:cs="Calibri"/>
              </w:rPr>
              <w:t>WHRM-TV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C78CC1" w14:textId="77777777">
            <w:pPr>
              <w:rPr>
                <w:rFonts w:cs="Calibri"/>
              </w:rPr>
            </w:pPr>
            <w:r w:rsidRPr="007D15C3">
              <w:rPr>
                <w:rFonts w:cs="Calibri"/>
              </w:rPr>
              <w:t xml:space="preserve">             495,398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6F9164" w14:textId="77777777">
            <w:pPr>
              <w:rPr>
                <w:rFonts w:cs="Calibri"/>
              </w:rPr>
            </w:pPr>
            <w:r w:rsidRPr="007D15C3">
              <w:rPr>
                <w:rFonts w:cs="Calibri"/>
              </w:rPr>
              <w:t xml:space="preserve">               495,174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299BE5" w14:textId="77777777">
            <w:pPr>
              <w:jc w:val="right"/>
              <w:rPr>
                <w:rFonts w:cs="Calibri"/>
              </w:rPr>
            </w:pPr>
            <w:r w:rsidRPr="007D15C3">
              <w:rPr>
                <w:rFonts w:cs="Calibri"/>
              </w:rPr>
              <w:t>$3,881</w:t>
            </w:r>
          </w:p>
        </w:tc>
      </w:tr>
      <w:tr w14:paraId="5CD804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1FA86C" w14:textId="77777777">
            <w:pPr>
              <w:jc w:val="center"/>
              <w:rPr>
                <w:rFonts w:cs="Calibri"/>
              </w:rPr>
            </w:pPr>
            <w:r w:rsidRPr="007D15C3">
              <w:rPr>
                <w:rFonts w:cs="Calibri"/>
              </w:rPr>
              <w:t>25932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8D303F" w14:textId="77777777">
            <w:pPr>
              <w:jc w:val="center"/>
              <w:rPr>
                <w:rFonts w:cs="Calibri"/>
              </w:rPr>
            </w:pPr>
            <w:r w:rsidRPr="007D15C3">
              <w:rPr>
                <w:rFonts w:cs="Calibri"/>
              </w:rPr>
              <w:t>WHRO-TV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80B029" w14:textId="77777777">
            <w:pPr>
              <w:rPr>
                <w:rFonts w:cs="Calibri"/>
              </w:rPr>
            </w:pPr>
            <w:r w:rsidRPr="007D15C3">
              <w:rPr>
                <w:rFonts w:cs="Calibri"/>
              </w:rPr>
              <w:t xml:space="preserve">          2,149,481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F2F57A" w14:textId="77777777">
            <w:pPr>
              <w:rPr>
                <w:rFonts w:cs="Calibri"/>
              </w:rPr>
            </w:pPr>
            <w:r w:rsidRPr="007D15C3">
              <w:rPr>
                <w:rFonts w:cs="Calibri"/>
              </w:rPr>
              <w:t xml:space="preserve">            2,149,410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C02854" w14:textId="77777777">
            <w:pPr>
              <w:jc w:val="right"/>
              <w:rPr>
                <w:rFonts w:cs="Calibri"/>
              </w:rPr>
            </w:pPr>
            <w:r w:rsidRPr="007D15C3">
              <w:rPr>
                <w:rFonts w:cs="Calibri"/>
              </w:rPr>
              <w:t>$16,845</w:t>
            </w:r>
          </w:p>
        </w:tc>
      </w:tr>
      <w:tr w14:paraId="63AC95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36F798" w14:textId="77777777">
            <w:pPr>
              <w:jc w:val="center"/>
              <w:rPr>
                <w:rFonts w:cs="Calibri"/>
              </w:rPr>
            </w:pPr>
            <w:r w:rsidRPr="007D15C3">
              <w:rPr>
                <w:rFonts w:cs="Calibri"/>
              </w:rPr>
              <w:t>68058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5C57143" w14:textId="77777777">
            <w:pPr>
              <w:jc w:val="center"/>
              <w:rPr>
                <w:rFonts w:cs="Calibri"/>
              </w:rPr>
            </w:pPr>
            <w:r w:rsidRPr="007D15C3">
              <w:rPr>
                <w:rFonts w:cs="Calibri"/>
              </w:rPr>
              <w:t>WHSG-TV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96F885" w14:textId="77777777">
            <w:pPr>
              <w:rPr>
                <w:rFonts w:cs="Calibri"/>
              </w:rPr>
            </w:pPr>
            <w:r w:rsidRPr="007D15C3">
              <w:rPr>
                <w:rFonts w:cs="Calibri"/>
              </w:rPr>
              <w:t xml:space="preserve">          5,870,314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C8F6B5" w14:textId="77777777">
            <w:pPr>
              <w:rPr>
                <w:rFonts w:cs="Calibri"/>
              </w:rPr>
            </w:pPr>
            <w:r w:rsidRPr="007D15C3">
              <w:rPr>
                <w:rFonts w:cs="Calibri"/>
              </w:rPr>
              <w:t xml:space="preserve">            5,808,605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AD6947" w14:textId="77777777">
            <w:pPr>
              <w:jc w:val="right"/>
              <w:rPr>
                <w:rFonts w:cs="Calibri"/>
              </w:rPr>
            </w:pPr>
            <w:r w:rsidRPr="007D15C3">
              <w:rPr>
                <w:rFonts w:cs="Calibri"/>
              </w:rPr>
              <w:t>$45,522</w:t>
            </w:r>
          </w:p>
        </w:tc>
      </w:tr>
      <w:tr w14:paraId="28A3AEB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EB2969" w14:textId="77777777">
            <w:pPr>
              <w:jc w:val="center"/>
              <w:rPr>
                <w:rFonts w:cs="Calibri"/>
              </w:rPr>
            </w:pPr>
            <w:r w:rsidRPr="007D15C3">
              <w:rPr>
                <w:rFonts w:cs="Calibri"/>
              </w:rPr>
              <w:t>4688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A0A16C" w14:textId="77777777">
            <w:pPr>
              <w:jc w:val="center"/>
              <w:rPr>
                <w:rFonts w:cs="Calibri"/>
              </w:rPr>
            </w:pPr>
            <w:r w:rsidRPr="007D15C3">
              <w:rPr>
                <w:rFonts w:cs="Calibri"/>
              </w:rPr>
              <w:t>WHSV-TV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5D84E1" w14:textId="77777777">
            <w:pPr>
              <w:rPr>
                <w:rFonts w:cs="Calibri"/>
              </w:rPr>
            </w:pPr>
            <w:r w:rsidRPr="007D15C3">
              <w:rPr>
                <w:rFonts w:cs="Calibri"/>
              </w:rPr>
              <w:t xml:space="preserve">             845,013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BF5AA5" w14:textId="77777777">
            <w:pPr>
              <w:rPr>
                <w:rFonts w:cs="Calibri"/>
              </w:rPr>
            </w:pPr>
            <w:r w:rsidRPr="007D15C3">
              <w:rPr>
                <w:rFonts w:cs="Calibri"/>
              </w:rPr>
              <w:t xml:space="preserve">               711,912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053A8B" w14:textId="77777777">
            <w:pPr>
              <w:jc w:val="right"/>
              <w:rPr>
                <w:rFonts w:cs="Calibri"/>
              </w:rPr>
            </w:pPr>
            <w:r w:rsidRPr="007D15C3">
              <w:rPr>
                <w:rFonts w:cs="Calibri"/>
              </w:rPr>
              <w:t>$5,579</w:t>
            </w:r>
          </w:p>
        </w:tc>
      </w:tr>
      <w:tr w14:paraId="28B84C5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72F34F" w14:textId="77777777">
            <w:pPr>
              <w:jc w:val="center"/>
              <w:rPr>
                <w:rFonts w:cs="Calibri"/>
              </w:rPr>
            </w:pPr>
            <w:r w:rsidRPr="007D15C3">
              <w:rPr>
                <w:rFonts w:cs="Calibri"/>
              </w:rPr>
              <w:t>9990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ECDA18" w14:textId="77777777">
            <w:pPr>
              <w:jc w:val="center"/>
              <w:rPr>
                <w:rFonts w:cs="Calibri"/>
              </w:rPr>
            </w:pPr>
            <w:r w:rsidRPr="007D15C3">
              <w:rPr>
                <w:rFonts w:cs="Calibri"/>
              </w:rPr>
              <w:t>WHTJ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778DA2" w14:textId="77777777">
            <w:pPr>
              <w:rPr>
                <w:rFonts w:cs="Calibri"/>
              </w:rPr>
            </w:pPr>
            <w:r w:rsidRPr="007D15C3">
              <w:rPr>
                <w:rFonts w:cs="Calibri"/>
              </w:rPr>
              <w:t xml:space="preserve">             723,698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813B31" w14:textId="77777777">
            <w:pPr>
              <w:rPr>
                <w:rFonts w:cs="Calibri"/>
              </w:rPr>
            </w:pPr>
            <w:r w:rsidRPr="007D15C3">
              <w:rPr>
                <w:rFonts w:cs="Calibri"/>
              </w:rPr>
              <w:t xml:space="preserve">               490,045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C8C19B" w14:textId="77777777">
            <w:pPr>
              <w:jc w:val="right"/>
              <w:rPr>
                <w:rFonts w:cs="Calibri"/>
              </w:rPr>
            </w:pPr>
            <w:r w:rsidRPr="007D15C3">
              <w:rPr>
                <w:rFonts w:cs="Calibri"/>
              </w:rPr>
              <w:t>$3,840</w:t>
            </w:r>
          </w:p>
        </w:tc>
      </w:tr>
      <w:tr w14:paraId="24EEEC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155C188" w14:textId="77777777">
            <w:pPr>
              <w:jc w:val="center"/>
              <w:rPr>
                <w:rFonts w:cs="Calibri"/>
              </w:rPr>
            </w:pPr>
            <w:r w:rsidRPr="007D15C3">
              <w:rPr>
                <w:rFonts w:cs="Calibri"/>
              </w:rPr>
              <w:t>72326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EE5806" w14:textId="77777777">
            <w:pPr>
              <w:jc w:val="center"/>
              <w:rPr>
                <w:rFonts w:cs="Calibri"/>
              </w:rPr>
            </w:pPr>
            <w:r w:rsidRPr="007D15C3">
              <w:rPr>
                <w:rFonts w:cs="Calibri"/>
              </w:rPr>
              <w:t>WHTM-TV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B39AF1" w14:textId="77777777">
            <w:pPr>
              <w:rPr>
                <w:rFonts w:cs="Calibri"/>
              </w:rPr>
            </w:pPr>
            <w:r w:rsidRPr="007D15C3">
              <w:rPr>
                <w:rFonts w:cs="Calibri"/>
              </w:rPr>
              <w:t xml:space="preserve">          2,829,585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4C1BAB" w14:textId="77777777">
            <w:pPr>
              <w:rPr>
                <w:rFonts w:cs="Calibri"/>
              </w:rPr>
            </w:pPr>
            <w:r w:rsidRPr="007D15C3">
              <w:rPr>
                <w:rFonts w:cs="Calibri"/>
              </w:rPr>
              <w:t xml:space="preserve">            2,367,000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CE3C60" w14:textId="77777777">
            <w:pPr>
              <w:jc w:val="right"/>
              <w:rPr>
                <w:rFonts w:cs="Calibri"/>
              </w:rPr>
            </w:pPr>
            <w:r w:rsidRPr="007D15C3">
              <w:rPr>
                <w:rFonts w:cs="Calibri"/>
              </w:rPr>
              <w:t>$18,550</w:t>
            </w:r>
          </w:p>
        </w:tc>
      </w:tr>
      <w:tr w14:paraId="0416988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FDF663" w14:textId="77777777">
            <w:pPr>
              <w:jc w:val="center"/>
              <w:rPr>
                <w:rFonts w:cs="Calibri"/>
              </w:rPr>
            </w:pPr>
            <w:r w:rsidRPr="007D15C3">
              <w:rPr>
                <w:rFonts w:cs="Calibri"/>
              </w:rPr>
              <w:t>11117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E23657" w14:textId="77777777">
            <w:pPr>
              <w:jc w:val="center"/>
              <w:rPr>
                <w:rFonts w:cs="Calibri"/>
              </w:rPr>
            </w:pPr>
            <w:r w:rsidRPr="007D15C3">
              <w:rPr>
                <w:rFonts w:cs="Calibri"/>
              </w:rPr>
              <w:t>WHTN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4B838B" w14:textId="77777777">
            <w:pPr>
              <w:rPr>
                <w:rFonts w:cs="Calibri"/>
              </w:rPr>
            </w:pPr>
            <w:r w:rsidRPr="007D15C3">
              <w:rPr>
                <w:rFonts w:cs="Calibri"/>
              </w:rPr>
              <w:t xml:space="preserve">          1,872,713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024076" w14:textId="77777777">
            <w:pPr>
              <w:rPr>
                <w:rFonts w:cs="Calibri"/>
              </w:rPr>
            </w:pPr>
            <w:r w:rsidRPr="007D15C3">
              <w:rPr>
                <w:rFonts w:cs="Calibri"/>
              </w:rPr>
              <w:t xml:space="preserve">            1,856,716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6FEE51" w14:textId="77777777">
            <w:pPr>
              <w:jc w:val="right"/>
              <w:rPr>
                <w:rFonts w:cs="Calibri"/>
              </w:rPr>
            </w:pPr>
            <w:r w:rsidRPr="007D15C3">
              <w:rPr>
                <w:rFonts w:cs="Calibri"/>
              </w:rPr>
              <w:t>$14,551</w:t>
            </w:r>
          </w:p>
        </w:tc>
      </w:tr>
      <w:tr w14:paraId="5BE137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E56919" w14:textId="77777777">
            <w:pPr>
              <w:jc w:val="center"/>
              <w:rPr>
                <w:rFonts w:cs="Calibri"/>
              </w:rPr>
            </w:pPr>
            <w:r w:rsidRPr="007D15C3">
              <w:rPr>
                <w:rFonts w:cs="Calibri"/>
              </w:rPr>
              <w:t>27772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FDD4EE" w14:textId="77777777">
            <w:pPr>
              <w:jc w:val="center"/>
              <w:rPr>
                <w:rFonts w:cs="Calibri"/>
              </w:rPr>
            </w:pPr>
            <w:r w:rsidRPr="007D15C3">
              <w:rPr>
                <w:rFonts w:cs="Calibri"/>
              </w:rPr>
              <w:t>WHUT-TV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DE50DB" w14:textId="77777777">
            <w:pPr>
              <w:rPr>
                <w:rFonts w:cs="Calibri"/>
              </w:rPr>
            </w:pPr>
            <w:r w:rsidRPr="007D15C3">
              <w:rPr>
                <w:rFonts w:cs="Calibri"/>
              </w:rPr>
              <w:t xml:space="preserve">          7,649,763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D0A358" w14:textId="77777777">
            <w:pPr>
              <w:rPr>
                <w:rFonts w:cs="Calibri"/>
              </w:rPr>
            </w:pPr>
            <w:r w:rsidRPr="007D15C3">
              <w:rPr>
                <w:rFonts w:cs="Calibri"/>
              </w:rPr>
              <w:t xml:space="preserve">            7,617,337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17533E" w14:textId="77777777">
            <w:pPr>
              <w:jc w:val="right"/>
              <w:rPr>
                <w:rFonts w:cs="Calibri"/>
              </w:rPr>
            </w:pPr>
            <w:r w:rsidRPr="007D15C3">
              <w:rPr>
                <w:rFonts w:cs="Calibri"/>
              </w:rPr>
              <w:t>$59,697</w:t>
            </w:r>
          </w:p>
        </w:tc>
      </w:tr>
      <w:tr w14:paraId="2A688A7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0A0381" w14:textId="77777777">
            <w:pPr>
              <w:jc w:val="center"/>
              <w:rPr>
                <w:rFonts w:cs="Calibri"/>
              </w:rPr>
            </w:pPr>
            <w:r w:rsidRPr="007D15C3">
              <w:rPr>
                <w:rFonts w:cs="Calibri"/>
              </w:rPr>
              <w:t>18793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354987" w14:textId="77777777">
            <w:pPr>
              <w:jc w:val="center"/>
              <w:rPr>
                <w:rFonts w:cs="Calibri"/>
              </w:rPr>
            </w:pPr>
            <w:r w:rsidRPr="007D15C3">
              <w:rPr>
                <w:rFonts w:cs="Calibri"/>
              </w:rPr>
              <w:t>WHWC-TV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527578" w14:textId="77777777">
            <w:pPr>
              <w:rPr>
                <w:rFonts w:cs="Calibri"/>
              </w:rPr>
            </w:pPr>
            <w:r w:rsidRPr="007D15C3">
              <w:rPr>
                <w:rFonts w:cs="Calibri"/>
              </w:rPr>
              <w:t xml:space="preserve">             994,710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7143A1" w14:textId="77777777">
            <w:pPr>
              <w:rPr>
                <w:rFonts w:cs="Calibri"/>
              </w:rPr>
            </w:pPr>
            <w:r w:rsidRPr="007D15C3">
              <w:rPr>
                <w:rFonts w:cs="Calibri"/>
              </w:rPr>
              <w:t xml:space="preserve">               946,335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3C3276" w14:textId="77777777">
            <w:pPr>
              <w:jc w:val="right"/>
              <w:rPr>
                <w:rFonts w:cs="Calibri"/>
              </w:rPr>
            </w:pPr>
            <w:r w:rsidRPr="007D15C3">
              <w:rPr>
                <w:rFonts w:cs="Calibri"/>
              </w:rPr>
              <w:t>$7,416</w:t>
            </w:r>
          </w:p>
        </w:tc>
      </w:tr>
      <w:tr w14:paraId="3507E2D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9500E1" w14:textId="77777777">
            <w:pPr>
              <w:jc w:val="center"/>
              <w:rPr>
                <w:rFonts w:cs="Calibri"/>
              </w:rPr>
            </w:pPr>
            <w:r w:rsidRPr="007D15C3">
              <w:rPr>
                <w:rFonts w:cs="Calibri"/>
              </w:rPr>
              <w:t>72338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A4F5EB3" w14:textId="77777777">
            <w:pPr>
              <w:jc w:val="center"/>
              <w:rPr>
                <w:rFonts w:cs="Calibri"/>
              </w:rPr>
            </w:pPr>
            <w:r w:rsidRPr="007D15C3">
              <w:rPr>
                <w:rFonts w:cs="Calibri"/>
              </w:rPr>
              <w:t>WHYY-TV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F0E440" w14:textId="77777777">
            <w:pPr>
              <w:rPr>
                <w:rFonts w:cs="Calibri"/>
              </w:rPr>
            </w:pPr>
            <w:r w:rsidRPr="007D15C3">
              <w:rPr>
                <w:rFonts w:cs="Calibri"/>
              </w:rPr>
              <w:t xml:space="preserve">        10,379,045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714265" w14:textId="77777777">
            <w:pPr>
              <w:rPr>
                <w:rFonts w:cs="Calibri"/>
              </w:rPr>
            </w:pPr>
            <w:r w:rsidRPr="007D15C3">
              <w:rPr>
                <w:rFonts w:cs="Calibri"/>
              </w:rPr>
              <w:t xml:space="preserve">            9,982,651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0CD9B0" w14:textId="77777777">
            <w:pPr>
              <w:jc w:val="right"/>
              <w:rPr>
                <w:rFonts w:cs="Calibri"/>
              </w:rPr>
            </w:pPr>
            <w:r w:rsidRPr="007D15C3">
              <w:rPr>
                <w:rFonts w:cs="Calibri"/>
              </w:rPr>
              <w:t>$78,234</w:t>
            </w:r>
          </w:p>
        </w:tc>
      </w:tr>
      <w:tr w14:paraId="69814F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9745C1" w14:textId="77777777">
            <w:pPr>
              <w:jc w:val="center"/>
              <w:rPr>
                <w:rFonts w:cs="Calibri"/>
              </w:rPr>
            </w:pPr>
            <w:r w:rsidRPr="007D15C3">
              <w:rPr>
                <w:rFonts w:cs="Calibri"/>
              </w:rPr>
              <w:t>5360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5BAE30" w14:textId="77777777">
            <w:pPr>
              <w:jc w:val="center"/>
              <w:rPr>
                <w:rFonts w:cs="Calibri"/>
              </w:rPr>
            </w:pPr>
            <w:r w:rsidRPr="007D15C3">
              <w:rPr>
                <w:rFonts w:cs="Calibri"/>
              </w:rPr>
              <w:t>WIAT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3666AB" w14:textId="77777777">
            <w:pPr>
              <w:rPr>
                <w:rFonts w:cs="Calibri"/>
              </w:rPr>
            </w:pPr>
            <w:r w:rsidRPr="007D15C3">
              <w:rPr>
                <w:rFonts w:cs="Calibri"/>
              </w:rPr>
              <w:t xml:space="preserve">          1,837,072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0D71EE" w14:textId="77777777">
            <w:pPr>
              <w:rPr>
                <w:rFonts w:cs="Calibri"/>
              </w:rPr>
            </w:pPr>
            <w:r w:rsidRPr="007D15C3">
              <w:rPr>
                <w:rFonts w:cs="Calibri"/>
              </w:rPr>
              <w:t xml:space="preserve">            1,802,810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D8A010" w14:textId="77777777">
            <w:pPr>
              <w:jc w:val="right"/>
              <w:rPr>
                <w:rFonts w:cs="Calibri"/>
              </w:rPr>
            </w:pPr>
            <w:r w:rsidRPr="007D15C3">
              <w:rPr>
                <w:rFonts w:cs="Calibri"/>
              </w:rPr>
              <w:t>$14,129</w:t>
            </w:r>
          </w:p>
        </w:tc>
      </w:tr>
      <w:tr w14:paraId="171AED9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C6F7CB" w14:textId="77777777">
            <w:pPr>
              <w:jc w:val="center"/>
              <w:rPr>
                <w:rFonts w:cs="Calibri"/>
              </w:rPr>
            </w:pPr>
            <w:r w:rsidRPr="007D15C3">
              <w:rPr>
                <w:rFonts w:cs="Calibri"/>
              </w:rPr>
              <w:t>63160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1CF20D" w14:textId="77777777">
            <w:pPr>
              <w:jc w:val="center"/>
              <w:rPr>
                <w:rFonts w:cs="Calibri"/>
              </w:rPr>
            </w:pPr>
            <w:r w:rsidRPr="007D15C3">
              <w:rPr>
                <w:rFonts w:cs="Calibri"/>
              </w:rPr>
              <w:t>WIBW-TV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7EA541" w14:textId="77777777">
            <w:pPr>
              <w:rPr>
                <w:rFonts w:cs="Calibri"/>
              </w:rPr>
            </w:pPr>
            <w:r w:rsidRPr="007D15C3">
              <w:rPr>
                <w:rFonts w:cs="Calibri"/>
              </w:rPr>
              <w:t xml:space="preserve">          1,089,708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9681DD" w14:textId="77777777">
            <w:pPr>
              <w:rPr>
                <w:rFonts w:cs="Calibri"/>
              </w:rPr>
            </w:pPr>
            <w:r w:rsidRPr="007D15C3">
              <w:rPr>
                <w:rFonts w:cs="Calibri"/>
              </w:rPr>
              <w:t xml:space="preserve">            1,050,918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00A732" w14:textId="77777777">
            <w:pPr>
              <w:jc w:val="right"/>
              <w:rPr>
                <w:rFonts w:cs="Calibri"/>
              </w:rPr>
            </w:pPr>
            <w:r w:rsidRPr="007D15C3">
              <w:rPr>
                <w:rFonts w:cs="Calibri"/>
              </w:rPr>
              <w:t>$8,236</w:t>
            </w:r>
          </w:p>
        </w:tc>
      </w:tr>
      <w:tr w14:paraId="2BD0316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18F405" w14:textId="77777777">
            <w:pPr>
              <w:jc w:val="center"/>
              <w:rPr>
                <w:rFonts w:cs="Calibri"/>
              </w:rPr>
            </w:pPr>
            <w:r w:rsidRPr="007D15C3">
              <w:rPr>
                <w:rFonts w:cs="Calibri"/>
              </w:rPr>
              <w:t>25684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5658ED" w14:textId="77777777">
            <w:pPr>
              <w:jc w:val="center"/>
              <w:rPr>
                <w:rFonts w:cs="Calibri"/>
              </w:rPr>
            </w:pPr>
            <w:r w:rsidRPr="007D15C3">
              <w:rPr>
                <w:rFonts w:cs="Calibri"/>
              </w:rPr>
              <w:t>WICD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9E78B4" w14:textId="77777777">
            <w:pPr>
              <w:rPr>
                <w:rFonts w:cs="Calibri"/>
              </w:rPr>
            </w:pPr>
            <w:r w:rsidRPr="007D15C3">
              <w:rPr>
                <w:rFonts w:cs="Calibri"/>
              </w:rPr>
              <w:t xml:space="preserve">          1,238,332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896DED" w14:textId="77777777">
            <w:pPr>
              <w:rPr>
                <w:rFonts w:cs="Calibri"/>
              </w:rPr>
            </w:pPr>
            <w:r w:rsidRPr="007D15C3">
              <w:rPr>
                <w:rFonts w:cs="Calibri"/>
              </w:rPr>
              <w:t xml:space="preserve">            1,237,046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4B0372" w14:textId="77777777">
            <w:pPr>
              <w:jc w:val="right"/>
              <w:rPr>
                <w:rFonts w:cs="Calibri"/>
              </w:rPr>
            </w:pPr>
            <w:r w:rsidRPr="007D15C3">
              <w:rPr>
                <w:rFonts w:cs="Calibri"/>
              </w:rPr>
              <w:t>$9,695</w:t>
            </w:r>
          </w:p>
        </w:tc>
      </w:tr>
      <w:tr w14:paraId="41ACB0D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0472DE" w14:textId="77777777">
            <w:pPr>
              <w:jc w:val="center"/>
              <w:rPr>
                <w:rFonts w:cs="Calibri"/>
              </w:rPr>
            </w:pPr>
            <w:r w:rsidRPr="007D15C3">
              <w:rPr>
                <w:rFonts w:cs="Calibri"/>
              </w:rPr>
              <w:t>25686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B793CD" w14:textId="77777777">
            <w:pPr>
              <w:jc w:val="center"/>
              <w:rPr>
                <w:rFonts w:cs="Calibri"/>
              </w:rPr>
            </w:pPr>
            <w:r w:rsidRPr="007D15C3">
              <w:rPr>
                <w:rFonts w:cs="Calibri"/>
              </w:rPr>
              <w:t>WICS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AE01B4" w14:textId="77777777">
            <w:pPr>
              <w:rPr>
                <w:rFonts w:cs="Calibri"/>
              </w:rPr>
            </w:pPr>
            <w:r w:rsidRPr="007D15C3">
              <w:rPr>
                <w:rFonts w:cs="Calibri"/>
              </w:rPr>
              <w:t xml:space="preserve">          1,011,833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843541" w14:textId="77777777">
            <w:pPr>
              <w:rPr>
                <w:rFonts w:cs="Calibri"/>
              </w:rPr>
            </w:pPr>
            <w:r w:rsidRPr="007D15C3">
              <w:rPr>
                <w:rFonts w:cs="Calibri"/>
              </w:rPr>
              <w:t xml:space="preserve">            1,007,132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FBB071" w14:textId="77777777">
            <w:pPr>
              <w:jc w:val="right"/>
              <w:rPr>
                <w:rFonts w:cs="Calibri"/>
              </w:rPr>
            </w:pPr>
            <w:r w:rsidRPr="007D15C3">
              <w:rPr>
                <w:rFonts w:cs="Calibri"/>
              </w:rPr>
              <w:t>$7,893</w:t>
            </w:r>
          </w:p>
        </w:tc>
      </w:tr>
      <w:tr w14:paraId="38B205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0A4257" w14:textId="77777777">
            <w:pPr>
              <w:jc w:val="center"/>
              <w:rPr>
                <w:rFonts w:cs="Calibri"/>
              </w:rPr>
            </w:pPr>
            <w:r w:rsidRPr="007D15C3">
              <w:rPr>
                <w:rFonts w:cs="Calibri"/>
              </w:rPr>
              <w:t>24970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9FC997" w14:textId="77777777">
            <w:pPr>
              <w:jc w:val="center"/>
              <w:rPr>
                <w:rFonts w:cs="Calibri"/>
              </w:rPr>
            </w:pPr>
            <w:r w:rsidRPr="007D15C3">
              <w:rPr>
                <w:rFonts w:cs="Calibri"/>
              </w:rPr>
              <w:t>WICU-TV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05725C" w14:textId="77777777">
            <w:pPr>
              <w:rPr>
                <w:rFonts w:cs="Calibri"/>
              </w:rPr>
            </w:pPr>
            <w:r w:rsidRPr="007D15C3">
              <w:rPr>
                <w:rFonts w:cs="Calibri"/>
              </w:rPr>
              <w:t xml:space="preserve">             740,115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00F85B" w14:textId="77777777">
            <w:pPr>
              <w:rPr>
                <w:rFonts w:cs="Calibri"/>
              </w:rPr>
            </w:pPr>
            <w:r w:rsidRPr="007D15C3">
              <w:rPr>
                <w:rFonts w:cs="Calibri"/>
              </w:rPr>
              <w:t xml:space="preserve">               683,435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449918" w14:textId="77777777">
            <w:pPr>
              <w:jc w:val="right"/>
              <w:rPr>
                <w:rFonts w:cs="Calibri"/>
              </w:rPr>
            </w:pPr>
            <w:r w:rsidRPr="007D15C3">
              <w:rPr>
                <w:rFonts w:cs="Calibri"/>
              </w:rPr>
              <w:t>$5,356</w:t>
            </w:r>
          </w:p>
        </w:tc>
      </w:tr>
      <w:tr w14:paraId="23F131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9C6D57" w14:textId="77777777">
            <w:pPr>
              <w:jc w:val="center"/>
              <w:rPr>
                <w:rFonts w:cs="Calibri"/>
              </w:rPr>
            </w:pPr>
            <w:r w:rsidRPr="007D15C3">
              <w:rPr>
                <w:rFonts w:cs="Calibri"/>
              </w:rPr>
              <w:t>62210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1B5F73" w14:textId="77777777">
            <w:pPr>
              <w:jc w:val="center"/>
              <w:rPr>
                <w:rFonts w:cs="Calibri"/>
              </w:rPr>
            </w:pPr>
            <w:r w:rsidRPr="007D15C3">
              <w:rPr>
                <w:rFonts w:cs="Calibri"/>
              </w:rPr>
              <w:t>WICZ-TV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298523" w14:textId="77777777">
            <w:pPr>
              <w:rPr>
                <w:rFonts w:cs="Calibri"/>
              </w:rPr>
            </w:pPr>
            <w:r w:rsidRPr="007D15C3">
              <w:rPr>
                <w:rFonts w:cs="Calibri"/>
              </w:rPr>
              <w:t xml:space="preserve">             976,771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E558B2" w14:textId="77777777">
            <w:pPr>
              <w:rPr>
                <w:rFonts w:cs="Calibri"/>
              </w:rPr>
            </w:pPr>
            <w:r w:rsidRPr="007D15C3">
              <w:rPr>
                <w:rFonts w:cs="Calibri"/>
              </w:rPr>
              <w:t xml:space="preserve">               780,174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887B5C" w14:textId="77777777">
            <w:pPr>
              <w:jc w:val="right"/>
              <w:rPr>
                <w:rFonts w:cs="Calibri"/>
              </w:rPr>
            </w:pPr>
            <w:r w:rsidRPr="007D15C3">
              <w:rPr>
                <w:rFonts w:cs="Calibri"/>
              </w:rPr>
              <w:t>$6,114</w:t>
            </w:r>
          </w:p>
        </w:tc>
      </w:tr>
      <w:tr w14:paraId="30B85E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16BDC0" w14:textId="77777777">
            <w:pPr>
              <w:jc w:val="center"/>
              <w:rPr>
                <w:rFonts w:cs="Calibri"/>
              </w:rPr>
            </w:pPr>
            <w:r w:rsidRPr="007D15C3">
              <w:rPr>
                <w:rFonts w:cs="Calibri"/>
              </w:rPr>
              <w:t>18410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7A539B" w14:textId="77777777">
            <w:pPr>
              <w:jc w:val="center"/>
              <w:rPr>
                <w:rFonts w:cs="Calibri"/>
              </w:rPr>
            </w:pPr>
            <w:r w:rsidRPr="007D15C3">
              <w:rPr>
                <w:rFonts w:cs="Calibri"/>
              </w:rPr>
              <w:t>WIDP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E627AA" w14:textId="77777777">
            <w:pPr>
              <w:rPr>
                <w:rFonts w:cs="Calibri"/>
              </w:rPr>
            </w:pPr>
            <w:r w:rsidRPr="007D15C3">
              <w:rPr>
                <w:rFonts w:cs="Calibri"/>
              </w:rPr>
              <w:t xml:space="preserve">          2,559,306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8C941B" w14:textId="77777777">
            <w:pPr>
              <w:rPr>
                <w:rFonts w:cs="Calibri"/>
              </w:rPr>
            </w:pPr>
            <w:r w:rsidRPr="007D15C3">
              <w:rPr>
                <w:rFonts w:cs="Calibri"/>
              </w:rPr>
              <w:t xml:space="preserve">            2,286,123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1A804A" w14:textId="77777777">
            <w:pPr>
              <w:jc w:val="right"/>
              <w:rPr>
                <w:rFonts w:cs="Calibri"/>
              </w:rPr>
            </w:pPr>
            <w:r w:rsidRPr="007D15C3">
              <w:rPr>
                <w:rFonts w:cs="Calibri"/>
              </w:rPr>
              <w:t>$14,888</w:t>
            </w:r>
          </w:p>
        </w:tc>
      </w:tr>
      <w:tr w14:paraId="68F3DE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08FA91" w14:textId="77777777">
            <w:pPr>
              <w:jc w:val="center"/>
              <w:rPr>
                <w:rFonts w:cs="Calibri"/>
              </w:rPr>
            </w:pPr>
            <w:r w:rsidRPr="007D15C3">
              <w:rPr>
                <w:rFonts w:cs="Calibri"/>
              </w:rPr>
              <w:t>26025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814BEA" w14:textId="77777777">
            <w:pPr>
              <w:jc w:val="center"/>
              <w:rPr>
                <w:rFonts w:cs="Calibri"/>
              </w:rPr>
            </w:pPr>
            <w:r w:rsidRPr="007D15C3">
              <w:rPr>
                <w:rFonts w:cs="Calibri"/>
              </w:rPr>
              <w:t>WIFS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4A3589" w14:textId="77777777">
            <w:pPr>
              <w:rPr>
                <w:rFonts w:cs="Calibri"/>
              </w:rPr>
            </w:pPr>
            <w:r w:rsidRPr="007D15C3">
              <w:rPr>
                <w:rFonts w:cs="Calibri"/>
              </w:rPr>
              <w:t xml:space="preserve">          1,400,358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F4A768" w14:textId="77777777">
            <w:pPr>
              <w:rPr>
                <w:rFonts w:cs="Calibri"/>
              </w:rPr>
            </w:pPr>
            <w:r w:rsidRPr="007D15C3">
              <w:rPr>
                <w:rFonts w:cs="Calibri"/>
              </w:rPr>
              <w:t xml:space="preserve">            1,397,144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C70411" w14:textId="77777777">
            <w:pPr>
              <w:jc w:val="right"/>
              <w:rPr>
                <w:rFonts w:cs="Calibri"/>
              </w:rPr>
            </w:pPr>
            <w:r w:rsidRPr="007D15C3">
              <w:rPr>
                <w:rFonts w:cs="Calibri"/>
              </w:rPr>
              <w:t>$10,949</w:t>
            </w:r>
          </w:p>
        </w:tc>
      </w:tr>
      <w:tr w14:paraId="5520D5B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A6559F" w14:textId="77777777">
            <w:pPr>
              <w:jc w:val="center"/>
              <w:rPr>
                <w:rFonts w:cs="Calibri"/>
              </w:rPr>
            </w:pPr>
            <w:r w:rsidRPr="007D15C3">
              <w:rPr>
                <w:rFonts w:cs="Calibri"/>
              </w:rPr>
              <w:t>720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2FABAB" w14:textId="77777777">
            <w:pPr>
              <w:jc w:val="center"/>
              <w:rPr>
                <w:rFonts w:cs="Calibri"/>
              </w:rPr>
            </w:pPr>
            <w:r w:rsidRPr="007D15C3">
              <w:rPr>
                <w:rFonts w:cs="Calibri"/>
              </w:rPr>
              <w:t>WIIQ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D9C984" w14:textId="77777777">
            <w:pPr>
              <w:rPr>
                <w:rFonts w:cs="Calibri"/>
              </w:rPr>
            </w:pPr>
            <w:r w:rsidRPr="007D15C3">
              <w:rPr>
                <w:rFonts w:cs="Calibri"/>
              </w:rPr>
              <w:t xml:space="preserve">             353,241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149350" w14:textId="77777777">
            <w:pPr>
              <w:rPr>
                <w:rFonts w:cs="Calibri"/>
              </w:rPr>
            </w:pPr>
            <w:r w:rsidRPr="007D15C3">
              <w:rPr>
                <w:rFonts w:cs="Calibri"/>
              </w:rPr>
              <w:t xml:space="preserve">               347,685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642D0B" w14:textId="77777777">
            <w:pPr>
              <w:jc w:val="right"/>
              <w:rPr>
                <w:rFonts w:cs="Calibri"/>
              </w:rPr>
            </w:pPr>
            <w:r w:rsidRPr="007D15C3">
              <w:rPr>
                <w:rFonts w:cs="Calibri"/>
              </w:rPr>
              <w:t>$2,725</w:t>
            </w:r>
          </w:p>
        </w:tc>
      </w:tr>
      <w:tr w14:paraId="29FC8EA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B2A0D8" w14:textId="77777777">
            <w:pPr>
              <w:jc w:val="center"/>
              <w:rPr>
                <w:rFonts w:cs="Calibri"/>
              </w:rPr>
            </w:pPr>
            <w:r w:rsidRPr="007D15C3">
              <w:rPr>
                <w:rFonts w:cs="Calibri"/>
              </w:rPr>
              <w:t>68939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D16B7D" w14:textId="77777777">
            <w:pPr>
              <w:jc w:val="center"/>
              <w:rPr>
                <w:rFonts w:cs="Calibri"/>
              </w:rPr>
            </w:pPr>
            <w:r w:rsidRPr="007D15C3">
              <w:rPr>
                <w:rFonts w:cs="Calibri"/>
              </w:rPr>
              <w:t>WILL-TV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157F43" w14:textId="77777777">
            <w:pPr>
              <w:rPr>
                <w:rFonts w:cs="Calibri"/>
              </w:rPr>
            </w:pPr>
            <w:r w:rsidRPr="007D15C3">
              <w:rPr>
                <w:rFonts w:cs="Calibri"/>
              </w:rPr>
              <w:t xml:space="preserve">          1,178,545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C019E9" w14:textId="77777777">
            <w:pPr>
              <w:rPr>
                <w:rFonts w:cs="Calibri"/>
              </w:rPr>
            </w:pPr>
            <w:r w:rsidRPr="007D15C3">
              <w:rPr>
                <w:rFonts w:cs="Calibri"/>
              </w:rPr>
              <w:t xml:space="preserve">            1,158,147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AEE10E" w14:textId="77777777">
            <w:pPr>
              <w:jc w:val="right"/>
              <w:rPr>
                <w:rFonts w:cs="Calibri"/>
              </w:rPr>
            </w:pPr>
            <w:r w:rsidRPr="007D15C3">
              <w:rPr>
                <w:rFonts w:cs="Calibri"/>
              </w:rPr>
              <w:t>$9,076</w:t>
            </w:r>
          </w:p>
        </w:tc>
      </w:tr>
      <w:tr w14:paraId="5E9761A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F9A230" w14:textId="77777777">
            <w:pPr>
              <w:jc w:val="center"/>
              <w:rPr>
                <w:rFonts w:cs="Calibri"/>
              </w:rPr>
            </w:pPr>
            <w:r w:rsidRPr="007D15C3">
              <w:rPr>
                <w:rFonts w:cs="Calibri"/>
              </w:rPr>
              <w:t>6863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CFFF80" w14:textId="77777777">
            <w:pPr>
              <w:jc w:val="center"/>
              <w:rPr>
                <w:rFonts w:cs="Calibri"/>
              </w:rPr>
            </w:pPr>
            <w:r w:rsidRPr="007D15C3">
              <w:rPr>
                <w:rFonts w:cs="Calibri"/>
              </w:rPr>
              <w:t>WILX-TV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89B933" w14:textId="77777777">
            <w:pPr>
              <w:rPr>
                <w:rFonts w:cs="Calibri"/>
              </w:rPr>
            </w:pPr>
            <w:r w:rsidRPr="007D15C3">
              <w:rPr>
                <w:rFonts w:cs="Calibri"/>
              </w:rPr>
              <w:t xml:space="preserve">          3,378,644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92C25A" w14:textId="77777777">
            <w:pPr>
              <w:rPr>
                <w:rFonts w:cs="Calibri"/>
              </w:rPr>
            </w:pPr>
            <w:r w:rsidRPr="007D15C3">
              <w:rPr>
                <w:rFonts w:cs="Calibri"/>
              </w:rPr>
              <w:t xml:space="preserve">            3,218,221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36D507" w14:textId="77777777">
            <w:pPr>
              <w:jc w:val="right"/>
              <w:rPr>
                <w:rFonts w:cs="Calibri"/>
              </w:rPr>
            </w:pPr>
            <w:r w:rsidRPr="007D15C3">
              <w:rPr>
                <w:rFonts w:cs="Calibri"/>
              </w:rPr>
              <w:t>$25,221</w:t>
            </w:r>
          </w:p>
        </w:tc>
      </w:tr>
      <w:tr w14:paraId="595B3D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8B3F07" w14:textId="77777777">
            <w:pPr>
              <w:jc w:val="center"/>
              <w:rPr>
                <w:rFonts w:cs="Calibri"/>
              </w:rPr>
            </w:pPr>
            <w:r w:rsidRPr="007D15C3">
              <w:rPr>
                <w:rFonts w:cs="Calibri"/>
              </w:rPr>
              <w:t>22093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FDE22F" w14:textId="77777777">
            <w:pPr>
              <w:jc w:val="center"/>
              <w:rPr>
                <w:rFonts w:cs="Calibri"/>
              </w:rPr>
            </w:pPr>
            <w:r w:rsidRPr="007D15C3">
              <w:rPr>
                <w:rFonts w:cs="Calibri"/>
              </w:rPr>
              <w:t>WINK-TV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DAFB9E" w14:textId="77777777">
            <w:pPr>
              <w:rPr>
                <w:rFonts w:cs="Calibri"/>
              </w:rPr>
            </w:pPr>
            <w:r w:rsidRPr="007D15C3">
              <w:rPr>
                <w:rFonts w:cs="Calibri"/>
              </w:rPr>
              <w:t xml:space="preserve">          1,851,105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F3AE5F" w14:textId="77777777">
            <w:pPr>
              <w:rPr>
                <w:rFonts w:cs="Calibri"/>
              </w:rPr>
            </w:pPr>
            <w:r w:rsidRPr="007D15C3">
              <w:rPr>
                <w:rFonts w:cs="Calibri"/>
              </w:rPr>
              <w:t xml:space="preserve">            1,851,105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75416A" w14:textId="77777777">
            <w:pPr>
              <w:jc w:val="right"/>
              <w:rPr>
                <w:rFonts w:cs="Calibri"/>
              </w:rPr>
            </w:pPr>
            <w:r w:rsidRPr="007D15C3">
              <w:rPr>
                <w:rFonts w:cs="Calibri"/>
              </w:rPr>
              <w:t>$14,507</w:t>
            </w:r>
          </w:p>
        </w:tc>
      </w:tr>
      <w:tr w14:paraId="2A2E980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498D81" w14:textId="77777777">
            <w:pPr>
              <w:jc w:val="center"/>
              <w:rPr>
                <w:rFonts w:cs="Calibri"/>
              </w:rPr>
            </w:pPr>
            <w:r w:rsidRPr="007D15C3">
              <w:rPr>
                <w:rFonts w:cs="Calibri"/>
              </w:rPr>
              <w:t>67787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C64BC1" w14:textId="77777777">
            <w:pPr>
              <w:jc w:val="center"/>
              <w:rPr>
                <w:rFonts w:cs="Calibri"/>
              </w:rPr>
            </w:pPr>
            <w:r w:rsidRPr="007D15C3">
              <w:rPr>
                <w:rFonts w:cs="Calibri"/>
              </w:rPr>
              <w:t>WINM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55064C" w14:textId="77777777">
            <w:pPr>
              <w:rPr>
                <w:rFonts w:cs="Calibri"/>
              </w:rPr>
            </w:pPr>
            <w:r w:rsidRPr="007D15C3">
              <w:rPr>
                <w:rFonts w:cs="Calibri"/>
              </w:rPr>
              <w:t xml:space="preserve">          1,001,485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DF93FC" w14:textId="77777777">
            <w:pPr>
              <w:rPr>
                <w:rFonts w:cs="Calibri"/>
              </w:rPr>
            </w:pPr>
            <w:r w:rsidRPr="007D15C3">
              <w:rPr>
                <w:rFonts w:cs="Calibri"/>
              </w:rPr>
              <w:t xml:space="preserve">               971,031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3D067B" w14:textId="77777777">
            <w:pPr>
              <w:jc w:val="right"/>
              <w:rPr>
                <w:rFonts w:cs="Calibri"/>
              </w:rPr>
            </w:pPr>
            <w:r w:rsidRPr="007D15C3">
              <w:rPr>
                <w:rFonts w:cs="Calibri"/>
              </w:rPr>
              <w:t>$7,610</w:t>
            </w:r>
          </w:p>
        </w:tc>
      </w:tr>
      <w:tr w14:paraId="604F8643"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8AAAB1" w14:textId="77777777">
            <w:pPr>
              <w:jc w:val="center"/>
              <w:rPr>
                <w:rFonts w:cs="Calibri"/>
              </w:rPr>
            </w:pPr>
            <w:r w:rsidRPr="007D15C3">
              <w:rPr>
                <w:rFonts w:cs="Calibri"/>
              </w:rPr>
              <w:t>41314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AC32EF4" w14:textId="77777777">
            <w:pPr>
              <w:jc w:val="center"/>
              <w:rPr>
                <w:rFonts w:cs="Calibri"/>
              </w:rPr>
            </w:pPr>
            <w:r w:rsidRPr="007D15C3">
              <w:rPr>
                <w:rFonts w:cs="Calibri"/>
              </w:rPr>
              <w:t>WINP-TV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CED1AA4" w14:textId="77777777">
            <w:pPr>
              <w:rPr>
                <w:rFonts w:cs="Calibri"/>
              </w:rPr>
            </w:pPr>
            <w:r w:rsidRPr="007D15C3">
              <w:rPr>
                <w:rFonts w:cs="Calibri"/>
              </w:rPr>
              <w:t xml:space="preserve">          2,804,646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F23AA70" w14:textId="77777777">
            <w:pPr>
              <w:rPr>
                <w:rFonts w:cs="Calibri"/>
              </w:rPr>
            </w:pPr>
            <w:r w:rsidRPr="007D15C3">
              <w:rPr>
                <w:rFonts w:cs="Calibri"/>
              </w:rPr>
              <w:t xml:space="preserve">            2,748,454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64E98FB" w14:textId="77777777">
            <w:pPr>
              <w:jc w:val="right"/>
              <w:rPr>
                <w:rFonts w:cs="Calibri"/>
              </w:rPr>
            </w:pPr>
            <w:r w:rsidRPr="007D15C3">
              <w:rPr>
                <w:rFonts w:cs="Calibri"/>
              </w:rPr>
              <w:t>$21,540</w:t>
            </w:r>
          </w:p>
        </w:tc>
      </w:tr>
      <w:tr w14:paraId="7BD5BA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DE9134" w14:textId="77777777">
            <w:pPr>
              <w:jc w:val="center"/>
              <w:rPr>
                <w:rFonts w:cs="Calibri"/>
              </w:rPr>
            </w:pPr>
            <w:r w:rsidRPr="007D15C3">
              <w:rPr>
                <w:rFonts w:cs="Calibri"/>
              </w:rPr>
              <w:t>3646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756211" w14:textId="77777777">
            <w:pPr>
              <w:jc w:val="center"/>
              <w:rPr>
                <w:rFonts w:cs="Calibri"/>
              </w:rPr>
            </w:pPr>
            <w:r w:rsidRPr="007D15C3">
              <w:rPr>
                <w:rFonts w:cs="Calibri"/>
              </w:rPr>
              <w:t>WIPB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3FE86B" w14:textId="77777777">
            <w:pPr>
              <w:rPr>
                <w:rFonts w:cs="Calibri"/>
              </w:rPr>
            </w:pPr>
            <w:r w:rsidRPr="007D15C3">
              <w:rPr>
                <w:rFonts w:cs="Calibri"/>
              </w:rPr>
              <w:t xml:space="preserve">          1,962,078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C3F3DD" w14:textId="77777777">
            <w:pPr>
              <w:rPr>
                <w:rFonts w:cs="Calibri"/>
              </w:rPr>
            </w:pPr>
            <w:r w:rsidRPr="007D15C3">
              <w:rPr>
                <w:rFonts w:cs="Calibri"/>
              </w:rPr>
              <w:t xml:space="preserve">            1,961,899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6F3875" w14:textId="77777777">
            <w:pPr>
              <w:jc w:val="right"/>
              <w:rPr>
                <w:rFonts w:cs="Calibri"/>
              </w:rPr>
            </w:pPr>
            <w:r w:rsidRPr="007D15C3">
              <w:rPr>
                <w:rFonts w:cs="Calibri"/>
              </w:rPr>
              <w:t>$15,375</w:t>
            </w:r>
          </w:p>
        </w:tc>
      </w:tr>
      <w:tr w14:paraId="64AB1A6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54D3E6" w14:textId="77777777">
            <w:pPr>
              <w:jc w:val="center"/>
              <w:rPr>
                <w:rFonts w:cs="Calibri"/>
              </w:rPr>
            </w:pPr>
            <w:r w:rsidRPr="007D15C3">
              <w:rPr>
                <w:rFonts w:cs="Calibri"/>
              </w:rPr>
              <w:t>48408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520030" w14:textId="77777777">
            <w:pPr>
              <w:jc w:val="center"/>
              <w:rPr>
                <w:rFonts w:cs="Calibri"/>
              </w:rPr>
            </w:pPr>
            <w:r w:rsidRPr="007D15C3">
              <w:rPr>
                <w:rFonts w:cs="Calibri"/>
              </w:rPr>
              <w:t>WIPL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DDFEE9" w14:textId="77777777">
            <w:pPr>
              <w:rPr>
                <w:rFonts w:cs="Calibri"/>
              </w:rPr>
            </w:pPr>
            <w:r w:rsidRPr="007D15C3">
              <w:rPr>
                <w:rFonts w:cs="Calibri"/>
              </w:rPr>
              <w:t xml:space="preserve">             850,656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8929CD" w14:textId="77777777">
            <w:pPr>
              <w:rPr>
                <w:rFonts w:cs="Calibri"/>
              </w:rPr>
            </w:pPr>
            <w:r w:rsidRPr="007D15C3">
              <w:rPr>
                <w:rFonts w:cs="Calibri"/>
              </w:rPr>
              <w:t xml:space="preserve">               799,165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1592BC" w14:textId="77777777">
            <w:pPr>
              <w:jc w:val="right"/>
              <w:rPr>
                <w:rFonts w:cs="Calibri"/>
              </w:rPr>
            </w:pPr>
            <w:r w:rsidRPr="007D15C3">
              <w:rPr>
                <w:rFonts w:cs="Calibri"/>
              </w:rPr>
              <w:t>$6,263</w:t>
            </w:r>
          </w:p>
        </w:tc>
      </w:tr>
      <w:tr w14:paraId="21EDE0D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20AEAC" w14:textId="77777777">
            <w:pPr>
              <w:jc w:val="center"/>
              <w:rPr>
                <w:rFonts w:cs="Calibri"/>
              </w:rPr>
            </w:pPr>
            <w:r w:rsidRPr="007D15C3">
              <w:rPr>
                <w:rFonts w:cs="Calibri"/>
              </w:rPr>
              <w:t>53863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D9BA5F" w14:textId="77777777">
            <w:pPr>
              <w:jc w:val="center"/>
              <w:rPr>
                <w:rFonts w:cs="Calibri"/>
              </w:rPr>
            </w:pPr>
            <w:r w:rsidRPr="007D15C3">
              <w:rPr>
                <w:rFonts w:cs="Calibri"/>
              </w:rPr>
              <w:t>WIPM-TV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CFD011" w14:textId="77777777">
            <w:pPr>
              <w:rPr>
                <w:rFonts w:cs="Calibri"/>
              </w:rPr>
            </w:pPr>
            <w:r w:rsidRPr="007D15C3">
              <w:rPr>
                <w:rFonts w:cs="Calibri"/>
              </w:rPr>
              <w:t xml:space="preserve">          2,196,157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6DD1D4" w14:textId="77777777">
            <w:pPr>
              <w:rPr>
                <w:rFonts w:cs="Calibri"/>
              </w:rPr>
            </w:pPr>
            <w:r w:rsidRPr="007D15C3">
              <w:rPr>
                <w:rFonts w:cs="Calibri"/>
              </w:rPr>
              <w:t xml:space="preserve">            1,870,057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176797" w14:textId="77777777">
            <w:pPr>
              <w:jc w:val="right"/>
              <w:rPr>
                <w:rFonts w:cs="Calibri"/>
              </w:rPr>
            </w:pPr>
            <w:r w:rsidRPr="007D15C3">
              <w:rPr>
                <w:rFonts w:cs="Calibri"/>
              </w:rPr>
              <w:t>$2,269</w:t>
            </w:r>
          </w:p>
        </w:tc>
      </w:tr>
      <w:tr w14:paraId="222AB6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D6D7BE" w14:textId="77777777">
            <w:pPr>
              <w:jc w:val="center"/>
              <w:rPr>
                <w:rFonts w:cs="Calibri"/>
              </w:rPr>
            </w:pPr>
            <w:r w:rsidRPr="007D15C3">
              <w:rPr>
                <w:rFonts w:cs="Calibri"/>
              </w:rPr>
              <w:t>53859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61F6CBC" w14:textId="77777777">
            <w:pPr>
              <w:jc w:val="center"/>
              <w:rPr>
                <w:rFonts w:cs="Calibri"/>
              </w:rPr>
            </w:pPr>
            <w:r w:rsidRPr="007D15C3">
              <w:rPr>
                <w:rFonts w:cs="Calibri"/>
              </w:rPr>
              <w:t>WIPR-TV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9B6AE6" w14:textId="77777777">
            <w:pPr>
              <w:rPr>
                <w:rFonts w:cs="Calibri"/>
              </w:rPr>
            </w:pPr>
            <w:r w:rsidRPr="007D15C3">
              <w:rPr>
                <w:rFonts w:cs="Calibri"/>
              </w:rPr>
              <w:t xml:space="preserve">          3,596,802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60C41C" w14:textId="77777777">
            <w:pPr>
              <w:rPr>
                <w:rFonts w:cs="Calibri"/>
              </w:rPr>
            </w:pPr>
            <w:r w:rsidRPr="007D15C3">
              <w:rPr>
                <w:rFonts w:cs="Calibri"/>
              </w:rPr>
              <w:t xml:space="preserve">            3,382,849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5035BE" w14:textId="77777777">
            <w:pPr>
              <w:jc w:val="right"/>
              <w:rPr>
                <w:rFonts w:cs="Calibri"/>
              </w:rPr>
            </w:pPr>
            <w:r w:rsidRPr="007D15C3">
              <w:rPr>
                <w:rFonts w:cs="Calibri"/>
              </w:rPr>
              <w:t>$22,031</w:t>
            </w:r>
          </w:p>
        </w:tc>
      </w:tr>
      <w:tr w14:paraId="2765B0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A75B35" w14:textId="77777777">
            <w:pPr>
              <w:jc w:val="center"/>
              <w:rPr>
                <w:rFonts w:cs="Calibri"/>
              </w:rPr>
            </w:pPr>
            <w:r w:rsidRPr="007D15C3">
              <w:rPr>
                <w:rFonts w:cs="Calibri"/>
              </w:rPr>
              <w:t>10253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62E7E1" w14:textId="77777777">
            <w:pPr>
              <w:jc w:val="center"/>
              <w:rPr>
                <w:rFonts w:cs="Calibri"/>
              </w:rPr>
            </w:pPr>
            <w:r w:rsidRPr="007D15C3">
              <w:rPr>
                <w:rFonts w:cs="Calibri"/>
              </w:rPr>
              <w:t>WIPX-TV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668498" w14:textId="77777777">
            <w:pPr>
              <w:rPr>
                <w:rFonts w:cs="Calibri"/>
              </w:rPr>
            </w:pPr>
            <w:r w:rsidRPr="007D15C3">
              <w:rPr>
                <w:rFonts w:cs="Calibri"/>
              </w:rPr>
              <w:t xml:space="preserve">          2,258,426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F99D9A" w14:textId="77777777">
            <w:pPr>
              <w:rPr>
                <w:rFonts w:cs="Calibri"/>
              </w:rPr>
            </w:pPr>
            <w:r w:rsidRPr="007D15C3">
              <w:rPr>
                <w:rFonts w:cs="Calibri"/>
              </w:rPr>
              <w:t xml:space="preserve">            2,256,937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1FE375" w14:textId="77777777">
            <w:pPr>
              <w:jc w:val="right"/>
              <w:rPr>
                <w:rFonts w:cs="Calibri"/>
              </w:rPr>
            </w:pPr>
            <w:r w:rsidRPr="007D15C3">
              <w:rPr>
                <w:rFonts w:cs="Calibri"/>
              </w:rPr>
              <w:t>$17,688</w:t>
            </w:r>
          </w:p>
        </w:tc>
      </w:tr>
      <w:tr w14:paraId="24DC292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1FFDE7" w14:textId="77777777">
            <w:pPr>
              <w:jc w:val="center"/>
              <w:rPr>
                <w:rFonts w:cs="Calibri"/>
              </w:rPr>
            </w:pPr>
            <w:r w:rsidRPr="007D15C3">
              <w:rPr>
                <w:rFonts w:cs="Calibri"/>
              </w:rPr>
              <w:t>39887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5C4135" w14:textId="77777777">
            <w:pPr>
              <w:jc w:val="center"/>
              <w:rPr>
                <w:rFonts w:cs="Calibri"/>
              </w:rPr>
            </w:pPr>
            <w:r w:rsidRPr="007D15C3">
              <w:rPr>
                <w:rFonts w:cs="Calibri"/>
              </w:rPr>
              <w:t>WIRS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3E9A99" w14:textId="77777777">
            <w:pPr>
              <w:rPr>
                <w:rFonts w:cs="Calibri"/>
              </w:rPr>
            </w:pPr>
            <w:r w:rsidRPr="007D15C3">
              <w:rPr>
                <w:rFonts w:cs="Calibri"/>
              </w:rPr>
              <w:t xml:space="preserve">          1,153,382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BDB23B" w14:textId="77777777">
            <w:pPr>
              <w:rPr>
                <w:rFonts w:cs="Calibri"/>
              </w:rPr>
            </w:pPr>
            <w:r w:rsidRPr="007D15C3">
              <w:rPr>
                <w:rFonts w:cs="Calibri"/>
              </w:rPr>
              <w:t xml:space="preserve">               916,310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6B4252" w14:textId="77777777">
            <w:pPr>
              <w:jc w:val="right"/>
              <w:rPr>
                <w:rFonts w:cs="Calibri"/>
              </w:rPr>
            </w:pPr>
            <w:r w:rsidRPr="007D15C3">
              <w:rPr>
                <w:rFonts w:cs="Calibri"/>
              </w:rPr>
              <w:t>$4,706</w:t>
            </w:r>
          </w:p>
        </w:tc>
      </w:tr>
      <w:tr w14:paraId="588834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24273F" w14:textId="77777777">
            <w:pPr>
              <w:jc w:val="center"/>
              <w:rPr>
                <w:rFonts w:cs="Calibri"/>
              </w:rPr>
            </w:pPr>
            <w:r w:rsidRPr="007D15C3">
              <w:rPr>
                <w:rFonts w:cs="Calibri"/>
              </w:rPr>
              <w:t>71336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026072" w14:textId="77777777">
            <w:pPr>
              <w:jc w:val="center"/>
              <w:rPr>
                <w:rFonts w:cs="Calibri"/>
              </w:rPr>
            </w:pPr>
            <w:r w:rsidRPr="007D15C3">
              <w:rPr>
                <w:rFonts w:cs="Calibri"/>
              </w:rPr>
              <w:t>WIRT-DT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3AD6F8" w14:textId="77777777">
            <w:pPr>
              <w:rPr>
                <w:rFonts w:cs="Calibri"/>
              </w:rPr>
            </w:pPr>
            <w:r w:rsidRPr="007D15C3">
              <w:rPr>
                <w:rFonts w:cs="Calibri"/>
              </w:rPr>
              <w:t xml:space="preserve">             127,001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55D4F6" w14:textId="77777777">
            <w:pPr>
              <w:rPr>
                <w:rFonts w:cs="Calibri"/>
              </w:rPr>
            </w:pPr>
            <w:r w:rsidRPr="007D15C3">
              <w:rPr>
                <w:rFonts w:cs="Calibri"/>
              </w:rPr>
              <w:t xml:space="preserve">               126,300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D7DEB9" w14:textId="77777777">
            <w:pPr>
              <w:jc w:val="right"/>
              <w:rPr>
                <w:rFonts w:cs="Calibri"/>
              </w:rPr>
            </w:pPr>
            <w:r w:rsidRPr="007D15C3">
              <w:rPr>
                <w:rFonts w:cs="Calibri"/>
              </w:rPr>
              <w:t>$990</w:t>
            </w:r>
          </w:p>
        </w:tc>
      </w:tr>
      <w:tr w14:paraId="5B86B1C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57BAA8" w14:textId="77777777">
            <w:pPr>
              <w:jc w:val="center"/>
              <w:rPr>
                <w:rFonts w:cs="Calibri"/>
              </w:rPr>
            </w:pPr>
            <w:r w:rsidRPr="007D15C3">
              <w:rPr>
                <w:rFonts w:cs="Calibri"/>
              </w:rPr>
              <w:t>13990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A0CBBF" w14:textId="77777777">
            <w:pPr>
              <w:jc w:val="center"/>
              <w:rPr>
                <w:rFonts w:cs="Calibri"/>
              </w:rPr>
            </w:pPr>
            <w:r w:rsidRPr="007D15C3">
              <w:rPr>
                <w:rFonts w:cs="Calibri"/>
              </w:rPr>
              <w:t>WIS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B53D05" w14:textId="77777777">
            <w:pPr>
              <w:rPr>
                <w:rFonts w:cs="Calibri"/>
              </w:rPr>
            </w:pPr>
            <w:r w:rsidRPr="007D15C3">
              <w:rPr>
                <w:rFonts w:cs="Calibri"/>
              </w:rPr>
              <w:t xml:space="preserve">          2,644,715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F2D276" w14:textId="77777777">
            <w:pPr>
              <w:rPr>
                <w:rFonts w:cs="Calibri"/>
              </w:rPr>
            </w:pPr>
            <w:r w:rsidRPr="007D15C3">
              <w:rPr>
                <w:rFonts w:cs="Calibri"/>
              </w:rPr>
              <w:t xml:space="preserve">            2,600,887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80FD6A" w14:textId="77777777">
            <w:pPr>
              <w:jc w:val="right"/>
              <w:rPr>
                <w:rFonts w:cs="Calibri"/>
              </w:rPr>
            </w:pPr>
            <w:r w:rsidRPr="007D15C3">
              <w:rPr>
                <w:rFonts w:cs="Calibri"/>
              </w:rPr>
              <w:t>$20,383</w:t>
            </w:r>
          </w:p>
        </w:tc>
      </w:tr>
      <w:tr w14:paraId="2503179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5F4389" w14:textId="77777777">
            <w:pPr>
              <w:jc w:val="center"/>
              <w:rPr>
                <w:rFonts w:cs="Calibri"/>
              </w:rPr>
            </w:pPr>
            <w:r w:rsidRPr="007D15C3">
              <w:rPr>
                <w:rFonts w:cs="Calibri"/>
              </w:rPr>
              <w:t>65143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AEBE9B" w14:textId="77777777">
            <w:pPr>
              <w:jc w:val="center"/>
              <w:rPr>
                <w:rFonts w:cs="Calibri"/>
              </w:rPr>
            </w:pPr>
            <w:r w:rsidRPr="007D15C3">
              <w:rPr>
                <w:rFonts w:cs="Calibri"/>
              </w:rPr>
              <w:t>WISC-TV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D2FFFF" w14:textId="77777777">
            <w:pPr>
              <w:rPr>
                <w:rFonts w:cs="Calibri"/>
              </w:rPr>
            </w:pPr>
            <w:r w:rsidRPr="007D15C3">
              <w:rPr>
                <w:rFonts w:cs="Calibri"/>
              </w:rPr>
              <w:t xml:space="preserve">          1,830,642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B3C29E" w14:textId="77777777">
            <w:pPr>
              <w:rPr>
                <w:rFonts w:cs="Calibri"/>
              </w:rPr>
            </w:pPr>
            <w:r w:rsidRPr="007D15C3">
              <w:rPr>
                <w:rFonts w:cs="Calibri"/>
              </w:rPr>
              <w:t xml:space="preserve">            1,811,579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3DC6DE" w14:textId="77777777">
            <w:pPr>
              <w:jc w:val="right"/>
              <w:rPr>
                <w:rFonts w:cs="Calibri"/>
              </w:rPr>
            </w:pPr>
            <w:r w:rsidRPr="007D15C3">
              <w:rPr>
                <w:rFonts w:cs="Calibri"/>
              </w:rPr>
              <w:t>$14,197</w:t>
            </w:r>
          </w:p>
        </w:tc>
      </w:tr>
      <w:tr w14:paraId="154820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AC6CF3" w14:textId="77777777">
            <w:pPr>
              <w:jc w:val="center"/>
              <w:rPr>
                <w:rFonts w:cs="Calibri"/>
              </w:rPr>
            </w:pPr>
            <w:r w:rsidRPr="007D15C3">
              <w:rPr>
                <w:rFonts w:cs="Calibri"/>
              </w:rPr>
              <w:t>13960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DC5423" w14:textId="77777777">
            <w:pPr>
              <w:jc w:val="center"/>
              <w:rPr>
                <w:rFonts w:cs="Calibri"/>
              </w:rPr>
            </w:pPr>
            <w:r w:rsidRPr="007D15C3">
              <w:rPr>
                <w:rFonts w:cs="Calibri"/>
              </w:rPr>
              <w:t>WISE-TV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947C7D" w14:textId="77777777">
            <w:pPr>
              <w:rPr>
                <w:rFonts w:cs="Calibri"/>
              </w:rPr>
            </w:pPr>
            <w:r w:rsidRPr="007D15C3">
              <w:rPr>
                <w:rFonts w:cs="Calibri"/>
              </w:rPr>
              <w:t xml:space="preserve">          1,070,155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78939C" w14:textId="77777777">
            <w:pPr>
              <w:rPr>
                <w:rFonts w:cs="Calibri"/>
              </w:rPr>
            </w:pPr>
            <w:r w:rsidRPr="007D15C3">
              <w:rPr>
                <w:rFonts w:cs="Calibri"/>
              </w:rPr>
              <w:t xml:space="preserve">            1,070,155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C3BD75" w14:textId="77777777">
            <w:pPr>
              <w:jc w:val="right"/>
              <w:rPr>
                <w:rFonts w:cs="Calibri"/>
              </w:rPr>
            </w:pPr>
            <w:r w:rsidRPr="007D15C3">
              <w:rPr>
                <w:rFonts w:cs="Calibri"/>
              </w:rPr>
              <w:t>$8,387</w:t>
            </w:r>
          </w:p>
        </w:tc>
      </w:tr>
      <w:tr w14:paraId="002ACE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015CF3" w14:textId="77777777">
            <w:pPr>
              <w:jc w:val="center"/>
              <w:rPr>
                <w:rFonts w:cs="Calibri"/>
              </w:rPr>
            </w:pPr>
            <w:r w:rsidRPr="007D15C3">
              <w:rPr>
                <w:rFonts w:cs="Calibri"/>
              </w:rPr>
              <w:t>39269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5796CA" w14:textId="77777777">
            <w:pPr>
              <w:jc w:val="center"/>
              <w:rPr>
                <w:rFonts w:cs="Calibri"/>
              </w:rPr>
            </w:pPr>
            <w:r w:rsidRPr="007D15C3">
              <w:rPr>
                <w:rFonts w:cs="Calibri"/>
              </w:rPr>
              <w:t>WISH-TV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40AC49" w14:textId="77777777">
            <w:pPr>
              <w:rPr>
                <w:rFonts w:cs="Calibri"/>
              </w:rPr>
            </w:pPr>
            <w:r w:rsidRPr="007D15C3">
              <w:rPr>
                <w:rFonts w:cs="Calibri"/>
              </w:rPr>
              <w:t xml:space="preserve">          2,912,963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1E2B62" w14:textId="77777777">
            <w:pPr>
              <w:rPr>
                <w:rFonts w:cs="Calibri"/>
              </w:rPr>
            </w:pPr>
            <w:r w:rsidRPr="007D15C3">
              <w:rPr>
                <w:rFonts w:cs="Calibri"/>
              </w:rPr>
              <w:t xml:space="preserve">            2,855,253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7337A7" w14:textId="77777777">
            <w:pPr>
              <w:jc w:val="right"/>
              <w:rPr>
                <w:rFonts w:cs="Calibri"/>
              </w:rPr>
            </w:pPr>
            <w:r w:rsidRPr="007D15C3">
              <w:rPr>
                <w:rFonts w:cs="Calibri"/>
              </w:rPr>
              <w:t>$22,377</w:t>
            </w:r>
          </w:p>
        </w:tc>
      </w:tr>
      <w:tr w14:paraId="63D1A3A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457225" w14:textId="77777777">
            <w:pPr>
              <w:jc w:val="center"/>
              <w:rPr>
                <w:rFonts w:cs="Calibri"/>
              </w:rPr>
            </w:pPr>
            <w:r w:rsidRPr="007D15C3">
              <w:rPr>
                <w:rFonts w:cs="Calibri"/>
              </w:rPr>
              <w:t>65680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38BAC0" w14:textId="77777777">
            <w:pPr>
              <w:jc w:val="center"/>
              <w:rPr>
                <w:rFonts w:cs="Calibri"/>
              </w:rPr>
            </w:pPr>
            <w:r w:rsidRPr="007D15C3">
              <w:rPr>
                <w:rFonts w:cs="Calibri"/>
              </w:rPr>
              <w:t>WISN-TV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6140A3" w14:textId="77777777">
            <w:pPr>
              <w:rPr>
                <w:rFonts w:cs="Calibri"/>
              </w:rPr>
            </w:pPr>
            <w:r w:rsidRPr="007D15C3">
              <w:rPr>
                <w:rFonts w:cs="Calibri"/>
              </w:rPr>
              <w:t xml:space="preserve">          2,938,180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F97B96" w14:textId="77777777">
            <w:pPr>
              <w:rPr>
                <w:rFonts w:cs="Calibri"/>
              </w:rPr>
            </w:pPr>
            <w:r w:rsidRPr="007D15C3">
              <w:rPr>
                <w:rFonts w:cs="Calibri"/>
              </w:rPr>
              <w:t xml:space="preserve">            2,926,133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07298C" w14:textId="77777777">
            <w:pPr>
              <w:jc w:val="right"/>
              <w:rPr>
                <w:rFonts w:cs="Calibri"/>
              </w:rPr>
            </w:pPr>
            <w:r w:rsidRPr="007D15C3">
              <w:rPr>
                <w:rFonts w:cs="Calibri"/>
              </w:rPr>
              <w:t>$22,932</w:t>
            </w:r>
          </w:p>
        </w:tc>
      </w:tr>
      <w:tr w14:paraId="07ECA76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80BFB8" w14:textId="77777777">
            <w:pPr>
              <w:jc w:val="center"/>
              <w:rPr>
                <w:rFonts w:cs="Calibri"/>
              </w:rPr>
            </w:pPr>
            <w:r w:rsidRPr="007D15C3">
              <w:rPr>
                <w:rFonts w:cs="Calibri"/>
              </w:rPr>
              <w:t>73083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47E58F" w14:textId="77777777">
            <w:pPr>
              <w:jc w:val="center"/>
              <w:rPr>
                <w:rFonts w:cs="Calibri"/>
              </w:rPr>
            </w:pPr>
            <w:r w:rsidRPr="007D15C3">
              <w:rPr>
                <w:rFonts w:cs="Calibri"/>
              </w:rPr>
              <w:t>WITF-TV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3E988F" w14:textId="77777777">
            <w:pPr>
              <w:rPr>
                <w:rFonts w:cs="Calibri"/>
              </w:rPr>
            </w:pPr>
            <w:r w:rsidRPr="007D15C3">
              <w:rPr>
                <w:rFonts w:cs="Calibri"/>
              </w:rPr>
              <w:t xml:space="preserve">          2,412,561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6F784C" w14:textId="77777777">
            <w:pPr>
              <w:rPr>
                <w:rFonts w:cs="Calibri"/>
              </w:rPr>
            </w:pPr>
            <w:r w:rsidRPr="007D15C3">
              <w:rPr>
                <w:rFonts w:cs="Calibri"/>
              </w:rPr>
              <w:t xml:space="preserve">            2,191,501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66C6FD" w14:textId="77777777">
            <w:pPr>
              <w:jc w:val="right"/>
              <w:rPr>
                <w:rFonts w:cs="Calibri"/>
              </w:rPr>
            </w:pPr>
            <w:r w:rsidRPr="007D15C3">
              <w:rPr>
                <w:rFonts w:cs="Calibri"/>
              </w:rPr>
              <w:t>$17,175</w:t>
            </w:r>
          </w:p>
        </w:tc>
      </w:tr>
      <w:tr w14:paraId="41ECCEA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DF3645" w14:textId="77777777">
            <w:pPr>
              <w:jc w:val="center"/>
              <w:rPr>
                <w:rFonts w:cs="Calibri"/>
              </w:rPr>
            </w:pPr>
            <w:r w:rsidRPr="007D15C3">
              <w:rPr>
                <w:rFonts w:cs="Calibri"/>
              </w:rPr>
              <w:t>73107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31C7B7" w14:textId="77777777">
            <w:pPr>
              <w:jc w:val="center"/>
              <w:rPr>
                <w:rFonts w:cs="Calibri"/>
              </w:rPr>
            </w:pPr>
            <w:r w:rsidRPr="007D15C3">
              <w:rPr>
                <w:rFonts w:cs="Calibri"/>
              </w:rPr>
              <w:t>WITI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C7785F" w14:textId="77777777">
            <w:pPr>
              <w:rPr>
                <w:rFonts w:cs="Calibri"/>
              </w:rPr>
            </w:pPr>
            <w:r w:rsidRPr="007D15C3">
              <w:rPr>
                <w:rFonts w:cs="Calibri"/>
              </w:rPr>
              <w:t xml:space="preserve">          3,117,342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619386" w14:textId="77777777">
            <w:pPr>
              <w:rPr>
                <w:rFonts w:cs="Calibri"/>
              </w:rPr>
            </w:pPr>
            <w:r w:rsidRPr="007D15C3">
              <w:rPr>
                <w:rFonts w:cs="Calibri"/>
              </w:rPr>
              <w:t xml:space="preserve">            3,107,791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6572AB" w14:textId="77777777">
            <w:pPr>
              <w:jc w:val="right"/>
              <w:rPr>
                <w:rFonts w:cs="Calibri"/>
              </w:rPr>
            </w:pPr>
            <w:r w:rsidRPr="007D15C3">
              <w:rPr>
                <w:rFonts w:cs="Calibri"/>
              </w:rPr>
              <w:t>$24,356</w:t>
            </w:r>
          </w:p>
        </w:tc>
      </w:tr>
      <w:tr w14:paraId="00F8DF5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C1CAC5" w14:textId="77777777">
            <w:pPr>
              <w:jc w:val="center"/>
              <w:rPr>
                <w:rFonts w:cs="Calibri"/>
              </w:rPr>
            </w:pPr>
            <w:r w:rsidRPr="007D15C3">
              <w:rPr>
                <w:rFonts w:cs="Calibri"/>
              </w:rPr>
              <w:t>594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8CAE14" w14:textId="77777777">
            <w:pPr>
              <w:jc w:val="center"/>
              <w:rPr>
                <w:rFonts w:cs="Calibri"/>
              </w:rPr>
            </w:pPr>
            <w:r w:rsidRPr="007D15C3">
              <w:rPr>
                <w:rFonts w:cs="Calibri"/>
              </w:rPr>
              <w:t>WITN-TV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FEE5D1" w14:textId="77777777">
            <w:pPr>
              <w:rPr>
                <w:rFonts w:cs="Calibri"/>
              </w:rPr>
            </w:pPr>
            <w:r w:rsidRPr="007D15C3">
              <w:rPr>
                <w:rFonts w:cs="Calibri"/>
              </w:rPr>
              <w:t xml:space="preserve">          1,768,040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C377BC" w14:textId="77777777">
            <w:pPr>
              <w:rPr>
                <w:rFonts w:cs="Calibri"/>
              </w:rPr>
            </w:pPr>
            <w:r w:rsidRPr="007D15C3">
              <w:rPr>
                <w:rFonts w:cs="Calibri"/>
              </w:rPr>
              <w:t xml:space="preserve">            1,754,388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D56E64" w14:textId="77777777">
            <w:pPr>
              <w:jc w:val="right"/>
              <w:rPr>
                <w:rFonts w:cs="Calibri"/>
              </w:rPr>
            </w:pPr>
            <w:r w:rsidRPr="007D15C3">
              <w:rPr>
                <w:rFonts w:cs="Calibri"/>
              </w:rPr>
              <w:t>$13,749</w:t>
            </w:r>
          </w:p>
        </w:tc>
      </w:tr>
      <w:tr w14:paraId="161B41E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9D3E42" w14:textId="77777777">
            <w:pPr>
              <w:jc w:val="center"/>
              <w:rPr>
                <w:rFonts w:cs="Calibri"/>
              </w:rPr>
            </w:pPr>
            <w:r w:rsidRPr="007D15C3">
              <w:rPr>
                <w:rFonts w:cs="Calibri"/>
              </w:rPr>
              <w:t>61005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6A5D85" w14:textId="77777777">
            <w:pPr>
              <w:jc w:val="center"/>
              <w:rPr>
                <w:rFonts w:cs="Calibri"/>
              </w:rPr>
            </w:pPr>
            <w:r w:rsidRPr="007D15C3">
              <w:rPr>
                <w:rFonts w:cs="Calibri"/>
              </w:rPr>
              <w:t>WITV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9279B4" w14:textId="77777777">
            <w:pPr>
              <w:rPr>
                <w:rFonts w:cs="Calibri"/>
              </w:rPr>
            </w:pPr>
            <w:r w:rsidRPr="007D15C3">
              <w:rPr>
                <w:rFonts w:cs="Calibri"/>
              </w:rPr>
              <w:t xml:space="preserve">          1,081,393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53C5AE" w14:textId="77777777">
            <w:pPr>
              <w:rPr>
                <w:rFonts w:cs="Calibri"/>
              </w:rPr>
            </w:pPr>
            <w:r w:rsidRPr="007D15C3">
              <w:rPr>
                <w:rFonts w:cs="Calibri"/>
              </w:rPr>
              <w:t xml:space="preserve">            1,081,393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D39580" w14:textId="77777777">
            <w:pPr>
              <w:jc w:val="right"/>
              <w:rPr>
                <w:rFonts w:cs="Calibri"/>
              </w:rPr>
            </w:pPr>
            <w:r w:rsidRPr="007D15C3">
              <w:rPr>
                <w:rFonts w:cs="Calibri"/>
              </w:rPr>
              <w:t>$8,475</w:t>
            </w:r>
          </w:p>
        </w:tc>
      </w:tr>
      <w:tr w14:paraId="2F40375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BC95EF" w14:textId="77777777">
            <w:pPr>
              <w:jc w:val="center"/>
              <w:rPr>
                <w:rFonts w:cs="Calibri"/>
              </w:rPr>
            </w:pPr>
            <w:r w:rsidRPr="007D15C3">
              <w:rPr>
                <w:rFonts w:cs="Calibri"/>
              </w:rPr>
              <w:t>7780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D0C932" w14:textId="77777777">
            <w:pPr>
              <w:jc w:val="center"/>
              <w:rPr>
                <w:rFonts w:cs="Calibri"/>
              </w:rPr>
            </w:pPr>
            <w:r w:rsidRPr="007D15C3">
              <w:rPr>
                <w:rFonts w:cs="Calibri"/>
              </w:rPr>
              <w:t>WIVB-TV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C32EB2" w14:textId="77777777">
            <w:pPr>
              <w:rPr>
                <w:rFonts w:cs="Calibri"/>
              </w:rPr>
            </w:pPr>
            <w:r w:rsidRPr="007D15C3">
              <w:rPr>
                <w:rFonts w:cs="Calibri"/>
              </w:rPr>
              <w:t xml:space="preserve">          1,538,108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E350F6" w14:textId="77777777">
            <w:pPr>
              <w:rPr>
                <w:rFonts w:cs="Calibri"/>
              </w:rPr>
            </w:pPr>
            <w:r w:rsidRPr="007D15C3">
              <w:rPr>
                <w:rFonts w:cs="Calibri"/>
              </w:rPr>
              <w:t xml:space="preserve">            1,502,969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A5AF3B" w14:textId="77777777">
            <w:pPr>
              <w:jc w:val="right"/>
              <w:rPr>
                <w:rFonts w:cs="Calibri"/>
              </w:rPr>
            </w:pPr>
            <w:r w:rsidRPr="007D15C3">
              <w:rPr>
                <w:rFonts w:cs="Calibri"/>
              </w:rPr>
              <w:t>$11,779</w:t>
            </w:r>
          </w:p>
        </w:tc>
      </w:tr>
      <w:tr w14:paraId="13EAB85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96B979" w14:textId="77777777">
            <w:pPr>
              <w:jc w:val="center"/>
              <w:rPr>
                <w:rFonts w:cs="Calibri"/>
              </w:rPr>
            </w:pPr>
            <w:r w:rsidRPr="007D15C3">
              <w:rPr>
                <w:rFonts w:cs="Calibri"/>
              </w:rPr>
              <w:t>11260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5646C0" w14:textId="77777777">
            <w:pPr>
              <w:jc w:val="center"/>
              <w:rPr>
                <w:rFonts w:cs="Calibri"/>
              </w:rPr>
            </w:pPr>
            <w:r w:rsidRPr="007D15C3">
              <w:rPr>
                <w:rFonts w:cs="Calibri"/>
              </w:rPr>
              <w:t>WIVT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E50DE3" w14:textId="77777777">
            <w:pPr>
              <w:rPr>
                <w:rFonts w:cs="Calibri"/>
              </w:rPr>
            </w:pPr>
            <w:r w:rsidRPr="007D15C3">
              <w:rPr>
                <w:rFonts w:cs="Calibri"/>
              </w:rPr>
              <w:t xml:space="preserve">             856,453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52AB02" w14:textId="77777777">
            <w:pPr>
              <w:rPr>
                <w:rFonts w:cs="Calibri"/>
              </w:rPr>
            </w:pPr>
            <w:r w:rsidRPr="007D15C3">
              <w:rPr>
                <w:rFonts w:cs="Calibri"/>
              </w:rPr>
              <w:t xml:space="preserve">               607,256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775B00" w14:textId="77777777">
            <w:pPr>
              <w:jc w:val="right"/>
              <w:rPr>
                <w:rFonts w:cs="Calibri"/>
              </w:rPr>
            </w:pPr>
            <w:r w:rsidRPr="007D15C3">
              <w:rPr>
                <w:rFonts w:cs="Calibri"/>
              </w:rPr>
              <w:t>$4,759</w:t>
            </w:r>
          </w:p>
        </w:tc>
      </w:tr>
      <w:tr w14:paraId="3533D14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AF8574" w14:textId="77777777">
            <w:pPr>
              <w:jc w:val="center"/>
              <w:rPr>
                <w:rFonts w:cs="Calibri"/>
              </w:rPr>
            </w:pPr>
            <w:r w:rsidRPr="007D15C3">
              <w:rPr>
                <w:rFonts w:cs="Calibri"/>
              </w:rPr>
              <w:t>60571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9F796D" w14:textId="77777777">
            <w:pPr>
              <w:jc w:val="center"/>
              <w:rPr>
                <w:rFonts w:cs="Calibri"/>
              </w:rPr>
            </w:pPr>
            <w:r w:rsidRPr="007D15C3">
              <w:rPr>
                <w:rFonts w:cs="Calibri"/>
              </w:rPr>
              <w:t>WIWN*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020C9C" w14:textId="77777777">
            <w:pPr>
              <w:rPr>
                <w:rFonts w:cs="Calibri"/>
              </w:rPr>
            </w:pPr>
            <w:r w:rsidRPr="007D15C3">
              <w:rPr>
                <w:rFonts w:cs="Calibri"/>
              </w:rPr>
              <w:t xml:space="preserve">          3,338,845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AA977C" w14:textId="77777777">
            <w:pPr>
              <w:rPr>
                <w:rFonts w:cs="Calibri"/>
              </w:rPr>
            </w:pPr>
            <w:r w:rsidRPr="007D15C3">
              <w:rPr>
                <w:rFonts w:cs="Calibri"/>
              </w:rPr>
              <w:t xml:space="preserve">            3,323,941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824F95" w14:textId="77777777">
            <w:pPr>
              <w:jc w:val="right"/>
              <w:rPr>
                <w:rFonts w:cs="Calibri"/>
              </w:rPr>
            </w:pPr>
            <w:r w:rsidRPr="007D15C3">
              <w:rPr>
                <w:rFonts w:cs="Calibri"/>
              </w:rPr>
              <w:t>$26,050</w:t>
            </w:r>
          </w:p>
        </w:tc>
      </w:tr>
      <w:tr w14:paraId="0994A03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F196CC" w14:textId="77777777">
            <w:pPr>
              <w:jc w:val="center"/>
              <w:rPr>
                <w:rFonts w:cs="Calibri"/>
              </w:rPr>
            </w:pPr>
            <w:r w:rsidRPr="007D15C3">
              <w:rPr>
                <w:rFonts w:cs="Calibri"/>
              </w:rPr>
              <w:t>62207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32D472" w14:textId="77777777">
            <w:pPr>
              <w:jc w:val="center"/>
              <w:rPr>
                <w:rFonts w:cs="Calibri"/>
              </w:rPr>
            </w:pPr>
            <w:r w:rsidRPr="007D15C3">
              <w:rPr>
                <w:rFonts w:cs="Calibri"/>
              </w:rPr>
              <w:t>WIYC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0CE611" w14:textId="77777777">
            <w:pPr>
              <w:rPr>
                <w:rFonts w:cs="Calibri"/>
              </w:rPr>
            </w:pPr>
            <w:r w:rsidRPr="007D15C3">
              <w:rPr>
                <w:rFonts w:cs="Calibri"/>
              </w:rPr>
              <w:t xml:space="preserve">             526,556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E2ED0B" w14:textId="77777777">
            <w:pPr>
              <w:rPr>
                <w:rFonts w:cs="Calibri"/>
              </w:rPr>
            </w:pPr>
            <w:r w:rsidRPr="007D15C3">
              <w:rPr>
                <w:rFonts w:cs="Calibri"/>
              </w:rPr>
              <w:t xml:space="preserve">               525,826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ACBB26" w14:textId="77777777">
            <w:pPr>
              <w:jc w:val="right"/>
              <w:rPr>
                <w:rFonts w:cs="Calibri"/>
              </w:rPr>
            </w:pPr>
            <w:r w:rsidRPr="007D15C3">
              <w:rPr>
                <w:rFonts w:cs="Calibri"/>
              </w:rPr>
              <w:t>$4,121</w:t>
            </w:r>
          </w:p>
        </w:tc>
      </w:tr>
      <w:tr w14:paraId="524E1FB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D1FCD3" w14:textId="77777777">
            <w:pPr>
              <w:jc w:val="center"/>
              <w:rPr>
                <w:rFonts w:cs="Calibri"/>
              </w:rPr>
            </w:pPr>
            <w:r w:rsidRPr="007D15C3">
              <w:rPr>
                <w:rFonts w:cs="Calibri"/>
              </w:rPr>
              <w:t>73120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3DCE4A7" w14:textId="77777777">
            <w:pPr>
              <w:jc w:val="center"/>
              <w:rPr>
                <w:rFonts w:cs="Calibri"/>
              </w:rPr>
            </w:pPr>
            <w:r w:rsidRPr="007D15C3">
              <w:rPr>
                <w:rFonts w:cs="Calibri"/>
              </w:rPr>
              <w:t>WJAC-TV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3C7E69" w14:textId="77777777">
            <w:pPr>
              <w:rPr>
                <w:rFonts w:cs="Calibri"/>
              </w:rPr>
            </w:pPr>
            <w:r w:rsidRPr="007D15C3">
              <w:rPr>
                <w:rFonts w:cs="Calibri"/>
              </w:rPr>
              <w:t xml:space="preserve">          2,219,529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CA4E46" w14:textId="77777777">
            <w:pPr>
              <w:rPr>
                <w:rFonts w:cs="Calibri"/>
              </w:rPr>
            </w:pPr>
            <w:r w:rsidRPr="007D15C3">
              <w:rPr>
                <w:rFonts w:cs="Calibri"/>
              </w:rPr>
              <w:t xml:space="preserve">            1,897,986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299BE3" w14:textId="77777777">
            <w:pPr>
              <w:jc w:val="right"/>
              <w:rPr>
                <w:rFonts w:cs="Calibri"/>
              </w:rPr>
            </w:pPr>
            <w:r w:rsidRPr="007D15C3">
              <w:rPr>
                <w:rFonts w:cs="Calibri"/>
              </w:rPr>
              <w:t>$14,875</w:t>
            </w:r>
          </w:p>
        </w:tc>
      </w:tr>
      <w:tr w14:paraId="661EF8E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24926B" w14:textId="77777777">
            <w:pPr>
              <w:jc w:val="center"/>
              <w:rPr>
                <w:rFonts w:cs="Calibri"/>
              </w:rPr>
            </w:pPr>
            <w:r w:rsidRPr="007D15C3">
              <w:rPr>
                <w:rFonts w:cs="Calibri"/>
              </w:rPr>
              <w:t>10259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11D6E9" w14:textId="77777777">
            <w:pPr>
              <w:jc w:val="center"/>
              <w:rPr>
                <w:rFonts w:cs="Calibri"/>
              </w:rPr>
            </w:pPr>
            <w:r w:rsidRPr="007D15C3">
              <w:rPr>
                <w:rFonts w:cs="Calibri"/>
              </w:rPr>
              <w:t>WJAL*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6E596D" w14:textId="77777777">
            <w:pPr>
              <w:rPr>
                <w:rFonts w:cs="Calibri"/>
              </w:rPr>
            </w:pPr>
            <w:r w:rsidRPr="007D15C3">
              <w:rPr>
                <w:rFonts w:cs="Calibri"/>
              </w:rPr>
              <w:t xml:space="preserve">          8,750,706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696797" w14:textId="77777777">
            <w:pPr>
              <w:rPr>
                <w:rFonts w:cs="Calibri"/>
              </w:rPr>
            </w:pPr>
            <w:r w:rsidRPr="007D15C3">
              <w:rPr>
                <w:rFonts w:cs="Calibri"/>
              </w:rPr>
              <w:t xml:space="preserve">            8,446,074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B7E026" w14:textId="77777777">
            <w:pPr>
              <w:jc w:val="right"/>
              <w:rPr>
                <w:rFonts w:cs="Calibri"/>
              </w:rPr>
            </w:pPr>
            <w:r w:rsidRPr="007D15C3">
              <w:rPr>
                <w:rFonts w:cs="Calibri"/>
              </w:rPr>
              <w:t>$66,192</w:t>
            </w:r>
          </w:p>
        </w:tc>
      </w:tr>
      <w:tr w14:paraId="465FF6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3FB3B9" w14:textId="77777777">
            <w:pPr>
              <w:jc w:val="center"/>
              <w:rPr>
                <w:rFonts w:cs="Calibri"/>
              </w:rPr>
            </w:pPr>
            <w:r w:rsidRPr="007D15C3">
              <w:rPr>
                <w:rFonts w:cs="Calibri"/>
              </w:rPr>
              <w:t>50780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DE9913" w14:textId="77777777">
            <w:pPr>
              <w:jc w:val="center"/>
              <w:rPr>
                <w:rFonts w:cs="Calibri"/>
              </w:rPr>
            </w:pPr>
            <w:r w:rsidRPr="007D15C3">
              <w:rPr>
                <w:rFonts w:cs="Calibri"/>
              </w:rPr>
              <w:t>WJAR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A331B7" w14:textId="77777777">
            <w:pPr>
              <w:rPr>
                <w:rFonts w:cs="Calibri"/>
              </w:rPr>
            </w:pPr>
            <w:r w:rsidRPr="007D15C3">
              <w:rPr>
                <w:rFonts w:cs="Calibri"/>
              </w:rPr>
              <w:t xml:space="preserve">          6,537,858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B6FBB8" w14:textId="77777777">
            <w:pPr>
              <w:rPr>
                <w:rFonts w:cs="Calibri"/>
              </w:rPr>
            </w:pPr>
            <w:r w:rsidRPr="007D15C3">
              <w:rPr>
                <w:rFonts w:cs="Calibri"/>
              </w:rPr>
              <w:t xml:space="preserve">            6,428,263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E38B33" w14:textId="77777777">
            <w:pPr>
              <w:jc w:val="right"/>
              <w:rPr>
                <w:rFonts w:cs="Calibri"/>
              </w:rPr>
            </w:pPr>
            <w:r w:rsidRPr="007D15C3">
              <w:rPr>
                <w:rFonts w:cs="Calibri"/>
              </w:rPr>
              <w:t>$50,378</w:t>
            </w:r>
          </w:p>
        </w:tc>
      </w:tr>
      <w:tr w14:paraId="36F4C2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87FC54" w14:textId="77777777">
            <w:pPr>
              <w:jc w:val="center"/>
              <w:rPr>
                <w:rFonts w:cs="Calibri"/>
              </w:rPr>
            </w:pPr>
            <w:r w:rsidRPr="007D15C3">
              <w:rPr>
                <w:rFonts w:cs="Calibri"/>
              </w:rPr>
              <w:t>35576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E81168" w14:textId="77777777">
            <w:pPr>
              <w:jc w:val="center"/>
              <w:rPr>
                <w:rFonts w:cs="Calibri"/>
              </w:rPr>
            </w:pPr>
            <w:r w:rsidRPr="007D15C3">
              <w:rPr>
                <w:rFonts w:cs="Calibri"/>
              </w:rPr>
              <w:t>WJAX-TV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F0BC64" w14:textId="77777777">
            <w:pPr>
              <w:rPr>
                <w:rFonts w:cs="Calibri"/>
              </w:rPr>
            </w:pPr>
            <w:r w:rsidRPr="007D15C3">
              <w:rPr>
                <w:rFonts w:cs="Calibri"/>
              </w:rPr>
              <w:t xml:space="preserve">          1,630,782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781AAD" w14:textId="77777777">
            <w:pPr>
              <w:rPr>
                <w:rFonts w:cs="Calibri"/>
              </w:rPr>
            </w:pPr>
            <w:r w:rsidRPr="007D15C3">
              <w:rPr>
                <w:rFonts w:cs="Calibri"/>
              </w:rPr>
              <w:t xml:space="preserve">            1,630,782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A42A39" w14:textId="77777777">
            <w:pPr>
              <w:jc w:val="right"/>
              <w:rPr>
                <w:rFonts w:cs="Calibri"/>
              </w:rPr>
            </w:pPr>
            <w:r w:rsidRPr="007D15C3">
              <w:rPr>
                <w:rFonts w:cs="Calibri"/>
              </w:rPr>
              <w:t>$12,780</w:t>
            </w:r>
          </w:p>
        </w:tc>
      </w:tr>
      <w:tr w14:paraId="3815C5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D92A29" w14:textId="77777777">
            <w:pPr>
              <w:jc w:val="center"/>
              <w:rPr>
                <w:rFonts w:cs="Calibri"/>
              </w:rPr>
            </w:pPr>
            <w:r w:rsidRPr="007D15C3">
              <w:rPr>
                <w:rFonts w:cs="Calibri"/>
              </w:rPr>
              <w:t>27140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335FE8" w14:textId="77777777">
            <w:pPr>
              <w:jc w:val="center"/>
              <w:rPr>
                <w:rFonts w:cs="Calibri"/>
              </w:rPr>
            </w:pPr>
            <w:r w:rsidRPr="007D15C3">
              <w:rPr>
                <w:rFonts w:cs="Calibri"/>
              </w:rPr>
              <w:t>WJBF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F3082C" w14:textId="77777777">
            <w:pPr>
              <w:rPr>
                <w:rFonts w:cs="Calibri"/>
              </w:rPr>
            </w:pPr>
            <w:r w:rsidRPr="007D15C3">
              <w:rPr>
                <w:rFonts w:cs="Calibri"/>
              </w:rPr>
              <w:t xml:space="preserve">          1,601,531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8D3F00" w14:textId="77777777">
            <w:pPr>
              <w:rPr>
                <w:rFonts w:cs="Calibri"/>
              </w:rPr>
            </w:pPr>
            <w:r w:rsidRPr="007D15C3">
              <w:rPr>
                <w:rFonts w:cs="Calibri"/>
              </w:rPr>
              <w:t xml:space="preserve">            1,585,550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B6B39F" w14:textId="77777777">
            <w:pPr>
              <w:jc w:val="right"/>
              <w:rPr>
                <w:rFonts w:cs="Calibri"/>
              </w:rPr>
            </w:pPr>
            <w:r w:rsidRPr="007D15C3">
              <w:rPr>
                <w:rFonts w:cs="Calibri"/>
              </w:rPr>
              <w:t>$12,426</w:t>
            </w:r>
          </w:p>
        </w:tc>
      </w:tr>
      <w:tr w14:paraId="3B9231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4DAC35" w14:textId="77777777">
            <w:pPr>
              <w:jc w:val="center"/>
              <w:rPr>
                <w:rFonts w:cs="Calibri"/>
              </w:rPr>
            </w:pPr>
            <w:r w:rsidRPr="007D15C3">
              <w:rPr>
                <w:rFonts w:cs="Calibri"/>
              </w:rPr>
              <w:t>73123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D43ABA" w14:textId="77777777">
            <w:pPr>
              <w:jc w:val="center"/>
              <w:rPr>
                <w:rFonts w:cs="Calibri"/>
              </w:rPr>
            </w:pPr>
            <w:r w:rsidRPr="007D15C3">
              <w:rPr>
                <w:rFonts w:cs="Calibri"/>
              </w:rPr>
              <w:t>WJBK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DDEABA" w14:textId="77777777">
            <w:pPr>
              <w:rPr>
                <w:rFonts w:cs="Calibri"/>
              </w:rPr>
            </w:pPr>
            <w:r w:rsidRPr="007D15C3">
              <w:rPr>
                <w:rFonts w:cs="Calibri"/>
              </w:rPr>
              <w:t xml:space="preserve">          5,748,623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82D6C2" w14:textId="77777777">
            <w:pPr>
              <w:rPr>
                <w:rFonts w:cs="Calibri"/>
              </w:rPr>
            </w:pPr>
            <w:r w:rsidRPr="007D15C3">
              <w:rPr>
                <w:rFonts w:cs="Calibri"/>
              </w:rPr>
              <w:t xml:space="preserve">            5,711,224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75AD9E" w14:textId="77777777">
            <w:pPr>
              <w:jc w:val="right"/>
              <w:rPr>
                <w:rFonts w:cs="Calibri"/>
              </w:rPr>
            </w:pPr>
            <w:r w:rsidRPr="007D15C3">
              <w:rPr>
                <w:rFonts w:cs="Calibri"/>
              </w:rPr>
              <w:t>$44,759</w:t>
            </w:r>
          </w:p>
        </w:tc>
      </w:tr>
      <w:tr w14:paraId="77A127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7E46A8" w14:textId="77777777">
            <w:pPr>
              <w:jc w:val="center"/>
              <w:rPr>
                <w:rFonts w:cs="Calibri"/>
              </w:rPr>
            </w:pPr>
            <w:r w:rsidRPr="007D15C3">
              <w:rPr>
                <w:rFonts w:cs="Calibri"/>
              </w:rPr>
              <w:t>37174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69A01A" w14:textId="77777777">
            <w:pPr>
              <w:jc w:val="center"/>
              <w:rPr>
                <w:rFonts w:cs="Calibri"/>
              </w:rPr>
            </w:pPr>
            <w:r w:rsidRPr="007D15C3">
              <w:rPr>
                <w:rFonts w:cs="Calibri"/>
              </w:rPr>
              <w:t>WJCL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2FF60F" w14:textId="77777777">
            <w:pPr>
              <w:rPr>
                <w:rFonts w:cs="Calibri"/>
              </w:rPr>
            </w:pPr>
            <w:r w:rsidRPr="007D15C3">
              <w:rPr>
                <w:rFonts w:cs="Calibri"/>
              </w:rPr>
              <w:t xml:space="preserve">             938,086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FF9DF3" w14:textId="77777777">
            <w:pPr>
              <w:rPr>
                <w:rFonts w:cs="Calibri"/>
              </w:rPr>
            </w:pPr>
            <w:r w:rsidRPr="007D15C3">
              <w:rPr>
                <w:rFonts w:cs="Calibri"/>
              </w:rPr>
              <w:t xml:space="preserve">               938,086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5B60E6" w14:textId="77777777">
            <w:pPr>
              <w:jc w:val="right"/>
              <w:rPr>
                <w:rFonts w:cs="Calibri"/>
              </w:rPr>
            </w:pPr>
            <w:r w:rsidRPr="007D15C3">
              <w:rPr>
                <w:rFonts w:cs="Calibri"/>
              </w:rPr>
              <w:t>$7,352</w:t>
            </w:r>
          </w:p>
        </w:tc>
      </w:tr>
      <w:tr w14:paraId="10513E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72728F" w14:textId="77777777">
            <w:pPr>
              <w:jc w:val="center"/>
              <w:rPr>
                <w:rFonts w:cs="Calibri"/>
              </w:rPr>
            </w:pPr>
            <w:r w:rsidRPr="007D15C3">
              <w:rPr>
                <w:rFonts w:cs="Calibri"/>
              </w:rPr>
              <w:t>73130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A1E2CA" w14:textId="77777777">
            <w:pPr>
              <w:jc w:val="center"/>
              <w:rPr>
                <w:rFonts w:cs="Calibri"/>
              </w:rPr>
            </w:pPr>
            <w:r w:rsidRPr="007D15C3">
              <w:rPr>
                <w:rFonts w:cs="Calibri"/>
              </w:rPr>
              <w:t>WJCT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864F8D" w14:textId="77777777">
            <w:pPr>
              <w:rPr>
                <w:rFonts w:cs="Calibri"/>
              </w:rPr>
            </w:pPr>
            <w:r w:rsidRPr="007D15C3">
              <w:rPr>
                <w:rFonts w:cs="Calibri"/>
              </w:rPr>
              <w:t xml:space="preserve">          1,624,624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A6AAD6" w14:textId="77777777">
            <w:pPr>
              <w:rPr>
                <w:rFonts w:cs="Calibri"/>
              </w:rPr>
            </w:pPr>
            <w:r w:rsidRPr="007D15C3">
              <w:rPr>
                <w:rFonts w:cs="Calibri"/>
              </w:rPr>
              <w:t xml:space="preserve">            1,624,033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F4D30D" w14:textId="77777777">
            <w:pPr>
              <w:jc w:val="right"/>
              <w:rPr>
                <w:rFonts w:cs="Calibri"/>
              </w:rPr>
            </w:pPr>
            <w:r w:rsidRPr="007D15C3">
              <w:rPr>
                <w:rFonts w:cs="Calibri"/>
              </w:rPr>
              <w:t>$12,728</w:t>
            </w:r>
          </w:p>
        </w:tc>
      </w:tr>
      <w:tr w14:paraId="69C5E35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CC8911" w14:textId="77777777">
            <w:pPr>
              <w:jc w:val="center"/>
              <w:rPr>
                <w:rFonts w:cs="Calibri"/>
              </w:rPr>
            </w:pPr>
            <w:r w:rsidRPr="007D15C3">
              <w:rPr>
                <w:rFonts w:cs="Calibri"/>
              </w:rPr>
              <w:t>29719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B316C9" w14:textId="77777777">
            <w:pPr>
              <w:jc w:val="center"/>
              <w:rPr>
                <w:rFonts w:cs="Calibri"/>
              </w:rPr>
            </w:pPr>
            <w:r w:rsidRPr="007D15C3">
              <w:rPr>
                <w:rFonts w:cs="Calibri"/>
              </w:rPr>
              <w:t>WJEB-TV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7DED0C" w14:textId="77777777">
            <w:pPr>
              <w:rPr>
                <w:rFonts w:cs="Calibri"/>
              </w:rPr>
            </w:pPr>
            <w:r w:rsidRPr="007D15C3">
              <w:rPr>
                <w:rFonts w:cs="Calibri"/>
              </w:rPr>
              <w:t xml:space="preserve">          1,607,510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FB988A" w14:textId="77777777">
            <w:pPr>
              <w:rPr>
                <w:rFonts w:cs="Calibri"/>
              </w:rPr>
            </w:pPr>
            <w:r w:rsidRPr="007D15C3">
              <w:rPr>
                <w:rFonts w:cs="Calibri"/>
              </w:rPr>
              <w:t xml:space="preserve">            1,607,510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179BEF" w14:textId="77777777">
            <w:pPr>
              <w:jc w:val="right"/>
              <w:rPr>
                <w:rFonts w:cs="Calibri"/>
              </w:rPr>
            </w:pPr>
            <w:r w:rsidRPr="007D15C3">
              <w:rPr>
                <w:rFonts w:cs="Calibri"/>
              </w:rPr>
              <w:t>$12,598</w:t>
            </w:r>
          </w:p>
        </w:tc>
      </w:tr>
      <w:tr w14:paraId="4945FE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AF3DF6" w14:textId="77777777">
            <w:pPr>
              <w:jc w:val="center"/>
              <w:rPr>
                <w:rFonts w:cs="Calibri"/>
              </w:rPr>
            </w:pPr>
            <w:r w:rsidRPr="007D15C3">
              <w:rPr>
                <w:rFonts w:cs="Calibri"/>
              </w:rPr>
              <w:t>65749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E8EE38" w14:textId="77777777">
            <w:pPr>
              <w:jc w:val="center"/>
              <w:rPr>
                <w:rFonts w:cs="Calibri"/>
              </w:rPr>
            </w:pPr>
            <w:r w:rsidRPr="007D15C3">
              <w:rPr>
                <w:rFonts w:cs="Calibri"/>
              </w:rPr>
              <w:t>WJET-TV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07AABE" w14:textId="77777777">
            <w:pPr>
              <w:rPr>
                <w:rFonts w:cs="Calibri"/>
              </w:rPr>
            </w:pPr>
            <w:r w:rsidRPr="007D15C3">
              <w:rPr>
                <w:rFonts w:cs="Calibri"/>
              </w:rPr>
              <w:t xml:space="preserve">             747,431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2E110A" w14:textId="77777777">
            <w:pPr>
              <w:rPr>
                <w:rFonts w:cs="Calibri"/>
              </w:rPr>
            </w:pPr>
            <w:r w:rsidRPr="007D15C3">
              <w:rPr>
                <w:rFonts w:cs="Calibri"/>
              </w:rPr>
              <w:t xml:space="preserve">               717,721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509A8D" w14:textId="77777777">
            <w:pPr>
              <w:jc w:val="right"/>
              <w:rPr>
                <w:rFonts w:cs="Calibri"/>
              </w:rPr>
            </w:pPr>
            <w:r w:rsidRPr="007D15C3">
              <w:rPr>
                <w:rFonts w:cs="Calibri"/>
              </w:rPr>
              <w:t>$5,625</w:t>
            </w:r>
          </w:p>
        </w:tc>
      </w:tr>
      <w:tr w14:paraId="75F393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535194" w14:textId="77777777">
            <w:pPr>
              <w:jc w:val="center"/>
              <w:rPr>
                <w:rFonts w:cs="Calibri"/>
              </w:rPr>
            </w:pPr>
            <w:r w:rsidRPr="007D15C3">
              <w:rPr>
                <w:rFonts w:cs="Calibri"/>
              </w:rPr>
              <w:t>7651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6D5A4F" w14:textId="77777777">
            <w:pPr>
              <w:jc w:val="center"/>
              <w:rPr>
                <w:rFonts w:cs="Calibri"/>
              </w:rPr>
            </w:pPr>
            <w:r w:rsidRPr="007D15C3">
              <w:rPr>
                <w:rFonts w:cs="Calibri"/>
              </w:rPr>
              <w:t>WJFB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2E3D60" w14:textId="77777777">
            <w:pPr>
              <w:rPr>
                <w:rFonts w:cs="Calibri"/>
              </w:rPr>
            </w:pPr>
            <w:r w:rsidRPr="007D15C3">
              <w:rPr>
                <w:rFonts w:cs="Calibri"/>
              </w:rPr>
              <w:t xml:space="preserve">          1,744,291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F559F3" w14:textId="77777777">
            <w:pPr>
              <w:rPr>
                <w:rFonts w:cs="Calibri"/>
              </w:rPr>
            </w:pPr>
            <w:r w:rsidRPr="007D15C3">
              <w:rPr>
                <w:rFonts w:cs="Calibri"/>
              </w:rPr>
              <w:t xml:space="preserve">            1,736,932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88A375" w14:textId="77777777">
            <w:pPr>
              <w:jc w:val="right"/>
              <w:rPr>
                <w:rFonts w:cs="Calibri"/>
              </w:rPr>
            </w:pPr>
            <w:r w:rsidRPr="007D15C3">
              <w:rPr>
                <w:rFonts w:cs="Calibri"/>
              </w:rPr>
              <w:t>$13,612</w:t>
            </w:r>
          </w:p>
        </w:tc>
      </w:tr>
      <w:tr w14:paraId="53ED0D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79E037" w14:textId="77777777">
            <w:pPr>
              <w:jc w:val="center"/>
              <w:rPr>
                <w:rFonts w:cs="Calibri"/>
              </w:rPr>
            </w:pPr>
            <w:r w:rsidRPr="007D15C3">
              <w:rPr>
                <w:rFonts w:cs="Calibri"/>
              </w:rPr>
              <w:t>49699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9B4F10" w14:textId="77777777">
            <w:pPr>
              <w:jc w:val="center"/>
              <w:rPr>
                <w:rFonts w:cs="Calibri"/>
              </w:rPr>
            </w:pPr>
            <w:r w:rsidRPr="007D15C3">
              <w:rPr>
                <w:rFonts w:cs="Calibri"/>
              </w:rPr>
              <w:t>WJFW-TV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34CB51" w14:textId="77777777">
            <w:pPr>
              <w:rPr>
                <w:rFonts w:cs="Calibri"/>
              </w:rPr>
            </w:pPr>
            <w:r w:rsidRPr="007D15C3">
              <w:rPr>
                <w:rFonts w:cs="Calibri"/>
              </w:rPr>
              <w:t xml:space="preserve">             277,530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68A63D" w14:textId="77777777">
            <w:pPr>
              <w:rPr>
                <w:rFonts w:cs="Calibri"/>
              </w:rPr>
            </w:pPr>
            <w:r w:rsidRPr="007D15C3">
              <w:rPr>
                <w:rFonts w:cs="Calibri"/>
              </w:rPr>
              <w:t xml:space="preserve">               268,295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BE3467" w14:textId="77777777">
            <w:pPr>
              <w:jc w:val="right"/>
              <w:rPr>
                <w:rFonts w:cs="Calibri"/>
              </w:rPr>
            </w:pPr>
            <w:r w:rsidRPr="007D15C3">
              <w:rPr>
                <w:rFonts w:cs="Calibri"/>
              </w:rPr>
              <w:t>$2,103</w:t>
            </w:r>
          </w:p>
        </w:tc>
      </w:tr>
      <w:tr w14:paraId="5899120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28659D" w14:textId="77777777">
            <w:pPr>
              <w:jc w:val="center"/>
              <w:rPr>
                <w:rFonts w:cs="Calibri"/>
              </w:rPr>
            </w:pPr>
            <w:r w:rsidRPr="007D15C3">
              <w:rPr>
                <w:rFonts w:cs="Calibri"/>
              </w:rPr>
              <w:t>73136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CF0429" w14:textId="77777777">
            <w:pPr>
              <w:jc w:val="center"/>
              <w:rPr>
                <w:rFonts w:cs="Calibri"/>
              </w:rPr>
            </w:pPr>
            <w:r w:rsidRPr="007D15C3">
              <w:rPr>
                <w:rFonts w:cs="Calibri"/>
              </w:rPr>
              <w:t>WJHG-TV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DF87B7" w14:textId="77777777">
            <w:pPr>
              <w:rPr>
                <w:rFonts w:cs="Calibri"/>
              </w:rPr>
            </w:pPr>
            <w:r w:rsidRPr="007D15C3">
              <w:rPr>
                <w:rFonts w:cs="Calibri"/>
              </w:rPr>
              <w:t xml:space="preserve">             864,121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643C3" w14:textId="77777777">
            <w:pPr>
              <w:rPr>
                <w:rFonts w:cs="Calibri"/>
              </w:rPr>
            </w:pPr>
            <w:r w:rsidRPr="007D15C3">
              <w:rPr>
                <w:rFonts w:cs="Calibri"/>
              </w:rPr>
              <w:t xml:space="preserve">               859,823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423FDF" w14:textId="77777777">
            <w:pPr>
              <w:jc w:val="right"/>
              <w:rPr>
                <w:rFonts w:cs="Calibri"/>
              </w:rPr>
            </w:pPr>
            <w:r w:rsidRPr="007D15C3">
              <w:rPr>
                <w:rFonts w:cs="Calibri"/>
              </w:rPr>
              <w:t>$6,738</w:t>
            </w:r>
          </w:p>
        </w:tc>
      </w:tr>
      <w:tr w14:paraId="46D49F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562D81" w14:textId="77777777">
            <w:pPr>
              <w:jc w:val="center"/>
              <w:rPr>
                <w:rFonts w:cs="Calibri"/>
              </w:rPr>
            </w:pPr>
            <w:r w:rsidRPr="007D15C3">
              <w:rPr>
                <w:rFonts w:cs="Calibri"/>
              </w:rPr>
              <w:t>57826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1C6ADC" w14:textId="77777777">
            <w:pPr>
              <w:jc w:val="center"/>
              <w:rPr>
                <w:rFonts w:cs="Calibri"/>
              </w:rPr>
            </w:pPr>
            <w:r w:rsidRPr="007D15C3">
              <w:rPr>
                <w:rFonts w:cs="Calibri"/>
              </w:rPr>
              <w:t>WJHL-TV*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3C27DB" w14:textId="77777777">
            <w:pPr>
              <w:rPr>
                <w:rFonts w:cs="Calibri"/>
              </w:rPr>
            </w:pPr>
            <w:r w:rsidRPr="007D15C3">
              <w:rPr>
                <w:rFonts w:cs="Calibri"/>
              </w:rPr>
              <w:t xml:space="preserve">          2,037,793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D1BD4B" w14:textId="77777777">
            <w:pPr>
              <w:rPr>
                <w:rFonts w:cs="Calibri"/>
              </w:rPr>
            </w:pPr>
            <w:r w:rsidRPr="007D15C3">
              <w:rPr>
                <w:rFonts w:cs="Calibri"/>
              </w:rPr>
              <w:t xml:space="preserve">            1,428,213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57E40E" w14:textId="77777777">
            <w:pPr>
              <w:jc w:val="right"/>
              <w:rPr>
                <w:rFonts w:cs="Calibri"/>
              </w:rPr>
            </w:pPr>
            <w:r w:rsidRPr="007D15C3">
              <w:rPr>
                <w:rFonts w:cs="Calibri"/>
              </w:rPr>
              <w:t>$11,193</w:t>
            </w:r>
          </w:p>
        </w:tc>
      </w:tr>
      <w:tr w14:paraId="2AB5E5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FB27AA" w14:textId="77777777">
            <w:pPr>
              <w:jc w:val="center"/>
              <w:rPr>
                <w:rFonts w:cs="Calibri"/>
              </w:rPr>
            </w:pPr>
            <w:r w:rsidRPr="007D15C3">
              <w:rPr>
                <w:rFonts w:cs="Calibri"/>
              </w:rPr>
              <w:t>68519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2D9BBE" w14:textId="77777777">
            <w:pPr>
              <w:jc w:val="center"/>
              <w:rPr>
                <w:rFonts w:cs="Calibri"/>
              </w:rPr>
            </w:pPr>
            <w:r w:rsidRPr="007D15C3">
              <w:rPr>
                <w:rFonts w:cs="Calibri"/>
              </w:rPr>
              <w:t>WJKT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BCB2F2" w14:textId="77777777">
            <w:pPr>
              <w:rPr>
                <w:rFonts w:cs="Calibri"/>
              </w:rPr>
            </w:pPr>
            <w:r w:rsidRPr="007D15C3">
              <w:rPr>
                <w:rFonts w:cs="Calibri"/>
              </w:rPr>
              <w:t xml:space="preserve">             654,460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29CF8C" w14:textId="77777777">
            <w:pPr>
              <w:rPr>
                <w:rFonts w:cs="Calibri"/>
              </w:rPr>
            </w:pPr>
            <w:r w:rsidRPr="007D15C3">
              <w:rPr>
                <w:rFonts w:cs="Calibri"/>
              </w:rPr>
              <w:t xml:space="preserve">               653,378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0BFB57" w14:textId="77777777">
            <w:pPr>
              <w:jc w:val="right"/>
              <w:rPr>
                <w:rFonts w:cs="Calibri"/>
              </w:rPr>
            </w:pPr>
            <w:r w:rsidRPr="007D15C3">
              <w:rPr>
                <w:rFonts w:cs="Calibri"/>
              </w:rPr>
              <w:t>$5,121</w:t>
            </w:r>
          </w:p>
        </w:tc>
      </w:tr>
      <w:tr w14:paraId="58B297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207F76" w14:textId="77777777">
            <w:pPr>
              <w:jc w:val="center"/>
              <w:rPr>
                <w:rFonts w:cs="Calibri"/>
              </w:rPr>
            </w:pPr>
            <w:r w:rsidRPr="007D15C3">
              <w:rPr>
                <w:rFonts w:cs="Calibri"/>
              </w:rPr>
              <w:t>1051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C688A4" w14:textId="77777777">
            <w:pPr>
              <w:jc w:val="center"/>
              <w:rPr>
                <w:rFonts w:cs="Calibri"/>
              </w:rPr>
            </w:pPr>
            <w:r w:rsidRPr="007D15C3">
              <w:rPr>
                <w:rFonts w:cs="Calibri"/>
              </w:rPr>
              <w:t>WJLA-TV*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74CCF4" w14:textId="77777777">
            <w:pPr>
              <w:rPr>
                <w:rFonts w:cs="Calibri"/>
              </w:rPr>
            </w:pPr>
            <w:r w:rsidRPr="007D15C3">
              <w:rPr>
                <w:rFonts w:cs="Calibri"/>
              </w:rPr>
              <w:t xml:space="preserve">          8,750,706</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E76A28" w14:textId="77777777">
            <w:pPr>
              <w:rPr>
                <w:rFonts w:cs="Calibri"/>
              </w:rPr>
            </w:pPr>
            <w:r w:rsidRPr="007D15C3">
              <w:rPr>
                <w:rFonts w:cs="Calibri"/>
              </w:rPr>
              <w:t xml:space="preserve">            8,447,643</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E05F3E" w14:textId="77777777">
            <w:pPr>
              <w:jc w:val="right"/>
              <w:rPr>
                <w:rFonts w:cs="Calibri"/>
              </w:rPr>
            </w:pPr>
            <w:r w:rsidRPr="007D15C3">
              <w:rPr>
                <w:rFonts w:cs="Calibri"/>
              </w:rPr>
              <w:t>$66,204</w:t>
            </w:r>
          </w:p>
        </w:tc>
      </w:tr>
      <w:tr w14:paraId="0BB5D034"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75875B" w14:textId="77777777">
            <w:pPr>
              <w:jc w:val="center"/>
              <w:rPr>
                <w:rFonts w:cs="Calibri"/>
              </w:rPr>
            </w:pPr>
            <w:r w:rsidRPr="007D15C3">
              <w:rPr>
                <w:rFonts w:cs="Calibri"/>
              </w:rPr>
              <w:t>86537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5D694A2" w14:textId="77777777">
            <w:pPr>
              <w:jc w:val="center"/>
              <w:rPr>
                <w:rFonts w:cs="Calibri"/>
              </w:rPr>
            </w:pPr>
            <w:r w:rsidRPr="007D15C3">
              <w:rPr>
                <w:rFonts w:cs="Calibri"/>
              </w:rPr>
              <w:t>WJLP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410FE3E" w14:textId="77777777">
            <w:pPr>
              <w:rPr>
                <w:rFonts w:cs="Calibri"/>
              </w:rPr>
            </w:pPr>
            <w:r w:rsidRPr="007D15C3">
              <w:rPr>
                <w:rFonts w:cs="Calibri"/>
              </w:rPr>
              <w:t xml:space="preserve">        21,384,863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AF65FDF" w14:textId="77777777">
            <w:pPr>
              <w:rPr>
                <w:rFonts w:cs="Calibri"/>
              </w:rPr>
            </w:pPr>
            <w:r w:rsidRPr="007D15C3">
              <w:rPr>
                <w:rFonts w:cs="Calibri"/>
              </w:rPr>
              <w:t xml:space="preserve">          21,119,366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8C8D590" w14:textId="77777777">
            <w:pPr>
              <w:jc w:val="right"/>
              <w:rPr>
                <w:rFonts w:cs="Calibri"/>
              </w:rPr>
            </w:pPr>
            <w:r w:rsidRPr="007D15C3">
              <w:rPr>
                <w:rFonts w:cs="Calibri"/>
              </w:rPr>
              <w:t>$165,512</w:t>
            </w:r>
          </w:p>
        </w:tc>
      </w:tr>
      <w:tr w14:paraId="774975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011B07" w14:textId="77777777">
            <w:pPr>
              <w:jc w:val="center"/>
              <w:rPr>
                <w:rFonts w:cs="Calibri"/>
              </w:rPr>
            </w:pPr>
            <w:r w:rsidRPr="007D15C3">
              <w:rPr>
                <w:rFonts w:cs="Calibri"/>
              </w:rPr>
              <w:t>9630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76C7F8" w14:textId="77777777">
            <w:pPr>
              <w:jc w:val="center"/>
              <w:rPr>
                <w:rFonts w:cs="Calibri"/>
              </w:rPr>
            </w:pPr>
            <w:r w:rsidRPr="007D15C3">
              <w:rPr>
                <w:rFonts w:cs="Calibri"/>
              </w:rPr>
              <w:t>WJMN-TV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E22233" w14:textId="77777777">
            <w:pPr>
              <w:rPr>
                <w:rFonts w:cs="Calibri"/>
              </w:rPr>
            </w:pPr>
            <w:r w:rsidRPr="007D15C3">
              <w:rPr>
                <w:rFonts w:cs="Calibri"/>
              </w:rPr>
              <w:t xml:space="preserve">             160,991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46E5B4" w14:textId="77777777">
            <w:pPr>
              <w:rPr>
                <w:rFonts w:cs="Calibri"/>
              </w:rPr>
            </w:pPr>
            <w:r w:rsidRPr="007D15C3">
              <w:rPr>
                <w:rFonts w:cs="Calibri"/>
              </w:rPr>
              <w:t xml:space="preserve">               154,424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E708CC" w14:textId="77777777">
            <w:pPr>
              <w:jc w:val="right"/>
              <w:rPr>
                <w:rFonts w:cs="Calibri"/>
              </w:rPr>
            </w:pPr>
            <w:r w:rsidRPr="007D15C3">
              <w:rPr>
                <w:rFonts w:cs="Calibri"/>
              </w:rPr>
              <w:t>$1,210</w:t>
            </w:r>
          </w:p>
        </w:tc>
      </w:tr>
      <w:tr w14:paraId="2CAF9E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22A987" w14:textId="77777777">
            <w:pPr>
              <w:jc w:val="center"/>
              <w:rPr>
                <w:rFonts w:cs="Calibri"/>
              </w:rPr>
            </w:pPr>
            <w:r w:rsidRPr="007D15C3">
              <w:rPr>
                <w:rFonts w:cs="Calibri"/>
              </w:rPr>
              <w:t>61008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CE8545" w14:textId="77777777">
            <w:pPr>
              <w:jc w:val="center"/>
              <w:rPr>
                <w:rFonts w:cs="Calibri"/>
              </w:rPr>
            </w:pPr>
            <w:r w:rsidRPr="007D15C3">
              <w:rPr>
                <w:rFonts w:cs="Calibri"/>
              </w:rPr>
              <w:t>WJPM-TV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DB911E" w14:textId="77777777">
            <w:pPr>
              <w:rPr>
                <w:rFonts w:cs="Calibri"/>
              </w:rPr>
            </w:pPr>
            <w:r w:rsidRPr="007D15C3">
              <w:rPr>
                <w:rFonts w:cs="Calibri"/>
              </w:rPr>
              <w:t xml:space="preserve">             623,965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5AF8B4" w14:textId="77777777">
            <w:pPr>
              <w:rPr>
                <w:rFonts w:cs="Calibri"/>
              </w:rPr>
            </w:pPr>
            <w:r w:rsidRPr="007D15C3">
              <w:rPr>
                <w:rFonts w:cs="Calibri"/>
              </w:rPr>
              <w:t xml:space="preserve">               623,813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03CBD7" w14:textId="77777777">
            <w:pPr>
              <w:jc w:val="right"/>
              <w:rPr>
                <w:rFonts w:cs="Calibri"/>
              </w:rPr>
            </w:pPr>
            <w:r w:rsidRPr="007D15C3">
              <w:rPr>
                <w:rFonts w:cs="Calibri"/>
              </w:rPr>
              <w:t>$4,889</w:t>
            </w:r>
          </w:p>
        </w:tc>
      </w:tr>
      <w:tr w14:paraId="4AF996D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587D02" w14:textId="77777777">
            <w:pPr>
              <w:jc w:val="center"/>
              <w:rPr>
                <w:rFonts w:cs="Calibri"/>
              </w:rPr>
            </w:pPr>
            <w:r w:rsidRPr="007D15C3">
              <w:rPr>
                <w:rFonts w:cs="Calibri"/>
              </w:rPr>
              <w:t>58340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C0B49F" w14:textId="77777777">
            <w:pPr>
              <w:jc w:val="center"/>
              <w:rPr>
                <w:rFonts w:cs="Calibri"/>
              </w:rPr>
            </w:pPr>
            <w:r w:rsidRPr="007D15C3">
              <w:rPr>
                <w:rFonts w:cs="Calibri"/>
              </w:rPr>
              <w:t>WJPX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DDEF5B" w14:textId="77777777">
            <w:pPr>
              <w:rPr>
                <w:rFonts w:cs="Calibri"/>
              </w:rPr>
            </w:pPr>
            <w:r w:rsidRPr="007D15C3">
              <w:rPr>
                <w:rFonts w:cs="Calibri"/>
              </w:rPr>
              <w:t xml:space="preserve">          3,254,481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346DB9" w14:textId="77777777">
            <w:pPr>
              <w:rPr>
                <w:rFonts w:cs="Calibri"/>
              </w:rPr>
            </w:pPr>
            <w:r w:rsidRPr="007D15C3">
              <w:rPr>
                <w:rFonts w:cs="Calibri"/>
              </w:rPr>
              <w:t xml:space="preserve">            3,008,658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6208D5" w14:textId="77777777">
            <w:pPr>
              <w:jc w:val="right"/>
              <w:rPr>
                <w:rFonts w:cs="Calibri"/>
              </w:rPr>
            </w:pPr>
            <w:r w:rsidRPr="007D15C3">
              <w:rPr>
                <w:rFonts w:cs="Calibri"/>
              </w:rPr>
              <w:t>$19,594</w:t>
            </w:r>
          </w:p>
        </w:tc>
      </w:tr>
      <w:tr w14:paraId="37CE04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1B95AF" w14:textId="77777777">
            <w:pPr>
              <w:jc w:val="center"/>
              <w:rPr>
                <w:rFonts w:cs="Calibri"/>
              </w:rPr>
            </w:pPr>
            <w:r w:rsidRPr="007D15C3">
              <w:rPr>
                <w:rFonts w:cs="Calibri"/>
              </w:rPr>
              <w:t>21735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4A388A" w14:textId="77777777">
            <w:pPr>
              <w:jc w:val="center"/>
              <w:rPr>
                <w:rFonts w:cs="Calibri"/>
              </w:rPr>
            </w:pPr>
            <w:r w:rsidRPr="007D15C3">
              <w:rPr>
                <w:rFonts w:cs="Calibri"/>
              </w:rPr>
              <w:t>WJRT-TV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67B111" w14:textId="77777777">
            <w:pPr>
              <w:rPr>
                <w:rFonts w:cs="Calibri"/>
              </w:rPr>
            </w:pPr>
            <w:r w:rsidRPr="007D15C3">
              <w:rPr>
                <w:rFonts w:cs="Calibri"/>
              </w:rPr>
              <w:t xml:space="preserve">          2,788,684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00B617" w14:textId="77777777">
            <w:pPr>
              <w:rPr>
                <w:rFonts w:cs="Calibri"/>
              </w:rPr>
            </w:pPr>
            <w:r w:rsidRPr="007D15C3">
              <w:rPr>
                <w:rFonts w:cs="Calibri"/>
              </w:rPr>
              <w:t xml:space="preserve">            2,543,446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564CD4" w14:textId="77777777">
            <w:pPr>
              <w:jc w:val="right"/>
              <w:rPr>
                <w:rFonts w:cs="Calibri"/>
              </w:rPr>
            </w:pPr>
            <w:r w:rsidRPr="007D15C3">
              <w:rPr>
                <w:rFonts w:cs="Calibri"/>
              </w:rPr>
              <w:t>$19,933</w:t>
            </w:r>
          </w:p>
        </w:tc>
      </w:tr>
      <w:tr w14:paraId="34D1476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90B2FD" w14:textId="77777777">
            <w:pPr>
              <w:jc w:val="center"/>
              <w:rPr>
                <w:rFonts w:cs="Calibri"/>
              </w:rPr>
            </w:pPr>
            <w:r w:rsidRPr="007D15C3">
              <w:rPr>
                <w:rFonts w:cs="Calibri"/>
              </w:rPr>
              <w:t>23918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2F8F18" w14:textId="77777777">
            <w:pPr>
              <w:jc w:val="center"/>
              <w:rPr>
                <w:rFonts w:cs="Calibri"/>
              </w:rPr>
            </w:pPr>
            <w:r w:rsidRPr="007D15C3">
              <w:rPr>
                <w:rFonts w:cs="Calibri"/>
              </w:rPr>
              <w:t>WJSP-TV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9156DE" w14:textId="77777777">
            <w:pPr>
              <w:rPr>
                <w:rFonts w:cs="Calibri"/>
              </w:rPr>
            </w:pPr>
            <w:r w:rsidRPr="007D15C3">
              <w:rPr>
                <w:rFonts w:cs="Calibri"/>
              </w:rPr>
              <w:t xml:space="preserve">          4,225,860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BE89F8" w14:textId="77777777">
            <w:pPr>
              <w:rPr>
                <w:rFonts w:cs="Calibri"/>
              </w:rPr>
            </w:pPr>
            <w:r w:rsidRPr="007D15C3">
              <w:rPr>
                <w:rFonts w:cs="Calibri"/>
              </w:rPr>
              <w:t xml:space="preserve">            4,188,428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BFCABC" w14:textId="77777777">
            <w:pPr>
              <w:jc w:val="right"/>
              <w:rPr>
                <w:rFonts w:cs="Calibri"/>
              </w:rPr>
            </w:pPr>
            <w:r w:rsidRPr="007D15C3">
              <w:rPr>
                <w:rFonts w:cs="Calibri"/>
              </w:rPr>
              <w:t>$32,825</w:t>
            </w:r>
          </w:p>
        </w:tc>
      </w:tr>
      <w:tr w14:paraId="5CA5A0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ACB0E7" w14:textId="77777777">
            <w:pPr>
              <w:jc w:val="center"/>
              <w:rPr>
                <w:rFonts w:cs="Calibri"/>
              </w:rPr>
            </w:pPr>
            <w:r w:rsidRPr="007D15C3">
              <w:rPr>
                <w:rFonts w:cs="Calibri"/>
              </w:rPr>
              <w:t>41210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0B6523" w14:textId="77777777">
            <w:pPr>
              <w:jc w:val="center"/>
              <w:rPr>
                <w:rFonts w:cs="Calibri"/>
              </w:rPr>
            </w:pPr>
            <w:r w:rsidRPr="007D15C3">
              <w:rPr>
                <w:rFonts w:cs="Calibri"/>
              </w:rPr>
              <w:t>WJTC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33B3AD" w14:textId="77777777">
            <w:pPr>
              <w:rPr>
                <w:rFonts w:cs="Calibri"/>
              </w:rPr>
            </w:pPr>
            <w:r w:rsidRPr="007D15C3">
              <w:rPr>
                <w:rFonts w:cs="Calibri"/>
              </w:rPr>
              <w:t xml:space="preserve">          1,347,474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80C406" w14:textId="77777777">
            <w:pPr>
              <w:rPr>
                <w:rFonts w:cs="Calibri"/>
              </w:rPr>
            </w:pPr>
            <w:r w:rsidRPr="007D15C3">
              <w:rPr>
                <w:rFonts w:cs="Calibri"/>
              </w:rPr>
              <w:t xml:space="preserve">            1,346,205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ECDB4B" w14:textId="77777777">
            <w:pPr>
              <w:jc w:val="right"/>
              <w:rPr>
                <w:rFonts w:cs="Calibri"/>
              </w:rPr>
            </w:pPr>
            <w:r w:rsidRPr="007D15C3">
              <w:rPr>
                <w:rFonts w:cs="Calibri"/>
              </w:rPr>
              <w:t>$10,550</w:t>
            </w:r>
          </w:p>
        </w:tc>
      </w:tr>
      <w:tr w14:paraId="24F8D4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FE55E1" w14:textId="77777777">
            <w:pPr>
              <w:jc w:val="center"/>
              <w:rPr>
                <w:rFonts w:cs="Calibri"/>
              </w:rPr>
            </w:pPr>
            <w:r w:rsidRPr="007D15C3">
              <w:rPr>
                <w:rFonts w:cs="Calibri"/>
              </w:rPr>
              <w:t>48667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3184C9" w14:textId="77777777">
            <w:pPr>
              <w:jc w:val="center"/>
              <w:rPr>
                <w:rFonts w:cs="Calibri"/>
              </w:rPr>
            </w:pPr>
            <w:r w:rsidRPr="007D15C3">
              <w:rPr>
                <w:rFonts w:cs="Calibri"/>
              </w:rPr>
              <w:t>WJTV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BFEA02" w14:textId="77777777">
            <w:pPr>
              <w:rPr>
                <w:rFonts w:cs="Calibri"/>
              </w:rPr>
            </w:pPr>
            <w:r w:rsidRPr="007D15C3">
              <w:rPr>
                <w:rFonts w:cs="Calibri"/>
              </w:rPr>
              <w:t xml:space="preserve">             987,206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814A82" w14:textId="77777777">
            <w:pPr>
              <w:rPr>
                <w:rFonts w:cs="Calibri"/>
              </w:rPr>
            </w:pPr>
            <w:r w:rsidRPr="007D15C3">
              <w:rPr>
                <w:rFonts w:cs="Calibri"/>
              </w:rPr>
              <w:t xml:space="preserve">               980,717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1439C3" w14:textId="77777777">
            <w:pPr>
              <w:jc w:val="right"/>
              <w:rPr>
                <w:rFonts w:cs="Calibri"/>
              </w:rPr>
            </w:pPr>
            <w:r w:rsidRPr="007D15C3">
              <w:rPr>
                <w:rFonts w:cs="Calibri"/>
              </w:rPr>
              <w:t>$7,686</w:t>
            </w:r>
          </w:p>
        </w:tc>
      </w:tr>
      <w:tr w14:paraId="1A4B420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F13A48" w14:textId="77777777">
            <w:pPr>
              <w:jc w:val="center"/>
              <w:rPr>
                <w:rFonts w:cs="Calibri"/>
              </w:rPr>
            </w:pPr>
            <w:r w:rsidRPr="007D15C3">
              <w:rPr>
                <w:rFonts w:cs="Calibri"/>
              </w:rPr>
              <w:t>73150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55DE3B" w14:textId="77777777">
            <w:pPr>
              <w:jc w:val="center"/>
              <w:rPr>
                <w:rFonts w:cs="Calibri"/>
              </w:rPr>
            </w:pPr>
            <w:r w:rsidRPr="007D15C3">
              <w:rPr>
                <w:rFonts w:cs="Calibri"/>
              </w:rPr>
              <w:t>WJW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3B63DC" w14:textId="77777777">
            <w:pPr>
              <w:rPr>
                <w:rFonts w:cs="Calibri"/>
              </w:rPr>
            </w:pPr>
            <w:r w:rsidRPr="007D15C3">
              <w:rPr>
                <w:rFonts w:cs="Calibri"/>
              </w:rPr>
              <w:t xml:space="preserve">          3,977,148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72D460" w14:textId="77777777">
            <w:pPr>
              <w:rPr>
                <w:rFonts w:cs="Calibri"/>
              </w:rPr>
            </w:pPr>
            <w:r w:rsidRPr="007D15C3">
              <w:rPr>
                <w:rFonts w:cs="Calibri"/>
              </w:rPr>
              <w:t xml:space="preserve">            3,905,325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4A3E77" w14:textId="77777777">
            <w:pPr>
              <w:jc w:val="right"/>
              <w:rPr>
                <w:rFonts w:cs="Calibri"/>
              </w:rPr>
            </w:pPr>
            <w:r w:rsidRPr="007D15C3">
              <w:rPr>
                <w:rFonts w:cs="Calibri"/>
              </w:rPr>
              <w:t>$30,606</w:t>
            </w:r>
          </w:p>
        </w:tc>
      </w:tr>
      <w:tr w14:paraId="5DF2FB7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310ED6" w14:textId="77777777">
            <w:pPr>
              <w:jc w:val="center"/>
              <w:rPr>
                <w:rFonts w:cs="Calibri"/>
              </w:rPr>
            </w:pPr>
            <w:r w:rsidRPr="007D15C3">
              <w:rPr>
                <w:rFonts w:cs="Calibri"/>
              </w:rPr>
              <w:t>61007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131117" w14:textId="77777777">
            <w:pPr>
              <w:jc w:val="center"/>
              <w:rPr>
                <w:rFonts w:cs="Calibri"/>
              </w:rPr>
            </w:pPr>
            <w:r w:rsidRPr="007D15C3">
              <w:rPr>
                <w:rFonts w:cs="Calibri"/>
              </w:rPr>
              <w:t>WJWJ-TV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838807" w14:textId="77777777">
            <w:pPr>
              <w:rPr>
                <w:rFonts w:cs="Calibri"/>
              </w:rPr>
            </w:pPr>
            <w:r w:rsidRPr="007D15C3">
              <w:rPr>
                <w:rFonts w:cs="Calibri"/>
              </w:rPr>
              <w:t xml:space="preserve">          1,008,890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066B4E" w14:textId="77777777">
            <w:pPr>
              <w:rPr>
                <w:rFonts w:cs="Calibri"/>
              </w:rPr>
            </w:pPr>
            <w:r w:rsidRPr="007D15C3">
              <w:rPr>
                <w:rFonts w:cs="Calibri"/>
              </w:rPr>
              <w:t xml:space="preserve">            1,008,890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4F656F" w14:textId="77777777">
            <w:pPr>
              <w:jc w:val="right"/>
              <w:rPr>
                <w:rFonts w:cs="Calibri"/>
              </w:rPr>
            </w:pPr>
            <w:r w:rsidRPr="007D15C3">
              <w:rPr>
                <w:rFonts w:cs="Calibri"/>
              </w:rPr>
              <w:t>$7,907</w:t>
            </w:r>
          </w:p>
        </w:tc>
      </w:tr>
      <w:tr w14:paraId="0F79A2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A6ABAC" w14:textId="77777777">
            <w:pPr>
              <w:jc w:val="center"/>
              <w:rPr>
                <w:rFonts w:cs="Calibri"/>
              </w:rPr>
            </w:pPr>
            <w:r w:rsidRPr="007D15C3">
              <w:rPr>
                <w:rFonts w:cs="Calibri"/>
              </w:rPr>
              <w:t>58342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14D2CF" w14:textId="77777777">
            <w:pPr>
              <w:jc w:val="center"/>
              <w:rPr>
                <w:rFonts w:cs="Calibri"/>
              </w:rPr>
            </w:pPr>
            <w:r w:rsidRPr="007D15C3">
              <w:rPr>
                <w:rFonts w:cs="Calibri"/>
              </w:rPr>
              <w:t>WJWN-TV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E80333" w14:textId="77777777">
            <w:pPr>
              <w:rPr>
                <w:rFonts w:cs="Calibri"/>
              </w:rPr>
            </w:pPr>
            <w:r w:rsidRPr="007D15C3">
              <w:rPr>
                <w:rFonts w:cs="Calibri"/>
              </w:rPr>
              <w:t xml:space="preserve">          1,962,885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CF979E" w14:textId="77777777">
            <w:pPr>
              <w:rPr>
                <w:rFonts w:cs="Calibri"/>
              </w:rPr>
            </w:pPr>
            <w:r w:rsidRPr="007D15C3">
              <w:rPr>
                <w:rFonts w:cs="Calibri"/>
              </w:rPr>
              <w:t xml:space="preserve">            1,690,961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F844F1" w14:textId="77777777">
            <w:pPr>
              <w:jc w:val="right"/>
              <w:rPr>
                <w:rFonts w:cs="Calibri"/>
              </w:rPr>
            </w:pPr>
            <w:r w:rsidRPr="007D15C3">
              <w:rPr>
                <w:rFonts w:cs="Calibri"/>
              </w:rPr>
              <w:t>$4,706</w:t>
            </w:r>
          </w:p>
        </w:tc>
      </w:tr>
      <w:tr w14:paraId="132FF2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57FC85" w14:textId="77777777">
            <w:pPr>
              <w:jc w:val="center"/>
              <w:rPr>
                <w:rFonts w:cs="Calibri"/>
              </w:rPr>
            </w:pPr>
            <w:r w:rsidRPr="007D15C3">
              <w:rPr>
                <w:rFonts w:cs="Calibri"/>
              </w:rPr>
              <w:t>53116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7F4F82" w14:textId="77777777">
            <w:pPr>
              <w:jc w:val="center"/>
              <w:rPr>
                <w:rFonts w:cs="Calibri"/>
              </w:rPr>
            </w:pPr>
            <w:r w:rsidRPr="007D15C3">
              <w:rPr>
                <w:rFonts w:cs="Calibri"/>
              </w:rPr>
              <w:t>WJXT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1A1C39" w14:textId="77777777">
            <w:pPr>
              <w:rPr>
                <w:rFonts w:cs="Calibri"/>
              </w:rPr>
            </w:pPr>
            <w:r w:rsidRPr="007D15C3">
              <w:rPr>
                <w:rFonts w:cs="Calibri"/>
              </w:rPr>
              <w:t xml:space="preserve">          1,608,682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B98310" w14:textId="77777777">
            <w:pPr>
              <w:rPr>
                <w:rFonts w:cs="Calibri"/>
              </w:rPr>
            </w:pPr>
            <w:r w:rsidRPr="007D15C3">
              <w:rPr>
                <w:rFonts w:cs="Calibri"/>
              </w:rPr>
              <w:t xml:space="preserve">            1,608,682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E5B3CE" w14:textId="77777777">
            <w:pPr>
              <w:jc w:val="right"/>
              <w:rPr>
                <w:rFonts w:cs="Calibri"/>
              </w:rPr>
            </w:pPr>
            <w:r w:rsidRPr="007D15C3">
              <w:rPr>
                <w:rFonts w:cs="Calibri"/>
              </w:rPr>
              <w:t>$12,607</w:t>
            </w:r>
          </w:p>
        </w:tc>
      </w:tr>
      <w:tr w14:paraId="09757BC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7609EA" w14:textId="77777777">
            <w:pPr>
              <w:jc w:val="center"/>
              <w:rPr>
                <w:rFonts w:cs="Calibri"/>
              </w:rPr>
            </w:pPr>
            <w:r w:rsidRPr="007D15C3">
              <w:rPr>
                <w:rFonts w:cs="Calibri"/>
              </w:rPr>
              <w:t>11893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671673" w14:textId="77777777">
            <w:pPr>
              <w:jc w:val="center"/>
              <w:rPr>
                <w:rFonts w:cs="Calibri"/>
              </w:rPr>
            </w:pPr>
            <w:r w:rsidRPr="007D15C3">
              <w:rPr>
                <w:rFonts w:cs="Calibri"/>
              </w:rPr>
              <w:t>WJXX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D4F558" w14:textId="77777777">
            <w:pPr>
              <w:rPr>
                <w:rFonts w:cs="Calibri"/>
              </w:rPr>
            </w:pPr>
            <w:r w:rsidRPr="007D15C3">
              <w:rPr>
                <w:rFonts w:cs="Calibri"/>
              </w:rPr>
              <w:t xml:space="preserve">          1,618,191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D51A52" w14:textId="77777777">
            <w:pPr>
              <w:rPr>
                <w:rFonts w:cs="Calibri"/>
              </w:rPr>
            </w:pPr>
            <w:r w:rsidRPr="007D15C3">
              <w:rPr>
                <w:rFonts w:cs="Calibri"/>
              </w:rPr>
              <w:t xml:space="preserve">            1,617,272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5F7E1A" w14:textId="77777777">
            <w:pPr>
              <w:jc w:val="right"/>
              <w:rPr>
                <w:rFonts w:cs="Calibri"/>
              </w:rPr>
            </w:pPr>
            <w:r w:rsidRPr="007D15C3">
              <w:rPr>
                <w:rFonts w:cs="Calibri"/>
              </w:rPr>
              <w:t>$12,675</w:t>
            </w:r>
          </w:p>
        </w:tc>
      </w:tr>
      <w:tr w14:paraId="76D868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B1A039D" w14:textId="77777777">
            <w:pPr>
              <w:jc w:val="center"/>
              <w:rPr>
                <w:rFonts w:cs="Calibri"/>
              </w:rPr>
            </w:pPr>
            <w:r w:rsidRPr="007D15C3">
              <w:rPr>
                <w:rFonts w:cs="Calibri"/>
              </w:rPr>
              <w:t>32334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099014" w14:textId="77777777">
            <w:pPr>
              <w:jc w:val="center"/>
              <w:rPr>
                <w:rFonts w:cs="Calibri"/>
              </w:rPr>
            </w:pPr>
            <w:r w:rsidRPr="007D15C3">
              <w:rPr>
                <w:rFonts w:cs="Calibri"/>
              </w:rPr>
              <w:t>WJYS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E9146C" w14:textId="77777777">
            <w:pPr>
              <w:rPr>
                <w:rFonts w:cs="Calibri"/>
              </w:rPr>
            </w:pPr>
            <w:r w:rsidRPr="007D15C3">
              <w:rPr>
                <w:rFonts w:cs="Calibri"/>
              </w:rPr>
              <w:t xml:space="preserve">          9,647,321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C1662C" w14:textId="77777777">
            <w:pPr>
              <w:rPr>
                <w:rFonts w:cs="Calibri"/>
              </w:rPr>
            </w:pPr>
            <w:r w:rsidRPr="007D15C3">
              <w:rPr>
                <w:rFonts w:cs="Calibri"/>
              </w:rPr>
              <w:t xml:space="preserve">            9,647,299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799865" w14:textId="77777777">
            <w:pPr>
              <w:jc w:val="right"/>
              <w:rPr>
                <w:rFonts w:cs="Calibri"/>
              </w:rPr>
            </w:pPr>
            <w:r w:rsidRPr="007D15C3">
              <w:rPr>
                <w:rFonts w:cs="Calibri"/>
              </w:rPr>
              <w:t>$75,606</w:t>
            </w:r>
          </w:p>
        </w:tc>
      </w:tr>
      <w:tr w14:paraId="780B2FE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403C9F" w14:textId="77777777">
            <w:pPr>
              <w:jc w:val="center"/>
              <w:rPr>
                <w:rFonts w:cs="Calibri"/>
              </w:rPr>
            </w:pPr>
            <w:r w:rsidRPr="007D15C3">
              <w:rPr>
                <w:rFonts w:cs="Calibri"/>
              </w:rPr>
              <w:t>25455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629F11" w14:textId="77777777">
            <w:pPr>
              <w:jc w:val="center"/>
              <w:rPr>
                <w:rFonts w:cs="Calibri"/>
              </w:rPr>
            </w:pPr>
            <w:r w:rsidRPr="007D15C3">
              <w:rPr>
                <w:rFonts w:cs="Calibri"/>
              </w:rPr>
              <w:t>WJZ-TV*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7D19F5" w14:textId="77777777">
            <w:pPr>
              <w:rPr>
                <w:rFonts w:cs="Calibri"/>
              </w:rPr>
            </w:pPr>
            <w:r w:rsidRPr="007D15C3">
              <w:rPr>
                <w:rFonts w:cs="Calibri"/>
              </w:rPr>
              <w:t xml:space="preserve">          9,253,891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598A1F" w14:textId="77777777">
            <w:pPr>
              <w:rPr>
                <w:rFonts w:cs="Calibri"/>
              </w:rPr>
            </w:pPr>
            <w:r w:rsidRPr="007D15C3">
              <w:rPr>
                <w:rFonts w:cs="Calibri"/>
              </w:rPr>
              <w:t xml:space="preserve">            8,902,229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1490FD" w14:textId="77777777">
            <w:pPr>
              <w:jc w:val="right"/>
              <w:rPr>
                <w:rFonts w:cs="Calibri"/>
              </w:rPr>
            </w:pPr>
            <w:r w:rsidRPr="007D15C3">
              <w:rPr>
                <w:rFonts w:cs="Calibri"/>
              </w:rPr>
              <w:t>$69,767</w:t>
            </w:r>
          </w:p>
        </w:tc>
      </w:tr>
      <w:tr w14:paraId="7B72BEA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3A4DCB" w14:textId="77777777">
            <w:pPr>
              <w:jc w:val="center"/>
              <w:rPr>
                <w:rFonts w:cs="Calibri"/>
              </w:rPr>
            </w:pPr>
            <w:r w:rsidRPr="007D15C3">
              <w:rPr>
                <w:rFonts w:cs="Calibri"/>
              </w:rPr>
              <w:t>73152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C755AA" w14:textId="77777777">
            <w:pPr>
              <w:jc w:val="center"/>
              <w:rPr>
                <w:rFonts w:cs="Calibri"/>
              </w:rPr>
            </w:pPr>
            <w:r w:rsidRPr="007D15C3">
              <w:rPr>
                <w:rFonts w:cs="Calibri"/>
              </w:rPr>
              <w:t>WJZY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2E2A54" w14:textId="77777777">
            <w:pPr>
              <w:rPr>
                <w:rFonts w:cs="Calibri"/>
              </w:rPr>
            </w:pPr>
            <w:r w:rsidRPr="007D15C3">
              <w:rPr>
                <w:rFonts w:cs="Calibri"/>
              </w:rPr>
              <w:t xml:space="preserve">          4,432,745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1AD4FA" w14:textId="77777777">
            <w:pPr>
              <w:rPr>
                <w:rFonts w:cs="Calibri"/>
              </w:rPr>
            </w:pPr>
            <w:r w:rsidRPr="007D15C3">
              <w:rPr>
                <w:rFonts w:cs="Calibri"/>
              </w:rPr>
              <w:t xml:space="preserve">            4,301,117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69230F" w14:textId="77777777">
            <w:pPr>
              <w:jc w:val="right"/>
              <w:rPr>
                <w:rFonts w:cs="Calibri"/>
              </w:rPr>
            </w:pPr>
            <w:r w:rsidRPr="007D15C3">
              <w:rPr>
                <w:rFonts w:cs="Calibri"/>
              </w:rPr>
              <w:t>$33,708</w:t>
            </w:r>
          </w:p>
        </w:tc>
      </w:tr>
      <w:tr w14:paraId="3F9842B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09F6F1" w14:textId="77777777">
            <w:pPr>
              <w:jc w:val="center"/>
              <w:rPr>
                <w:rFonts w:cs="Calibri"/>
              </w:rPr>
            </w:pPr>
            <w:r w:rsidRPr="007D15C3">
              <w:rPr>
                <w:rFonts w:cs="Calibri"/>
              </w:rPr>
              <w:t>64983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5384BF" w14:textId="77777777">
            <w:pPr>
              <w:jc w:val="center"/>
              <w:rPr>
                <w:rFonts w:cs="Calibri"/>
              </w:rPr>
            </w:pPr>
            <w:r w:rsidRPr="007D15C3">
              <w:rPr>
                <w:rFonts w:cs="Calibri"/>
              </w:rPr>
              <w:t>WKAQ-TV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185D58" w14:textId="77777777">
            <w:pPr>
              <w:rPr>
                <w:rFonts w:cs="Calibri"/>
              </w:rPr>
            </w:pPr>
            <w:r w:rsidRPr="007D15C3">
              <w:rPr>
                <w:rFonts w:cs="Calibri"/>
              </w:rPr>
              <w:t xml:space="preserve">          3,697,088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C1B72A" w14:textId="77777777">
            <w:pPr>
              <w:rPr>
                <w:rFonts w:cs="Calibri"/>
              </w:rPr>
            </w:pPr>
            <w:r w:rsidRPr="007D15C3">
              <w:rPr>
                <w:rFonts w:cs="Calibri"/>
              </w:rPr>
              <w:t xml:space="preserve">            3,287,110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9C7097" w14:textId="77777777">
            <w:pPr>
              <w:jc w:val="right"/>
              <w:rPr>
                <w:rFonts w:cs="Calibri"/>
              </w:rPr>
            </w:pPr>
            <w:r w:rsidRPr="007D15C3">
              <w:rPr>
                <w:rFonts w:cs="Calibri"/>
              </w:rPr>
              <w:t>$21,407</w:t>
            </w:r>
          </w:p>
        </w:tc>
      </w:tr>
      <w:tr w14:paraId="5FDEC5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4576D2" w14:textId="77777777">
            <w:pPr>
              <w:jc w:val="center"/>
              <w:rPr>
                <w:rFonts w:cs="Calibri"/>
              </w:rPr>
            </w:pPr>
            <w:r w:rsidRPr="007D15C3">
              <w:rPr>
                <w:rFonts w:cs="Calibri"/>
              </w:rPr>
              <w:t>6104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EC4389" w14:textId="77777777">
            <w:pPr>
              <w:jc w:val="center"/>
              <w:rPr>
                <w:rFonts w:cs="Calibri"/>
              </w:rPr>
            </w:pPr>
            <w:r w:rsidRPr="007D15C3">
              <w:rPr>
                <w:rFonts w:cs="Calibri"/>
              </w:rPr>
              <w:t>WKAR-TV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E7B22B" w14:textId="77777777">
            <w:pPr>
              <w:rPr>
                <w:rFonts w:cs="Calibri"/>
              </w:rPr>
            </w:pPr>
            <w:r w:rsidRPr="007D15C3">
              <w:rPr>
                <w:rFonts w:cs="Calibri"/>
              </w:rPr>
              <w:t xml:space="preserve">          1,693,373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AAD577" w14:textId="77777777">
            <w:pPr>
              <w:rPr>
                <w:rFonts w:cs="Calibri"/>
              </w:rPr>
            </w:pPr>
            <w:r w:rsidRPr="007D15C3">
              <w:rPr>
                <w:rFonts w:cs="Calibri"/>
              </w:rPr>
              <w:t xml:space="preserve">            1,689,830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CC18C2" w14:textId="77777777">
            <w:pPr>
              <w:jc w:val="right"/>
              <w:rPr>
                <w:rFonts w:cs="Calibri"/>
              </w:rPr>
            </w:pPr>
            <w:r w:rsidRPr="007D15C3">
              <w:rPr>
                <w:rFonts w:cs="Calibri"/>
              </w:rPr>
              <w:t>$13,243</w:t>
            </w:r>
          </w:p>
        </w:tc>
      </w:tr>
      <w:tr w14:paraId="6107D6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435046" w14:textId="77777777">
            <w:pPr>
              <w:jc w:val="center"/>
              <w:rPr>
                <w:rFonts w:cs="Calibri"/>
              </w:rPr>
            </w:pPr>
            <w:r w:rsidRPr="007D15C3">
              <w:rPr>
                <w:rFonts w:cs="Calibri"/>
              </w:rPr>
              <w:t>34171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6B3D3C" w14:textId="77777777">
            <w:pPr>
              <w:jc w:val="center"/>
              <w:rPr>
                <w:rFonts w:cs="Calibri"/>
              </w:rPr>
            </w:pPr>
            <w:r w:rsidRPr="007D15C3">
              <w:rPr>
                <w:rFonts w:cs="Calibri"/>
              </w:rPr>
              <w:t>WKAS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18FC4A" w14:textId="77777777">
            <w:pPr>
              <w:rPr>
                <w:rFonts w:cs="Calibri"/>
              </w:rPr>
            </w:pPr>
            <w:r w:rsidRPr="007D15C3">
              <w:rPr>
                <w:rFonts w:cs="Calibri"/>
              </w:rPr>
              <w:t xml:space="preserve">             503,790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9394C6" w14:textId="77777777">
            <w:pPr>
              <w:rPr>
                <w:rFonts w:cs="Calibri"/>
              </w:rPr>
            </w:pPr>
            <w:r w:rsidRPr="007D15C3">
              <w:rPr>
                <w:rFonts w:cs="Calibri"/>
              </w:rPr>
              <w:t xml:space="preserve">               476,158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BF4D5D" w14:textId="77777777">
            <w:pPr>
              <w:jc w:val="right"/>
              <w:rPr>
                <w:rFonts w:cs="Calibri"/>
              </w:rPr>
            </w:pPr>
            <w:r w:rsidRPr="007D15C3">
              <w:rPr>
                <w:rFonts w:cs="Calibri"/>
              </w:rPr>
              <w:t>$3,732</w:t>
            </w:r>
          </w:p>
        </w:tc>
      </w:tr>
      <w:tr w14:paraId="16D571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AAC44E" w14:textId="77777777">
            <w:pPr>
              <w:jc w:val="center"/>
              <w:rPr>
                <w:rFonts w:cs="Calibri"/>
              </w:rPr>
            </w:pPr>
            <w:r w:rsidRPr="007D15C3">
              <w:rPr>
                <w:rFonts w:cs="Calibri"/>
              </w:rPr>
              <w:t>51570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399E2F" w14:textId="77777777">
            <w:pPr>
              <w:jc w:val="center"/>
              <w:rPr>
                <w:rFonts w:cs="Calibri"/>
              </w:rPr>
            </w:pPr>
            <w:r w:rsidRPr="007D15C3">
              <w:rPr>
                <w:rFonts w:cs="Calibri"/>
              </w:rPr>
              <w:t>WKBD-TV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762D3F" w14:textId="77777777">
            <w:pPr>
              <w:rPr>
                <w:rFonts w:cs="Calibri"/>
              </w:rPr>
            </w:pPr>
            <w:r w:rsidRPr="007D15C3">
              <w:rPr>
                <w:rFonts w:cs="Calibri"/>
              </w:rPr>
              <w:t xml:space="preserve">          5,065,617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B277E4" w14:textId="77777777">
            <w:pPr>
              <w:rPr>
                <w:rFonts w:cs="Calibri"/>
              </w:rPr>
            </w:pPr>
            <w:r w:rsidRPr="007D15C3">
              <w:rPr>
                <w:rFonts w:cs="Calibri"/>
              </w:rPr>
              <w:t xml:space="preserve">            5,065,350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AE53E7" w14:textId="77777777">
            <w:pPr>
              <w:jc w:val="right"/>
              <w:rPr>
                <w:rFonts w:cs="Calibri"/>
              </w:rPr>
            </w:pPr>
            <w:r w:rsidRPr="007D15C3">
              <w:rPr>
                <w:rFonts w:cs="Calibri"/>
              </w:rPr>
              <w:t>$39,697</w:t>
            </w:r>
          </w:p>
        </w:tc>
      </w:tr>
      <w:tr w14:paraId="0CE98CA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7E779E" w14:textId="77777777">
            <w:pPr>
              <w:jc w:val="center"/>
              <w:rPr>
                <w:rFonts w:cs="Calibri"/>
              </w:rPr>
            </w:pPr>
            <w:r w:rsidRPr="007D15C3">
              <w:rPr>
                <w:rFonts w:cs="Calibri"/>
              </w:rPr>
              <w:t>73153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BFA8B0" w14:textId="77777777">
            <w:pPr>
              <w:jc w:val="center"/>
              <w:rPr>
                <w:rFonts w:cs="Calibri"/>
              </w:rPr>
            </w:pPr>
            <w:r w:rsidRPr="007D15C3">
              <w:rPr>
                <w:rFonts w:cs="Calibri"/>
              </w:rPr>
              <w:t>WKBN-TV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B73BEE" w14:textId="77777777">
            <w:pPr>
              <w:rPr>
                <w:rFonts w:cs="Calibri"/>
              </w:rPr>
            </w:pPr>
            <w:r w:rsidRPr="007D15C3">
              <w:rPr>
                <w:rFonts w:cs="Calibri"/>
              </w:rPr>
              <w:t xml:space="preserve">          4,898,622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830B0E" w14:textId="77777777">
            <w:pPr>
              <w:rPr>
                <w:rFonts w:cs="Calibri"/>
              </w:rPr>
            </w:pPr>
            <w:r w:rsidRPr="007D15C3">
              <w:rPr>
                <w:rFonts w:cs="Calibri"/>
              </w:rPr>
              <w:t xml:space="preserve">            4,535,576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4BD9A6" w14:textId="77777777">
            <w:pPr>
              <w:jc w:val="right"/>
              <w:rPr>
                <w:rFonts w:cs="Calibri"/>
              </w:rPr>
            </w:pPr>
            <w:r w:rsidRPr="007D15C3">
              <w:rPr>
                <w:rFonts w:cs="Calibri"/>
              </w:rPr>
              <w:t>$35,545</w:t>
            </w:r>
          </w:p>
        </w:tc>
      </w:tr>
      <w:tr w14:paraId="2F7C4DC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C67461" w14:textId="77777777">
            <w:pPr>
              <w:jc w:val="center"/>
              <w:rPr>
                <w:rFonts w:cs="Calibri"/>
              </w:rPr>
            </w:pPr>
            <w:r w:rsidRPr="007D15C3">
              <w:rPr>
                <w:rFonts w:cs="Calibri"/>
              </w:rPr>
              <w:t>13929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6B9B89" w14:textId="77777777">
            <w:pPr>
              <w:jc w:val="center"/>
              <w:rPr>
                <w:rFonts w:cs="Calibri"/>
              </w:rPr>
            </w:pPr>
            <w:r w:rsidRPr="007D15C3">
              <w:rPr>
                <w:rFonts w:cs="Calibri"/>
              </w:rPr>
              <w:t>WKBS-TV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3A98A1" w14:textId="77777777">
            <w:pPr>
              <w:rPr>
                <w:rFonts w:cs="Calibri"/>
              </w:rPr>
            </w:pPr>
            <w:r w:rsidRPr="007D15C3">
              <w:rPr>
                <w:rFonts w:cs="Calibri"/>
              </w:rPr>
              <w:t xml:space="preserve">             831,411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FE4BBB" w14:textId="77777777">
            <w:pPr>
              <w:rPr>
                <w:rFonts w:cs="Calibri"/>
              </w:rPr>
            </w:pPr>
            <w:r w:rsidRPr="007D15C3">
              <w:rPr>
                <w:rFonts w:cs="Calibri"/>
              </w:rPr>
              <w:t xml:space="preserve">               682,182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AC0659" w14:textId="77777777">
            <w:pPr>
              <w:jc w:val="right"/>
              <w:rPr>
                <w:rFonts w:cs="Calibri"/>
              </w:rPr>
            </w:pPr>
            <w:r w:rsidRPr="007D15C3">
              <w:rPr>
                <w:rFonts w:cs="Calibri"/>
              </w:rPr>
              <w:t>$5,346</w:t>
            </w:r>
          </w:p>
        </w:tc>
      </w:tr>
      <w:tr w14:paraId="0D9798B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C00BFA" w14:textId="77777777">
            <w:pPr>
              <w:jc w:val="center"/>
              <w:rPr>
                <w:rFonts w:cs="Calibri"/>
              </w:rPr>
            </w:pPr>
            <w:r w:rsidRPr="007D15C3">
              <w:rPr>
                <w:rFonts w:cs="Calibri"/>
              </w:rPr>
              <w:t>74424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98635E" w14:textId="77777777">
            <w:pPr>
              <w:jc w:val="center"/>
              <w:rPr>
                <w:rFonts w:cs="Calibri"/>
              </w:rPr>
            </w:pPr>
            <w:r w:rsidRPr="007D15C3">
              <w:rPr>
                <w:rFonts w:cs="Calibri"/>
              </w:rPr>
              <w:t>WKBT-DT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28D60E" w14:textId="77777777">
            <w:pPr>
              <w:rPr>
                <w:rFonts w:cs="Calibri"/>
              </w:rPr>
            </w:pPr>
            <w:r w:rsidRPr="007D15C3">
              <w:rPr>
                <w:rFonts w:cs="Calibri"/>
              </w:rPr>
              <w:t xml:space="preserve">             866,325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A8A6CF" w14:textId="77777777">
            <w:pPr>
              <w:rPr>
                <w:rFonts w:cs="Calibri"/>
              </w:rPr>
            </w:pPr>
            <w:r w:rsidRPr="007D15C3">
              <w:rPr>
                <w:rFonts w:cs="Calibri"/>
              </w:rPr>
              <w:t xml:space="preserve">               824,795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14373A" w14:textId="77777777">
            <w:pPr>
              <w:jc w:val="right"/>
              <w:rPr>
                <w:rFonts w:cs="Calibri"/>
              </w:rPr>
            </w:pPr>
            <w:r w:rsidRPr="007D15C3">
              <w:rPr>
                <w:rFonts w:cs="Calibri"/>
              </w:rPr>
              <w:t>$6,464</w:t>
            </w:r>
          </w:p>
        </w:tc>
      </w:tr>
      <w:tr w14:paraId="761848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CA8CDC" w14:textId="77777777">
            <w:pPr>
              <w:jc w:val="center"/>
              <w:rPr>
                <w:rFonts w:cs="Calibri"/>
              </w:rPr>
            </w:pPr>
            <w:r w:rsidRPr="007D15C3">
              <w:rPr>
                <w:rFonts w:cs="Calibri"/>
              </w:rPr>
              <w:t>54176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8A885E" w14:textId="77777777">
            <w:pPr>
              <w:jc w:val="center"/>
              <w:rPr>
                <w:rFonts w:cs="Calibri"/>
              </w:rPr>
            </w:pPr>
            <w:r w:rsidRPr="007D15C3">
              <w:rPr>
                <w:rFonts w:cs="Calibri"/>
              </w:rPr>
              <w:t>WKBW-TV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9E840D" w14:textId="77777777">
            <w:pPr>
              <w:rPr>
                <w:rFonts w:cs="Calibri"/>
              </w:rPr>
            </w:pPr>
            <w:r w:rsidRPr="007D15C3">
              <w:rPr>
                <w:rFonts w:cs="Calibri"/>
              </w:rPr>
              <w:t xml:space="preserve">          2,033,929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3C8A9D" w14:textId="77777777">
            <w:pPr>
              <w:rPr>
                <w:rFonts w:cs="Calibri"/>
              </w:rPr>
            </w:pPr>
            <w:r w:rsidRPr="007D15C3">
              <w:rPr>
                <w:rFonts w:cs="Calibri"/>
              </w:rPr>
              <w:t xml:space="preserve">            1,942,743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9E8319" w14:textId="77777777">
            <w:pPr>
              <w:jc w:val="right"/>
              <w:rPr>
                <w:rFonts w:cs="Calibri"/>
              </w:rPr>
            </w:pPr>
            <w:r w:rsidRPr="007D15C3">
              <w:rPr>
                <w:rFonts w:cs="Calibri"/>
              </w:rPr>
              <w:t>$15,225</w:t>
            </w:r>
          </w:p>
        </w:tc>
      </w:tr>
      <w:tr w14:paraId="228ABF8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93B8A3" w14:textId="77777777">
            <w:pPr>
              <w:jc w:val="center"/>
              <w:rPr>
                <w:rFonts w:cs="Calibri"/>
              </w:rPr>
            </w:pPr>
            <w:r w:rsidRPr="007D15C3">
              <w:rPr>
                <w:rFonts w:cs="Calibri"/>
              </w:rPr>
              <w:t>53465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1F03ED" w14:textId="77777777">
            <w:pPr>
              <w:jc w:val="center"/>
              <w:rPr>
                <w:rFonts w:cs="Calibri"/>
              </w:rPr>
            </w:pPr>
            <w:r w:rsidRPr="007D15C3">
              <w:rPr>
                <w:rFonts w:cs="Calibri"/>
              </w:rPr>
              <w:t>WKCF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E69C93" w14:textId="77777777">
            <w:pPr>
              <w:rPr>
                <w:rFonts w:cs="Calibri"/>
              </w:rPr>
            </w:pPr>
            <w:r w:rsidRPr="007D15C3">
              <w:rPr>
                <w:rFonts w:cs="Calibri"/>
              </w:rPr>
              <w:t xml:space="preserve">          4,032,154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118873" w14:textId="77777777">
            <w:pPr>
              <w:rPr>
                <w:rFonts w:cs="Calibri"/>
              </w:rPr>
            </w:pPr>
            <w:r w:rsidRPr="007D15C3">
              <w:rPr>
                <w:rFonts w:cs="Calibri"/>
              </w:rPr>
              <w:t xml:space="preserve">            4,031,823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AC5D79" w14:textId="77777777">
            <w:pPr>
              <w:jc w:val="right"/>
              <w:rPr>
                <w:rFonts w:cs="Calibri"/>
              </w:rPr>
            </w:pPr>
            <w:r w:rsidRPr="007D15C3">
              <w:rPr>
                <w:rFonts w:cs="Calibri"/>
              </w:rPr>
              <w:t>$31,597</w:t>
            </w:r>
          </w:p>
        </w:tc>
      </w:tr>
      <w:tr w14:paraId="7195755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E360D6" w14:textId="77777777">
            <w:pPr>
              <w:jc w:val="center"/>
              <w:rPr>
                <w:rFonts w:cs="Calibri"/>
              </w:rPr>
            </w:pPr>
            <w:r w:rsidRPr="007D15C3">
              <w:rPr>
                <w:rFonts w:cs="Calibri"/>
              </w:rPr>
              <w:t>73155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06B8B4" w14:textId="77777777">
            <w:pPr>
              <w:jc w:val="center"/>
              <w:rPr>
                <w:rFonts w:cs="Calibri"/>
              </w:rPr>
            </w:pPr>
            <w:r w:rsidRPr="007D15C3">
              <w:rPr>
                <w:rFonts w:cs="Calibri"/>
              </w:rPr>
              <w:t>WKEF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E88564" w14:textId="77777777">
            <w:pPr>
              <w:rPr>
                <w:rFonts w:cs="Calibri"/>
              </w:rPr>
            </w:pPr>
            <w:r w:rsidRPr="007D15C3">
              <w:rPr>
                <w:rFonts w:cs="Calibri"/>
              </w:rPr>
              <w:t xml:space="preserve">          3,623,762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522969" w14:textId="77777777">
            <w:pPr>
              <w:rPr>
                <w:rFonts w:cs="Calibri"/>
              </w:rPr>
            </w:pPr>
            <w:r w:rsidRPr="007D15C3">
              <w:rPr>
                <w:rFonts w:cs="Calibri"/>
              </w:rPr>
              <w:t xml:space="preserve">            3,619,081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0BAA6B" w14:textId="77777777">
            <w:pPr>
              <w:jc w:val="right"/>
              <w:rPr>
                <w:rFonts w:cs="Calibri"/>
              </w:rPr>
            </w:pPr>
            <w:r w:rsidRPr="007D15C3">
              <w:rPr>
                <w:rFonts w:cs="Calibri"/>
              </w:rPr>
              <w:t>$28,363</w:t>
            </w:r>
          </w:p>
        </w:tc>
      </w:tr>
      <w:tr w14:paraId="121ABA0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C3FD87" w14:textId="77777777">
            <w:pPr>
              <w:jc w:val="center"/>
              <w:rPr>
                <w:rFonts w:cs="Calibri"/>
              </w:rPr>
            </w:pPr>
            <w:r w:rsidRPr="007D15C3">
              <w:rPr>
                <w:rFonts w:cs="Calibri"/>
              </w:rPr>
              <w:t>34177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E1E9F4" w14:textId="77777777">
            <w:pPr>
              <w:jc w:val="center"/>
              <w:rPr>
                <w:rFonts w:cs="Calibri"/>
              </w:rPr>
            </w:pPr>
            <w:r w:rsidRPr="007D15C3">
              <w:rPr>
                <w:rFonts w:cs="Calibri"/>
              </w:rPr>
              <w:t>WKGB-TV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D8FB2D" w14:textId="77777777">
            <w:pPr>
              <w:rPr>
                <w:rFonts w:cs="Calibri"/>
              </w:rPr>
            </w:pPr>
            <w:r w:rsidRPr="007D15C3">
              <w:rPr>
                <w:rFonts w:cs="Calibri"/>
              </w:rPr>
              <w:t xml:space="preserve">             384,474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28B667" w14:textId="77777777">
            <w:pPr>
              <w:rPr>
                <w:rFonts w:cs="Calibri"/>
              </w:rPr>
            </w:pPr>
            <w:r w:rsidRPr="007D15C3">
              <w:rPr>
                <w:rFonts w:cs="Calibri"/>
              </w:rPr>
              <w:t xml:space="preserve">               382,825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EA6B14" w14:textId="77777777">
            <w:pPr>
              <w:jc w:val="right"/>
              <w:rPr>
                <w:rFonts w:cs="Calibri"/>
              </w:rPr>
            </w:pPr>
            <w:r w:rsidRPr="007D15C3">
              <w:rPr>
                <w:rFonts w:cs="Calibri"/>
              </w:rPr>
              <w:t>$3,000</w:t>
            </w:r>
          </w:p>
        </w:tc>
      </w:tr>
      <w:tr w14:paraId="502776E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60721F" w14:textId="77777777">
            <w:pPr>
              <w:jc w:val="center"/>
              <w:rPr>
                <w:rFonts w:cs="Calibri"/>
              </w:rPr>
            </w:pPr>
            <w:r w:rsidRPr="007D15C3">
              <w:rPr>
                <w:rFonts w:cs="Calibri"/>
              </w:rPr>
              <w:t>34196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06CA3B" w14:textId="77777777">
            <w:pPr>
              <w:jc w:val="center"/>
              <w:rPr>
                <w:rFonts w:cs="Calibri"/>
              </w:rPr>
            </w:pPr>
            <w:r w:rsidRPr="007D15C3">
              <w:rPr>
                <w:rFonts w:cs="Calibri"/>
              </w:rPr>
              <w:t>WKHA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891166" w14:textId="77777777">
            <w:pPr>
              <w:rPr>
                <w:rFonts w:cs="Calibri"/>
              </w:rPr>
            </w:pPr>
            <w:r w:rsidRPr="007D15C3">
              <w:rPr>
                <w:rFonts w:cs="Calibri"/>
              </w:rPr>
              <w:t xml:space="preserve">             511,281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6D5955" w14:textId="77777777">
            <w:pPr>
              <w:rPr>
                <w:rFonts w:cs="Calibri"/>
              </w:rPr>
            </w:pPr>
            <w:r w:rsidRPr="007D15C3">
              <w:rPr>
                <w:rFonts w:cs="Calibri"/>
              </w:rPr>
              <w:t xml:space="preserve">               400,721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090592" w14:textId="77777777">
            <w:pPr>
              <w:jc w:val="right"/>
              <w:rPr>
                <w:rFonts w:cs="Calibri"/>
              </w:rPr>
            </w:pPr>
            <w:r w:rsidRPr="007D15C3">
              <w:rPr>
                <w:rFonts w:cs="Calibri"/>
              </w:rPr>
              <w:t>$3,140</w:t>
            </w:r>
          </w:p>
        </w:tc>
      </w:tr>
      <w:tr w14:paraId="7A8955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092CA0" w14:textId="77777777">
            <w:pPr>
              <w:jc w:val="center"/>
              <w:rPr>
                <w:rFonts w:cs="Calibri"/>
              </w:rPr>
            </w:pPr>
            <w:r w:rsidRPr="007D15C3">
              <w:rPr>
                <w:rFonts w:cs="Calibri"/>
              </w:rPr>
              <w:t>34207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01AC27" w14:textId="77777777">
            <w:pPr>
              <w:jc w:val="center"/>
              <w:rPr>
                <w:rFonts w:cs="Calibri"/>
              </w:rPr>
            </w:pPr>
            <w:r w:rsidRPr="007D15C3">
              <w:rPr>
                <w:rFonts w:cs="Calibri"/>
              </w:rPr>
              <w:t>WKLE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360639" w14:textId="77777777">
            <w:pPr>
              <w:rPr>
                <w:rFonts w:cs="Calibri"/>
              </w:rPr>
            </w:pPr>
            <w:r w:rsidRPr="007D15C3">
              <w:rPr>
                <w:rFonts w:cs="Calibri"/>
              </w:rPr>
              <w:t xml:space="preserve">             837,269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997912" w14:textId="77777777">
            <w:pPr>
              <w:rPr>
                <w:rFonts w:cs="Calibri"/>
              </w:rPr>
            </w:pPr>
            <w:r w:rsidRPr="007D15C3">
              <w:rPr>
                <w:rFonts w:cs="Calibri"/>
              </w:rPr>
              <w:t xml:space="preserve">               825,691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C68281" w14:textId="77777777">
            <w:pPr>
              <w:jc w:val="right"/>
              <w:rPr>
                <w:rFonts w:cs="Calibri"/>
              </w:rPr>
            </w:pPr>
            <w:r w:rsidRPr="007D15C3">
              <w:rPr>
                <w:rFonts w:cs="Calibri"/>
              </w:rPr>
              <w:t>$6,471</w:t>
            </w:r>
          </w:p>
        </w:tc>
      </w:tr>
      <w:tr w14:paraId="1848418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B3F366" w14:textId="77777777">
            <w:pPr>
              <w:jc w:val="center"/>
              <w:rPr>
                <w:rFonts w:cs="Calibri"/>
              </w:rPr>
            </w:pPr>
            <w:r w:rsidRPr="007D15C3">
              <w:rPr>
                <w:rFonts w:cs="Calibri"/>
              </w:rPr>
              <w:t>34212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8D3D89" w14:textId="77777777">
            <w:pPr>
              <w:jc w:val="center"/>
              <w:rPr>
                <w:rFonts w:cs="Calibri"/>
              </w:rPr>
            </w:pPr>
            <w:r w:rsidRPr="007D15C3">
              <w:rPr>
                <w:rFonts w:cs="Calibri"/>
              </w:rPr>
              <w:t>WKMA-TV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7E946E" w14:textId="77777777">
            <w:pPr>
              <w:rPr>
                <w:rFonts w:cs="Calibri"/>
              </w:rPr>
            </w:pPr>
            <w:r w:rsidRPr="007D15C3">
              <w:rPr>
                <w:rFonts w:cs="Calibri"/>
              </w:rPr>
              <w:t xml:space="preserve">             454,447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10FA7B" w14:textId="77777777">
            <w:pPr>
              <w:rPr>
                <w:rFonts w:cs="Calibri"/>
              </w:rPr>
            </w:pPr>
            <w:r w:rsidRPr="007D15C3">
              <w:rPr>
                <w:rFonts w:cs="Calibri"/>
              </w:rPr>
              <w:t xml:space="preserve">               453,482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661533" w14:textId="77777777">
            <w:pPr>
              <w:jc w:val="right"/>
              <w:rPr>
                <w:rFonts w:cs="Calibri"/>
              </w:rPr>
            </w:pPr>
            <w:r w:rsidRPr="007D15C3">
              <w:rPr>
                <w:rFonts w:cs="Calibri"/>
              </w:rPr>
              <w:t>$3,554</w:t>
            </w:r>
          </w:p>
        </w:tc>
      </w:tr>
      <w:tr w14:paraId="1526BED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06EFD9" w14:textId="77777777">
            <w:pPr>
              <w:jc w:val="center"/>
              <w:rPr>
                <w:rFonts w:cs="Calibri"/>
              </w:rPr>
            </w:pPr>
            <w:r w:rsidRPr="007D15C3">
              <w:rPr>
                <w:rFonts w:cs="Calibri"/>
              </w:rPr>
              <w:t>71293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02C31D2" w14:textId="77777777">
            <w:pPr>
              <w:jc w:val="center"/>
              <w:rPr>
                <w:rFonts w:cs="Calibri"/>
              </w:rPr>
            </w:pPr>
            <w:r w:rsidRPr="007D15C3">
              <w:rPr>
                <w:rFonts w:cs="Calibri"/>
              </w:rPr>
              <w:t>WKMG-TV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8024E6" w14:textId="77777777">
            <w:pPr>
              <w:rPr>
                <w:rFonts w:cs="Calibri"/>
              </w:rPr>
            </w:pPr>
            <w:r w:rsidRPr="007D15C3">
              <w:rPr>
                <w:rFonts w:cs="Calibri"/>
              </w:rPr>
              <w:t xml:space="preserve">          3,803,492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145CB4" w14:textId="77777777">
            <w:pPr>
              <w:rPr>
                <w:rFonts w:cs="Calibri"/>
              </w:rPr>
            </w:pPr>
            <w:r w:rsidRPr="007D15C3">
              <w:rPr>
                <w:rFonts w:cs="Calibri"/>
              </w:rPr>
              <w:t xml:space="preserve">            3,803,492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35345D" w14:textId="77777777">
            <w:pPr>
              <w:jc w:val="right"/>
              <w:rPr>
                <w:rFonts w:cs="Calibri"/>
              </w:rPr>
            </w:pPr>
            <w:r w:rsidRPr="007D15C3">
              <w:rPr>
                <w:rFonts w:cs="Calibri"/>
              </w:rPr>
              <w:t>$29,808</w:t>
            </w:r>
          </w:p>
        </w:tc>
      </w:tr>
      <w:tr w14:paraId="3ADCA31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74C721" w14:textId="77777777">
            <w:pPr>
              <w:jc w:val="center"/>
              <w:rPr>
                <w:rFonts w:cs="Calibri"/>
              </w:rPr>
            </w:pPr>
            <w:r w:rsidRPr="007D15C3">
              <w:rPr>
                <w:rFonts w:cs="Calibri"/>
              </w:rPr>
              <w:t>34195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080239" w14:textId="77777777">
            <w:pPr>
              <w:jc w:val="center"/>
              <w:rPr>
                <w:rFonts w:cs="Calibri"/>
              </w:rPr>
            </w:pPr>
            <w:r w:rsidRPr="007D15C3">
              <w:rPr>
                <w:rFonts w:cs="Calibri"/>
              </w:rPr>
              <w:t>WKMJ-TV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4A1840" w14:textId="77777777">
            <w:pPr>
              <w:rPr>
                <w:rFonts w:cs="Calibri"/>
              </w:rPr>
            </w:pPr>
            <w:r w:rsidRPr="007D15C3">
              <w:rPr>
                <w:rFonts w:cs="Calibri"/>
              </w:rPr>
              <w:t xml:space="preserve">          1,426,739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913D64" w14:textId="77777777">
            <w:pPr>
              <w:rPr>
                <w:rFonts w:cs="Calibri"/>
              </w:rPr>
            </w:pPr>
            <w:r w:rsidRPr="007D15C3">
              <w:rPr>
                <w:rFonts w:cs="Calibri"/>
              </w:rPr>
              <w:t xml:space="preserve">            1,417,865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ED2622" w14:textId="77777777">
            <w:pPr>
              <w:jc w:val="right"/>
              <w:rPr>
                <w:rFonts w:cs="Calibri"/>
              </w:rPr>
            </w:pPr>
            <w:r w:rsidRPr="007D15C3">
              <w:rPr>
                <w:rFonts w:cs="Calibri"/>
              </w:rPr>
              <w:t>$11,112</w:t>
            </w:r>
          </w:p>
        </w:tc>
      </w:tr>
      <w:tr w14:paraId="218B611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6A9BA7" w14:textId="77777777">
            <w:pPr>
              <w:jc w:val="center"/>
              <w:rPr>
                <w:rFonts w:cs="Calibri"/>
              </w:rPr>
            </w:pPr>
            <w:r w:rsidRPr="007D15C3">
              <w:rPr>
                <w:rFonts w:cs="Calibri"/>
              </w:rPr>
              <w:t>34202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E222C5" w14:textId="77777777">
            <w:pPr>
              <w:jc w:val="center"/>
              <w:rPr>
                <w:rFonts w:cs="Calibri"/>
              </w:rPr>
            </w:pPr>
            <w:r w:rsidRPr="007D15C3">
              <w:rPr>
                <w:rFonts w:cs="Calibri"/>
              </w:rPr>
              <w:t>WKMR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5CB5E3" w14:textId="77777777">
            <w:pPr>
              <w:rPr>
                <w:rFonts w:cs="Calibri"/>
              </w:rPr>
            </w:pPr>
            <w:r w:rsidRPr="007D15C3">
              <w:rPr>
                <w:rFonts w:cs="Calibri"/>
              </w:rPr>
              <w:t xml:space="preserve">             463,316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BA8288" w14:textId="77777777">
            <w:pPr>
              <w:rPr>
                <w:rFonts w:cs="Calibri"/>
              </w:rPr>
            </w:pPr>
            <w:r w:rsidRPr="007D15C3">
              <w:rPr>
                <w:rFonts w:cs="Calibri"/>
              </w:rPr>
              <w:t xml:space="preserve">               428,462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2E76AB" w14:textId="77777777">
            <w:pPr>
              <w:jc w:val="right"/>
              <w:rPr>
                <w:rFonts w:cs="Calibri"/>
              </w:rPr>
            </w:pPr>
            <w:r w:rsidRPr="007D15C3">
              <w:rPr>
                <w:rFonts w:cs="Calibri"/>
              </w:rPr>
              <w:t>$3,358</w:t>
            </w:r>
          </w:p>
        </w:tc>
      </w:tr>
      <w:tr w14:paraId="0FEA22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B18FA42" w14:textId="77777777">
            <w:pPr>
              <w:jc w:val="center"/>
              <w:rPr>
                <w:rFonts w:cs="Calibri"/>
              </w:rPr>
            </w:pPr>
            <w:r w:rsidRPr="007D15C3">
              <w:rPr>
                <w:rFonts w:cs="Calibri"/>
              </w:rPr>
              <w:t>34174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45B1B0" w14:textId="77777777">
            <w:pPr>
              <w:jc w:val="center"/>
              <w:rPr>
                <w:rFonts w:cs="Calibri"/>
              </w:rPr>
            </w:pPr>
            <w:r w:rsidRPr="007D15C3">
              <w:rPr>
                <w:rFonts w:cs="Calibri"/>
              </w:rPr>
              <w:t>WKMU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BE5C37" w14:textId="77777777">
            <w:pPr>
              <w:rPr>
                <w:rFonts w:cs="Calibri"/>
              </w:rPr>
            </w:pPr>
            <w:r w:rsidRPr="007D15C3">
              <w:rPr>
                <w:rFonts w:cs="Calibri"/>
              </w:rPr>
              <w:t xml:space="preserve">             329,306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E49B6C" w14:textId="77777777">
            <w:pPr>
              <w:rPr>
                <w:rFonts w:cs="Calibri"/>
              </w:rPr>
            </w:pPr>
            <w:r w:rsidRPr="007D15C3">
              <w:rPr>
                <w:rFonts w:cs="Calibri"/>
              </w:rPr>
              <w:t xml:space="preserve">               328,918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2B585F" w14:textId="77777777">
            <w:pPr>
              <w:jc w:val="right"/>
              <w:rPr>
                <w:rFonts w:cs="Calibri"/>
              </w:rPr>
            </w:pPr>
            <w:r w:rsidRPr="007D15C3">
              <w:rPr>
                <w:rFonts w:cs="Calibri"/>
              </w:rPr>
              <w:t>$2,578</w:t>
            </w:r>
          </w:p>
        </w:tc>
      </w:tr>
      <w:tr w14:paraId="15377D7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296282" w14:textId="77777777">
            <w:pPr>
              <w:jc w:val="center"/>
              <w:rPr>
                <w:rFonts w:cs="Calibri"/>
              </w:rPr>
            </w:pPr>
            <w:r w:rsidRPr="007D15C3">
              <w:rPr>
                <w:rFonts w:cs="Calibri"/>
              </w:rPr>
              <w:t>42061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B4CC86" w14:textId="77777777">
            <w:pPr>
              <w:jc w:val="center"/>
              <w:rPr>
                <w:rFonts w:cs="Calibri"/>
              </w:rPr>
            </w:pPr>
            <w:r w:rsidRPr="007D15C3">
              <w:rPr>
                <w:rFonts w:cs="Calibri"/>
              </w:rPr>
              <w:t>WKNO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170C77" w14:textId="77777777">
            <w:pPr>
              <w:rPr>
                <w:rFonts w:cs="Calibri"/>
              </w:rPr>
            </w:pPr>
            <w:r w:rsidRPr="007D15C3">
              <w:rPr>
                <w:rFonts w:cs="Calibri"/>
              </w:rPr>
              <w:t xml:space="preserve">          1,645,867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461EA1" w14:textId="77777777">
            <w:pPr>
              <w:rPr>
                <w:rFonts w:cs="Calibri"/>
              </w:rPr>
            </w:pPr>
            <w:r w:rsidRPr="007D15C3">
              <w:rPr>
                <w:rFonts w:cs="Calibri"/>
              </w:rPr>
              <w:t xml:space="preserve">            1,642,092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11C176" w14:textId="77777777">
            <w:pPr>
              <w:jc w:val="right"/>
              <w:rPr>
                <w:rFonts w:cs="Calibri"/>
              </w:rPr>
            </w:pPr>
            <w:r w:rsidRPr="007D15C3">
              <w:rPr>
                <w:rFonts w:cs="Calibri"/>
              </w:rPr>
              <w:t>$12,869</w:t>
            </w:r>
          </w:p>
        </w:tc>
      </w:tr>
      <w:tr w14:paraId="07AD9E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D547E1" w14:textId="77777777">
            <w:pPr>
              <w:jc w:val="center"/>
              <w:rPr>
                <w:rFonts w:cs="Calibri"/>
              </w:rPr>
            </w:pPr>
            <w:r w:rsidRPr="007D15C3">
              <w:rPr>
                <w:rFonts w:cs="Calibri"/>
              </w:rPr>
              <w:t>83931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3329B3" w14:textId="77777777">
            <w:pPr>
              <w:jc w:val="center"/>
              <w:rPr>
                <w:rFonts w:cs="Calibri"/>
              </w:rPr>
            </w:pPr>
            <w:r w:rsidRPr="007D15C3">
              <w:rPr>
                <w:rFonts w:cs="Calibri"/>
              </w:rPr>
              <w:t>WKNX-TV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D3A340" w14:textId="77777777">
            <w:pPr>
              <w:rPr>
                <w:rFonts w:cs="Calibri"/>
              </w:rPr>
            </w:pPr>
            <w:r w:rsidRPr="007D15C3">
              <w:rPr>
                <w:rFonts w:cs="Calibri"/>
              </w:rPr>
              <w:t xml:space="preserve">          1,684,178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2AA563" w14:textId="77777777">
            <w:pPr>
              <w:rPr>
                <w:rFonts w:cs="Calibri"/>
              </w:rPr>
            </w:pPr>
            <w:r w:rsidRPr="007D15C3">
              <w:rPr>
                <w:rFonts w:cs="Calibri"/>
              </w:rPr>
              <w:t xml:space="preserve">            1,459,493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17D0B0" w14:textId="77777777">
            <w:pPr>
              <w:jc w:val="right"/>
              <w:rPr>
                <w:rFonts w:cs="Calibri"/>
              </w:rPr>
            </w:pPr>
            <w:r w:rsidRPr="007D15C3">
              <w:rPr>
                <w:rFonts w:cs="Calibri"/>
              </w:rPr>
              <w:t>$11,438</w:t>
            </w:r>
          </w:p>
        </w:tc>
      </w:tr>
      <w:tr w14:paraId="40CA12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93F47E" w14:textId="77777777">
            <w:pPr>
              <w:jc w:val="center"/>
              <w:rPr>
                <w:rFonts w:cs="Calibri"/>
              </w:rPr>
            </w:pPr>
            <w:r w:rsidRPr="007D15C3">
              <w:rPr>
                <w:rFonts w:cs="Calibri"/>
              </w:rPr>
              <w:t>34205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1754FA" w14:textId="77777777">
            <w:pPr>
              <w:jc w:val="center"/>
              <w:rPr>
                <w:rFonts w:cs="Calibri"/>
              </w:rPr>
            </w:pPr>
            <w:r w:rsidRPr="007D15C3">
              <w:rPr>
                <w:rFonts w:cs="Calibri"/>
              </w:rPr>
              <w:t>WKOH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23AE12" w14:textId="77777777">
            <w:pPr>
              <w:rPr>
                <w:rFonts w:cs="Calibri"/>
              </w:rPr>
            </w:pPr>
            <w:r w:rsidRPr="007D15C3">
              <w:rPr>
                <w:rFonts w:cs="Calibri"/>
              </w:rPr>
              <w:t xml:space="preserve">             550,854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D9CBAB" w14:textId="77777777">
            <w:pPr>
              <w:rPr>
                <w:rFonts w:cs="Calibri"/>
              </w:rPr>
            </w:pPr>
            <w:r w:rsidRPr="007D15C3">
              <w:rPr>
                <w:rFonts w:cs="Calibri"/>
              </w:rPr>
              <w:t xml:space="preserve">               547,801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6744E0" w14:textId="77777777">
            <w:pPr>
              <w:jc w:val="right"/>
              <w:rPr>
                <w:rFonts w:cs="Calibri"/>
              </w:rPr>
            </w:pPr>
            <w:r w:rsidRPr="007D15C3">
              <w:rPr>
                <w:rFonts w:cs="Calibri"/>
              </w:rPr>
              <w:t>$4,293</w:t>
            </w:r>
          </w:p>
        </w:tc>
      </w:tr>
      <w:tr w14:paraId="7EE1AAAA"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396862" w14:textId="77777777">
            <w:pPr>
              <w:jc w:val="center"/>
              <w:rPr>
                <w:rFonts w:cs="Calibri"/>
              </w:rPr>
            </w:pPr>
            <w:r w:rsidRPr="007D15C3">
              <w:rPr>
                <w:rFonts w:cs="Calibri"/>
              </w:rPr>
              <w:t>67869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C662C6C" w14:textId="77777777">
            <w:pPr>
              <w:jc w:val="center"/>
              <w:rPr>
                <w:rFonts w:cs="Calibri"/>
              </w:rPr>
            </w:pPr>
            <w:r w:rsidRPr="007D15C3">
              <w:rPr>
                <w:rFonts w:cs="Calibri"/>
              </w:rPr>
              <w:t>WKOI-TV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6C32D9D" w14:textId="77777777">
            <w:pPr>
              <w:rPr>
                <w:rFonts w:cs="Calibri"/>
              </w:rPr>
            </w:pPr>
            <w:r w:rsidRPr="007D15C3">
              <w:rPr>
                <w:rFonts w:cs="Calibri"/>
              </w:rPr>
              <w:t xml:space="preserve">          3,660,544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8B9959C" w14:textId="77777777">
            <w:pPr>
              <w:rPr>
                <w:rFonts w:cs="Calibri"/>
              </w:rPr>
            </w:pPr>
            <w:r w:rsidRPr="007D15C3">
              <w:rPr>
                <w:rFonts w:cs="Calibri"/>
              </w:rPr>
              <w:t xml:space="preserve">            3,646,874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2AD56A3" w14:textId="77777777">
            <w:pPr>
              <w:jc w:val="right"/>
              <w:rPr>
                <w:rFonts w:cs="Calibri"/>
              </w:rPr>
            </w:pPr>
            <w:r w:rsidRPr="007D15C3">
              <w:rPr>
                <w:rFonts w:cs="Calibri"/>
              </w:rPr>
              <w:t>$28,581</w:t>
            </w:r>
          </w:p>
        </w:tc>
      </w:tr>
      <w:tr w14:paraId="3DF24E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5D3AEA" w14:textId="77777777">
            <w:pPr>
              <w:jc w:val="center"/>
              <w:rPr>
                <w:rFonts w:cs="Calibri"/>
              </w:rPr>
            </w:pPr>
            <w:r w:rsidRPr="007D15C3">
              <w:rPr>
                <w:rFonts w:cs="Calibri"/>
              </w:rPr>
              <w:t>34211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A9DFED" w14:textId="77777777">
            <w:pPr>
              <w:jc w:val="center"/>
              <w:rPr>
                <w:rFonts w:cs="Calibri"/>
              </w:rPr>
            </w:pPr>
            <w:r w:rsidRPr="007D15C3">
              <w:rPr>
                <w:rFonts w:cs="Calibri"/>
              </w:rPr>
              <w:t>WKON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00546D" w14:textId="77777777">
            <w:pPr>
              <w:rPr>
                <w:rFonts w:cs="Calibri"/>
              </w:rPr>
            </w:pPr>
            <w:r w:rsidRPr="007D15C3">
              <w:rPr>
                <w:rFonts w:cs="Calibri"/>
              </w:rPr>
              <w:t xml:space="preserve">             905,003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B39E75" w14:textId="77777777">
            <w:pPr>
              <w:rPr>
                <w:rFonts w:cs="Calibri"/>
              </w:rPr>
            </w:pPr>
            <w:r w:rsidRPr="007D15C3">
              <w:rPr>
                <w:rFonts w:cs="Calibri"/>
              </w:rPr>
              <w:t xml:space="preserve">               895,953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D2C591" w14:textId="77777777">
            <w:pPr>
              <w:jc w:val="right"/>
              <w:rPr>
                <w:rFonts w:cs="Calibri"/>
              </w:rPr>
            </w:pPr>
            <w:r w:rsidRPr="007D15C3">
              <w:rPr>
                <w:rFonts w:cs="Calibri"/>
              </w:rPr>
              <w:t>$7,022</w:t>
            </w:r>
          </w:p>
        </w:tc>
      </w:tr>
      <w:tr w14:paraId="72A281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B78417" w14:textId="77777777">
            <w:pPr>
              <w:jc w:val="center"/>
              <w:rPr>
                <w:rFonts w:cs="Calibri"/>
              </w:rPr>
            </w:pPr>
            <w:r w:rsidRPr="007D15C3">
              <w:rPr>
                <w:rFonts w:cs="Calibri"/>
              </w:rPr>
              <w:t>18267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532DB1" w14:textId="77777777">
            <w:pPr>
              <w:jc w:val="center"/>
              <w:rPr>
                <w:rFonts w:cs="Calibri"/>
              </w:rPr>
            </w:pPr>
            <w:r w:rsidRPr="007D15C3">
              <w:rPr>
                <w:rFonts w:cs="Calibri"/>
              </w:rPr>
              <w:t>WKOP-TV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0C8FC7" w14:textId="77777777">
            <w:pPr>
              <w:rPr>
                <w:rFonts w:cs="Calibri"/>
              </w:rPr>
            </w:pPr>
            <w:r w:rsidRPr="007D15C3">
              <w:rPr>
                <w:rFonts w:cs="Calibri"/>
              </w:rPr>
              <w:t xml:space="preserve">          1,555,654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F4B325" w14:textId="77777777">
            <w:pPr>
              <w:rPr>
                <w:rFonts w:cs="Calibri"/>
              </w:rPr>
            </w:pPr>
            <w:r w:rsidRPr="007D15C3">
              <w:rPr>
                <w:rFonts w:cs="Calibri"/>
              </w:rPr>
              <w:t xml:space="preserve">            1,382,098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89417E" w14:textId="77777777">
            <w:pPr>
              <w:jc w:val="right"/>
              <w:rPr>
                <w:rFonts w:cs="Calibri"/>
              </w:rPr>
            </w:pPr>
            <w:r w:rsidRPr="007D15C3">
              <w:rPr>
                <w:rFonts w:cs="Calibri"/>
              </w:rPr>
              <w:t>$10,832</w:t>
            </w:r>
          </w:p>
        </w:tc>
      </w:tr>
      <w:tr w14:paraId="0F3D82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5589E9" w14:textId="77777777">
            <w:pPr>
              <w:jc w:val="center"/>
              <w:rPr>
                <w:rFonts w:cs="Calibri"/>
              </w:rPr>
            </w:pPr>
            <w:r w:rsidRPr="007D15C3">
              <w:rPr>
                <w:rFonts w:cs="Calibri"/>
              </w:rPr>
              <w:t>64545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98952B" w14:textId="77777777">
            <w:pPr>
              <w:jc w:val="center"/>
              <w:rPr>
                <w:rFonts w:cs="Calibri"/>
              </w:rPr>
            </w:pPr>
            <w:r w:rsidRPr="007D15C3">
              <w:rPr>
                <w:rFonts w:cs="Calibri"/>
              </w:rPr>
              <w:t>WKOW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9F978B" w14:textId="77777777">
            <w:pPr>
              <w:rPr>
                <w:rFonts w:cs="Calibri"/>
              </w:rPr>
            </w:pPr>
            <w:r w:rsidRPr="007D15C3">
              <w:rPr>
                <w:rFonts w:cs="Calibri"/>
              </w:rPr>
              <w:t xml:space="preserve">          1,918,224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859254" w14:textId="77777777">
            <w:pPr>
              <w:rPr>
                <w:rFonts w:cs="Calibri"/>
              </w:rPr>
            </w:pPr>
            <w:r w:rsidRPr="007D15C3">
              <w:rPr>
                <w:rFonts w:cs="Calibri"/>
              </w:rPr>
              <w:t xml:space="preserve">            1,899,746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4B6A65" w14:textId="77777777">
            <w:pPr>
              <w:jc w:val="right"/>
              <w:rPr>
                <w:rFonts w:cs="Calibri"/>
              </w:rPr>
            </w:pPr>
            <w:r w:rsidRPr="007D15C3">
              <w:rPr>
                <w:rFonts w:cs="Calibri"/>
              </w:rPr>
              <w:t>$14,888</w:t>
            </w:r>
          </w:p>
        </w:tc>
      </w:tr>
      <w:tr w14:paraId="465B4B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BBB29D" w14:textId="77777777">
            <w:pPr>
              <w:jc w:val="center"/>
              <w:rPr>
                <w:rFonts w:cs="Calibri"/>
              </w:rPr>
            </w:pPr>
            <w:r w:rsidRPr="007D15C3">
              <w:rPr>
                <w:rFonts w:cs="Calibri"/>
              </w:rPr>
              <w:t>21432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BFFC30" w14:textId="77777777">
            <w:pPr>
              <w:jc w:val="center"/>
              <w:rPr>
                <w:rFonts w:cs="Calibri"/>
              </w:rPr>
            </w:pPr>
            <w:r w:rsidRPr="007D15C3">
              <w:rPr>
                <w:rFonts w:cs="Calibri"/>
              </w:rPr>
              <w:t>WKPC-TV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3A9E64" w14:textId="77777777">
            <w:pPr>
              <w:rPr>
                <w:rFonts w:cs="Calibri"/>
              </w:rPr>
            </w:pPr>
            <w:r w:rsidRPr="007D15C3">
              <w:rPr>
                <w:rFonts w:cs="Calibri"/>
              </w:rPr>
              <w:t xml:space="preserve">          1,489,989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DB642D" w14:textId="77777777">
            <w:pPr>
              <w:rPr>
                <w:rFonts w:cs="Calibri"/>
              </w:rPr>
            </w:pPr>
            <w:r w:rsidRPr="007D15C3">
              <w:rPr>
                <w:rFonts w:cs="Calibri"/>
              </w:rPr>
              <w:t xml:space="preserve">            1,481,948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9F0A4F" w14:textId="77777777">
            <w:pPr>
              <w:jc w:val="right"/>
              <w:rPr>
                <w:rFonts w:cs="Calibri"/>
              </w:rPr>
            </w:pPr>
            <w:r w:rsidRPr="007D15C3">
              <w:rPr>
                <w:rFonts w:cs="Calibri"/>
              </w:rPr>
              <w:t>$11,614</w:t>
            </w:r>
          </w:p>
        </w:tc>
      </w:tr>
      <w:tr w14:paraId="798EA89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60967B" w14:textId="77777777">
            <w:pPr>
              <w:jc w:val="center"/>
              <w:rPr>
                <w:rFonts w:cs="Calibri"/>
              </w:rPr>
            </w:pPr>
            <w:r w:rsidRPr="007D15C3">
              <w:rPr>
                <w:rFonts w:cs="Calibri"/>
              </w:rPr>
              <w:t>65758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79B3F2" w14:textId="77777777">
            <w:pPr>
              <w:jc w:val="center"/>
              <w:rPr>
                <w:rFonts w:cs="Calibri"/>
              </w:rPr>
            </w:pPr>
            <w:r w:rsidRPr="007D15C3">
              <w:rPr>
                <w:rFonts w:cs="Calibri"/>
              </w:rPr>
              <w:t>WKPD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F8F46D" w14:textId="77777777">
            <w:pPr>
              <w:rPr>
                <w:rFonts w:cs="Calibri"/>
              </w:rPr>
            </w:pPr>
            <w:r w:rsidRPr="007D15C3">
              <w:rPr>
                <w:rFonts w:cs="Calibri"/>
              </w:rPr>
              <w:t xml:space="preserve">             242,844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C5C533" w14:textId="77777777">
            <w:pPr>
              <w:rPr>
                <w:rFonts w:cs="Calibri"/>
              </w:rPr>
            </w:pPr>
            <w:r w:rsidRPr="007D15C3">
              <w:rPr>
                <w:rFonts w:cs="Calibri"/>
              </w:rPr>
              <w:t xml:space="preserve">               241,796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2B19EE" w14:textId="77777777">
            <w:pPr>
              <w:jc w:val="right"/>
              <w:rPr>
                <w:rFonts w:cs="Calibri"/>
              </w:rPr>
            </w:pPr>
            <w:r w:rsidRPr="007D15C3">
              <w:rPr>
                <w:rFonts w:cs="Calibri"/>
              </w:rPr>
              <w:t>$1,895</w:t>
            </w:r>
          </w:p>
        </w:tc>
      </w:tr>
      <w:tr w14:paraId="4F2C1AD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E65656" w14:textId="77777777">
            <w:pPr>
              <w:jc w:val="center"/>
              <w:rPr>
                <w:rFonts w:cs="Calibri"/>
              </w:rPr>
            </w:pPr>
            <w:r w:rsidRPr="007D15C3">
              <w:rPr>
                <w:rFonts w:cs="Calibri"/>
              </w:rPr>
              <w:t>34200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8B04F9" w14:textId="77777777">
            <w:pPr>
              <w:jc w:val="center"/>
              <w:rPr>
                <w:rFonts w:cs="Calibri"/>
              </w:rPr>
            </w:pPr>
            <w:r w:rsidRPr="007D15C3">
              <w:rPr>
                <w:rFonts w:cs="Calibri"/>
              </w:rPr>
              <w:t>WKPI-TV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4A954F" w14:textId="77777777">
            <w:pPr>
              <w:rPr>
                <w:rFonts w:cs="Calibri"/>
              </w:rPr>
            </w:pPr>
            <w:r w:rsidRPr="007D15C3">
              <w:rPr>
                <w:rFonts w:cs="Calibri"/>
              </w:rPr>
              <w:t xml:space="preserve">             469,081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4EAACC" w14:textId="77777777">
            <w:pPr>
              <w:rPr>
                <w:rFonts w:cs="Calibri"/>
              </w:rPr>
            </w:pPr>
            <w:r w:rsidRPr="007D15C3">
              <w:rPr>
                <w:rFonts w:cs="Calibri"/>
              </w:rPr>
              <w:t xml:space="preserve">               408,968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FB4FAB" w14:textId="77777777">
            <w:pPr>
              <w:jc w:val="right"/>
              <w:rPr>
                <w:rFonts w:cs="Calibri"/>
              </w:rPr>
            </w:pPr>
            <w:r w:rsidRPr="007D15C3">
              <w:rPr>
                <w:rFonts w:cs="Calibri"/>
              </w:rPr>
              <w:t>$3,205</w:t>
            </w:r>
          </w:p>
        </w:tc>
      </w:tr>
      <w:tr w14:paraId="55DBA6E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0E0A55" w14:textId="77777777">
            <w:pPr>
              <w:jc w:val="center"/>
              <w:rPr>
                <w:rFonts w:cs="Calibri"/>
              </w:rPr>
            </w:pPr>
            <w:r w:rsidRPr="007D15C3">
              <w:rPr>
                <w:rFonts w:cs="Calibri"/>
              </w:rPr>
              <w:t>27504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AF5E7C" w14:textId="77777777">
            <w:pPr>
              <w:jc w:val="center"/>
              <w:rPr>
                <w:rFonts w:cs="Calibri"/>
              </w:rPr>
            </w:pPr>
            <w:r w:rsidRPr="007D15C3">
              <w:rPr>
                <w:rFonts w:cs="Calibri"/>
              </w:rPr>
              <w:t>WKPT-TV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C87B55" w14:textId="77777777">
            <w:pPr>
              <w:rPr>
                <w:rFonts w:cs="Calibri"/>
              </w:rPr>
            </w:pPr>
            <w:r w:rsidRPr="007D15C3">
              <w:rPr>
                <w:rFonts w:cs="Calibri"/>
              </w:rPr>
              <w:t xml:space="preserve">          1,131,213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30663C" w14:textId="77777777">
            <w:pPr>
              <w:rPr>
                <w:rFonts w:cs="Calibri"/>
              </w:rPr>
            </w:pPr>
            <w:r w:rsidRPr="007D15C3">
              <w:rPr>
                <w:rFonts w:cs="Calibri"/>
              </w:rPr>
              <w:t xml:space="preserve">               887,806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CEFD64" w14:textId="77777777">
            <w:pPr>
              <w:jc w:val="right"/>
              <w:rPr>
                <w:rFonts w:cs="Calibri"/>
              </w:rPr>
            </w:pPr>
            <w:r w:rsidRPr="007D15C3">
              <w:rPr>
                <w:rFonts w:cs="Calibri"/>
              </w:rPr>
              <w:t>$6,958</w:t>
            </w:r>
          </w:p>
        </w:tc>
      </w:tr>
      <w:tr w14:paraId="68AF716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9E5031" w14:textId="77777777">
            <w:pPr>
              <w:jc w:val="center"/>
              <w:rPr>
                <w:rFonts w:cs="Calibri"/>
              </w:rPr>
            </w:pPr>
            <w:r w:rsidRPr="007D15C3">
              <w:rPr>
                <w:rFonts w:cs="Calibri"/>
              </w:rPr>
              <w:t>58341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77600F" w14:textId="77777777">
            <w:pPr>
              <w:jc w:val="center"/>
              <w:rPr>
                <w:rFonts w:cs="Calibri"/>
              </w:rPr>
            </w:pPr>
            <w:r w:rsidRPr="007D15C3">
              <w:rPr>
                <w:rFonts w:cs="Calibri"/>
              </w:rPr>
              <w:t>WKPV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AD0DBF" w14:textId="77777777">
            <w:pPr>
              <w:rPr>
                <w:rFonts w:cs="Calibri"/>
              </w:rPr>
            </w:pPr>
            <w:r w:rsidRPr="007D15C3">
              <w:rPr>
                <w:rFonts w:cs="Calibri"/>
              </w:rPr>
              <w:t xml:space="preserve">          1,132,932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F51A40" w14:textId="77777777">
            <w:pPr>
              <w:rPr>
                <w:rFonts w:cs="Calibri"/>
              </w:rPr>
            </w:pPr>
            <w:r w:rsidRPr="007D15C3">
              <w:rPr>
                <w:rFonts w:cs="Calibri"/>
              </w:rPr>
              <w:t xml:space="preserve">               879,902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FCD620" w14:textId="77777777">
            <w:pPr>
              <w:jc w:val="right"/>
              <w:rPr>
                <w:rFonts w:cs="Calibri"/>
              </w:rPr>
            </w:pPr>
            <w:r w:rsidRPr="007D15C3">
              <w:rPr>
                <w:rFonts w:cs="Calibri"/>
              </w:rPr>
              <w:t>$4,706</w:t>
            </w:r>
          </w:p>
        </w:tc>
      </w:tr>
      <w:tr w14:paraId="1C114E8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9E45ED" w14:textId="77777777">
            <w:pPr>
              <w:jc w:val="center"/>
              <w:rPr>
                <w:rFonts w:cs="Calibri"/>
              </w:rPr>
            </w:pPr>
            <w:r w:rsidRPr="007D15C3">
              <w:rPr>
                <w:rFonts w:cs="Calibri"/>
              </w:rPr>
              <w:t>11289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BED4FD8" w14:textId="77777777">
            <w:pPr>
              <w:jc w:val="center"/>
              <w:rPr>
                <w:rFonts w:cs="Calibri"/>
              </w:rPr>
            </w:pPr>
            <w:r w:rsidRPr="007D15C3">
              <w:rPr>
                <w:rFonts w:cs="Calibri"/>
              </w:rPr>
              <w:t>WKRC-TV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1CD487" w14:textId="77777777">
            <w:pPr>
              <w:rPr>
                <w:rFonts w:cs="Calibri"/>
              </w:rPr>
            </w:pPr>
            <w:r w:rsidRPr="007D15C3">
              <w:rPr>
                <w:rFonts w:cs="Calibri"/>
              </w:rPr>
              <w:t xml:space="preserve">          3,281,914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122EAF" w14:textId="77777777">
            <w:pPr>
              <w:rPr>
                <w:rFonts w:cs="Calibri"/>
              </w:rPr>
            </w:pPr>
            <w:r w:rsidRPr="007D15C3">
              <w:rPr>
                <w:rFonts w:cs="Calibri"/>
              </w:rPr>
              <w:t xml:space="preserve">            3,229,223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95E225" w14:textId="77777777">
            <w:pPr>
              <w:jc w:val="right"/>
              <w:rPr>
                <w:rFonts w:cs="Calibri"/>
              </w:rPr>
            </w:pPr>
            <w:r w:rsidRPr="007D15C3">
              <w:rPr>
                <w:rFonts w:cs="Calibri"/>
              </w:rPr>
              <w:t>$25,307</w:t>
            </w:r>
          </w:p>
        </w:tc>
      </w:tr>
      <w:tr w14:paraId="239651B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FD7305" w14:textId="77777777">
            <w:pPr>
              <w:jc w:val="center"/>
              <w:rPr>
                <w:rFonts w:cs="Calibri"/>
              </w:rPr>
            </w:pPr>
            <w:r w:rsidRPr="007D15C3">
              <w:rPr>
                <w:rFonts w:cs="Calibri"/>
              </w:rPr>
              <w:t>73187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325D95" w14:textId="77777777">
            <w:pPr>
              <w:jc w:val="center"/>
              <w:rPr>
                <w:rFonts w:cs="Calibri"/>
              </w:rPr>
            </w:pPr>
            <w:r w:rsidRPr="007D15C3">
              <w:rPr>
                <w:rFonts w:cs="Calibri"/>
              </w:rPr>
              <w:t>WKRG-TV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3D0401" w14:textId="77777777">
            <w:pPr>
              <w:rPr>
                <w:rFonts w:cs="Calibri"/>
              </w:rPr>
            </w:pPr>
            <w:r w:rsidRPr="007D15C3">
              <w:rPr>
                <w:rFonts w:cs="Calibri"/>
              </w:rPr>
              <w:t xml:space="preserve">          1,526,600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CF8344" w14:textId="77777777">
            <w:pPr>
              <w:rPr>
                <w:rFonts w:cs="Calibri"/>
              </w:rPr>
            </w:pPr>
            <w:r w:rsidRPr="007D15C3">
              <w:rPr>
                <w:rFonts w:cs="Calibri"/>
              </w:rPr>
              <w:t xml:space="preserve">            1,526,075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EB8691" w14:textId="77777777">
            <w:pPr>
              <w:jc w:val="right"/>
              <w:rPr>
                <w:rFonts w:cs="Calibri"/>
              </w:rPr>
            </w:pPr>
            <w:r w:rsidRPr="007D15C3">
              <w:rPr>
                <w:rFonts w:cs="Calibri"/>
              </w:rPr>
              <w:t>$11,960</w:t>
            </w:r>
          </w:p>
        </w:tc>
      </w:tr>
      <w:tr w14:paraId="139326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CA195F" w14:textId="77777777">
            <w:pPr>
              <w:jc w:val="center"/>
              <w:rPr>
                <w:rFonts w:cs="Calibri"/>
              </w:rPr>
            </w:pPr>
            <w:r w:rsidRPr="007D15C3">
              <w:rPr>
                <w:rFonts w:cs="Calibri"/>
              </w:rPr>
              <w:t>73188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3C3251" w14:textId="77777777">
            <w:pPr>
              <w:jc w:val="center"/>
              <w:rPr>
                <w:rFonts w:cs="Calibri"/>
              </w:rPr>
            </w:pPr>
            <w:r w:rsidRPr="007D15C3">
              <w:rPr>
                <w:rFonts w:cs="Calibri"/>
              </w:rPr>
              <w:t>WKRN-TV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634158" w14:textId="77777777">
            <w:pPr>
              <w:rPr>
                <w:rFonts w:cs="Calibri"/>
              </w:rPr>
            </w:pPr>
            <w:r w:rsidRPr="007D15C3">
              <w:rPr>
                <w:rFonts w:cs="Calibri"/>
              </w:rPr>
              <w:t xml:space="preserve">          2,410,573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CE805E" w14:textId="77777777">
            <w:pPr>
              <w:rPr>
                <w:rFonts w:cs="Calibri"/>
              </w:rPr>
            </w:pPr>
            <w:r w:rsidRPr="007D15C3">
              <w:rPr>
                <w:rFonts w:cs="Calibri"/>
              </w:rPr>
              <w:t xml:space="preserve">            2,388,802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1F8737" w14:textId="77777777">
            <w:pPr>
              <w:jc w:val="right"/>
              <w:rPr>
                <w:rFonts w:cs="Calibri"/>
              </w:rPr>
            </w:pPr>
            <w:r w:rsidRPr="007D15C3">
              <w:rPr>
                <w:rFonts w:cs="Calibri"/>
              </w:rPr>
              <w:t>$18,721</w:t>
            </w:r>
          </w:p>
        </w:tc>
      </w:tr>
      <w:tr w14:paraId="1F8ED65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387DA1" w14:textId="77777777">
            <w:pPr>
              <w:jc w:val="center"/>
              <w:rPr>
                <w:rFonts w:cs="Calibri"/>
              </w:rPr>
            </w:pPr>
            <w:r w:rsidRPr="007D15C3">
              <w:rPr>
                <w:rFonts w:cs="Calibri"/>
              </w:rPr>
              <w:t>34222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383267" w14:textId="77777777">
            <w:pPr>
              <w:jc w:val="center"/>
              <w:rPr>
                <w:rFonts w:cs="Calibri"/>
              </w:rPr>
            </w:pPr>
            <w:r w:rsidRPr="007D15C3">
              <w:rPr>
                <w:rFonts w:cs="Calibri"/>
              </w:rPr>
              <w:t>WKSO-TV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F253A3" w14:textId="77777777">
            <w:pPr>
              <w:rPr>
                <w:rFonts w:cs="Calibri"/>
              </w:rPr>
            </w:pPr>
            <w:r w:rsidRPr="007D15C3">
              <w:rPr>
                <w:rFonts w:cs="Calibri"/>
              </w:rPr>
              <w:t xml:space="preserve">             586,871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7F733A" w14:textId="77777777">
            <w:pPr>
              <w:rPr>
                <w:rFonts w:cs="Calibri"/>
              </w:rPr>
            </w:pPr>
            <w:r w:rsidRPr="007D15C3">
              <w:rPr>
                <w:rFonts w:cs="Calibri"/>
              </w:rPr>
              <w:t xml:space="preserve">               573,741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7437D5" w14:textId="77777777">
            <w:pPr>
              <w:jc w:val="right"/>
              <w:rPr>
                <w:rFonts w:cs="Calibri"/>
              </w:rPr>
            </w:pPr>
            <w:r w:rsidRPr="007D15C3">
              <w:rPr>
                <w:rFonts w:cs="Calibri"/>
              </w:rPr>
              <w:t>$4,496</w:t>
            </w:r>
          </w:p>
        </w:tc>
      </w:tr>
      <w:tr w14:paraId="0EF2BB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C0EFDD" w14:textId="77777777">
            <w:pPr>
              <w:jc w:val="center"/>
              <w:rPr>
                <w:rFonts w:cs="Calibri"/>
              </w:rPr>
            </w:pPr>
            <w:r w:rsidRPr="007D15C3">
              <w:rPr>
                <w:rFonts w:cs="Calibri"/>
              </w:rPr>
              <w:t>40902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BED697" w14:textId="77777777">
            <w:pPr>
              <w:jc w:val="center"/>
              <w:rPr>
                <w:rFonts w:cs="Calibri"/>
              </w:rPr>
            </w:pPr>
            <w:r w:rsidRPr="007D15C3">
              <w:rPr>
                <w:rFonts w:cs="Calibri"/>
              </w:rPr>
              <w:t>WKTC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3B2882" w14:textId="77777777">
            <w:pPr>
              <w:rPr>
                <w:rFonts w:cs="Calibri"/>
              </w:rPr>
            </w:pPr>
            <w:r w:rsidRPr="007D15C3">
              <w:rPr>
                <w:rFonts w:cs="Calibri"/>
              </w:rPr>
              <w:t xml:space="preserve">          1,386,422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8DF245" w14:textId="77777777">
            <w:pPr>
              <w:rPr>
                <w:rFonts w:cs="Calibri"/>
              </w:rPr>
            </w:pPr>
            <w:r w:rsidRPr="007D15C3">
              <w:rPr>
                <w:rFonts w:cs="Calibri"/>
              </w:rPr>
              <w:t xml:space="preserve">            1,385,850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942240" w14:textId="77777777">
            <w:pPr>
              <w:jc w:val="right"/>
              <w:rPr>
                <w:rFonts w:cs="Calibri"/>
              </w:rPr>
            </w:pPr>
            <w:r w:rsidRPr="007D15C3">
              <w:rPr>
                <w:rFonts w:cs="Calibri"/>
              </w:rPr>
              <w:t>$10,861</w:t>
            </w:r>
          </w:p>
        </w:tc>
      </w:tr>
      <w:tr w14:paraId="4B642CE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077E51" w14:textId="77777777">
            <w:pPr>
              <w:jc w:val="center"/>
              <w:rPr>
                <w:rFonts w:cs="Calibri"/>
              </w:rPr>
            </w:pPr>
            <w:r w:rsidRPr="007D15C3">
              <w:rPr>
                <w:rFonts w:cs="Calibri"/>
              </w:rPr>
              <w:t>60654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85B600" w14:textId="77777777">
            <w:pPr>
              <w:jc w:val="center"/>
              <w:rPr>
                <w:rFonts w:cs="Calibri"/>
              </w:rPr>
            </w:pPr>
            <w:r w:rsidRPr="007D15C3">
              <w:rPr>
                <w:rFonts w:cs="Calibri"/>
              </w:rPr>
              <w:t>WKTV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A41045" w14:textId="77777777">
            <w:pPr>
              <w:rPr>
                <w:rFonts w:cs="Calibri"/>
              </w:rPr>
            </w:pPr>
            <w:r w:rsidRPr="007D15C3">
              <w:rPr>
                <w:rFonts w:cs="Calibri"/>
              </w:rPr>
              <w:t xml:space="preserve">          1,573,503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10DA9E" w14:textId="77777777">
            <w:pPr>
              <w:rPr>
                <w:rFonts w:cs="Calibri"/>
              </w:rPr>
            </w:pPr>
            <w:r w:rsidRPr="007D15C3">
              <w:rPr>
                <w:rFonts w:cs="Calibri"/>
              </w:rPr>
              <w:t xml:space="preserve">            1,342,387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9FB80A" w14:textId="77777777">
            <w:pPr>
              <w:jc w:val="right"/>
              <w:rPr>
                <w:rFonts w:cs="Calibri"/>
              </w:rPr>
            </w:pPr>
            <w:r w:rsidRPr="007D15C3">
              <w:rPr>
                <w:rFonts w:cs="Calibri"/>
              </w:rPr>
              <w:t>$10,520</w:t>
            </w:r>
          </w:p>
        </w:tc>
      </w:tr>
      <w:tr w14:paraId="2AFFCD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1B6884" w14:textId="77777777">
            <w:pPr>
              <w:jc w:val="center"/>
              <w:rPr>
                <w:rFonts w:cs="Calibri"/>
              </w:rPr>
            </w:pPr>
            <w:r w:rsidRPr="007D15C3">
              <w:rPr>
                <w:rFonts w:cs="Calibri"/>
              </w:rPr>
              <w:t>73195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857E8B" w14:textId="77777777">
            <w:pPr>
              <w:jc w:val="center"/>
              <w:rPr>
                <w:rFonts w:cs="Calibri"/>
              </w:rPr>
            </w:pPr>
            <w:r w:rsidRPr="007D15C3">
              <w:rPr>
                <w:rFonts w:cs="Calibri"/>
              </w:rPr>
              <w:t>WKYC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549E98" w14:textId="77777777">
            <w:pPr>
              <w:rPr>
                <w:rFonts w:cs="Calibri"/>
              </w:rPr>
            </w:pPr>
            <w:r w:rsidRPr="007D15C3">
              <w:rPr>
                <w:rFonts w:cs="Calibri"/>
              </w:rPr>
              <w:t xml:space="preserve">          4,154,903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55100D" w14:textId="77777777">
            <w:pPr>
              <w:rPr>
                <w:rFonts w:cs="Calibri"/>
              </w:rPr>
            </w:pPr>
            <w:r w:rsidRPr="007D15C3">
              <w:rPr>
                <w:rFonts w:cs="Calibri"/>
              </w:rPr>
              <w:t xml:space="preserve">            4,099,508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558C9A" w14:textId="77777777">
            <w:pPr>
              <w:jc w:val="right"/>
              <w:rPr>
                <w:rFonts w:cs="Calibri"/>
              </w:rPr>
            </w:pPr>
            <w:r w:rsidRPr="007D15C3">
              <w:rPr>
                <w:rFonts w:cs="Calibri"/>
              </w:rPr>
              <w:t>$32,128</w:t>
            </w:r>
          </w:p>
        </w:tc>
      </w:tr>
      <w:tr w14:paraId="1AC868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7CAF3A" w14:textId="77777777">
            <w:pPr>
              <w:jc w:val="center"/>
              <w:rPr>
                <w:rFonts w:cs="Calibri"/>
              </w:rPr>
            </w:pPr>
            <w:r w:rsidRPr="007D15C3">
              <w:rPr>
                <w:rFonts w:cs="Calibri"/>
              </w:rPr>
              <w:t>24914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5B0F38" w14:textId="77777777">
            <w:pPr>
              <w:jc w:val="center"/>
              <w:rPr>
                <w:rFonts w:cs="Calibri"/>
              </w:rPr>
            </w:pPr>
            <w:r w:rsidRPr="007D15C3">
              <w:rPr>
                <w:rFonts w:cs="Calibri"/>
              </w:rPr>
              <w:t>WKYT-TV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63DEAA" w14:textId="77777777">
            <w:pPr>
              <w:rPr>
                <w:rFonts w:cs="Calibri"/>
              </w:rPr>
            </w:pPr>
            <w:r w:rsidRPr="007D15C3">
              <w:rPr>
                <w:rFonts w:cs="Calibri"/>
              </w:rPr>
              <w:t xml:space="preserve">          1,174,615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61FB65" w14:textId="77777777">
            <w:pPr>
              <w:rPr>
                <w:rFonts w:cs="Calibri"/>
              </w:rPr>
            </w:pPr>
            <w:r w:rsidRPr="007D15C3">
              <w:rPr>
                <w:rFonts w:cs="Calibri"/>
              </w:rPr>
              <w:t xml:space="preserve">            1,156,978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F63126" w14:textId="77777777">
            <w:pPr>
              <w:jc w:val="right"/>
              <w:rPr>
                <w:rFonts w:cs="Calibri"/>
              </w:rPr>
            </w:pPr>
            <w:r w:rsidRPr="007D15C3">
              <w:rPr>
                <w:rFonts w:cs="Calibri"/>
              </w:rPr>
              <w:t>$9,067</w:t>
            </w:r>
          </w:p>
        </w:tc>
      </w:tr>
      <w:tr w14:paraId="122860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592875" w14:textId="77777777">
            <w:pPr>
              <w:jc w:val="center"/>
              <w:rPr>
                <w:rFonts w:cs="Calibri"/>
              </w:rPr>
            </w:pPr>
            <w:r w:rsidRPr="007D15C3">
              <w:rPr>
                <w:rFonts w:cs="Calibri"/>
              </w:rPr>
              <w:t>71861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71D477" w14:textId="77777777">
            <w:pPr>
              <w:jc w:val="center"/>
              <w:rPr>
                <w:rFonts w:cs="Calibri"/>
              </w:rPr>
            </w:pPr>
            <w:r w:rsidRPr="007D15C3">
              <w:rPr>
                <w:rFonts w:cs="Calibri"/>
              </w:rPr>
              <w:t>WKYU-TV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F0A967" w14:textId="77777777">
            <w:pPr>
              <w:rPr>
                <w:rFonts w:cs="Calibri"/>
              </w:rPr>
            </w:pPr>
            <w:r w:rsidRPr="007D15C3">
              <w:rPr>
                <w:rFonts w:cs="Calibri"/>
              </w:rPr>
              <w:t xml:space="preserve">             411,448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9FBBE4" w14:textId="77777777">
            <w:pPr>
              <w:rPr>
                <w:rFonts w:cs="Calibri"/>
              </w:rPr>
            </w:pPr>
            <w:r w:rsidRPr="007D15C3">
              <w:rPr>
                <w:rFonts w:cs="Calibri"/>
              </w:rPr>
              <w:t xml:space="preserve">               409,310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F8141C" w14:textId="77777777">
            <w:pPr>
              <w:jc w:val="right"/>
              <w:rPr>
                <w:rFonts w:cs="Calibri"/>
              </w:rPr>
            </w:pPr>
            <w:r w:rsidRPr="007D15C3">
              <w:rPr>
                <w:rFonts w:cs="Calibri"/>
              </w:rPr>
              <w:t>$3,208</w:t>
            </w:r>
          </w:p>
        </w:tc>
      </w:tr>
      <w:tr w14:paraId="5A7C6B2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1637CB" w14:textId="77777777">
            <w:pPr>
              <w:jc w:val="center"/>
              <w:rPr>
                <w:rFonts w:cs="Calibri"/>
              </w:rPr>
            </w:pPr>
            <w:r w:rsidRPr="007D15C3">
              <w:rPr>
                <w:rFonts w:cs="Calibri"/>
              </w:rPr>
              <w:t>34181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673DBE" w14:textId="77777777">
            <w:pPr>
              <w:jc w:val="center"/>
              <w:rPr>
                <w:rFonts w:cs="Calibri"/>
              </w:rPr>
            </w:pPr>
            <w:r w:rsidRPr="007D15C3">
              <w:rPr>
                <w:rFonts w:cs="Calibri"/>
              </w:rPr>
              <w:t>WKZT-TV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B85115" w14:textId="77777777">
            <w:pPr>
              <w:rPr>
                <w:rFonts w:cs="Calibri"/>
              </w:rPr>
            </w:pPr>
            <w:r w:rsidRPr="007D15C3">
              <w:rPr>
                <w:rFonts w:cs="Calibri"/>
              </w:rPr>
              <w:t xml:space="preserve">             957,158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0B48CD" w14:textId="77777777">
            <w:pPr>
              <w:rPr>
                <w:rFonts w:cs="Calibri"/>
              </w:rPr>
            </w:pPr>
            <w:r w:rsidRPr="007D15C3">
              <w:rPr>
                <w:rFonts w:cs="Calibri"/>
              </w:rPr>
              <w:t xml:space="preserve">               927,375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F4C6D3" w14:textId="77777777">
            <w:pPr>
              <w:jc w:val="right"/>
              <w:rPr>
                <w:rFonts w:cs="Calibri"/>
              </w:rPr>
            </w:pPr>
            <w:r w:rsidRPr="007D15C3">
              <w:rPr>
                <w:rFonts w:cs="Calibri"/>
              </w:rPr>
              <w:t>$7,268</w:t>
            </w:r>
          </w:p>
        </w:tc>
      </w:tr>
      <w:tr w14:paraId="0F0E041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26F96D" w14:textId="77777777">
            <w:pPr>
              <w:jc w:val="center"/>
              <w:rPr>
                <w:rFonts w:cs="Calibri"/>
              </w:rPr>
            </w:pPr>
            <w:r w:rsidRPr="007D15C3">
              <w:rPr>
                <w:rFonts w:cs="Calibri"/>
              </w:rPr>
              <w:t>18819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3BB106" w14:textId="77777777">
            <w:pPr>
              <w:jc w:val="center"/>
              <w:rPr>
                <w:rFonts w:cs="Calibri"/>
              </w:rPr>
            </w:pPr>
            <w:r w:rsidRPr="007D15C3">
              <w:rPr>
                <w:rFonts w:cs="Calibri"/>
              </w:rPr>
              <w:t>WLAE-TV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0318B4" w14:textId="77777777">
            <w:pPr>
              <w:rPr>
                <w:rFonts w:cs="Calibri"/>
              </w:rPr>
            </w:pPr>
            <w:r w:rsidRPr="007D15C3">
              <w:rPr>
                <w:rFonts w:cs="Calibri"/>
              </w:rPr>
              <w:t xml:space="preserve">          1,397,967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D7B651" w14:textId="77777777">
            <w:pPr>
              <w:rPr>
                <w:rFonts w:cs="Calibri"/>
              </w:rPr>
            </w:pPr>
            <w:r w:rsidRPr="007D15C3">
              <w:rPr>
                <w:rFonts w:cs="Calibri"/>
              </w:rPr>
              <w:t xml:space="preserve">            1,397,967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79FDE5" w14:textId="77777777">
            <w:pPr>
              <w:jc w:val="right"/>
              <w:rPr>
                <w:rFonts w:cs="Calibri"/>
              </w:rPr>
            </w:pPr>
            <w:r w:rsidRPr="007D15C3">
              <w:rPr>
                <w:rFonts w:cs="Calibri"/>
              </w:rPr>
              <w:t>$10,956</w:t>
            </w:r>
          </w:p>
        </w:tc>
      </w:tr>
      <w:tr w14:paraId="745D9C2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BF0420" w14:textId="77777777">
            <w:pPr>
              <w:jc w:val="center"/>
              <w:rPr>
                <w:rFonts w:cs="Calibri"/>
              </w:rPr>
            </w:pPr>
            <w:r w:rsidRPr="007D15C3">
              <w:rPr>
                <w:rFonts w:cs="Calibri"/>
              </w:rPr>
              <w:t>36533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0E1471" w14:textId="77777777">
            <w:pPr>
              <w:jc w:val="center"/>
              <w:rPr>
                <w:rFonts w:cs="Calibri"/>
              </w:rPr>
            </w:pPr>
            <w:r w:rsidRPr="007D15C3">
              <w:rPr>
                <w:rFonts w:cs="Calibri"/>
              </w:rPr>
              <w:t>WLAJ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332491" w14:textId="77777777">
            <w:pPr>
              <w:rPr>
                <w:rFonts w:cs="Calibri"/>
              </w:rPr>
            </w:pPr>
            <w:r w:rsidRPr="007D15C3">
              <w:rPr>
                <w:rFonts w:cs="Calibri"/>
              </w:rPr>
              <w:t xml:space="preserve">          1,865,669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0EAFA2" w14:textId="77777777">
            <w:pPr>
              <w:rPr>
                <w:rFonts w:cs="Calibri"/>
              </w:rPr>
            </w:pPr>
            <w:r w:rsidRPr="007D15C3">
              <w:rPr>
                <w:rFonts w:cs="Calibri"/>
              </w:rPr>
              <w:t xml:space="preserve">            1,858,982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74B558" w14:textId="77777777">
            <w:pPr>
              <w:jc w:val="right"/>
              <w:rPr>
                <w:rFonts w:cs="Calibri"/>
              </w:rPr>
            </w:pPr>
            <w:r w:rsidRPr="007D15C3">
              <w:rPr>
                <w:rFonts w:cs="Calibri"/>
              </w:rPr>
              <w:t>$14,569</w:t>
            </w:r>
          </w:p>
        </w:tc>
      </w:tr>
      <w:tr w14:paraId="6AFD11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3B6971" w14:textId="77777777">
            <w:pPr>
              <w:jc w:val="center"/>
              <w:rPr>
                <w:rFonts w:cs="Calibri"/>
              </w:rPr>
            </w:pPr>
            <w:r w:rsidRPr="007D15C3">
              <w:rPr>
                <w:rFonts w:cs="Calibri"/>
              </w:rPr>
              <w:t>2710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48EA97" w14:textId="77777777">
            <w:pPr>
              <w:jc w:val="center"/>
              <w:rPr>
                <w:rFonts w:cs="Calibri"/>
              </w:rPr>
            </w:pPr>
            <w:r w:rsidRPr="007D15C3">
              <w:rPr>
                <w:rFonts w:cs="Calibri"/>
              </w:rPr>
              <w:t>WLAX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5C9B31" w14:textId="77777777">
            <w:pPr>
              <w:rPr>
                <w:rFonts w:cs="Calibri"/>
              </w:rPr>
            </w:pPr>
            <w:r w:rsidRPr="007D15C3">
              <w:rPr>
                <w:rFonts w:cs="Calibri"/>
              </w:rPr>
              <w:t xml:space="preserve">             513,319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A75D9" w14:textId="77777777">
            <w:pPr>
              <w:rPr>
                <w:rFonts w:cs="Calibri"/>
              </w:rPr>
            </w:pPr>
            <w:r w:rsidRPr="007D15C3">
              <w:rPr>
                <w:rFonts w:cs="Calibri"/>
              </w:rPr>
              <w:t xml:space="preserve">               488,216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47F7E0" w14:textId="77777777">
            <w:pPr>
              <w:jc w:val="right"/>
              <w:rPr>
                <w:rFonts w:cs="Calibri"/>
              </w:rPr>
            </w:pPr>
            <w:r w:rsidRPr="007D15C3">
              <w:rPr>
                <w:rFonts w:cs="Calibri"/>
              </w:rPr>
              <w:t>$3,826</w:t>
            </w:r>
          </w:p>
        </w:tc>
      </w:tr>
      <w:tr w14:paraId="53A2C8A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90C19C" w14:textId="77777777">
            <w:pPr>
              <w:jc w:val="center"/>
              <w:rPr>
                <w:rFonts w:cs="Calibri"/>
              </w:rPr>
            </w:pPr>
            <w:r w:rsidRPr="007D15C3">
              <w:rPr>
                <w:rFonts w:cs="Calibri"/>
              </w:rPr>
              <w:t>68542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602B75" w14:textId="77777777">
            <w:pPr>
              <w:jc w:val="center"/>
              <w:rPr>
                <w:rFonts w:cs="Calibri"/>
              </w:rPr>
            </w:pPr>
            <w:r w:rsidRPr="007D15C3">
              <w:rPr>
                <w:rFonts w:cs="Calibri"/>
              </w:rPr>
              <w:t>WLBT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6FDA4E" w14:textId="77777777">
            <w:pPr>
              <w:rPr>
                <w:rFonts w:cs="Calibri"/>
              </w:rPr>
            </w:pPr>
            <w:r w:rsidRPr="007D15C3">
              <w:rPr>
                <w:rFonts w:cs="Calibri"/>
              </w:rPr>
              <w:t xml:space="preserve">             948,671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16C205" w14:textId="77777777">
            <w:pPr>
              <w:rPr>
                <w:rFonts w:cs="Calibri"/>
              </w:rPr>
            </w:pPr>
            <w:r w:rsidRPr="007D15C3">
              <w:rPr>
                <w:rFonts w:cs="Calibri"/>
              </w:rPr>
              <w:t xml:space="preserve">               947,857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1E11EF" w14:textId="77777777">
            <w:pPr>
              <w:jc w:val="right"/>
              <w:rPr>
                <w:rFonts w:cs="Calibri"/>
              </w:rPr>
            </w:pPr>
            <w:r w:rsidRPr="007D15C3">
              <w:rPr>
                <w:rFonts w:cs="Calibri"/>
              </w:rPr>
              <w:t>$7,428</w:t>
            </w:r>
          </w:p>
        </w:tc>
      </w:tr>
      <w:tr w14:paraId="011019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F9804C" w14:textId="77777777">
            <w:pPr>
              <w:jc w:val="center"/>
              <w:rPr>
                <w:rFonts w:cs="Calibri"/>
              </w:rPr>
            </w:pPr>
            <w:r w:rsidRPr="007D15C3">
              <w:rPr>
                <w:rFonts w:cs="Calibri"/>
              </w:rPr>
              <w:t>39644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BBA938" w14:textId="77777777">
            <w:pPr>
              <w:jc w:val="center"/>
              <w:rPr>
                <w:rFonts w:cs="Calibri"/>
              </w:rPr>
            </w:pPr>
            <w:r w:rsidRPr="007D15C3">
              <w:rPr>
                <w:rFonts w:cs="Calibri"/>
              </w:rPr>
              <w:t>WLBZ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57995E" w14:textId="77777777">
            <w:pPr>
              <w:rPr>
                <w:rFonts w:cs="Calibri"/>
              </w:rPr>
            </w:pPr>
            <w:r w:rsidRPr="007D15C3">
              <w:rPr>
                <w:rFonts w:cs="Calibri"/>
              </w:rPr>
              <w:t xml:space="preserve">             373,129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A384AF" w14:textId="77777777">
            <w:pPr>
              <w:rPr>
                <w:rFonts w:cs="Calibri"/>
              </w:rPr>
            </w:pPr>
            <w:r w:rsidRPr="007D15C3">
              <w:rPr>
                <w:rFonts w:cs="Calibri"/>
              </w:rPr>
              <w:t xml:space="preserve">               364,346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26301A" w14:textId="77777777">
            <w:pPr>
              <w:jc w:val="right"/>
              <w:rPr>
                <w:rFonts w:cs="Calibri"/>
              </w:rPr>
            </w:pPr>
            <w:r w:rsidRPr="007D15C3">
              <w:rPr>
                <w:rFonts w:cs="Calibri"/>
              </w:rPr>
              <w:t>$2,855</w:t>
            </w:r>
          </w:p>
        </w:tc>
      </w:tr>
      <w:tr w14:paraId="525DB7A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9FFB78" w14:textId="77777777">
            <w:pPr>
              <w:jc w:val="center"/>
              <w:rPr>
                <w:rFonts w:cs="Calibri"/>
              </w:rPr>
            </w:pPr>
            <w:r w:rsidRPr="007D15C3">
              <w:rPr>
                <w:rFonts w:cs="Calibri"/>
              </w:rPr>
              <w:t>69328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7F228E" w14:textId="77777777">
            <w:pPr>
              <w:jc w:val="center"/>
              <w:rPr>
                <w:rFonts w:cs="Calibri"/>
              </w:rPr>
            </w:pPr>
            <w:r w:rsidRPr="007D15C3">
              <w:rPr>
                <w:rFonts w:cs="Calibri"/>
              </w:rPr>
              <w:t>WLED-TV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5D7F79" w14:textId="77777777">
            <w:pPr>
              <w:rPr>
                <w:rFonts w:cs="Calibri"/>
              </w:rPr>
            </w:pPr>
            <w:r w:rsidRPr="007D15C3">
              <w:rPr>
                <w:rFonts w:cs="Calibri"/>
              </w:rPr>
              <w:t xml:space="preserve">             338,110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F00F49" w14:textId="77777777">
            <w:pPr>
              <w:rPr>
                <w:rFonts w:cs="Calibri"/>
              </w:rPr>
            </w:pPr>
            <w:r w:rsidRPr="007D15C3">
              <w:rPr>
                <w:rFonts w:cs="Calibri"/>
              </w:rPr>
              <w:t xml:space="preserve">               159,958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87448E" w14:textId="77777777">
            <w:pPr>
              <w:jc w:val="right"/>
              <w:rPr>
                <w:rFonts w:cs="Calibri"/>
              </w:rPr>
            </w:pPr>
            <w:r w:rsidRPr="007D15C3">
              <w:rPr>
                <w:rFonts w:cs="Calibri"/>
              </w:rPr>
              <w:t>$1,254</w:t>
            </w:r>
          </w:p>
        </w:tc>
      </w:tr>
      <w:tr w14:paraId="52D872A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5C5B9C" w14:textId="77777777">
            <w:pPr>
              <w:jc w:val="center"/>
              <w:rPr>
                <w:rFonts w:cs="Calibri"/>
              </w:rPr>
            </w:pPr>
            <w:r w:rsidRPr="007D15C3">
              <w:rPr>
                <w:rFonts w:cs="Calibri"/>
              </w:rPr>
              <w:t>63046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3361DD" w14:textId="77777777">
            <w:pPr>
              <w:jc w:val="center"/>
              <w:rPr>
                <w:rFonts w:cs="Calibri"/>
              </w:rPr>
            </w:pPr>
            <w:r w:rsidRPr="007D15C3">
              <w:rPr>
                <w:rFonts w:cs="Calibri"/>
              </w:rPr>
              <w:t>WLEF-TV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3E2E3C" w14:textId="77777777">
            <w:pPr>
              <w:rPr>
                <w:rFonts w:cs="Calibri"/>
              </w:rPr>
            </w:pPr>
            <w:r w:rsidRPr="007D15C3">
              <w:rPr>
                <w:rFonts w:cs="Calibri"/>
              </w:rPr>
              <w:t xml:space="preserve">             192,283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806A31" w14:textId="77777777">
            <w:pPr>
              <w:rPr>
                <w:rFonts w:cs="Calibri"/>
              </w:rPr>
            </w:pPr>
            <w:r w:rsidRPr="007D15C3">
              <w:rPr>
                <w:rFonts w:cs="Calibri"/>
              </w:rPr>
              <w:t xml:space="preserve">               191,149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76D50E" w14:textId="77777777">
            <w:pPr>
              <w:jc w:val="right"/>
              <w:rPr>
                <w:rFonts w:cs="Calibri"/>
              </w:rPr>
            </w:pPr>
            <w:r w:rsidRPr="007D15C3">
              <w:rPr>
                <w:rFonts w:cs="Calibri"/>
              </w:rPr>
              <w:t>$1,498</w:t>
            </w:r>
          </w:p>
        </w:tc>
      </w:tr>
      <w:tr w14:paraId="5330166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B307D2" w14:textId="77777777">
            <w:pPr>
              <w:jc w:val="center"/>
              <w:rPr>
                <w:rFonts w:cs="Calibri"/>
              </w:rPr>
            </w:pPr>
            <w:r w:rsidRPr="007D15C3">
              <w:rPr>
                <w:rFonts w:cs="Calibri"/>
              </w:rPr>
              <w:t>73203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3FE1FF" w14:textId="77777777">
            <w:pPr>
              <w:jc w:val="center"/>
              <w:rPr>
                <w:rFonts w:cs="Calibri"/>
              </w:rPr>
            </w:pPr>
            <w:r w:rsidRPr="007D15C3">
              <w:rPr>
                <w:rFonts w:cs="Calibri"/>
              </w:rPr>
              <w:t>WLEX-TV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CDE440" w14:textId="77777777">
            <w:pPr>
              <w:rPr>
                <w:rFonts w:cs="Calibri"/>
              </w:rPr>
            </w:pPr>
            <w:r w:rsidRPr="007D15C3">
              <w:rPr>
                <w:rFonts w:cs="Calibri"/>
              </w:rPr>
              <w:t xml:space="preserve">             969,543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BA6BC1" w14:textId="77777777">
            <w:pPr>
              <w:rPr>
                <w:rFonts w:cs="Calibri"/>
              </w:rPr>
            </w:pPr>
            <w:r w:rsidRPr="007D15C3">
              <w:rPr>
                <w:rFonts w:cs="Calibri"/>
              </w:rPr>
              <w:t xml:space="preserve">               964,107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C4925F" w14:textId="77777777">
            <w:pPr>
              <w:jc w:val="right"/>
              <w:rPr>
                <w:rFonts w:cs="Calibri"/>
              </w:rPr>
            </w:pPr>
            <w:r w:rsidRPr="007D15C3">
              <w:rPr>
                <w:rFonts w:cs="Calibri"/>
              </w:rPr>
              <w:t>$7,556</w:t>
            </w:r>
          </w:p>
        </w:tc>
      </w:tr>
      <w:tr w14:paraId="7AC97C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D79F91" w14:textId="77777777">
            <w:pPr>
              <w:jc w:val="center"/>
              <w:rPr>
                <w:rFonts w:cs="Calibri"/>
              </w:rPr>
            </w:pPr>
            <w:r w:rsidRPr="007D15C3">
              <w:rPr>
                <w:rFonts w:cs="Calibri"/>
              </w:rPr>
              <w:t>37806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116214" w14:textId="77777777">
            <w:pPr>
              <w:jc w:val="center"/>
              <w:rPr>
                <w:rFonts w:cs="Calibri"/>
              </w:rPr>
            </w:pPr>
            <w:r w:rsidRPr="007D15C3">
              <w:rPr>
                <w:rFonts w:cs="Calibri"/>
              </w:rPr>
              <w:t>WLFB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EC8264" w14:textId="77777777">
            <w:pPr>
              <w:rPr>
                <w:rFonts w:cs="Calibri"/>
              </w:rPr>
            </w:pPr>
            <w:r w:rsidRPr="007D15C3">
              <w:rPr>
                <w:rFonts w:cs="Calibri"/>
              </w:rPr>
              <w:t xml:space="preserve">             808,036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530A1A" w14:textId="77777777">
            <w:pPr>
              <w:rPr>
                <w:rFonts w:cs="Calibri"/>
              </w:rPr>
            </w:pPr>
            <w:r w:rsidRPr="007D15C3">
              <w:rPr>
                <w:rFonts w:cs="Calibri"/>
              </w:rPr>
              <w:t xml:space="preserve">               680,534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B73DC4" w14:textId="77777777">
            <w:pPr>
              <w:jc w:val="right"/>
              <w:rPr>
                <w:rFonts w:cs="Calibri"/>
              </w:rPr>
            </w:pPr>
            <w:r w:rsidRPr="007D15C3">
              <w:rPr>
                <w:rFonts w:cs="Calibri"/>
              </w:rPr>
              <w:t>$5,333</w:t>
            </w:r>
          </w:p>
        </w:tc>
      </w:tr>
      <w:tr w14:paraId="3B1E39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B9C405" w14:textId="77777777">
            <w:pPr>
              <w:jc w:val="center"/>
              <w:rPr>
                <w:rFonts w:cs="Calibri"/>
              </w:rPr>
            </w:pPr>
            <w:r w:rsidRPr="007D15C3">
              <w:rPr>
                <w:rFonts w:cs="Calibri"/>
              </w:rPr>
              <w:t>37808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A1A9FD" w14:textId="77777777">
            <w:pPr>
              <w:jc w:val="center"/>
              <w:rPr>
                <w:rFonts w:cs="Calibri"/>
              </w:rPr>
            </w:pPr>
            <w:r w:rsidRPr="007D15C3">
              <w:rPr>
                <w:rFonts w:cs="Calibri"/>
              </w:rPr>
              <w:t>WLFG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033542" w14:textId="77777777">
            <w:pPr>
              <w:rPr>
                <w:rFonts w:cs="Calibri"/>
              </w:rPr>
            </w:pPr>
            <w:r w:rsidRPr="007D15C3">
              <w:rPr>
                <w:rFonts w:cs="Calibri"/>
              </w:rPr>
              <w:t xml:space="preserve">          1,614,321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1F29D3" w14:textId="77777777">
            <w:pPr>
              <w:rPr>
                <w:rFonts w:cs="Calibri"/>
              </w:rPr>
            </w:pPr>
            <w:r w:rsidRPr="007D15C3">
              <w:rPr>
                <w:rFonts w:cs="Calibri"/>
              </w:rPr>
              <w:t xml:space="preserve">            1,282,063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945F71" w14:textId="77777777">
            <w:pPr>
              <w:jc w:val="right"/>
              <w:rPr>
                <w:rFonts w:cs="Calibri"/>
              </w:rPr>
            </w:pPr>
            <w:r w:rsidRPr="007D15C3">
              <w:rPr>
                <w:rFonts w:cs="Calibri"/>
              </w:rPr>
              <w:t>$10,048</w:t>
            </w:r>
          </w:p>
        </w:tc>
      </w:tr>
      <w:tr w14:paraId="7F8D4AB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80BBF7" w14:textId="77777777">
            <w:pPr>
              <w:jc w:val="center"/>
              <w:rPr>
                <w:rFonts w:cs="Calibri"/>
              </w:rPr>
            </w:pPr>
            <w:r w:rsidRPr="007D15C3">
              <w:rPr>
                <w:rFonts w:cs="Calibri"/>
              </w:rPr>
              <w:t>73204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B7A456" w14:textId="77777777">
            <w:pPr>
              <w:jc w:val="center"/>
              <w:rPr>
                <w:rFonts w:cs="Calibri"/>
              </w:rPr>
            </w:pPr>
            <w:r w:rsidRPr="007D15C3">
              <w:rPr>
                <w:rFonts w:cs="Calibri"/>
              </w:rPr>
              <w:t>WLFI-TV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283429" w14:textId="77777777">
            <w:pPr>
              <w:rPr>
                <w:rFonts w:cs="Calibri"/>
              </w:rPr>
            </w:pPr>
            <w:r w:rsidRPr="007D15C3">
              <w:rPr>
                <w:rFonts w:cs="Calibri"/>
              </w:rPr>
              <w:t xml:space="preserve">          2,243,009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65D638" w14:textId="77777777">
            <w:pPr>
              <w:rPr>
                <w:rFonts w:cs="Calibri"/>
              </w:rPr>
            </w:pPr>
            <w:r w:rsidRPr="007D15C3">
              <w:rPr>
                <w:rFonts w:cs="Calibri"/>
              </w:rPr>
              <w:t xml:space="preserve">            2,221,313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D80D91" w14:textId="77777777">
            <w:pPr>
              <w:jc w:val="right"/>
              <w:rPr>
                <w:rFonts w:cs="Calibri"/>
              </w:rPr>
            </w:pPr>
            <w:r w:rsidRPr="007D15C3">
              <w:rPr>
                <w:rFonts w:cs="Calibri"/>
              </w:rPr>
              <w:t>$17,408</w:t>
            </w:r>
          </w:p>
        </w:tc>
      </w:tr>
      <w:tr w14:paraId="21CFEB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793768" w14:textId="77777777">
            <w:pPr>
              <w:jc w:val="center"/>
              <w:rPr>
                <w:rFonts w:cs="Calibri"/>
              </w:rPr>
            </w:pPr>
            <w:r w:rsidRPr="007D15C3">
              <w:rPr>
                <w:rFonts w:cs="Calibri"/>
              </w:rPr>
              <w:t>73205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4F8FA2" w14:textId="77777777">
            <w:pPr>
              <w:jc w:val="center"/>
              <w:rPr>
                <w:rFonts w:cs="Calibri"/>
              </w:rPr>
            </w:pPr>
            <w:r w:rsidRPr="007D15C3">
              <w:rPr>
                <w:rFonts w:cs="Calibri"/>
              </w:rPr>
              <w:t>WLFL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46278C" w14:textId="77777777">
            <w:pPr>
              <w:rPr>
                <w:rFonts w:cs="Calibri"/>
              </w:rPr>
            </w:pPr>
            <w:r w:rsidRPr="007D15C3">
              <w:rPr>
                <w:rFonts w:cs="Calibri"/>
              </w:rPr>
              <w:t xml:space="preserve">          3,640,360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67FCB3" w14:textId="77777777">
            <w:pPr>
              <w:rPr>
                <w:rFonts w:cs="Calibri"/>
              </w:rPr>
            </w:pPr>
            <w:r w:rsidRPr="007D15C3">
              <w:rPr>
                <w:rFonts w:cs="Calibri"/>
              </w:rPr>
              <w:t xml:space="preserve">            3,636,542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564CDE" w14:textId="77777777">
            <w:pPr>
              <w:jc w:val="right"/>
              <w:rPr>
                <w:rFonts w:cs="Calibri"/>
              </w:rPr>
            </w:pPr>
            <w:r w:rsidRPr="007D15C3">
              <w:rPr>
                <w:rFonts w:cs="Calibri"/>
              </w:rPr>
              <w:t>$28,500</w:t>
            </w:r>
          </w:p>
        </w:tc>
      </w:tr>
      <w:tr w14:paraId="634EF6F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958A10" w14:textId="77777777">
            <w:pPr>
              <w:jc w:val="center"/>
              <w:rPr>
                <w:rFonts w:cs="Calibri"/>
              </w:rPr>
            </w:pPr>
            <w:r w:rsidRPr="007D15C3">
              <w:rPr>
                <w:rFonts w:cs="Calibri"/>
              </w:rPr>
              <w:t>11113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DE4DF2" w14:textId="77777777">
            <w:pPr>
              <w:jc w:val="center"/>
              <w:rPr>
                <w:rFonts w:cs="Calibri"/>
              </w:rPr>
            </w:pPr>
            <w:r w:rsidRPr="007D15C3">
              <w:rPr>
                <w:rFonts w:cs="Calibri"/>
              </w:rPr>
              <w:t>WLGA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61175A" w14:textId="77777777">
            <w:pPr>
              <w:rPr>
                <w:rFonts w:cs="Calibri"/>
              </w:rPr>
            </w:pPr>
            <w:r w:rsidRPr="007D15C3">
              <w:rPr>
                <w:rFonts w:cs="Calibri"/>
              </w:rPr>
              <w:t xml:space="preserve">             950,018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C9BAC1" w14:textId="77777777">
            <w:pPr>
              <w:rPr>
                <w:rFonts w:cs="Calibri"/>
              </w:rPr>
            </w:pPr>
            <w:r w:rsidRPr="007D15C3">
              <w:rPr>
                <w:rFonts w:cs="Calibri"/>
              </w:rPr>
              <w:t xml:space="preserve">               943,236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0E3689" w14:textId="77777777">
            <w:pPr>
              <w:jc w:val="right"/>
              <w:rPr>
                <w:rFonts w:cs="Calibri"/>
              </w:rPr>
            </w:pPr>
            <w:r w:rsidRPr="007D15C3">
              <w:rPr>
                <w:rFonts w:cs="Calibri"/>
              </w:rPr>
              <w:t>$7,392</w:t>
            </w:r>
          </w:p>
        </w:tc>
      </w:tr>
      <w:tr w14:paraId="5FF2782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664437" w14:textId="77777777">
            <w:pPr>
              <w:jc w:val="center"/>
              <w:rPr>
                <w:rFonts w:cs="Calibri"/>
              </w:rPr>
            </w:pPr>
            <w:r w:rsidRPr="007D15C3">
              <w:rPr>
                <w:rFonts w:cs="Calibri"/>
              </w:rPr>
              <w:t>19777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53D8EE" w14:textId="77777777">
            <w:pPr>
              <w:jc w:val="center"/>
              <w:rPr>
                <w:rFonts w:cs="Calibri"/>
              </w:rPr>
            </w:pPr>
            <w:r w:rsidRPr="007D15C3">
              <w:rPr>
                <w:rFonts w:cs="Calibri"/>
              </w:rPr>
              <w:t>WLII-DT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B61255" w14:textId="77777777">
            <w:pPr>
              <w:rPr>
                <w:rFonts w:cs="Calibri"/>
              </w:rPr>
            </w:pPr>
            <w:r w:rsidRPr="007D15C3">
              <w:rPr>
                <w:rFonts w:cs="Calibri"/>
              </w:rPr>
              <w:t xml:space="preserve">          2,801,102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EA019F" w14:textId="77777777">
            <w:pPr>
              <w:rPr>
                <w:rFonts w:cs="Calibri"/>
              </w:rPr>
            </w:pPr>
            <w:r w:rsidRPr="007D15C3">
              <w:rPr>
                <w:rFonts w:cs="Calibri"/>
              </w:rPr>
              <w:t xml:space="preserve">            2,591,533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4D1A30" w14:textId="77777777">
            <w:pPr>
              <w:jc w:val="right"/>
              <w:rPr>
                <w:rFonts w:cs="Calibri"/>
              </w:rPr>
            </w:pPr>
            <w:r w:rsidRPr="007D15C3">
              <w:rPr>
                <w:rFonts w:cs="Calibri"/>
              </w:rPr>
              <w:t>$16,877</w:t>
            </w:r>
          </w:p>
        </w:tc>
      </w:tr>
      <w:tr w14:paraId="0BF739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F96742" w14:textId="77777777">
            <w:pPr>
              <w:jc w:val="center"/>
              <w:rPr>
                <w:rFonts w:cs="Calibri"/>
              </w:rPr>
            </w:pPr>
            <w:r w:rsidRPr="007D15C3">
              <w:rPr>
                <w:rFonts w:cs="Calibri"/>
              </w:rPr>
              <w:t>37503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FB340E" w14:textId="77777777">
            <w:pPr>
              <w:jc w:val="center"/>
              <w:rPr>
                <w:rFonts w:cs="Calibri"/>
              </w:rPr>
            </w:pPr>
            <w:r w:rsidRPr="007D15C3">
              <w:rPr>
                <w:rFonts w:cs="Calibri"/>
              </w:rPr>
              <w:t>WLIO*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08D846" w14:textId="77777777">
            <w:pPr>
              <w:rPr>
                <w:rFonts w:cs="Calibri"/>
              </w:rPr>
            </w:pPr>
            <w:r w:rsidRPr="007D15C3">
              <w:rPr>
                <w:rFonts w:cs="Calibri"/>
              </w:rPr>
              <w:t xml:space="preserve">          1,067,232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5DD171" w14:textId="77777777">
            <w:pPr>
              <w:rPr>
                <w:rFonts w:cs="Calibri"/>
              </w:rPr>
            </w:pPr>
            <w:r w:rsidRPr="007D15C3">
              <w:rPr>
                <w:rFonts w:cs="Calibri"/>
              </w:rPr>
              <w:t xml:space="preserve">            1,050,170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38B7FD" w14:textId="77777777">
            <w:pPr>
              <w:jc w:val="right"/>
              <w:rPr>
                <w:rFonts w:cs="Calibri"/>
              </w:rPr>
            </w:pPr>
            <w:r w:rsidRPr="007D15C3">
              <w:rPr>
                <w:rFonts w:cs="Calibri"/>
              </w:rPr>
              <w:t>$8,230</w:t>
            </w:r>
          </w:p>
        </w:tc>
      </w:tr>
      <w:tr w14:paraId="136F5EF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7445D4" w14:textId="77777777">
            <w:pPr>
              <w:jc w:val="center"/>
              <w:rPr>
                <w:rFonts w:cs="Calibri"/>
              </w:rPr>
            </w:pPr>
            <w:r w:rsidRPr="007D15C3">
              <w:rPr>
                <w:rFonts w:cs="Calibri"/>
              </w:rPr>
              <w:t>38336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A7AEBB" w14:textId="77777777">
            <w:pPr>
              <w:jc w:val="center"/>
              <w:rPr>
                <w:rFonts w:cs="Calibri"/>
              </w:rPr>
            </w:pPr>
            <w:r w:rsidRPr="007D15C3">
              <w:rPr>
                <w:rFonts w:cs="Calibri"/>
              </w:rPr>
              <w:t>WLIW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E7182C" w14:textId="77777777">
            <w:pPr>
              <w:rPr>
                <w:rFonts w:cs="Calibri"/>
              </w:rPr>
            </w:pPr>
            <w:r w:rsidRPr="007D15C3">
              <w:rPr>
                <w:rFonts w:cs="Calibri"/>
              </w:rPr>
              <w:t xml:space="preserve">        14,117,756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971A76" w14:textId="77777777">
            <w:pPr>
              <w:rPr>
                <w:rFonts w:cs="Calibri"/>
              </w:rPr>
            </w:pPr>
            <w:r w:rsidRPr="007D15C3">
              <w:rPr>
                <w:rFonts w:cs="Calibri"/>
              </w:rPr>
              <w:t xml:space="preserve">          13,993,724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DF0FD7" w14:textId="77777777">
            <w:pPr>
              <w:jc w:val="right"/>
              <w:rPr>
                <w:rFonts w:cs="Calibri"/>
              </w:rPr>
            </w:pPr>
            <w:r w:rsidRPr="007D15C3">
              <w:rPr>
                <w:rFonts w:cs="Calibri"/>
              </w:rPr>
              <w:t>$109,669</w:t>
            </w:r>
          </w:p>
        </w:tc>
      </w:tr>
      <w:tr w14:paraId="43A37F7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9AAB28" w14:textId="77777777">
            <w:pPr>
              <w:jc w:val="center"/>
              <w:rPr>
                <w:rFonts w:cs="Calibri"/>
              </w:rPr>
            </w:pPr>
            <w:r w:rsidRPr="007D15C3">
              <w:rPr>
                <w:rFonts w:cs="Calibri"/>
              </w:rPr>
              <w:t>27696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A4E250" w14:textId="77777777">
            <w:pPr>
              <w:jc w:val="center"/>
              <w:rPr>
                <w:rFonts w:cs="Calibri"/>
              </w:rPr>
            </w:pPr>
            <w:r w:rsidRPr="007D15C3">
              <w:rPr>
                <w:rFonts w:cs="Calibri"/>
              </w:rPr>
              <w:t>WLJC-TV*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8B0D86" w14:textId="77777777">
            <w:pPr>
              <w:rPr>
                <w:rFonts w:cs="Calibri"/>
              </w:rPr>
            </w:pPr>
            <w:r w:rsidRPr="007D15C3">
              <w:rPr>
                <w:rFonts w:cs="Calibri"/>
              </w:rPr>
              <w:t xml:space="preserve">          1,401,072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92AE44" w14:textId="77777777">
            <w:pPr>
              <w:rPr>
                <w:rFonts w:cs="Calibri"/>
              </w:rPr>
            </w:pPr>
            <w:r w:rsidRPr="007D15C3">
              <w:rPr>
                <w:rFonts w:cs="Calibri"/>
              </w:rPr>
              <w:t xml:space="preserve">            1,281,256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341F5A" w14:textId="77777777">
            <w:pPr>
              <w:jc w:val="right"/>
              <w:rPr>
                <w:rFonts w:cs="Calibri"/>
              </w:rPr>
            </w:pPr>
            <w:r w:rsidRPr="007D15C3">
              <w:rPr>
                <w:rFonts w:cs="Calibri"/>
              </w:rPr>
              <w:t>$10,041</w:t>
            </w:r>
          </w:p>
        </w:tc>
      </w:tr>
      <w:tr w14:paraId="56D071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5D9B72" w14:textId="77777777">
            <w:pPr>
              <w:jc w:val="center"/>
              <w:rPr>
                <w:rFonts w:cs="Calibri"/>
              </w:rPr>
            </w:pPr>
            <w:r w:rsidRPr="007D15C3">
              <w:rPr>
                <w:rFonts w:cs="Calibri"/>
              </w:rPr>
              <w:t>71645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214C7E" w14:textId="77777777">
            <w:pPr>
              <w:jc w:val="center"/>
              <w:rPr>
                <w:rFonts w:cs="Calibri"/>
              </w:rPr>
            </w:pPr>
            <w:r w:rsidRPr="007D15C3">
              <w:rPr>
                <w:rFonts w:cs="Calibri"/>
              </w:rPr>
              <w:t>WLJT-DT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803CC9" w14:textId="77777777">
            <w:pPr>
              <w:rPr>
                <w:rFonts w:cs="Calibri"/>
              </w:rPr>
            </w:pPr>
            <w:r w:rsidRPr="007D15C3">
              <w:rPr>
                <w:rFonts w:cs="Calibri"/>
              </w:rPr>
              <w:t xml:space="preserve">             385,493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A8E201" w14:textId="77777777">
            <w:pPr>
              <w:rPr>
                <w:rFonts w:cs="Calibri"/>
              </w:rPr>
            </w:pPr>
            <w:r w:rsidRPr="007D15C3">
              <w:rPr>
                <w:rFonts w:cs="Calibri"/>
              </w:rPr>
              <w:t xml:space="preserve">               385,380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F32B49" w14:textId="77777777">
            <w:pPr>
              <w:jc w:val="right"/>
              <w:rPr>
                <w:rFonts w:cs="Calibri"/>
              </w:rPr>
            </w:pPr>
            <w:r w:rsidRPr="007D15C3">
              <w:rPr>
                <w:rFonts w:cs="Calibri"/>
              </w:rPr>
              <w:t>$3,020</w:t>
            </w:r>
          </w:p>
        </w:tc>
      </w:tr>
      <w:tr w14:paraId="0902224C"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91B2A6" w14:textId="77777777">
            <w:pPr>
              <w:jc w:val="center"/>
              <w:rPr>
                <w:rFonts w:cs="Calibri"/>
              </w:rPr>
            </w:pPr>
            <w:r w:rsidRPr="007D15C3">
              <w:rPr>
                <w:rFonts w:cs="Calibri"/>
              </w:rPr>
              <w:t>53939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117F36BE" w14:textId="77777777">
            <w:pPr>
              <w:jc w:val="center"/>
              <w:rPr>
                <w:rFonts w:cs="Calibri"/>
              </w:rPr>
            </w:pPr>
            <w:r w:rsidRPr="007D15C3">
              <w:rPr>
                <w:rFonts w:cs="Calibri"/>
              </w:rPr>
              <w:t>WLKY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863BF7C" w14:textId="77777777">
            <w:pPr>
              <w:rPr>
                <w:rFonts w:cs="Calibri"/>
              </w:rPr>
            </w:pPr>
            <w:r w:rsidRPr="007D15C3">
              <w:rPr>
                <w:rFonts w:cs="Calibri"/>
              </w:rPr>
              <w:t xml:space="preserve">          1,854,829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5B5D530" w14:textId="77777777">
            <w:pPr>
              <w:rPr>
                <w:rFonts w:cs="Calibri"/>
              </w:rPr>
            </w:pPr>
            <w:r w:rsidRPr="007D15C3">
              <w:rPr>
                <w:rFonts w:cs="Calibri"/>
              </w:rPr>
              <w:t xml:space="preserve">            1,847,195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BC03D73" w14:textId="77777777">
            <w:pPr>
              <w:jc w:val="right"/>
              <w:rPr>
                <w:rFonts w:cs="Calibri"/>
              </w:rPr>
            </w:pPr>
            <w:r w:rsidRPr="007D15C3">
              <w:rPr>
                <w:rFonts w:cs="Calibri"/>
              </w:rPr>
              <w:t>$14,476</w:t>
            </w:r>
          </w:p>
        </w:tc>
      </w:tr>
      <w:tr w14:paraId="135DCB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EA75F5" w14:textId="77777777">
            <w:pPr>
              <w:jc w:val="center"/>
              <w:rPr>
                <w:rFonts w:cs="Calibri"/>
              </w:rPr>
            </w:pPr>
            <w:r w:rsidRPr="007D15C3">
              <w:rPr>
                <w:rFonts w:cs="Calibri"/>
              </w:rPr>
              <w:t>11033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BC0243" w14:textId="77777777">
            <w:pPr>
              <w:jc w:val="center"/>
              <w:rPr>
                <w:rFonts w:cs="Calibri"/>
              </w:rPr>
            </w:pPr>
            <w:r w:rsidRPr="007D15C3">
              <w:rPr>
                <w:rFonts w:cs="Calibri"/>
              </w:rPr>
              <w:t>WLLA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AF780A" w14:textId="77777777">
            <w:pPr>
              <w:rPr>
                <w:rFonts w:cs="Calibri"/>
              </w:rPr>
            </w:pPr>
            <w:r w:rsidRPr="007D15C3">
              <w:rPr>
                <w:rFonts w:cs="Calibri"/>
              </w:rPr>
              <w:t xml:space="preserve">          2,041,934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9CFE37" w14:textId="77777777">
            <w:pPr>
              <w:rPr>
                <w:rFonts w:cs="Calibri"/>
              </w:rPr>
            </w:pPr>
            <w:r w:rsidRPr="007D15C3">
              <w:rPr>
                <w:rFonts w:cs="Calibri"/>
              </w:rPr>
              <w:t xml:space="preserve">            2,041,852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D12AA5" w14:textId="77777777">
            <w:pPr>
              <w:jc w:val="right"/>
              <w:rPr>
                <w:rFonts w:cs="Calibri"/>
              </w:rPr>
            </w:pPr>
            <w:r w:rsidRPr="007D15C3">
              <w:rPr>
                <w:rFonts w:cs="Calibri"/>
              </w:rPr>
              <w:t>$16,002</w:t>
            </w:r>
          </w:p>
        </w:tc>
      </w:tr>
      <w:tr w14:paraId="6F3E534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4CBD70" w14:textId="77777777">
            <w:pPr>
              <w:jc w:val="center"/>
              <w:rPr>
                <w:rFonts w:cs="Calibri"/>
              </w:rPr>
            </w:pPr>
            <w:r w:rsidRPr="007D15C3">
              <w:rPr>
                <w:rFonts w:cs="Calibri"/>
              </w:rPr>
              <w:t>17076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0C2636" w14:textId="77777777">
            <w:pPr>
              <w:jc w:val="center"/>
              <w:rPr>
                <w:rFonts w:cs="Calibri"/>
              </w:rPr>
            </w:pPr>
            <w:r w:rsidRPr="007D15C3">
              <w:rPr>
                <w:rFonts w:cs="Calibri"/>
              </w:rPr>
              <w:t>WLMB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22CC1E" w14:textId="77777777">
            <w:pPr>
              <w:rPr>
                <w:rFonts w:cs="Calibri"/>
              </w:rPr>
            </w:pPr>
            <w:r w:rsidRPr="007D15C3">
              <w:rPr>
                <w:rFonts w:cs="Calibri"/>
              </w:rPr>
              <w:t xml:space="preserve">          2,754,484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FD8751" w14:textId="77777777">
            <w:pPr>
              <w:rPr>
                <w:rFonts w:cs="Calibri"/>
              </w:rPr>
            </w:pPr>
            <w:r w:rsidRPr="007D15C3">
              <w:rPr>
                <w:rFonts w:cs="Calibri"/>
              </w:rPr>
              <w:t xml:space="preserve">            2,747,490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3D2843" w14:textId="77777777">
            <w:pPr>
              <w:jc w:val="right"/>
              <w:rPr>
                <w:rFonts w:cs="Calibri"/>
              </w:rPr>
            </w:pPr>
            <w:r w:rsidRPr="007D15C3">
              <w:rPr>
                <w:rFonts w:cs="Calibri"/>
              </w:rPr>
              <w:t>$21,532</w:t>
            </w:r>
          </w:p>
        </w:tc>
      </w:tr>
      <w:tr w14:paraId="0B0F74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0E9D52" w14:textId="77777777">
            <w:pPr>
              <w:jc w:val="center"/>
              <w:rPr>
                <w:rFonts w:cs="Calibri"/>
              </w:rPr>
            </w:pPr>
            <w:r w:rsidRPr="007D15C3">
              <w:rPr>
                <w:rFonts w:cs="Calibri"/>
              </w:rPr>
              <w:t>68518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B61F70" w14:textId="77777777">
            <w:pPr>
              <w:jc w:val="center"/>
              <w:rPr>
                <w:rFonts w:cs="Calibri"/>
              </w:rPr>
            </w:pPr>
            <w:r w:rsidRPr="007D15C3">
              <w:rPr>
                <w:rFonts w:cs="Calibri"/>
              </w:rPr>
              <w:t>WLMT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E104EC" w14:textId="77777777">
            <w:pPr>
              <w:rPr>
                <w:rFonts w:cs="Calibri"/>
              </w:rPr>
            </w:pPr>
            <w:r w:rsidRPr="007D15C3">
              <w:rPr>
                <w:rFonts w:cs="Calibri"/>
              </w:rPr>
              <w:t xml:space="preserve">          1,736,552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86A787" w14:textId="77777777">
            <w:pPr>
              <w:rPr>
                <w:rFonts w:cs="Calibri"/>
              </w:rPr>
            </w:pPr>
            <w:r w:rsidRPr="007D15C3">
              <w:rPr>
                <w:rFonts w:cs="Calibri"/>
              </w:rPr>
              <w:t xml:space="preserve">            1,733,496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D5BF10" w14:textId="77777777">
            <w:pPr>
              <w:jc w:val="right"/>
              <w:rPr>
                <w:rFonts w:cs="Calibri"/>
              </w:rPr>
            </w:pPr>
            <w:r w:rsidRPr="007D15C3">
              <w:rPr>
                <w:rFonts w:cs="Calibri"/>
              </w:rPr>
              <w:t>$13,585</w:t>
            </w:r>
          </w:p>
        </w:tc>
      </w:tr>
      <w:tr w14:paraId="764F8A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E98285" w14:textId="77777777">
            <w:pPr>
              <w:jc w:val="center"/>
              <w:rPr>
                <w:rFonts w:cs="Calibri"/>
              </w:rPr>
            </w:pPr>
            <w:r w:rsidRPr="007D15C3">
              <w:rPr>
                <w:rFonts w:cs="Calibri"/>
              </w:rPr>
              <w:t>22591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4118C9" w14:textId="77777777">
            <w:pPr>
              <w:jc w:val="center"/>
              <w:rPr>
                <w:rFonts w:cs="Calibri"/>
              </w:rPr>
            </w:pPr>
            <w:r w:rsidRPr="007D15C3">
              <w:rPr>
                <w:rFonts w:cs="Calibri"/>
              </w:rPr>
              <w:t>WLNE-TV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60A339" w14:textId="77777777">
            <w:pPr>
              <w:rPr>
                <w:rFonts w:cs="Calibri"/>
              </w:rPr>
            </w:pPr>
            <w:r w:rsidRPr="007D15C3">
              <w:rPr>
                <w:rFonts w:cs="Calibri"/>
              </w:rPr>
              <w:t xml:space="preserve">          5,705,441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629122" w14:textId="77777777">
            <w:pPr>
              <w:rPr>
                <w:rFonts w:cs="Calibri"/>
              </w:rPr>
            </w:pPr>
            <w:r w:rsidRPr="007D15C3">
              <w:rPr>
                <w:rFonts w:cs="Calibri"/>
              </w:rPr>
              <w:t xml:space="preserve">            5,630,394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668D82" w14:textId="77777777">
            <w:pPr>
              <w:jc w:val="right"/>
              <w:rPr>
                <w:rFonts w:cs="Calibri"/>
              </w:rPr>
            </w:pPr>
            <w:r w:rsidRPr="007D15C3">
              <w:rPr>
                <w:rFonts w:cs="Calibri"/>
              </w:rPr>
              <w:t>$44,125</w:t>
            </w:r>
          </w:p>
        </w:tc>
      </w:tr>
      <w:tr w14:paraId="0828C9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941926" w14:textId="77777777">
            <w:pPr>
              <w:jc w:val="center"/>
              <w:rPr>
                <w:rFonts w:cs="Calibri"/>
              </w:rPr>
            </w:pPr>
            <w:r w:rsidRPr="007D15C3">
              <w:rPr>
                <w:rFonts w:cs="Calibri"/>
              </w:rPr>
              <w:t>74420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95AFC8" w14:textId="77777777">
            <w:pPr>
              <w:jc w:val="center"/>
              <w:rPr>
                <w:rFonts w:cs="Calibri"/>
              </w:rPr>
            </w:pPr>
            <w:r w:rsidRPr="007D15C3">
              <w:rPr>
                <w:rFonts w:cs="Calibri"/>
              </w:rPr>
              <w:t>WLNS-TV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5517E" w14:textId="77777777">
            <w:pPr>
              <w:rPr>
                <w:rFonts w:cs="Calibri"/>
              </w:rPr>
            </w:pPr>
            <w:r w:rsidRPr="007D15C3">
              <w:rPr>
                <w:rFonts w:cs="Calibri"/>
              </w:rPr>
              <w:t xml:space="preserve">          1,865,669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940D56" w14:textId="77777777">
            <w:pPr>
              <w:rPr>
                <w:rFonts w:cs="Calibri"/>
              </w:rPr>
            </w:pPr>
            <w:r w:rsidRPr="007D15C3">
              <w:rPr>
                <w:rFonts w:cs="Calibri"/>
              </w:rPr>
              <w:t xml:space="preserve">            1,858,982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D08FC9" w14:textId="77777777">
            <w:pPr>
              <w:jc w:val="right"/>
              <w:rPr>
                <w:rFonts w:cs="Calibri"/>
              </w:rPr>
            </w:pPr>
            <w:r w:rsidRPr="007D15C3">
              <w:rPr>
                <w:rFonts w:cs="Calibri"/>
              </w:rPr>
              <w:t>$14,569</w:t>
            </w:r>
          </w:p>
        </w:tc>
      </w:tr>
      <w:tr w14:paraId="7B2489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B7649A" w14:textId="77777777">
            <w:pPr>
              <w:jc w:val="center"/>
              <w:rPr>
                <w:rFonts w:cs="Calibri"/>
              </w:rPr>
            </w:pPr>
            <w:r w:rsidRPr="007D15C3">
              <w:rPr>
                <w:rFonts w:cs="Calibri"/>
              </w:rPr>
              <w:t>73206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9B3B57" w14:textId="77777777">
            <w:pPr>
              <w:jc w:val="center"/>
              <w:rPr>
                <w:rFonts w:cs="Calibri"/>
              </w:rPr>
            </w:pPr>
            <w:r w:rsidRPr="007D15C3">
              <w:rPr>
                <w:rFonts w:cs="Calibri"/>
              </w:rPr>
              <w:t>WLNY-TV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4058D1" w14:textId="77777777">
            <w:pPr>
              <w:rPr>
                <w:rFonts w:cs="Calibri"/>
              </w:rPr>
            </w:pPr>
            <w:r w:rsidRPr="007D15C3">
              <w:rPr>
                <w:rFonts w:cs="Calibri"/>
              </w:rPr>
              <w:t xml:space="preserve">          7,501,199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9C0618" w14:textId="77777777">
            <w:pPr>
              <w:rPr>
                <w:rFonts w:cs="Calibri"/>
              </w:rPr>
            </w:pPr>
            <w:r w:rsidRPr="007D15C3">
              <w:rPr>
                <w:rFonts w:cs="Calibri"/>
              </w:rPr>
              <w:t xml:space="preserve">            7,415,578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A29B16" w14:textId="77777777">
            <w:pPr>
              <w:jc w:val="right"/>
              <w:rPr>
                <w:rFonts w:cs="Calibri"/>
              </w:rPr>
            </w:pPr>
            <w:r w:rsidRPr="007D15C3">
              <w:rPr>
                <w:rFonts w:cs="Calibri"/>
              </w:rPr>
              <w:t>$58,116</w:t>
            </w:r>
          </w:p>
        </w:tc>
      </w:tr>
      <w:tr w14:paraId="0FDE0A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AAFE22" w14:textId="77777777">
            <w:pPr>
              <w:jc w:val="center"/>
              <w:rPr>
                <w:rFonts w:cs="Calibri"/>
              </w:rPr>
            </w:pPr>
            <w:r w:rsidRPr="007D15C3">
              <w:rPr>
                <w:rFonts w:cs="Calibri"/>
              </w:rPr>
              <w:t>84253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E43798" w14:textId="77777777">
            <w:pPr>
              <w:jc w:val="center"/>
              <w:rPr>
                <w:rFonts w:cs="Calibri"/>
              </w:rPr>
            </w:pPr>
            <w:r w:rsidRPr="007D15C3">
              <w:rPr>
                <w:rFonts w:cs="Calibri"/>
              </w:rPr>
              <w:t>WLOO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358281" w14:textId="77777777">
            <w:pPr>
              <w:rPr>
                <w:rFonts w:cs="Calibri"/>
              </w:rPr>
            </w:pPr>
            <w:r w:rsidRPr="007D15C3">
              <w:rPr>
                <w:rFonts w:cs="Calibri"/>
              </w:rPr>
              <w:t xml:space="preserve">             913,960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DC8938" w14:textId="77777777">
            <w:pPr>
              <w:rPr>
                <w:rFonts w:cs="Calibri"/>
              </w:rPr>
            </w:pPr>
            <w:r w:rsidRPr="007D15C3">
              <w:rPr>
                <w:rFonts w:cs="Calibri"/>
              </w:rPr>
              <w:t xml:space="preserve">               912,674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891B02" w14:textId="77777777">
            <w:pPr>
              <w:jc w:val="right"/>
              <w:rPr>
                <w:rFonts w:cs="Calibri"/>
              </w:rPr>
            </w:pPr>
            <w:r w:rsidRPr="007D15C3">
              <w:rPr>
                <w:rFonts w:cs="Calibri"/>
              </w:rPr>
              <w:t>$7,153</w:t>
            </w:r>
          </w:p>
        </w:tc>
      </w:tr>
      <w:tr w14:paraId="4A21BE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4A4902" w14:textId="77777777">
            <w:pPr>
              <w:jc w:val="center"/>
              <w:rPr>
                <w:rFonts w:cs="Calibri"/>
              </w:rPr>
            </w:pPr>
            <w:r w:rsidRPr="007D15C3">
              <w:rPr>
                <w:rFonts w:cs="Calibri"/>
              </w:rPr>
              <w:t>56537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DFA400" w14:textId="77777777">
            <w:pPr>
              <w:jc w:val="center"/>
              <w:rPr>
                <w:rFonts w:cs="Calibri"/>
              </w:rPr>
            </w:pPr>
            <w:r w:rsidRPr="007D15C3">
              <w:rPr>
                <w:rFonts w:cs="Calibri"/>
              </w:rPr>
              <w:t>WLOS*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A35868" w14:textId="77777777">
            <w:pPr>
              <w:rPr>
                <w:rFonts w:cs="Calibri"/>
              </w:rPr>
            </w:pPr>
            <w:r w:rsidRPr="007D15C3">
              <w:rPr>
                <w:rFonts w:cs="Calibri"/>
              </w:rPr>
              <w:t xml:space="preserve">          3,086,751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8387C4" w14:textId="77777777">
            <w:pPr>
              <w:rPr>
                <w:rFonts w:cs="Calibri"/>
              </w:rPr>
            </w:pPr>
            <w:r w:rsidRPr="007D15C3">
              <w:rPr>
                <w:rFonts w:cs="Calibri"/>
              </w:rPr>
              <w:t xml:space="preserve">            2,544,360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FC38F4" w14:textId="77777777">
            <w:pPr>
              <w:jc w:val="right"/>
              <w:rPr>
                <w:rFonts w:cs="Calibri"/>
              </w:rPr>
            </w:pPr>
            <w:r w:rsidRPr="007D15C3">
              <w:rPr>
                <w:rFonts w:cs="Calibri"/>
              </w:rPr>
              <w:t>$19,940</w:t>
            </w:r>
          </w:p>
        </w:tc>
      </w:tr>
      <w:tr w14:paraId="56112EB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A1E0B2" w14:textId="77777777">
            <w:pPr>
              <w:jc w:val="center"/>
              <w:rPr>
                <w:rFonts w:cs="Calibri"/>
              </w:rPr>
            </w:pPr>
            <w:r w:rsidRPr="007D15C3">
              <w:rPr>
                <w:rFonts w:cs="Calibri"/>
              </w:rPr>
              <w:t>37732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35C9CE" w14:textId="77777777">
            <w:pPr>
              <w:jc w:val="center"/>
              <w:rPr>
                <w:rFonts w:cs="Calibri"/>
              </w:rPr>
            </w:pPr>
            <w:r w:rsidRPr="007D15C3">
              <w:rPr>
                <w:rFonts w:cs="Calibri"/>
              </w:rPr>
              <w:t>WLOV-TV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8BC612" w14:textId="77777777">
            <w:pPr>
              <w:rPr>
                <w:rFonts w:cs="Calibri"/>
              </w:rPr>
            </w:pPr>
            <w:r w:rsidRPr="007D15C3">
              <w:rPr>
                <w:rFonts w:cs="Calibri"/>
              </w:rPr>
              <w:t xml:space="preserve">             609,526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3A590A" w14:textId="77777777">
            <w:pPr>
              <w:rPr>
                <w:rFonts w:cs="Calibri"/>
              </w:rPr>
            </w:pPr>
            <w:r w:rsidRPr="007D15C3">
              <w:rPr>
                <w:rFonts w:cs="Calibri"/>
              </w:rPr>
              <w:t xml:space="preserve">               607,780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768675" w14:textId="77777777">
            <w:pPr>
              <w:jc w:val="right"/>
              <w:rPr>
                <w:rFonts w:cs="Calibri"/>
              </w:rPr>
            </w:pPr>
            <w:r w:rsidRPr="007D15C3">
              <w:rPr>
                <w:rFonts w:cs="Calibri"/>
              </w:rPr>
              <w:t>$4,763</w:t>
            </w:r>
          </w:p>
        </w:tc>
      </w:tr>
      <w:tr w14:paraId="4CE9BFC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C38FD43" w14:textId="77777777">
            <w:pPr>
              <w:jc w:val="center"/>
              <w:rPr>
                <w:rFonts w:cs="Calibri"/>
              </w:rPr>
            </w:pPr>
            <w:r w:rsidRPr="007D15C3">
              <w:rPr>
                <w:rFonts w:cs="Calibri"/>
              </w:rPr>
              <w:t>13995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58DFAF" w14:textId="77777777">
            <w:pPr>
              <w:jc w:val="center"/>
              <w:rPr>
                <w:rFonts w:cs="Calibri"/>
              </w:rPr>
            </w:pPr>
            <w:r w:rsidRPr="007D15C3">
              <w:rPr>
                <w:rFonts w:cs="Calibri"/>
              </w:rPr>
              <w:t>WLOX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A2F97" w14:textId="77777777">
            <w:pPr>
              <w:rPr>
                <w:rFonts w:cs="Calibri"/>
              </w:rPr>
            </w:pPr>
            <w:r w:rsidRPr="007D15C3">
              <w:rPr>
                <w:rFonts w:cs="Calibri"/>
              </w:rPr>
              <w:t xml:space="preserve">          1,182,149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5086BA" w14:textId="77777777">
            <w:pPr>
              <w:rPr>
                <w:rFonts w:cs="Calibri"/>
              </w:rPr>
            </w:pPr>
            <w:r w:rsidRPr="007D15C3">
              <w:rPr>
                <w:rFonts w:cs="Calibri"/>
              </w:rPr>
              <w:t xml:space="preserve">            1,170,659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4D635C" w14:textId="77777777">
            <w:pPr>
              <w:jc w:val="right"/>
              <w:rPr>
                <w:rFonts w:cs="Calibri"/>
              </w:rPr>
            </w:pPr>
            <w:r w:rsidRPr="007D15C3">
              <w:rPr>
                <w:rFonts w:cs="Calibri"/>
              </w:rPr>
              <w:t>$9,174</w:t>
            </w:r>
          </w:p>
        </w:tc>
      </w:tr>
      <w:tr w14:paraId="6464962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6FED38" w14:textId="77777777">
            <w:pPr>
              <w:jc w:val="center"/>
              <w:rPr>
                <w:rFonts w:cs="Calibri"/>
              </w:rPr>
            </w:pPr>
            <w:r w:rsidRPr="007D15C3">
              <w:rPr>
                <w:rFonts w:cs="Calibri"/>
              </w:rPr>
              <w:t>38586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EC5DB3" w14:textId="77777777">
            <w:pPr>
              <w:jc w:val="center"/>
              <w:rPr>
                <w:rFonts w:cs="Calibri"/>
              </w:rPr>
            </w:pPr>
            <w:r w:rsidRPr="007D15C3">
              <w:rPr>
                <w:rFonts w:cs="Calibri"/>
              </w:rPr>
              <w:t>WLPB-TV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D38C7F" w14:textId="77777777">
            <w:pPr>
              <w:rPr>
                <w:rFonts w:cs="Calibri"/>
              </w:rPr>
            </w:pPr>
            <w:r w:rsidRPr="007D15C3">
              <w:rPr>
                <w:rFonts w:cs="Calibri"/>
              </w:rPr>
              <w:t xml:space="preserve">          1,219,624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C1B044" w14:textId="77777777">
            <w:pPr>
              <w:rPr>
                <w:rFonts w:cs="Calibri"/>
              </w:rPr>
            </w:pPr>
            <w:r w:rsidRPr="007D15C3">
              <w:rPr>
                <w:rFonts w:cs="Calibri"/>
              </w:rPr>
              <w:t xml:space="preserve">            1,219,407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93E929" w14:textId="77777777">
            <w:pPr>
              <w:jc w:val="right"/>
              <w:rPr>
                <w:rFonts w:cs="Calibri"/>
              </w:rPr>
            </w:pPr>
            <w:r w:rsidRPr="007D15C3">
              <w:rPr>
                <w:rFonts w:cs="Calibri"/>
              </w:rPr>
              <w:t>$9,556</w:t>
            </w:r>
          </w:p>
        </w:tc>
      </w:tr>
      <w:tr w14:paraId="5820E6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E1EC61" w14:textId="77777777">
            <w:pPr>
              <w:jc w:val="center"/>
              <w:rPr>
                <w:rFonts w:cs="Calibri"/>
              </w:rPr>
            </w:pPr>
            <w:r w:rsidRPr="007D15C3">
              <w:rPr>
                <w:rFonts w:cs="Calibri"/>
              </w:rPr>
              <w:t>73189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3360946" w14:textId="77777777">
            <w:pPr>
              <w:jc w:val="center"/>
              <w:rPr>
                <w:rFonts w:cs="Calibri"/>
              </w:rPr>
            </w:pPr>
            <w:r w:rsidRPr="007D15C3">
              <w:rPr>
                <w:rFonts w:cs="Calibri"/>
              </w:rPr>
              <w:t>WLPX-TV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0E9993" w14:textId="77777777">
            <w:pPr>
              <w:rPr>
                <w:rFonts w:cs="Calibri"/>
              </w:rPr>
            </w:pPr>
            <w:r w:rsidRPr="007D15C3">
              <w:rPr>
                <w:rFonts w:cs="Calibri"/>
              </w:rPr>
              <w:t xml:space="preserve">          1,021,171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267065" w14:textId="77777777">
            <w:pPr>
              <w:rPr>
                <w:rFonts w:cs="Calibri"/>
              </w:rPr>
            </w:pPr>
            <w:r w:rsidRPr="007D15C3">
              <w:rPr>
                <w:rFonts w:cs="Calibri"/>
              </w:rPr>
              <w:t xml:space="preserve">               921,974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B2C449" w14:textId="77777777">
            <w:pPr>
              <w:jc w:val="right"/>
              <w:rPr>
                <w:rFonts w:cs="Calibri"/>
              </w:rPr>
            </w:pPr>
            <w:r w:rsidRPr="007D15C3">
              <w:rPr>
                <w:rFonts w:cs="Calibri"/>
              </w:rPr>
              <w:t>$7,226</w:t>
            </w:r>
          </w:p>
        </w:tc>
      </w:tr>
      <w:tr w14:paraId="2D54B67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278B00" w14:textId="77777777">
            <w:pPr>
              <w:jc w:val="center"/>
              <w:rPr>
                <w:rFonts w:cs="Calibri"/>
              </w:rPr>
            </w:pPr>
            <w:r w:rsidRPr="007D15C3">
              <w:rPr>
                <w:rFonts w:cs="Calibri"/>
              </w:rPr>
              <w:t>66358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50C2A88" w14:textId="77777777">
            <w:pPr>
              <w:jc w:val="center"/>
              <w:rPr>
                <w:rFonts w:cs="Calibri"/>
              </w:rPr>
            </w:pPr>
            <w:r w:rsidRPr="007D15C3">
              <w:rPr>
                <w:rFonts w:cs="Calibri"/>
              </w:rPr>
              <w:t>WLRN-TV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C891B4" w14:textId="77777777">
            <w:pPr>
              <w:rPr>
                <w:rFonts w:cs="Calibri"/>
              </w:rPr>
            </w:pPr>
            <w:r w:rsidRPr="007D15C3">
              <w:rPr>
                <w:rFonts w:cs="Calibri"/>
              </w:rPr>
              <w:t xml:space="preserve">          5,447,399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8A73B8" w14:textId="77777777">
            <w:pPr>
              <w:rPr>
                <w:rFonts w:cs="Calibri"/>
              </w:rPr>
            </w:pPr>
            <w:r w:rsidRPr="007D15C3">
              <w:rPr>
                <w:rFonts w:cs="Calibri"/>
              </w:rPr>
              <w:t xml:space="preserve">            5,447,399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861EB4" w14:textId="77777777">
            <w:pPr>
              <w:jc w:val="right"/>
              <w:rPr>
                <w:rFonts w:cs="Calibri"/>
              </w:rPr>
            </w:pPr>
            <w:r w:rsidRPr="007D15C3">
              <w:rPr>
                <w:rFonts w:cs="Calibri"/>
              </w:rPr>
              <w:t>$42,691</w:t>
            </w:r>
          </w:p>
        </w:tc>
      </w:tr>
      <w:tr w14:paraId="6540494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E882E4" w14:textId="77777777">
            <w:pPr>
              <w:jc w:val="center"/>
              <w:rPr>
                <w:rFonts w:cs="Calibri"/>
              </w:rPr>
            </w:pPr>
            <w:r w:rsidRPr="007D15C3">
              <w:rPr>
                <w:rFonts w:cs="Calibri"/>
              </w:rPr>
              <w:t>73226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F23D3E" w14:textId="77777777">
            <w:pPr>
              <w:jc w:val="center"/>
              <w:rPr>
                <w:rFonts w:cs="Calibri"/>
              </w:rPr>
            </w:pPr>
            <w:r w:rsidRPr="007D15C3">
              <w:rPr>
                <w:rFonts w:cs="Calibri"/>
              </w:rPr>
              <w:t>WLS-TV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245A40" w14:textId="77777777">
            <w:pPr>
              <w:rPr>
                <w:rFonts w:cs="Calibri"/>
              </w:rPr>
            </w:pPr>
            <w:r w:rsidRPr="007D15C3">
              <w:rPr>
                <w:rFonts w:cs="Calibri"/>
              </w:rPr>
              <w:t xml:space="preserve">        10,174,464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A72437" w14:textId="77777777">
            <w:pPr>
              <w:rPr>
                <w:rFonts w:cs="Calibri"/>
              </w:rPr>
            </w:pPr>
            <w:r w:rsidRPr="007D15C3">
              <w:rPr>
                <w:rFonts w:cs="Calibri"/>
              </w:rPr>
              <w:t xml:space="preserve">          10,170,757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251916" w14:textId="77777777">
            <w:pPr>
              <w:jc w:val="right"/>
              <w:rPr>
                <w:rFonts w:cs="Calibri"/>
              </w:rPr>
            </w:pPr>
            <w:r w:rsidRPr="007D15C3">
              <w:rPr>
                <w:rFonts w:cs="Calibri"/>
              </w:rPr>
              <w:t>$79,708</w:t>
            </w:r>
          </w:p>
        </w:tc>
      </w:tr>
      <w:tr w14:paraId="4B159F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489617" w14:textId="77777777">
            <w:pPr>
              <w:jc w:val="center"/>
              <w:rPr>
                <w:rFonts w:cs="Calibri"/>
              </w:rPr>
            </w:pPr>
            <w:r w:rsidRPr="007D15C3">
              <w:rPr>
                <w:rFonts w:cs="Calibri"/>
              </w:rPr>
              <w:t>73230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B2D402" w14:textId="77777777">
            <w:pPr>
              <w:jc w:val="center"/>
              <w:rPr>
                <w:rFonts w:cs="Calibri"/>
              </w:rPr>
            </w:pPr>
            <w:r w:rsidRPr="007D15C3">
              <w:rPr>
                <w:rFonts w:cs="Calibri"/>
              </w:rPr>
              <w:t>WLTV-DT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7C410B" w14:textId="77777777">
            <w:pPr>
              <w:rPr>
                <w:rFonts w:cs="Calibri"/>
              </w:rPr>
            </w:pPr>
            <w:r w:rsidRPr="007D15C3">
              <w:rPr>
                <w:rFonts w:cs="Calibri"/>
              </w:rPr>
              <w:t xml:space="preserve">          5,427,398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D827A0" w14:textId="77777777">
            <w:pPr>
              <w:rPr>
                <w:rFonts w:cs="Calibri"/>
              </w:rPr>
            </w:pPr>
            <w:r w:rsidRPr="007D15C3">
              <w:rPr>
                <w:rFonts w:cs="Calibri"/>
              </w:rPr>
              <w:t xml:space="preserve">            5,427,398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74FCDE" w14:textId="77777777">
            <w:pPr>
              <w:jc w:val="right"/>
              <w:rPr>
                <w:rFonts w:cs="Calibri"/>
              </w:rPr>
            </w:pPr>
            <w:r w:rsidRPr="007D15C3">
              <w:rPr>
                <w:rFonts w:cs="Calibri"/>
              </w:rPr>
              <w:t>$42,535</w:t>
            </w:r>
          </w:p>
        </w:tc>
      </w:tr>
      <w:tr w14:paraId="3B0066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8282DF" w14:textId="77777777">
            <w:pPr>
              <w:jc w:val="center"/>
              <w:rPr>
                <w:rFonts w:cs="Calibri"/>
              </w:rPr>
            </w:pPr>
            <w:r w:rsidRPr="007D15C3">
              <w:rPr>
                <w:rFonts w:cs="Calibri"/>
              </w:rPr>
              <w:t>37176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E368C0" w14:textId="77777777">
            <w:pPr>
              <w:jc w:val="center"/>
              <w:rPr>
                <w:rFonts w:cs="Calibri"/>
              </w:rPr>
            </w:pPr>
            <w:r w:rsidRPr="007D15C3">
              <w:rPr>
                <w:rFonts w:cs="Calibri"/>
              </w:rPr>
              <w:t>WLTX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364905" w14:textId="77777777">
            <w:pPr>
              <w:rPr>
                <w:rFonts w:cs="Calibri"/>
              </w:rPr>
            </w:pPr>
            <w:r w:rsidRPr="007D15C3">
              <w:rPr>
                <w:rFonts w:cs="Calibri"/>
              </w:rPr>
              <w:t xml:space="preserve">          1,580,677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9C124A" w14:textId="77777777">
            <w:pPr>
              <w:rPr>
                <w:rFonts w:cs="Calibri"/>
              </w:rPr>
            </w:pPr>
            <w:r w:rsidRPr="007D15C3">
              <w:rPr>
                <w:rFonts w:cs="Calibri"/>
              </w:rPr>
              <w:t xml:space="preserve">            1,578,645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769A0B" w14:textId="77777777">
            <w:pPr>
              <w:jc w:val="right"/>
              <w:rPr>
                <w:rFonts w:cs="Calibri"/>
              </w:rPr>
            </w:pPr>
            <w:r w:rsidRPr="007D15C3">
              <w:rPr>
                <w:rFonts w:cs="Calibri"/>
              </w:rPr>
              <w:t>$12,372</w:t>
            </w:r>
          </w:p>
        </w:tc>
      </w:tr>
      <w:tr w14:paraId="45B46F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78434C" w14:textId="77777777">
            <w:pPr>
              <w:jc w:val="center"/>
              <w:rPr>
                <w:rFonts w:cs="Calibri"/>
              </w:rPr>
            </w:pPr>
            <w:r w:rsidRPr="007D15C3">
              <w:rPr>
                <w:rFonts w:cs="Calibri"/>
              </w:rPr>
              <w:t>37179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BA87DD" w14:textId="77777777">
            <w:pPr>
              <w:jc w:val="center"/>
              <w:rPr>
                <w:rFonts w:cs="Calibri"/>
              </w:rPr>
            </w:pPr>
            <w:r w:rsidRPr="007D15C3">
              <w:rPr>
                <w:rFonts w:cs="Calibri"/>
              </w:rPr>
              <w:t>WLTZ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FAE72D" w14:textId="77777777">
            <w:pPr>
              <w:rPr>
                <w:rFonts w:cs="Calibri"/>
              </w:rPr>
            </w:pPr>
            <w:r w:rsidRPr="007D15C3">
              <w:rPr>
                <w:rFonts w:cs="Calibri"/>
              </w:rPr>
              <w:t xml:space="preserve">             689,521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838489" w14:textId="77777777">
            <w:pPr>
              <w:rPr>
                <w:rFonts w:cs="Calibri"/>
              </w:rPr>
            </w:pPr>
            <w:r w:rsidRPr="007D15C3">
              <w:rPr>
                <w:rFonts w:cs="Calibri"/>
              </w:rPr>
              <w:t xml:space="preserve">               685,358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8057C8" w14:textId="77777777">
            <w:pPr>
              <w:jc w:val="right"/>
              <w:rPr>
                <w:rFonts w:cs="Calibri"/>
              </w:rPr>
            </w:pPr>
            <w:r w:rsidRPr="007D15C3">
              <w:rPr>
                <w:rFonts w:cs="Calibri"/>
              </w:rPr>
              <w:t>$5,371</w:t>
            </w:r>
          </w:p>
        </w:tc>
      </w:tr>
      <w:tr w14:paraId="241B664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29EF30" w14:textId="77777777">
            <w:pPr>
              <w:jc w:val="center"/>
              <w:rPr>
                <w:rFonts w:cs="Calibri"/>
              </w:rPr>
            </w:pPr>
            <w:r w:rsidRPr="007D15C3">
              <w:rPr>
                <w:rFonts w:cs="Calibri"/>
              </w:rPr>
              <w:t>21259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C9DD88" w14:textId="77777777">
            <w:pPr>
              <w:jc w:val="center"/>
              <w:rPr>
                <w:rFonts w:cs="Calibri"/>
              </w:rPr>
            </w:pPr>
            <w:r w:rsidRPr="007D15C3">
              <w:rPr>
                <w:rFonts w:cs="Calibri"/>
              </w:rPr>
              <w:t>WLUC-TV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445CC2" w14:textId="77777777">
            <w:pPr>
              <w:rPr>
                <w:rFonts w:cs="Calibri"/>
              </w:rPr>
            </w:pPr>
            <w:r w:rsidRPr="007D15C3">
              <w:rPr>
                <w:rFonts w:cs="Calibri"/>
              </w:rPr>
              <w:t xml:space="preserve">               92,246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A75AB8" w14:textId="77777777">
            <w:pPr>
              <w:rPr>
                <w:rFonts w:cs="Calibri"/>
              </w:rPr>
            </w:pPr>
            <w:r w:rsidRPr="007D15C3">
              <w:rPr>
                <w:rFonts w:cs="Calibri"/>
              </w:rPr>
              <w:t xml:space="preserve">                 85,393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4FFFF5" w14:textId="77777777">
            <w:pPr>
              <w:jc w:val="right"/>
              <w:rPr>
                <w:rFonts w:cs="Calibri"/>
              </w:rPr>
            </w:pPr>
            <w:r w:rsidRPr="007D15C3">
              <w:rPr>
                <w:rFonts w:cs="Calibri"/>
              </w:rPr>
              <w:t>$669</w:t>
            </w:r>
          </w:p>
        </w:tc>
      </w:tr>
      <w:tr w14:paraId="6D5FC0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2F401B" w14:textId="77777777">
            <w:pPr>
              <w:jc w:val="center"/>
              <w:rPr>
                <w:rFonts w:cs="Calibri"/>
              </w:rPr>
            </w:pPr>
            <w:r w:rsidRPr="007D15C3">
              <w:rPr>
                <w:rFonts w:cs="Calibri"/>
              </w:rPr>
              <w:t>4150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BB19E3" w14:textId="77777777">
            <w:pPr>
              <w:jc w:val="center"/>
              <w:rPr>
                <w:rFonts w:cs="Calibri"/>
              </w:rPr>
            </w:pPr>
            <w:r w:rsidRPr="007D15C3">
              <w:rPr>
                <w:rFonts w:cs="Calibri"/>
              </w:rPr>
              <w:t>WLUK-TV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DCD748" w14:textId="77777777">
            <w:pPr>
              <w:rPr>
                <w:rFonts w:cs="Calibri"/>
              </w:rPr>
            </w:pPr>
            <w:r w:rsidRPr="007D15C3">
              <w:rPr>
                <w:rFonts w:cs="Calibri"/>
              </w:rPr>
              <w:t xml:space="preserve">          1,251,563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3BB961" w14:textId="77777777">
            <w:pPr>
              <w:rPr>
                <w:rFonts w:cs="Calibri"/>
              </w:rPr>
            </w:pPr>
            <w:r w:rsidRPr="007D15C3">
              <w:rPr>
                <w:rFonts w:cs="Calibri"/>
              </w:rPr>
              <w:t xml:space="preserve">            1,247,463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437802" w14:textId="77777777">
            <w:pPr>
              <w:jc w:val="right"/>
              <w:rPr>
                <w:rFonts w:cs="Calibri"/>
              </w:rPr>
            </w:pPr>
            <w:r w:rsidRPr="007D15C3">
              <w:rPr>
                <w:rFonts w:cs="Calibri"/>
              </w:rPr>
              <w:t>$9,776</w:t>
            </w:r>
          </w:p>
        </w:tc>
      </w:tr>
      <w:tr w14:paraId="47D86F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60AF60" w14:textId="77777777">
            <w:pPr>
              <w:jc w:val="center"/>
              <w:rPr>
                <w:rFonts w:cs="Calibri"/>
              </w:rPr>
            </w:pPr>
            <w:r w:rsidRPr="007D15C3">
              <w:rPr>
                <w:rFonts w:cs="Calibri"/>
              </w:rPr>
              <w:t>73238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34BD48" w14:textId="77777777">
            <w:pPr>
              <w:jc w:val="center"/>
              <w:rPr>
                <w:rFonts w:cs="Calibri"/>
              </w:rPr>
            </w:pPr>
            <w:r w:rsidRPr="007D15C3">
              <w:rPr>
                <w:rFonts w:cs="Calibri"/>
              </w:rPr>
              <w:t>WLVI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4E50F7" w14:textId="77777777">
            <w:pPr>
              <w:rPr>
                <w:rFonts w:cs="Calibri"/>
              </w:rPr>
            </w:pPr>
            <w:r w:rsidRPr="007D15C3">
              <w:rPr>
                <w:rFonts w:cs="Calibri"/>
              </w:rPr>
              <w:t xml:space="preserve">          7,319,659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84FD75" w14:textId="77777777">
            <w:pPr>
              <w:rPr>
                <w:rFonts w:cs="Calibri"/>
              </w:rPr>
            </w:pPr>
            <w:r w:rsidRPr="007D15C3">
              <w:rPr>
                <w:rFonts w:cs="Calibri"/>
              </w:rPr>
              <w:t xml:space="preserve">            7,236,210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FC305E" w14:textId="77777777">
            <w:pPr>
              <w:jc w:val="right"/>
              <w:rPr>
                <w:rFonts w:cs="Calibri"/>
              </w:rPr>
            </w:pPr>
            <w:r w:rsidRPr="007D15C3">
              <w:rPr>
                <w:rFonts w:cs="Calibri"/>
              </w:rPr>
              <w:t>$56,710</w:t>
            </w:r>
          </w:p>
        </w:tc>
      </w:tr>
      <w:tr w14:paraId="001DC1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2EC454" w14:textId="77777777">
            <w:pPr>
              <w:jc w:val="center"/>
              <w:rPr>
                <w:rFonts w:cs="Calibri"/>
              </w:rPr>
            </w:pPr>
            <w:r w:rsidRPr="007D15C3">
              <w:rPr>
                <w:rFonts w:cs="Calibri"/>
              </w:rPr>
              <w:t>36989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E2EAB52" w14:textId="77777777">
            <w:pPr>
              <w:jc w:val="center"/>
              <w:rPr>
                <w:rFonts w:cs="Calibri"/>
              </w:rPr>
            </w:pPr>
            <w:r w:rsidRPr="007D15C3">
              <w:rPr>
                <w:rFonts w:cs="Calibri"/>
              </w:rPr>
              <w:t>WLVT-TV*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6F5CB4" w14:textId="77777777">
            <w:pPr>
              <w:rPr>
                <w:rFonts w:cs="Calibri"/>
              </w:rPr>
            </w:pPr>
            <w:r w:rsidRPr="007D15C3">
              <w:rPr>
                <w:rFonts w:cs="Calibri"/>
              </w:rPr>
              <w:t xml:space="preserve">        10,613,847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443F3B" w14:textId="77777777">
            <w:pPr>
              <w:rPr>
                <w:rFonts w:cs="Calibri"/>
              </w:rPr>
            </w:pPr>
            <w:r w:rsidRPr="007D15C3">
              <w:rPr>
                <w:rFonts w:cs="Calibri"/>
              </w:rPr>
              <w:t xml:space="preserve">          9,474,797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3A8C1B" w14:textId="77777777">
            <w:pPr>
              <w:jc w:val="right"/>
              <w:rPr>
                <w:rFonts w:cs="Calibri"/>
              </w:rPr>
            </w:pPr>
            <w:r w:rsidRPr="007D15C3">
              <w:rPr>
                <w:rFonts w:cs="Calibri"/>
              </w:rPr>
              <w:t>$74,254</w:t>
            </w:r>
          </w:p>
        </w:tc>
      </w:tr>
      <w:tr w14:paraId="353D1B6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898FC1" w14:textId="77777777">
            <w:pPr>
              <w:jc w:val="center"/>
              <w:rPr>
                <w:rFonts w:cs="Calibri"/>
              </w:rPr>
            </w:pPr>
            <w:r w:rsidRPr="007D15C3">
              <w:rPr>
                <w:rFonts w:cs="Calibri"/>
              </w:rPr>
              <w:t>3978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5CAADF" w14:textId="77777777">
            <w:pPr>
              <w:jc w:val="center"/>
              <w:rPr>
                <w:rFonts w:cs="Calibri"/>
              </w:rPr>
            </w:pPr>
            <w:r w:rsidRPr="007D15C3">
              <w:rPr>
                <w:rFonts w:cs="Calibri"/>
              </w:rPr>
              <w:t>WLWC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13E0FE" w14:textId="77777777">
            <w:pPr>
              <w:rPr>
                <w:rFonts w:cs="Calibri"/>
              </w:rPr>
            </w:pPr>
            <w:r w:rsidRPr="007D15C3">
              <w:rPr>
                <w:rFonts w:cs="Calibri"/>
              </w:rPr>
              <w:t xml:space="preserve">          3,281,532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AB5436" w14:textId="77777777">
            <w:pPr>
              <w:rPr>
                <w:rFonts w:cs="Calibri"/>
              </w:rPr>
            </w:pPr>
            <w:r w:rsidRPr="007D15C3">
              <w:rPr>
                <w:rFonts w:cs="Calibri"/>
              </w:rPr>
              <w:t xml:space="preserve">            3,150,875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CA62CC" w14:textId="77777777">
            <w:pPr>
              <w:jc w:val="right"/>
              <w:rPr>
                <w:rFonts w:cs="Calibri"/>
              </w:rPr>
            </w:pPr>
            <w:r w:rsidRPr="007D15C3">
              <w:rPr>
                <w:rFonts w:cs="Calibri"/>
              </w:rPr>
              <w:t>$24,693</w:t>
            </w:r>
          </w:p>
        </w:tc>
      </w:tr>
      <w:tr w14:paraId="7877BB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50280A" w14:textId="77777777">
            <w:pPr>
              <w:jc w:val="center"/>
              <w:rPr>
                <w:rFonts w:cs="Calibri"/>
              </w:rPr>
            </w:pPr>
            <w:r w:rsidRPr="007D15C3">
              <w:rPr>
                <w:rFonts w:cs="Calibri"/>
              </w:rPr>
              <w:t>46979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1CCC45" w14:textId="77777777">
            <w:pPr>
              <w:jc w:val="center"/>
              <w:rPr>
                <w:rFonts w:cs="Calibri"/>
              </w:rPr>
            </w:pPr>
            <w:r w:rsidRPr="007D15C3">
              <w:rPr>
                <w:rFonts w:cs="Calibri"/>
              </w:rPr>
              <w:t>WLWT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D5353A" w14:textId="77777777">
            <w:pPr>
              <w:rPr>
                <w:rFonts w:cs="Calibri"/>
              </w:rPr>
            </w:pPr>
            <w:r w:rsidRPr="007D15C3">
              <w:rPr>
                <w:rFonts w:cs="Calibri"/>
              </w:rPr>
              <w:t xml:space="preserve">          3,319,556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67DAD3" w14:textId="77777777">
            <w:pPr>
              <w:rPr>
                <w:rFonts w:cs="Calibri"/>
              </w:rPr>
            </w:pPr>
            <w:r w:rsidRPr="007D15C3">
              <w:rPr>
                <w:rFonts w:cs="Calibri"/>
              </w:rPr>
              <w:t xml:space="preserve">            3,302,292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4281BC" w14:textId="77777777">
            <w:pPr>
              <w:jc w:val="right"/>
              <w:rPr>
                <w:rFonts w:cs="Calibri"/>
              </w:rPr>
            </w:pPr>
            <w:r w:rsidRPr="007D15C3">
              <w:rPr>
                <w:rFonts w:cs="Calibri"/>
              </w:rPr>
              <w:t>$25,880</w:t>
            </w:r>
          </w:p>
        </w:tc>
      </w:tr>
      <w:tr w14:paraId="5A594CD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6C6B49" w14:textId="77777777">
            <w:pPr>
              <w:jc w:val="center"/>
              <w:rPr>
                <w:rFonts w:cs="Calibri"/>
              </w:rPr>
            </w:pPr>
            <w:r w:rsidRPr="007D15C3">
              <w:rPr>
                <w:rFonts w:cs="Calibri"/>
              </w:rPr>
              <w:t>54452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5C91D4" w14:textId="77777777">
            <w:pPr>
              <w:jc w:val="center"/>
              <w:rPr>
                <w:rFonts w:cs="Calibri"/>
              </w:rPr>
            </w:pPr>
            <w:r w:rsidRPr="007D15C3">
              <w:rPr>
                <w:rFonts w:cs="Calibri"/>
              </w:rPr>
              <w:t>WLXI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5368B3" w14:textId="77777777">
            <w:pPr>
              <w:rPr>
                <w:rFonts w:cs="Calibri"/>
              </w:rPr>
            </w:pPr>
            <w:r w:rsidRPr="007D15C3">
              <w:rPr>
                <w:rFonts w:cs="Calibri"/>
              </w:rPr>
              <w:t xml:space="preserve">          4,021,948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E49071" w14:textId="77777777">
            <w:pPr>
              <w:rPr>
                <w:rFonts w:cs="Calibri"/>
              </w:rPr>
            </w:pPr>
            <w:r w:rsidRPr="007D15C3">
              <w:rPr>
                <w:rFonts w:cs="Calibri"/>
              </w:rPr>
              <w:t xml:space="preserve">            4,004,902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860ACE" w14:textId="77777777">
            <w:pPr>
              <w:jc w:val="right"/>
              <w:rPr>
                <w:rFonts w:cs="Calibri"/>
              </w:rPr>
            </w:pPr>
            <w:r w:rsidRPr="007D15C3">
              <w:rPr>
                <w:rFonts w:cs="Calibri"/>
              </w:rPr>
              <w:t>$31,386</w:t>
            </w:r>
          </w:p>
        </w:tc>
      </w:tr>
      <w:tr w14:paraId="1E1B96A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E4A872" w14:textId="77777777">
            <w:pPr>
              <w:jc w:val="center"/>
              <w:rPr>
                <w:rFonts w:cs="Calibri"/>
              </w:rPr>
            </w:pPr>
            <w:r w:rsidRPr="007D15C3">
              <w:rPr>
                <w:rFonts w:cs="Calibri"/>
              </w:rPr>
              <w:t>55350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1EF1F0" w14:textId="77777777">
            <w:pPr>
              <w:jc w:val="center"/>
              <w:rPr>
                <w:rFonts w:cs="Calibri"/>
              </w:rPr>
            </w:pPr>
            <w:r w:rsidRPr="007D15C3">
              <w:rPr>
                <w:rFonts w:cs="Calibri"/>
              </w:rPr>
              <w:t>WLYH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343377" w14:textId="77777777">
            <w:pPr>
              <w:rPr>
                <w:rFonts w:cs="Calibri"/>
              </w:rPr>
            </w:pPr>
            <w:r w:rsidRPr="007D15C3">
              <w:rPr>
                <w:rFonts w:cs="Calibri"/>
              </w:rPr>
              <w:t xml:space="preserve">          2,829,585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A74DAB" w14:textId="77777777">
            <w:pPr>
              <w:rPr>
                <w:rFonts w:cs="Calibri"/>
              </w:rPr>
            </w:pPr>
            <w:r w:rsidRPr="007D15C3">
              <w:rPr>
                <w:rFonts w:cs="Calibri"/>
              </w:rPr>
              <w:t xml:space="preserve">            2,367,000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5B9979" w14:textId="77777777">
            <w:pPr>
              <w:jc w:val="right"/>
              <w:rPr>
                <w:rFonts w:cs="Calibri"/>
              </w:rPr>
            </w:pPr>
            <w:r w:rsidRPr="007D15C3">
              <w:rPr>
                <w:rFonts w:cs="Calibri"/>
              </w:rPr>
              <w:t>$18,550</w:t>
            </w:r>
          </w:p>
        </w:tc>
      </w:tr>
      <w:tr w14:paraId="29054C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6EE9B2" w14:textId="77777777">
            <w:pPr>
              <w:jc w:val="center"/>
              <w:rPr>
                <w:rFonts w:cs="Calibri"/>
              </w:rPr>
            </w:pPr>
            <w:r w:rsidRPr="007D15C3">
              <w:rPr>
                <w:rFonts w:cs="Calibri"/>
              </w:rPr>
              <w:t>43192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081C84" w14:textId="77777777">
            <w:pPr>
              <w:jc w:val="center"/>
              <w:rPr>
                <w:rFonts w:cs="Calibri"/>
              </w:rPr>
            </w:pPr>
            <w:r w:rsidRPr="007D15C3">
              <w:rPr>
                <w:rFonts w:cs="Calibri"/>
              </w:rPr>
              <w:t>WMAB-TV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3ADF66" w14:textId="77777777">
            <w:pPr>
              <w:rPr>
                <w:rFonts w:cs="Calibri"/>
              </w:rPr>
            </w:pPr>
            <w:r w:rsidRPr="007D15C3">
              <w:rPr>
                <w:rFonts w:cs="Calibri"/>
              </w:rPr>
              <w:t xml:space="preserve">             407,794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99382C" w14:textId="77777777">
            <w:pPr>
              <w:rPr>
                <w:rFonts w:cs="Calibri"/>
              </w:rPr>
            </w:pPr>
            <w:r w:rsidRPr="007D15C3">
              <w:rPr>
                <w:rFonts w:cs="Calibri"/>
              </w:rPr>
              <w:t xml:space="preserve">               401,487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0CF44F" w14:textId="77777777">
            <w:pPr>
              <w:jc w:val="right"/>
              <w:rPr>
                <w:rFonts w:cs="Calibri"/>
              </w:rPr>
            </w:pPr>
            <w:r w:rsidRPr="007D15C3">
              <w:rPr>
                <w:rFonts w:cs="Calibri"/>
              </w:rPr>
              <w:t>$3,146</w:t>
            </w:r>
          </w:p>
        </w:tc>
      </w:tr>
      <w:tr w14:paraId="0E5F7D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47124A" w14:textId="77777777">
            <w:pPr>
              <w:jc w:val="center"/>
              <w:rPr>
                <w:rFonts w:cs="Calibri"/>
              </w:rPr>
            </w:pPr>
            <w:r w:rsidRPr="007D15C3">
              <w:rPr>
                <w:rFonts w:cs="Calibri"/>
              </w:rPr>
              <w:t>43170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957B7A" w14:textId="77777777">
            <w:pPr>
              <w:jc w:val="center"/>
              <w:rPr>
                <w:rFonts w:cs="Calibri"/>
              </w:rPr>
            </w:pPr>
            <w:r w:rsidRPr="007D15C3">
              <w:rPr>
                <w:rFonts w:cs="Calibri"/>
              </w:rPr>
              <w:t>WMAE-TV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AE9B97" w14:textId="77777777">
            <w:pPr>
              <w:rPr>
                <w:rFonts w:cs="Calibri"/>
              </w:rPr>
            </w:pPr>
            <w:r w:rsidRPr="007D15C3">
              <w:rPr>
                <w:rFonts w:cs="Calibri"/>
              </w:rPr>
              <w:t xml:space="preserve">             653,542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93A00A" w14:textId="77777777">
            <w:pPr>
              <w:rPr>
                <w:rFonts w:cs="Calibri"/>
              </w:rPr>
            </w:pPr>
            <w:r w:rsidRPr="007D15C3">
              <w:rPr>
                <w:rFonts w:cs="Calibri"/>
              </w:rPr>
              <w:t xml:space="preserve">               625,084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6F56BE" w14:textId="77777777">
            <w:pPr>
              <w:jc w:val="right"/>
              <w:rPr>
                <w:rFonts w:cs="Calibri"/>
              </w:rPr>
            </w:pPr>
            <w:r w:rsidRPr="007D15C3">
              <w:rPr>
                <w:rFonts w:cs="Calibri"/>
              </w:rPr>
              <w:t>$4,899</w:t>
            </w:r>
          </w:p>
        </w:tc>
      </w:tr>
      <w:tr w14:paraId="7F1E50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611143" w14:textId="77777777">
            <w:pPr>
              <w:jc w:val="center"/>
              <w:rPr>
                <w:rFonts w:cs="Calibri"/>
              </w:rPr>
            </w:pPr>
            <w:r w:rsidRPr="007D15C3">
              <w:rPr>
                <w:rFonts w:cs="Calibri"/>
              </w:rPr>
              <w:t>43197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DFF08D" w14:textId="77777777">
            <w:pPr>
              <w:jc w:val="center"/>
              <w:rPr>
                <w:rFonts w:cs="Calibri"/>
              </w:rPr>
            </w:pPr>
            <w:r w:rsidRPr="007D15C3">
              <w:rPr>
                <w:rFonts w:cs="Calibri"/>
              </w:rPr>
              <w:t>WMAH-TV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1C0BB4" w14:textId="77777777">
            <w:pPr>
              <w:rPr>
                <w:rFonts w:cs="Calibri"/>
              </w:rPr>
            </w:pPr>
            <w:r w:rsidRPr="007D15C3">
              <w:rPr>
                <w:rFonts w:cs="Calibri"/>
              </w:rPr>
              <w:t xml:space="preserve">          1,257,393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F9EAFE" w14:textId="77777777">
            <w:pPr>
              <w:rPr>
                <w:rFonts w:cs="Calibri"/>
              </w:rPr>
            </w:pPr>
            <w:r w:rsidRPr="007D15C3">
              <w:rPr>
                <w:rFonts w:cs="Calibri"/>
              </w:rPr>
              <w:t xml:space="preserve">            1,256,995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B8F867" w14:textId="77777777">
            <w:pPr>
              <w:jc w:val="right"/>
              <w:rPr>
                <w:rFonts w:cs="Calibri"/>
              </w:rPr>
            </w:pPr>
            <w:r w:rsidRPr="007D15C3">
              <w:rPr>
                <w:rFonts w:cs="Calibri"/>
              </w:rPr>
              <w:t>$9,851</w:t>
            </w:r>
          </w:p>
        </w:tc>
      </w:tr>
      <w:tr w14:paraId="16241D8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162EB6" w14:textId="77777777">
            <w:pPr>
              <w:jc w:val="center"/>
              <w:rPr>
                <w:rFonts w:cs="Calibri"/>
              </w:rPr>
            </w:pPr>
            <w:r w:rsidRPr="007D15C3">
              <w:rPr>
                <w:rFonts w:cs="Calibri"/>
              </w:rPr>
              <w:t>43176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0AE17E" w14:textId="77777777">
            <w:pPr>
              <w:jc w:val="center"/>
              <w:rPr>
                <w:rFonts w:cs="Calibri"/>
              </w:rPr>
            </w:pPr>
            <w:r w:rsidRPr="007D15C3">
              <w:rPr>
                <w:rFonts w:cs="Calibri"/>
              </w:rPr>
              <w:t>WMAO-TV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7995C3" w14:textId="77777777">
            <w:pPr>
              <w:rPr>
                <w:rFonts w:cs="Calibri"/>
              </w:rPr>
            </w:pPr>
            <w:r w:rsidRPr="007D15C3">
              <w:rPr>
                <w:rFonts w:cs="Calibri"/>
              </w:rPr>
              <w:t xml:space="preserve">             369,696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731E66" w14:textId="77777777">
            <w:pPr>
              <w:rPr>
                <w:rFonts w:cs="Calibri"/>
              </w:rPr>
            </w:pPr>
            <w:r w:rsidRPr="007D15C3">
              <w:rPr>
                <w:rFonts w:cs="Calibri"/>
              </w:rPr>
              <w:t xml:space="preserve">               369,343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62109C" w14:textId="77777777">
            <w:pPr>
              <w:jc w:val="right"/>
              <w:rPr>
                <w:rFonts w:cs="Calibri"/>
              </w:rPr>
            </w:pPr>
            <w:r w:rsidRPr="007D15C3">
              <w:rPr>
                <w:rFonts w:cs="Calibri"/>
              </w:rPr>
              <w:t>$2,895</w:t>
            </w:r>
          </w:p>
        </w:tc>
      </w:tr>
      <w:tr w14:paraId="54F92E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8E346B" w14:textId="77777777">
            <w:pPr>
              <w:jc w:val="center"/>
              <w:rPr>
                <w:rFonts w:cs="Calibri"/>
              </w:rPr>
            </w:pPr>
            <w:r w:rsidRPr="007D15C3">
              <w:rPr>
                <w:rFonts w:cs="Calibri"/>
              </w:rPr>
              <w:t>47905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7D94F6" w14:textId="77777777">
            <w:pPr>
              <w:jc w:val="center"/>
              <w:rPr>
                <w:rFonts w:cs="Calibri"/>
              </w:rPr>
            </w:pPr>
            <w:r w:rsidRPr="007D15C3">
              <w:rPr>
                <w:rFonts w:cs="Calibri"/>
              </w:rPr>
              <w:t>WMAQ-TV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C85BAB" w14:textId="77777777">
            <w:pPr>
              <w:rPr>
                <w:rFonts w:cs="Calibri"/>
              </w:rPr>
            </w:pPr>
            <w:r w:rsidRPr="007D15C3">
              <w:rPr>
                <w:rFonts w:cs="Calibri"/>
              </w:rPr>
              <w:t xml:space="preserve">          9,914,395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715F61" w14:textId="77777777">
            <w:pPr>
              <w:rPr>
                <w:rFonts w:cs="Calibri"/>
              </w:rPr>
            </w:pPr>
            <w:r w:rsidRPr="007D15C3">
              <w:rPr>
                <w:rFonts w:cs="Calibri"/>
              </w:rPr>
              <w:t xml:space="preserve">            9,913,272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64BED2" w14:textId="77777777">
            <w:pPr>
              <w:jc w:val="right"/>
              <w:rPr>
                <w:rFonts w:cs="Calibri"/>
              </w:rPr>
            </w:pPr>
            <w:r w:rsidRPr="007D15C3">
              <w:rPr>
                <w:rFonts w:cs="Calibri"/>
              </w:rPr>
              <w:t>$77,690</w:t>
            </w:r>
          </w:p>
        </w:tc>
      </w:tr>
      <w:tr w14:paraId="2EFB892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6E7404" w14:textId="77777777">
            <w:pPr>
              <w:jc w:val="center"/>
              <w:rPr>
                <w:rFonts w:cs="Calibri"/>
              </w:rPr>
            </w:pPr>
            <w:r w:rsidRPr="007D15C3">
              <w:rPr>
                <w:rFonts w:cs="Calibri"/>
              </w:rPr>
              <w:t>59442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65AE00" w14:textId="77777777">
            <w:pPr>
              <w:jc w:val="center"/>
              <w:rPr>
                <w:rFonts w:cs="Calibri"/>
              </w:rPr>
            </w:pPr>
            <w:r w:rsidRPr="007D15C3">
              <w:rPr>
                <w:rFonts w:cs="Calibri"/>
              </w:rPr>
              <w:t>WMAR-TV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D0E2E3" w14:textId="77777777">
            <w:pPr>
              <w:rPr>
                <w:rFonts w:cs="Calibri"/>
              </w:rPr>
            </w:pPr>
            <w:r w:rsidRPr="007D15C3">
              <w:rPr>
                <w:rFonts w:cs="Calibri"/>
              </w:rPr>
              <w:t xml:space="preserve">          9,203,498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9CCA60" w14:textId="77777777">
            <w:pPr>
              <w:rPr>
                <w:rFonts w:cs="Calibri"/>
              </w:rPr>
            </w:pPr>
            <w:r w:rsidRPr="007D15C3">
              <w:rPr>
                <w:rFonts w:cs="Calibri"/>
              </w:rPr>
              <w:t xml:space="preserve">            9,065,260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0C8949" w14:textId="77777777">
            <w:pPr>
              <w:jc w:val="right"/>
              <w:rPr>
                <w:rFonts w:cs="Calibri"/>
              </w:rPr>
            </w:pPr>
            <w:r w:rsidRPr="007D15C3">
              <w:rPr>
                <w:rFonts w:cs="Calibri"/>
              </w:rPr>
              <w:t>$71,044</w:t>
            </w:r>
          </w:p>
        </w:tc>
      </w:tr>
      <w:tr w14:paraId="486177D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C8F8D5" w14:textId="77777777">
            <w:pPr>
              <w:jc w:val="center"/>
              <w:rPr>
                <w:rFonts w:cs="Calibri"/>
              </w:rPr>
            </w:pPr>
            <w:r w:rsidRPr="007D15C3">
              <w:rPr>
                <w:rFonts w:cs="Calibri"/>
              </w:rPr>
              <w:t>43184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FEB32E" w14:textId="77777777">
            <w:pPr>
              <w:jc w:val="center"/>
              <w:rPr>
                <w:rFonts w:cs="Calibri"/>
              </w:rPr>
            </w:pPr>
            <w:r w:rsidRPr="007D15C3">
              <w:rPr>
                <w:rFonts w:cs="Calibri"/>
              </w:rPr>
              <w:t>WMAU-TV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2CE792" w14:textId="77777777">
            <w:pPr>
              <w:rPr>
                <w:rFonts w:cs="Calibri"/>
              </w:rPr>
            </w:pPr>
            <w:r w:rsidRPr="007D15C3">
              <w:rPr>
                <w:rFonts w:cs="Calibri"/>
              </w:rPr>
              <w:t xml:space="preserve">             642,328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BCA02F" w14:textId="77777777">
            <w:pPr>
              <w:rPr>
                <w:rFonts w:cs="Calibri"/>
              </w:rPr>
            </w:pPr>
            <w:r w:rsidRPr="007D15C3">
              <w:rPr>
                <w:rFonts w:cs="Calibri"/>
              </w:rPr>
              <w:t xml:space="preserve">               636,504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5A043C" w14:textId="77777777">
            <w:pPr>
              <w:jc w:val="right"/>
              <w:rPr>
                <w:rFonts w:cs="Calibri"/>
              </w:rPr>
            </w:pPr>
            <w:r w:rsidRPr="007D15C3">
              <w:rPr>
                <w:rFonts w:cs="Calibri"/>
              </w:rPr>
              <w:t>$4,988</w:t>
            </w:r>
          </w:p>
        </w:tc>
      </w:tr>
      <w:tr w14:paraId="6CAFF9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3F71A8" w14:textId="77777777">
            <w:pPr>
              <w:jc w:val="center"/>
              <w:rPr>
                <w:rFonts w:cs="Calibri"/>
              </w:rPr>
            </w:pPr>
            <w:r w:rsidRPr="007D15C3">
              <w:rPr>
                <w:rFonts w:cs="Calibri"/>
              </w:rPr>
              <w:t>43193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F83237" w14:textId="77777777">
            <w:pPr>
              <w:jc w:val="center"/>
              <w:rPr>
                <w:rFonts w:cs="Calibri"/>
              </w:rPr>
            </w:pPr>
            <w:r w:rsidRPr="007D15C3">
              <w:rPr>
                <w:rFonts w:cs="Calibri"/>
              </w:rPr>
              <w:t>WMAV-TV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AB4F4E" w14:textId="77777777">
            <w:pPr>
              <w:rPr>
                <w:rFonts w:cs="Calibri"/>
              </w:rPr>
            </w:pPr>
            <w:r w:rsidRPr="007D15C3">
              <w:rPr>
                <w:rFonts w:cs="Calibri"/>
              </w:rPr>
              <w:t xml:space="preserve">          1,008,339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0E4FAF" w14:textId="77777777">
            <w:pPr>
              <w:rPr>
                <w:rFonts w:cs="Calibri"/>
              </w:rPr>
            </w:pPr>
            <w:r w:rsidRPr="007D15C3">
              <w:rPr>
                <w:rFonts w:cs="Calibri"/>
              </w:rPr>
              <w:t xml:space="preserve">            1,008,208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13B915" w14:textId="77777777">
            <w:pPr>
              <w:jc w:val="right"/>
              <w:rPr>
                <w:rFonts w:cs="Calibri"/>
              </w:rPr>
            </w:pPr>
            <w:r w:rsidRPr="007D15C3">
              <w:rPr>
                <w:rFonts w:cs="Calibri"/>
              </w:rPr>
              <w:t>$7,901</w:t>
            </w:r>
          </w:p>
        </w:tc>
      </w:tr>
      <w:tr w14:paraId="0C4653F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F7F791" w14:textId="77777777">
            <w:pPr>
              <w:jc w:val="center"/>
              <w:rPr>
                <w:rFonts w:cs="Calibri"/>
              </w:rPr>
            </w:pPr>
            <w:r w:rsidRPr="007D15C3">
              <w:rPr>
                <w:rFonts w:cs="Calibri"/>
              </w:rPr>
              <w:t>43169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E13332" w14:textId="77777777">
            <w:pPr>
              <w:jc w:val="center"/>
              <w:rPr>
                <w:rFonts w:cs="Calibri"/>
              </w:rPr>
            </w:pPr>
            <w:r w:rsidRPr="007D15C3">
              <w:rPr>
                <w:rFonts w:cs="Calibri"/>
              </w:rPr>
              <w:t>WMAW-TV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75BD82" w14:textId="77777777">
            <w:pPr>
              <w:rPr>
                <w:rFonts w:cs="Calibri"/>
              </w:rPr>
            </w:pPr>
            <w:r w:rsidRPr="007D15C3">
              <w:rPr>
                <w:rFonts w:cs="Calibri"/>
              </w:rPr>
              <w:t xml:space="preserve">             732,079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F414D9" w14:textId="77777777">
            <w:pPr>
              <w:rPr>
                <w:rFonts w:cs="Calibri"/>
              </w:rPr>
            </w:pPr>
            <w:r w:rsidRPr="007D15C3">
              <w:rPr>
                <w:rFonts w:cs="Calibri"/>
              </w:rPr>
              <w:t xml:space="preserve">               718,446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07C88" w14:textId="77777777">
            <w:pPr>
              <w:jc w:val="right"/>
              <w:rPr>
                <w:rFonts w:cs="Calibri"/>
              </w:rPr>
            </w:pPr>
            <w:r w:rsidRPr="007D15C3">
              <w:rPr>
                <w:rFonts w:cs="Calibri"/>
              </w:rPr>
              <w:t>$5,630</w:t>
            </w:r>
          </w:p>
        </w:tc>
      </w:tr>
      <w:tr w14:paraId="42717AD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10B794" w14:textId="77777777">
            <w:pPr>
              <w:jc w:val="center"/>
              <w:rPr>
                <w:rFonts w:cs="Calibri"/>
              </w:rPr>
            </w:pPr>
            <w:r w:rsidRPr="007D15C3">
              <w:rPr>
                <w:rFonts w:cs="Calibri"/>
              </w:rPr>
              <w:t>46991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5F51C0" w14:textId="77777777">
            <w:pPr>
              <w:jc w:val="center"/>
              <w:rPr>
                <w:rFonts w:cs="Calibri"/>
              </w:rPr>
            </w:pPr>
            <w:r w:rsidRPr="007D15C3">
              <w:rPr>
                <w:rFonts w:cs="Calibri"/>
              </w:rPr>
              <w:t>WMAZ-TV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D01A4D" w14:textId="77777777">
            <w:pPr>
              <w:rPr>
                <w:rFonts w:cs="Calibri"/>
              </w:rPr>
            </w:pPr>
            <w:r w:rsidRPr="007D15C3">
              <w:rPr>
                <w:rFonts w:cs="Calibri"/>
              </w:rPr>
              <w:t xml:space="preserve">          1,185,678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8DE266" w14:textId="77777777">
            <w:pPr>
              <w:rPr>
                <w:rFonts w:cs="Calibri"/>
              </w:rPr>
            </w:pPr>
            <w:r w:rsidRPr="007D15C3">
              <w:rPr>
                <w:rFonts w:cs="Calibri"/>
              </w:rPr>
              <w:t xml:space="preserve">            1,136,616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334882" w14:textId="77777777">
            <w:pPr>
              <w:jc w:val="right"/>
              <w:rPr>
                <w:rFonts w:cs="Calibri"/>
              </w:rPr>
            </w:pPr>
            <w:r w:rsidRPr="007D15C3">
              <w:rPr>
                <w:rFonts w:cs="Calibri"/>
              </w:rPr>
              <w:t>$8,908</w:t>
            </w:r>
          </w:p>
        </w:tc>
      </w:tr>
      <w:tr w14:paraId="7B5F029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818ABB" w14:textId="77777777">
            <w:pPr>
              <w:jc w:val="center"/>
              <w:rPr>
                <w:rFonts w:cs="Calibri"/>
              </w:rPr>
            </w:pPr>
            <w:r w:rsidRPr="007D15C3">
              <w:rPr>
                <w:rFonts w:cs="Calibri"/>
              </w:rPr>
              <w:t>66398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B3E381" w14:textId="77777777">
            <w:pPr>
              <w:jc w:val="center"/>
              <w:rPr>
                <w:rFonts w:cs="Calibri"/>
              </w:rPr>
            </w:pPr>
            <w:r w:rsidRPr="007D15C3">
              <w:rPr>
                <w:rFonts w:cs="Calibri"/>
              </w:rPr>
              <w:t>WMBB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2B8ED9" w14:textId="77777777">
            <w:pPr>
              <w:rPr>
                <w:rFonts w:cs="Calibri"/>
              </w:rPr>
            </w:pPr>
            <w:r w:rsidRPr="007D15C3">
              <w:rPr>
                <w:rFonts w:cs="Calibri"/>
              </w:rPr>
              <w:t xml:space="preserve">             935,027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140383" w14:textId="77777777">
            <w:pPr>
              <w:rPr>
                <w:rFonts w:cs="Calibri"/>
              </w:rPr>
            </w:pPr>
            <w:r w:rsidRPr="007D15C3">
              <w:rPr>
                <w:rFonts w:cs="Calibri"/>
              </w:rPr>
              <w:t xml:space="preserve">               914,607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D7798E" w14:textId="77777777">
            <w:pPr>
              <w:jc w:val="right"/>
              <w:rPr>
                <w:rFonts w:cs="Calibri"/>
              </w:rPr>
            </w:pPr>
            <w:r w:rsidRPr="007D15C3">
              <w:rPr>
                <w:rFonts w:cs="Calibri"/>
              </w:rPr>
              <w:t>$7,168</w:t>
            </w:r>
          </w:p>
        </w:tc>
      </w:tr>
      <w:tr w14:paraId="1B1BB755"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F2678B" w14:textId="77777777">
            <w:pPr>
              <w:jc w:val="center"/>
              <w:rPr>
                <w:rFonts w:cs="Calibri"/>
              </w:rPr>
            </w:pPr>
            <w:r w:rsidRPr="007D15C3">
              <w:rPr>
                <w:rFonts w:cs="Calibri"/>
              </w:rPr>
              <w:t>43952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1C7B0482" w14:textId="77777777">
            <w:pPr>
              <w:jc w:val="center"/>
              <w:rPr>
                <w:rFonts w:cs="Calibri"/>
              </w:rPr>
            </w:pPr>
            <w:r w:rsidRPr="007D15C3">
              <w:rPr>
                <w:rFonts w:cs="Calibri"/>
              </w:rPr>
              <w:t>WMBC-TV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668ADDE" w14:textId="77777777">
            <w:pPr>
              <w:rPr>
                <w:rFonts w:cs="Calibri"/>
              </w:rPr>
            </w:pPr>
            <w:r w:rsidRPr="007D15C3">
              <w:rPr>
                <w:rFonts w:cs="Calibri"/>
              </w:rPr>
              <w:t xml:space="preserve">        18,706,132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8E2F1CA" w14:textId="77777777">
            <w:pPr>
              <w:rPr>
                <w:rFonts w:cs="Calibri"/>
              </w:rPr>
            </w:pPr>
            <w:r w:rsidRPr="007D15C3">
              <w:rPr>
                <w:rFonts w:cs="Calibri"/>
              </w:rPr>
              <w:t xml:space="preserve">          18,458,331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562D1E9" w14:textId="77777777">
            <w:pPr>
              <w:jc w:val="right"/>
              <w:rPr>
                <w:rFonts w:cs="Calibri"/>
              </w:rPr>
            </w:pPr>
            <w:r w:rsidRPr="007D15C3">
              <w:rPr>
                <w:rFonts w:cs="Calibri"/>
              </w:rPr>
              <w:t>$144,658</w:t>
            </w:r>
          </w:p>
        </w:tc>
      </w:tr>
      <w:tr w14:paraId="5933E5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154E9A2" w14:textId="77777777">
            <w:pPr>
              <w:jc w:val="center"/>
              <w:rPr>
                <w:rFonts w:cs="Calibri"/>
              </w:rPr>
            </w:pPr>
            <w:r w:rsidRPr="007D15C3">
              <w:rPr>
                <w:rFonts w:cs="Calibri"/>
              </w:rPr>
              <w:t>42121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93B6B6" w14:textId="77777777">
            <w:pPr>
              <w:jc w:val="center"/>
              <w:rPr>
                <w:rFonts w:cs="Calibri"/>
              </w:rPr>
            </w:pPr>
            <w:r w:rsidRPr="007D15C3">
              <w:rPr>
                <w:rFonts w:cs="Calibri"/>
              </w:rPr>
              <w:t>WMBD-TV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D502D7" w14:textId="77777777">
            <w:pPr>
              <w:rPr>
                <w:rFonts w:cs="Calibri"/>
              </w:rPr>
            </w:pPr>
            <w:r w:rsidRPr="007D15C3">
              <w:rPr>
                <w:rFonts w:cs="Calibri"/>
              </w:rPr>
              <w:t xml:space="preserve">             733,039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DAB7B6" w14:textId="77777777">
            <w:pPr>
              <w:rPr>
                <w:rFonts w:cs="Calibri"/>
              </w:rPr>
            </w:pPr>
            <w:r w:rsidRPr="007D15C3">
              <w:rPr>
                <w:rFonts w:cs="Calibri"/>
              </w:rPr>
              <w:t xml:space="preserve">               732,987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C6C301" w14:textId="77777777">
            <w:pPr>
              <w:jc w:val="right"/>
              <w:rPr>
                <w:rFonts w:cs="Calibri"/>
              </w:rPr>
            </w:pPr>
            <w:r w:rsidRPr="007D15C3">
              <w:rPr>
                <w:rFonts w:cs="Calibri"/>
              </w:rPr>
              <w:t>$5,744</w:t>
            </w:r>
          </w:p>
        </w:tc>
      </w:tr>
      <w:tr w14:paraId="44FE16C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FB9ECF" w14:textId="77777777">
            <w:pPr>
              <w:jc w:val="center"/>
              <w:rPr>
                <w:rFonts w:cs="Calibri"/>
              </w:rPr>
            </w:pPr>
            <w:r w:rsidRPr="007D15C3">
              <w:rPr>
                <w:rFonts w:cs="Calibri"/>
              </w:rPr>
              <w:t>83969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083394" w14:textId="77777777">
            <w:pPr>
              <w:jc w:val="center"/>
              <w:rPr>
                <w:rFonts w:cs="Calibri"/>
              </w:rPr>
            </w:pPr>
            <w:r w:rsidRPr="007D15C3">
              <w:rPr>
                <w:rFonts w:cs="Calibri"/>
              </w:rPr>
              <w:t>WMBF-TV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AFA070" w14:textId="77777777">
            <w:pPr>
              <w:rPr>
                <w:rFonts w:cs="Calibri"/>
              </w:rPr>
            </w:pPr>
            <w:r w:rsidRPr="007D15C3">
              <w:rPr>
                <w:rFonts w:cs="Calibri"/>
              </w:rPr>
              <w:t xml:space="preserve">             445,363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AAC347" w14:textId="77777777">
            <w:pPr>
              <w:rPr>
                <w:rFonts w:cs="Calibri"/>
              </w:rPr>
            </w:pPr>
            <w:r w:rsidRPr="007D15C3">
              <w:rPr>
                <w:rFonts w:cs="Calibri"/>
              </w:rPr>
              <w:t xml:space="preserve">               445,363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12456C" w14:textId="77777777">
            <w:pPr>
              <w:jc w:val="right"/>
              <w:rPr>
                <w:rFonts w:cs="Calibri"/>
              </w:rPr>
            </w:pPr>
            <w:r w:rsidRPr="007D15C3">
              <w:rPr>
                <w:rFonts w:cs="Calibri"/>
              </w:rPr>
              <w:t>$3,490</w:t>
            </w:r>
          </w:p>
        </w:tc>
      </w:tr>
      <w:tr w14:paraId="6620FD4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BCA243" w14:textId="77777777">
            <w:pPr>
              <w:jc w:val="center"/>
              <w:rPr>
                <w:rFonts w:cs="Calibri"/>
              </w:rPr>
            </w:pPr>
            <w:r w:rsidRPr="007D15C3">
              <w:rPr>
                <w:rFonts w:cs="Calibri"/>
              </w:rPr>
              <w:t>60829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A9D999" w14:textId="77777777">
            <w:pPr>
              <w:jc w:val="center"/>
              <w:rPr>
                <w:rFonts w:cs="Calibri"/>
              </w:rPr>
            </w:pPr>
            <w:r w:rsidRPr="007D15C3">
              <w:rPr>
                <w:rFonts w:cs="Calibri"/>
              </w:rPr>
              <w:t>WMCF-TV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0DCD0E" w14:textId="77777777">
            <w:pPr>
              <w:rPr>
                <w:rFonts w:cs="Calibri"/>
              </w:rPr>
            </w:pPr>
            <w:r w:rsidRPr="007D15C3">
              <w:rPr>
                <w:rFonts w:cs="Calibri"/>
              </w:rPr>
              <w:t xml:space="preserve">             593,205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8038FA" w14:textId="77777777">
            <w:pPr>
              <w:rPr>
                <w:rFonts w:cs="Calibri"/>
              </w:rPr>
            </w:pPr>
            <w:r w:rsidRPr="007D15C3">
              <w:rPr>
                <w:rFonts w:cs="Calibri"/>
              </w:rPr>
              <w:t xml:space="preserve">               589,513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168CB5" w14:textId="77777777">
            <w:pPr>
              <w:jc w:val="right"/>
              <w:rPr>
                <w:rFonts w:cs="Calibri"/>
              </w:rPr>
            </w:pPr>
            <w:r w:rsidRPr="007D15C3">
              <w:rPr>
                <w:rFonts w:cs="Calibri"/>
              </w:rPr>
              <w:t>$4,620</w:t>
            </w:r>
          </w:p>
        </w:tc>
      </w:tr>
      <w:tr w14:paraId="03E778D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A2756D" w14:textId="77777777">
            <w:pPr>
              <w:jc w:val="center"/>
              <w:rPr>
                <w:rFonts w:cs="Calibri"/>
              </w:rPr>
            </w:pPr>
            <w:r w:rsidRPr="007D15C3">
              <w:rPr>
                <w:rFonts w:cs="Calibri"/>
              </w:rPr>
              <w:t>9739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57F9323" w14:textId="77777777">
            <w:pPr>
              <w:jc w:val="center"/>
              <w:rPr>
                <w:rFonts w:cs="Calibri"/>
              </w:rPr>
            </w:pPr>
            <w:r w:rsidRPr="007D15C3">
              <w:rPr>
                <w:rFonts w:cs="Calibri"/>
              </w:rPr>
              <w:t>WMCN-TV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3C9CEC" w14:textId="77777777">
            <w:pPr>
              <w:rPr>
                <w:rFonts w:cs="Calibri"/>
              </w:rPr>
            </w:pPr>
            <w:r w:rsidRPr="007D15C3">
              <w:rPr>
                <w:rFonts w:cs="Calibri"/>
              </w:rPr>
              <w:t xml:space="preserve">        10,379,045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5D0990" w14:textId="77777777">
            <w:pPr>
              <w:rPr>
                <w:rFonts w:cs="Calibri"/>
              </w:rPr>
            </w:pPr>
            <w:r w:rsidRPr="007D15C3">
              <w:rPr>
                <w:rFonts w:cs="Calibri"/>
              </w:rPr>
              <w:t xml:space="preserve">            9,982,651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44AE82" w14:textId="77777777">
            <w:pPr>
              <w:jc w:val="right"/>
              <w:rPr>
                <w:rFonts w:cs="Calibri"/>
              </w:rPr>
            </w:pPr>
            <w:r w:rsidRPr="007D15C3">
              <w:rPr>
                <w:rFonts w:cs="Calibri"/>
              </w:rPr>
              <w:t>$78,234</w:t>
            </w:r>
          </w:p>
        </w:tc>
      </w:tr>
      <w:tr w14:paraId="259007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145C46" w14:textId="77777777">
            <w:pPr>
              <w:jc w:val="center"/>
              <w:rPr>
                <w:rFonts w:cs="Calibri"/>
              </w:rPr>
            </w:pPr>
            <w:r w:rsidRPr="007D15C3">
              <w:rPr>
                <w:rFonts w:cs="Calibri"/>
              </w:rPr>
              <w:t>19184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24C6CA" w14:textId="77777777">
            <w:pPr>
              <w:jc w:val="center"/>
              <w:rPr>
                <w:rFonts w:cs="Calibri"/>
              </w:rPr>
            </w:pPr>
            <w:r w:rsidRPr="007D15C3">
              <w:rPr>
                <w:rFonts w:cs="Calibri"/>
              </w:rPr>
              <w:t>WMC-TV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EB19AA" w14:textId="77777777">
            <w:pPr>
              <w:rPr>
                <w:rFonts w:cs="Calibri"/>
              </w:rPr>
            </w:pPr>
            <w:r w:rsidRPr="007D15C3">
              <w:rPr>
                <w:rFonts w:cs="Calibri"/>
              </w:rPr>
              <w:t xml:space="preserve">          2,047,403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443FE9" w14:textId="77777777">
            <w:pPr>
              <w:rPr>
                <w:rFonts w:cs="Calibri"/>
              </w:rPr>
            </w:pPr>
            <w:r w:rsidRPr="007D15C3">
              <w:rPr>
                <w:rFonts w:cs="Calibri"/>
              </w:rPr>
              <w:t xml:space="preserve">            2,043,125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54AD7B" w14:textId="77777777">
            <w:pPr>
              <w:jc w:val="right"/>
              <w:rPr>
                <w:rFonts w:cs="Calibri"/>
              </w:rPr>
            </w:pPr>
            <w:r w:rsidRPr="007D15C3">
              <w:rPr>
                <w:rFonts w:cs="Calibri"/>
              </w:rPr>
              <w:t>$16,012</w:t>
            </w:r>
          </w:p>
        </w:tc>
      </w:tr>
      <w:tr w14:paraId="597738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77B07D" w14:textId="77777777">
            <w:pPr>
              <w:jc w:val="center"/>
              <w:rPr>
                <w:rFonts w:cs="Calibri"/>
              </w:rPr>
            </w:pPr>
            <w:r w:rsidRPr="007D15C3">
              <w:rPr>
                <w:rFonts w:cs="Calibri"/>
              </w:rPr>
              <w:t>189357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BA713F" w14:textId="77777777">
            <w:pPr>
              <w:jc w:val="center"/>
              <w:rPr>
                <w:rFonts w:cs="Calibri"/>
              </w:rPr>
            </w:pPr>
            <w:r w:rsidRPr="007D15C3">
              <w:rPr>
                <w:rFonts w:cs="Calibri"/>
              </w:rPr>
              <w:t>WMDE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973C74" w14:textId="77777777">
            <w:pPr>
              <w:rPr>
                <w:rFonts w:cs="Calibri"/>
              </w:rPr>
            </w:pPr>
            <w:r w:rsidRPr="007D15C3">
              <w:rPr>
                <w:rFonts w:cs="Calibri"/>
              </w:rPr>
              <w:t xml:space="preserve">          6,384,827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F6FB51" w14:textId="77777777">
            <w:pPr>
              <w:rPr>
                <w:rFonts w:cs="Calibri"/>
              </w:rPr>
            </w:pPr>
            <w:r w:rsidRPr="007D15C3">
              <w:rPr>
                <w:rFonts w:cs="Calibri"/>
              </w:rPr>
              <w:t xml:space="preserve">            6,257,910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142FB7" w14:textId="77777777">
            <w:pPr>
              <w:jc w:val="right"/>
              <w:rPr>
                <w:rFonts w:cs="Calibri"/>
              </w:rPr>
            </w:pPr>
            <w:r w:rsidRPr="007D15C3">
              <w:rPr>
                <w:rFonts w:cs="Calibri"/>
              </w:rPr>
              <w:t>$49,043</w:t>
            </w:r>
          </w:p>
        </w:tc>
      </w:tr>
      <w:tr w14:paraId="1011DD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DBC893C" w14:textId="77777777">
            <w:pPr>
              <w:jc w:val="center"/>
              <w:rPr>
                <w:rFonts w:cs="Calibri"/>
              </w:rPr>
            </w:pPr>
            <w:r w:rsidRPr="007D15C3">
              <w:rPr>
                <w:rFonts w:cs="Calibri"/>
              </w:rPr>
              <w:t>73255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E9A241" w14:textId="77777777">
            <w:pPr>
              <w:jc w:val="center"/>
              <w:rPr>
                <w:rFonts w:cs="Calibri"/>
              </w:rPr>
            </w:pPr>
            <w:r w:rsidRPr="007D15C3">
              <w:rPr>
                <w:rFonts w:cs="Calibri"/>
              </w:rPr>
              <w:t>WMDN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028130" w14:textId="77777777">
            <w:pPr>
              <w:rPr>
                <w:rFonts w:cs="Calibri"/>
              </w:rPr>
            </w:pPr>
            <w:r w:rsidRPr="007D15C3">
              <w:rPr>
                <w:rFonts w:cs="Calibri"/>
              </w:rPr>
              <w:t xml:space="preserve">             278,227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22E5A7" w14:textId="77777777">
            <w:pPr>
              <w:rPr>
                <w:rFonts w:cs="Calibri"/>
              </w:rPr>
            </w:pPr>
            <w:r w:rsidRPr="007D15C3">
              <w:rPr>
                <w:rFonts w:cs="Calibri"/>
              </w:rPr>
              <w:t xml:space="preserve">               278,018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D121FE" w14:textId="77777777">
            <w:pPr>
              <w:jc w:val="right"/>
              <w:rPr>
                <w:rFonts w:cs="Calibri"/>
              </w:rPr>
            </w:pPr>
            <w:r w:rsidRPr="007D15C3">
              <w:rPr>
                <w:rFonts w:cs="Calibri"/>
              </w:rPr>
              <w:t>$2,179</w:t>
            </w:r>
          </w:p>
        </w:tc>
      </w:tr>
      <w:tr w14:paraId="71F656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6945E5" w14:textId="77777777">
            <w:pPr>
              <w:jc w:val="center"/>
              <w:rPr>
                <w:rFonts w:cs="Calibri"/>
              </w:rPr>
            </w:pPr>
            <w:r w:rsidRPr="007D15C3">
              <w:rPr>
                <w:rFonts w:cs="Calibri"/>
              </w:rPr>
              <w:t>16455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AB0FC0" w14:textId="77777777">
            <w:pPr>
              <w:jc w:val="center"/>
              <w:rPr>
                <w:rFonts w:cs="Calibri"/>
              </w:rPr>
            </w:pPr>
            <w:r w:rsidRPr="007D15C3">
              <w:rPr>
                <w:rFonts w:cs="Calibri"/>
              </w:rPr>
              <w:t>WMDT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87FD02" w14:textId="77777777">
            <w:pPr>
              <w:rPr>
                <w:rFonts w:cs="Calibri"/>
              </w:rPr>
            </w:pPr>
            <w:r w:rsidRPr="007D15C3">
              <w:rPr>
                <w:rFonts w:cs="Calibri"/>
              </w:rPr>
              <w:t xml:space="preserve">             731,931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0221C6" w14:textId="77777777">
            <w:pPr>
              <w:rPr>
                <w:rFonts w:cs="Calibri"/>
              </w:rPr>
            </w:pPr>
            <w:r w:rsidRPr="007D15C3">
              <w:rPr>
                <w:rFonts w:cs="Calibri"/>
              </w:rPr>
              <w:t xml:space="preserve">               731,931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D67FEC" w14:textId="77777777">
            <w:pPr>
              <w:jc w:val="right"/>
              <w:rPr>
                <w:rFonts w:cs="Calibri"/>
              </w:rPr>
            </w:pPr>
            <w:r w:rsidRPr="007D15C3">
              <w:rPr>
                <w:rFonts w:cs="Calibri"/>
              </w:rPr>
              <w:t>$5,736</w:t>
            </w:r>
          </w:p>
        </w:tc>
      </w:tr>
      <w:tr w14:paraId="51B0DED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53F2B5" w14:textId="77777777">
            <w:pPr>
              <w:jc w:val="center"/>
              <w:rPr>
                <w:rFonts w:cs="Calibri"/>
              </w:rPr>
            </w:pPr>
            <w:r w:rsidRPr="007D15C3">
              <w:rPr>
                <w:rFonts w:cs="Calibri"/>
              </w:rPr>
              <w:t>39656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92C9D1" w14:textId="77777777">
            <w:pPr>
              <w:jc w:val="center"/>
              <w:rPr>
                <w:rFonts w:cs="Calibri"/>
              </w:rPr>
            </w:pPr>
            <w:r w:rsidRPr="007D15C3">
              <w:rPr>
                <w:rFonts w:cs="Calibri"/>
              </w:rPr>
              <w:t>WMEA-TV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553C61" w14:textId="77777777">
            <w:pPr>
              <w:rPr>
                <w:rFonts w:cs="Calibri"/>
              </w:rPr>
            </w:pPr>
            <w:r w:rsidRPr="007D15C3">
              <w:rPr>
                <w:rFonts w:cs="Calibri"/>
              </w:rPr>
              <w:t xml:space="preserve">             774,785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FA2CD5" w14:textId="77777777">
            <w:pPr>
              <w:rPr>
                <w:rFonts w:cs="Calibri"/>
              </w:rPr>
            </w:pPr>
            <w:r w:rsidRPr="007D15C3">
              <w:rPr>
                <w:rFonts w:cs="Calibri"/>
              </w:rPr>
              <w:t xml:space="preserve">               746,033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96A7D0" w14:textId="77777777">
            <w:pPr>
              <w:jc w:val="right"/>
              <w:rPr>
                <w:rFonts w:cs="Calibri"/>
              </w:rPr>
            </w:pPr>
            <w:r w:rsidRPr="007D15C3">
              <w:rPr>
                <w:rFonts w:cs="Calibri"/>
              </w:rPr>
              <w:t>$5,847</w:t>
            </w:r>
          </w:p>
        </w:tc>
      </w:tr>
      <w:tr w14:paraId="4D9294F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6260FD" w14:textId="77777777">
            <w:pPr>
              <w:jc w:val="center"/>
              <w:rPr>
                <w:rFonts w:cs="Calibri"/>
              </w:rPr>
            </w:pPr>
            <w:r w:rsidRPr="007D15C3">
              <w:rPr>
                <w:rFonts w:cs="Calibri"/>
              </w:rPr>
              <w:t>39648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2F6CD4" w14:textId="77777777">
            <w:pPr>
              <w:jc w:val="center"/>
              <w:rPr>
                <w:rFonts w:cs="Calibri"/>
              </w:rPr>
            </w:pPr>
            <w:r w:rsidRPr="007D15C3">
              <w:rPr>
                <w:rFonts w:cs="Calibri"/>
              </w:rPr>
              <w:t>WMEB-TV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6ECD38" w14:textId="77777777">
            <w:pPr>
              <w:rPr>
                <w:rFonts w:cs="Calibri"/>
              </w:rPr>
            </w:pPr>
            <w:r w:rsidRPr="007D15C3">
              <w:rPr>
                <w:rFonts w:cs="Calibri"/>
              </w:rPr>
              <w:t xml:space="preserve">             511,761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C3ACC4" w14:textId="77777777">
            <w:pPr>
              <w:rPr>
                <w:rFonts w:cs="Calibri"/>
              </w:rPr>
            </w:pPr>
            <w:r w:rsidRPr="007D15C3">
              <w:rPr>
                <w:rFonts w:cs="Calibri"/>
              </w:rPr>
              <w:t xml:space="preserve">               494,574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C7C9B9" w14:textId="77777777">
            <w:pPr>
              <w:jc w:val="right"/>
              <w:rPr>
                <w:rFonts w:cs="Calibri"/>
              </w:rPr>
            </w:pPr>
            <w:r w:rsidRPr="007D15C3">
              <w:rPr>
                <w:rFonts w:cs="Calibri"/>
              </w:rPr>
              <w:t>$3,876</w:t>
            </w:r>
          </w:p>
        </w:tc>
      </w:tr>
      <w:tr w14:paraId="20DD44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69FB56" w14:textId="77777777">
            <w:pPr>
              <w:jc w:val="center"/>
              <w:rPr>
                <w:rFonts w:cs="Calibri"/>
              </w:rPr>
            </w:pPr>
            <w:r w:rsidRPr="007D15C3">
              <w:rPr>
                <w:rFonts w:cs="Calibri"/>
              </w:rPr>
              <w:t>70537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DBD4C6" w14:textId="77777777">
            <w:pPr>
              <w:jc w:val="center"/>
              <w:rPr>
                <w:rFonts w:cs="Calibri"/>
              </w:rPr>
            </w:pPr>
            <w:r w:rsidRPr="007D15C3">
              <w:rPr>
                <w:rFonts w:cs="Calibri"/>
              </w:rPr>
              <w:t>WMEC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7EBB86" w14:textId="77777777">
            <w:pPr>
              <w:rPr>
                <w:rFonts w:cs="Calibri"/>
              </w:rPr>
            </w:pPr>
            <w:r w:rsidRPr="007D15C3">
              <w:rPr>
                <w:rFonts w:cs="Calibri"/>
              </w:rPr>
              <w:t xml:space="preserve">             217,940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ECC672" w14:textId="77777777">
            <w:pPr>
              <w:rPr>
                <w:rFonts w:cs="Calibri"/>
              </w:rPr>
            </w:pPr>
            <w:r w:rsidRPr="007D15C3">
              <w:rPr>
                <w:rFonts w:cs="Calibri"/>
              </w:rPr>
              <w:t xml:space="preserve">               217,671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85B0D3" w14:textId="77777777">
            <w:pPr>
              <w:jc w:val="right"/>
              <w:rPr>
                <w:rFonts w:cs="Calibri"/>
              </w:rPr>
            </w:pPr>
            <w:r w:rsidRPr="007D15C3">
              <w:rPr>
                <w:rFonts w:cs="Calibri"/>
              </w:rPr>
              <w:t>$1,706</w:t>
            </w:r>
          </w:p>
        </w:tc>
      </w:tr>
      <w:tr w14:paraId="1362D35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ABF8BE" w14:textId="77777777">
            <w:pPr>
              <w:jc w:val="center"/>
              <w:rPr>
                <w:rFonts w:cs="Calibri"/>
              </w:rPr>
            </w:pPr>
            <w:r w:rsidRPr="007D15C3">
              <w:rPr>
                <w:rFonts w:cs="Calibri"/>
              </w:rPr>
              <w:t>39649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728DA1" w14:textId="77777777">
            <w:pPr>
              <w:jc w:val="center"/>
              <w:rPr>
                <w:rFonts w:cs="Calibri"/>
              </w:rPr>
            </w:pPr>
            <w:r w:rsidRPr="007D15C3">
              <w:rPr>
                <w:rFonts w:cs="Calibri"/>
              </w:rPr>
              <w:t>WMED-TV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B035F3" w14:textId="77777777">
            <w:pPr>
              <w:rPr>
                <w:rFonts w:cs="Calibri"/>
              </w:rPr>
            </w:pPr>
            <w:r w:rsidRPr="007D15C3">
              <w:rPr>
                <w:rFonts w:cs="Calibri"/>
              </w:rPr>
              <w:t xml:space="preserve">               30,488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128AA9" w14:textId="77777777">
            <w:pPr>
              <w:rPr>
                <w:rFonts w:cs="Calibri"/>
              </w:rPr>
            </w:pPr>
            <w:r w:rsidRPr="007D15C3">
              <w:rPr>
                <w:rFonts w:cs="Calibri"/>
              </w:rPr>
              <w:t xml:space="preserve">                 29,577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5E5800" w14:textId="77777777">
            <w:pPr>
              <w:jc w:val="right"/>
              <w:rPr>
                <w:rFonts w:cs="Calibri"/>
              </w:rPr>
            </w:pPr>
            <w:r w:rsidRPr="007D15C3">
              <w:rPr>
                <w:rFonts w:cs="Calibri"/>
              </w:rPr>
              <w:t>$232</w:t>
            </w:r>
          </w:p>
        </w:tc>
      </w:tr>
      <w:tr w14:paraId="514A395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527431" w14:textId="77777777">
            <w:pPr>
              <w:jc w:val="center"/>
              <w:rPr>
                <w:rFonts w:cs="Calibri"/>
              </w:rPr>
            </w:pPr>
            <w:r w:rsidRPr="007D15C3">
              <w:rPr>
                <w:rFonts w:cs="Calibri"/>
              </w:rPr>
              <w:t>39662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404F7E" w14:textId="77777777">
            <w:pPr>
              <w:jc w:val="center"/>
              <w:rPr>
                <w:rFonts w:cs="Calibri"/>
              </w:rPr>
            </w:pPr>
            <w:r w:rsidRPr="007D15C3">
              <w:rPr>
                <w:rFonts w:cs="Calibri"/>
              </w:rPr>
              <w:t>WMEM-TV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3690DB" w14:textId="77777777">
            <w:pPr>
              <w:rPr>
                <w:rFonts w:cs="Calibri"/>
              </w:rPr>
            </w:pPr>
            <w:r w:rsidRPr="007D15C3">
              <w:rPr>
                <w:rFonts w:cs="Calibri"/>
              </w:rPr>
              <w:t xml:space="preserve">               71,700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5FF39C" w14:textId="77777777">
            <w:pPr>
              <w:rPr>
                <w:rFonts w:cs="Calibri"/>
              </w:rPr>
            </w:pPr>
            <w:r w:rsidRPr="007D15C3">
              <w:rPr>
                <w:rFonts w:cs="Calibri"/>
              </w:rPr>
              <w:t xml:space="preserve">                 69,981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11572D" w14:textId="77777777">
            <w:pPr>
              <w:jc w:val="right"/>
              <w:rPr>
                <w:rFonts w:cs="Calibri"/>
              </w:rPr>
            </w:pPr>
            <w:r w:rsidRPr="007D15C3">
              <w:rPr>
                <w:rFonts w:cs="Calibri"/>
              </w:rPr>
              <w:t>$548</w:t>
            </w:r>
          </w:p>
        </w:tc>
      </w:tr>
      <w:tr w14:paraId="2A3E949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863F82" w14:textId="77777777">
            <w:pPr>
              <w:jc w:val="center"/>
              <w:rPr>
                <w:rFonts w:cs="Calibri"/>
              </w:rPr>
            </w:pPr>
            <w:r w:rsidRPr="007D15C3">
              <w:rPr>
                <w:rFonts w:cs="Calibri"/>
              </w:rPr>
              <w:t>41893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3F1898" w14:textId="77777777">
            <w:pPr>
              <w:jc w:val="center"/>
              <w:rPr>
                <w:rFonts w:cs="Calibri"/>
              </w:rPr>
            </w:pPr>
            <w:r w:rsidRPr="007D15C3">
              <w:rPr>
                <w:rFonts w:cs="Calibri"/>
              </w:rPr>
              <w:t>WMFD-TV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9F6C2A" w14:textId="77777777">
            <w:pPr>
              <w:rPr>
                <w:rFonts w:cs="Calibri"/>
              </w:rPr>
            </w:pPr>
            <w:r w:rsidRPr="007D15C3">
              <w:rPr>
                <w:rFonts w:cs="Calibri"/>
              </w:rPr>
              <w:t xml:space="preserve">          1,561,367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056524" w14:textId="77777777">
            <w:pPr>
              <w:rPr>
                <w:rFonts w:cs="Calibri"/>
              </w:rPr>
            </w:pPr>
            <w:r w:rsidRPr="007D15C3">
              <w:rPr>
                <w:rFonts w:cs="Calibri"/>
              </w:rPr>
              <w:t xml:space="preserve">            1,324,244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0606C5" w14:textId="77777777">
            <w:pPr>
              <w:jc w:val="right"/>
              <w:rPr>
                <w:rFonts w:cs="Calibri"/>
              </w:rPr>
            </w:pPr>
            <w:r w:rsidRPr="007D15C3">
              <w:rPr>
                <w:rFonts w:cs="Calibri"/>
              </w:rPr>
              <w:t>$10,378</w:t>
            </w:r>
          </w:p>
        </w:tc>
      </w:tr>
      <w:tr w14:paraId="1DA366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D7940A" w14:textId="77777777">
            <w:pPr>
              <w:jc w:val="center"/>
              <w:rPr>
                <w:rFonts w:cs="Calibri"/>
              </w:rPr>
            </w:pPr>
            <w:r w:rsidRPr="007D15C3">
              <w:rPr>
                <w:rFonts w:cs="Calibri"/>
              </w:rPr>
              <w:t>41436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571109" w14:textId="77777777">
            <w:pPr>
              <w:jc w:val="center"/>
              <w:rPr>
                <w:rFonts w:cs="Calibri"/>
              </w:rPr>
            </w:pPr>
            <w:r w:rsidRPr="007D15C3">
              <w:rPr>
                <w:rFonts w:cs="Calibri"/>
              </w:rPr>
              <w:t>WMFP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355219" w14:textId="77777777">
            <w:pPr>
              <w:rPr>
                <w:rFonts w:cs="Calibri"/>
              </w:rPr>
            </w:pPr>
            <w:r w:rsidRPr="007D15C3">
              <w:rPr>
                <w:rFonts w:cs="Calibri"/>
              </w:rPr>
              <w:t xml:space="preserve">          5,792,048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9B5C07" w14:textId="77777777">
            <w:pPr>
              <w:rPr>
                <w:rFonts w:cs="Calibri"/>
              </w:rPr>
            </w:pPr>
            <w:r w:rsidRPr="007D15C3">
              <w:rPr>
                <w:rFonts w:cs="Calibri"/>
              </w:rPr>
              <w:t xml:space="preserve">            5,564,295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26554F" w14:textId="77777777">
            <w:pPr>
              <w:jc w:val="right"/>
              <w:rPr>
                <w:rFonts w:cs="Calibri"/>
              </w:rPr>
            </w:pPr>
            <w:r w:rsidRPr="007D15C3">
              <w:rPr>
                <w:rFonts w:cs="Calibri"/>
              </w:rPr>
              <w:t>$43,607</w:t>
            </w:r>
          </w:p>
        </w:tc>
      </w:tr>
      <w:tr w14:paraId="26E485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95B78F" w14:textId="77777777">
            <w:pPr>
              <w:jc w:val="center"/>
              <w:rPr>
                <w:rFonts w:cs="Calibri"/>
              </w:rPr>
            </w:pPr>
            <w:r w:rsidRPr="007D15C3">
              <w:rPr>
                <w:rFonts w:cs="Calibri"/>
              </w:rPr>
              <w:t>61111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AF9F6C" w14:textId="77777777">
            <w:pPr>
              <w:jc w:val="center"/>
              <w:rPr>
                <w:rFonts w:cs="Calibri"/>
              </w:rPr>
            </w:pPr>
            <w:r w:rsidRPr="007D15C3">
              <w:rPr>
                <w:rFonts w:cs="Calibri"/>
              </w:rPr>
              <w:t>WMGM-TV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83CE19" w14:textId="77777777">
            <w:pPr>
              <w:rPr>
                <w:rFonts w:cs="Calibri"/>
              </w:rPr>
            </w:pPr>
            <w:r w:rsidRPr="007D15C3">
              <w:rPr>
                <w:rFonts w:cs="Calibri"/>
              </w:rPr>
              <w:t xml:space="preserve">             807,797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866316" w14:textId="77777777">
            <w:pPr>
              <w:rPr>
                <w:rFonts w:cs="Calibri"/>
              </w:rPr>
            </w:pPr>
            <w:r w:rsidRPr="007D15C3">
              <w:rPr>
                <w:rFonts w:cs="Calibri"/>
              </w:rPr>
              <w:t xml:space="preserve">               807,797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93F9D6" w14:textId="77777777">
            <w:pPr>
              <w:jc w:val="right"/>
              <w:rPr>
                <w:rFonts w:cs="Calibri"/>
              </w:rPr>
            </w:pPr>
            <w:r w:rsidRPr="007D15C3">
              <w:rPr>
                <w:rFonts w:cs="Calibri"/>
              </w:rPr>
              <w:t>$6,331</w:t>
            </w:r>
          </w:p>
        </w:tc>
      </w:tr>
      <w:tr w14:paraId="444A15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E04640" w14:textId="77777777">
            <w:pPr>
              <w:jc w:val="center"/>
              <w:rPr>
                <w:rFonts w:cs="Calibri"/>
              </w:rPr>
            </w:pPr>
            <w:r w:rsidRPr="007D15C3">
              <w:rPr>
                <w:rFonts w:cs="Calibri"/>
              </w:rPr>
              <w:t>43847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F3C4F0" w14:textId="77777777">
            <w:pPr>
              <w:jc w:val="center"/>
              <w:rPr>
                <w:rFonts w:cs="Calibri"/>
              </w:rPr>
            </w:pPr>
            <w:r w:rsidRPr="007D15C3">
              <w:rPr>
                <w:rFonts w:cs="Calibri"/>
              </w:rPr>
              <w:t>WMGT-TV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D71429" w14:textId="77777777">
            <w:pPr>
              <w:rPr>
                <w:rFonts w:cs="Calibri"/>
              </w:rPr>
            </w:pPr>
            <w:r w:rsidRPr="007D15C3">
              <w:rPr>
                <w:rFonts w:cs="Calibri"/>
              </w:rPr>
              <w:t xml:space="preserve">             601,894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2D5517" w14:textId="77777777">
            <w:pPr>
              <w:rPr>
                <w:rFonts w:cs="Calibri"/>
              </w:rPr>
            </w:pPr>
            <w:r w:rsidRPr="007D15C3">
              <w:rPr>
                <w:rFonts w:cs="Calibri"/>
              </w:rPr>
              <w:t xml:space="preserve">               601,309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263849" w14:textId="77777777">
            <w:pPr>
              <w:jc w:val="right"/>
              <w:rPr>
                <w:rFonts w:cs="Calibri"/>
              </w:rPr>
            </w:pPr>
            <w:r w:rsidRPr="007D15C3">
              <w:rPr>
                <w:rFonts w:cs="Calibri"/>
              </w:rPr>
              <w:t>$4,712</w:t>
            </w:r>
          </w:p>
        </w:tc>
      </w:tr>
      <w:tr w14:paraId="7C1449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2F2AF3" w14:textId="77777777">
            <w:pPr>
              <w:jc w:val="center"/>
              <w:rPr>
                <w:rFonts w:cs="Calibri"/>
              </w:rPr>
            </w:pPr>
            <w:r w:rsidRPr="007D15C3">
              <w:rPr>
                <w:rFonts w:cs="Calibri"/>
              </w:rPr>
              <w:t>73263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8F8B96" w14:textId="77777777">
            <w:pPr>
              <w:jc w:val="center"/>
              <w:rPr>
                <w:rFonts w:cs="Calibri"/>
              </w:rPr>
            </w:pPr>
            <w:r w:rsidRPr="007D15C3">
              <w:rPr>
                <w:rFonts w:cs="Calibri"/>
              </w:rPr>
              <w:t>WMHT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EAD522" w14:textId="77777777">
            <w:pPr>
              <w:rPr>
                <w:rFonts w:cs="Calibri"/>
              </w:rPr>
            </w:pPr>
            <w:r w:rsidRPr="007D15C3">
              <w:rPr>
                <w:rFonts w:cs="Calibri"/>
              </w:rPr>
              <w:t xml:space="preserve">          1,622,458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FF3272" w14:textId="77777777">
            <w:pPr>
              <w:rPr>
                <w:rFonts w:cs="Calibri"/>
              </w:rPr>
            </w:pPr>
            <w:r w:rsidRPr="007D15C3">
              <w:rPr>
                <w:rFonts w:cs="Calibri"/>
              </w:rPr>
              <w:t xml:space="preserve">            1,472,559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3F28FC" w14:textId="77777777">
            <w:pPr>
              <w:jc w:val="right"/>
              <w:rPr>
                <w:rFonts w:cs="Calibri"/>
              </w:rPr>
            </w:pPr>
            <w:r w:rsidRPr="007D15C3">
              <w:rPr>
                <w:rFonts w:cs="Calibri"/>
              </w:rPr>
              <w:t>$11,540</w:t>
            </w:r>
          </w:p>
        </w:tc>
      </w:tr>
      <w:tr w14:paraId="1860032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491AE5" w14:textId="77777777">
            <w:pPr>
              <w:jc w:val="center"/>
              <w:rPr>
                <w:rFonts w:cs="Calibri"/>
              </w:rPr>
            </w:pPr>
            <w:r w:rsidRPr="007D15C3">
              <w:rPr>
                <w:rFonts w:cs="Calibri"/>
              </w:rPr>
              <w:t>68545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999649" w14:textId="77777777">
            <w:pPr>
              <w:jc w:val="center"/>
              <w:rPr>
                <w:rFonts w:cs="Calibri"/>
              </w:rPr>
            </w:pPr>
            <w:r w:rsidRPr="007D15C3">
              <w:rPr>
                <w:rFonts w:cs="Calibri"/>
              </w:rPr>
              <w:t>WMLW-TV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275939" w14:textId="77777777">
            <w:pPr>
              <w:rPr>
                <w:rFonts w:cs="Calibri"/>
              </w:rPr>
            </w:pPr>
            <w:r w:rsidRPr="007D15C3">
              <w:rPr>
                <w:rFonts w:cs="Calibri"/>
              </w:rPr>
              <w:t xml:space="preserve">          1,822,297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9685FE" w14:textId="77777777">
            <w:pPr>
              <w:rPr>
                <w:rFonts w:cs="Calibri"/>
              </w:rPr>
            </w:pPr>
            <w:r w:rsidRPr="007D15C3">
              <w:rPr>
                <w:rFonts w:cs="Calibri"/>
              </w:rPr>
              <w:t xml:space="preserve">            1,822,217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9F5A82" w14:textId="77777777">
            <w:pPr>
              <w:jc w:val="right"/>
              <w:rPr>
                <w:rFonts w:cs="Calibri"/>
              </w:rPr>
            </w:pPr>
            <w:r w:rsidRPr="007D15C3">
              <w:rPr>
                <w:rFonts w:cs="Calibri"/>
              </w:rPr>
              <w:t>$14,281</w:t>
            </w:r>
          </w:p>
        </w:tc>
      </w:tr>
      <w:tr w14:paraId="4A8F80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666F93" w14:textId="77777777">
            <w:pPr>
              <w:jc w:val="center"/>
              <w:rPr>
                <w:rFonts w:cs="Calibri"/>
              </w:rPr>
            </w:pPr>
            <w:r w:rsidRPr="007D15C3">
              <w:rPr>
                <w:rFonts w:cs="Calibri"/>
              </w:rPr>
              <w:t>53819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D323E9" w14:textId="77777777">
            <w:pPr>
              <w:jc w:val="center"/>
              <w:rPr>
                <w:rFonts w:cs="Calibri"/>
              </w:rPr>
            </w:pPr>
            <w:r w:rsidRPr="007D15C3">
              <w:rPr>
                <w:rFonts w:cs="Calibri"/>
              </w:rPr>
              <w:t>WMOR-TV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155C63" w14:textId="77777777">
            <w:pPr>
              <w:rPr>
                <w:rFonts w:cs="Calibri"/>
              </w:rPr>
            </w:pPr>
            <w:r w:rsidRPr="007D15C3">
              <w:rPr>
                <w:rFonts w:cs="Calibri"/>
              </w:rPr>
              <w:t xml:space="preserve">          5,386,517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862B63" w14:textId="77777777">
            <w:pPr>
              <w:rPr>
                <w:rFonts w:cs="Calibri"/>
              </w:rPr>
            </w:pPr>
            <w:r w:rsidRPr="007D15C3">
              <w:rPr>
                <w:rFonts w:cs="Calibri"/>
              </w:rPr>
              <w:t xml:space="preserve">            5,386,358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3B649B" w14:textId="77777777">
            <w:pPr>
              <w:jc w:val="right"/>
              <w:rPr>
                <w:rFonts w:cs="Calibri"/>
              </w:rPr>
            </w:pPr>
            <w:r w:rsidRPr="007D15C3">
              <w:rPr>
                <w:rFonts w:cs="Calibri"/>
              </w:rPr>
              <w:t>$42,213</w:t>
            </w:r>
          </w:p>
        </w:tc>
      </w:tr>
      <w:tr w14:paraId="083D17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4FE0CC" w14:textId="77777777">
            <w:pPr>
              <w:jc w:val="center"/>
              <w:rPr>
                <w:rFonts w:cs="Calibri"/>
              </w:rPr>
            </w:pPr>
            <w:r w:rsidRPr="007D15C3">
              <w:rPr>
                <w:rFonts w:cs="Calibri"/>
              </w:rPr>
              <w:t>81503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6FE0A1" w14:textId="77777777">
            <w:pPr>
              <w:jc w:val="center"/>
              <w:rPr>
                <w:rFonts w:cs="Calibri"/>
              </w:rPr>
            </w:pPr>
            <w:r w:rsidRPr="007D15C3">
              <w:rPr>
                <w:rFonts w:cs="Calibri"/>
              </w:rPr>
              <w:t>WMOW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095755" w14:textId="77777777">
            <w:pPr>
              <w:rPr>
                <w:rFonts w:cs="Calibri"/>
              </w:rPr>
            </w:pPr>
            <w:r w:rsidRPr="007D15C3">
              <w:rPr>
                <w:rFonts w:cs="Calibri"/>
              </w:rPr>
              <w:t xml:space="preserve">             121,150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681F5C" w14:textId="77777777">
            <w:pPr>
              <w:rPr>
                <w:rFonts w:cs="Calibri"/>
              </w:rPr>
            </w:pPr>
            <w:r w:rsidRPr="007D15C3">
              <w:rPr>
                <w:rFonts w:cs="Calibri"/>
              </w:rPr>
              <w:t xml:space="preserve">               106,115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87F133" w14:textId="77777777">
            <w:pPr>
              <w:jc w:val="right"/>
              <w:rPr>
                <w:rFonts w:cs="Calibri"/>
              </w:rPr>
            </w:pPr>
            <w:r w:rsidRPr="007D15C3">
              <w:rPr>
                <w:rFonts w:cs="Calibri"/>
              </w:rPr>
              <w:t>$832</w:t>
            </w:r>
          </w:p>
        </w:tc>
      </w:tr>
      <w:tr w14:paraId="5E955C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AD3285" w14:textId="77777777">
            <w:pPr>
              <w:jc w:val="center"/>
              <w:rPr>
                <w:rFonts w:cs="Calibri"/>
              </w:rPr>
            </w:pPr>
            <w:r w:rsidRPr="007D15C3">
              <w:rPr>
                <w:rFonts w:cs="Calibri"/>
              </w:rPr>
              <w:t>65944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77D083" w14:textId="77777777">
            <w:pPr>
              <w:jc w:val="center"/>
              <w:rPr>
                <w:rFonts w:cs="Calibri"/>
              </w:rPr>
            </w:pPr>
            <w:r w:rsidRPr="007D15C3">
              <w:rPr>
                <w:rFonts w:cs="Calibri"/>
              </w:rPr>
              <w:t>WMPB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871444" w14:textId="77777777">
            <w:pPr>
              <w:rPr>
                <w:rFonts w:cs="Calibri"/>
              </w:rPr>
            </w:pPr>
            <w:r w:rsidRPr="007D15C3">
              <w:rPr>
                <w:rFonts w:cs="Calibri"/>
              </w:rPr>
              <w:t xml:space="preserve">          6,489,215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217D5F" w14:textId="77777777">
            <w:pPr>
              <w:rPr>
                <w:rFonts w:cs="Calibri"/>
              </w:rPr>
            </w:pPr>
            <w:r w:rsidRPr="007D15C3">
              <w:rPr>
                <w:rFonts w:cs="Calibri"/>
              </w:rPr>
              <w:t xml:space="preserve">            6,375,063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D38B57" w14:textId="77777777">
            <w:pPr>
              <w:jc w:val="right"/>
              <w:rPr>
                <w:rFonts w:cs="Calibri"/>
              </w:rPr>
            </w:pPr>
            <w:r w:rsidRPr="007D15C3">
              <w:rPr>
                <w:rFonts w:cs="Calibri"/>
              </w:rPr>
              <w:t>$49,961</w:t>
            </w:r>
          </w:p>
        </w:tc>
      </w:tr>
      <w:tr w14:paraId="4062797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112B0C" w14:textId="77777777">
            <w:pPr>
              <w:jc w:val="center"/>
              <w:rPr>
                <w:rFonts w:cs="Calibri"/>
              </w:rPr>
            </w:pPr>
            <w:r w:rsidRPr="007D15C3">
              <w:rPr>
                <w:rFonts w:cs="Calibri"/>
              </w:rPr>
              <w:t>43168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AD28CC" w14:textId="77777777">
            <w:pPr>
              <w:jc w:val="center"/>
              <w:rPr>
                <w:rFonts w:cs="Calibri"/>
              </w:rPr>
            </w:pPr>
            <w:r w:rsidRPr="007D15C3">
              <w:rPr>
                <w:rFonts w:cs="Calibri"/>
              </w:rPr>
              <w:t>WMPN-TV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031836" w14:textId="77777777">
            <w:pPr>
              <w:rPr>
                <w:rFonts w:cs="Calibri"/>
              </w:rPr>
            </w:pPr>
            <w:r w:rsidRPr="007D15C3">
              <w:rPr>
                <w:rFonts w:cs="Calibri"/>
              </w:rPr>
              <w:t xml:space="preserve">             856,237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C4C45B" w14:textId="77777777">
            <w:pPr>
              <w:rPr>
                <w:rFonts w:cs="Calibri"/>
              </w:rPr>
            </w:pPr>
            <w:r w:rsidRPr="007D15C3">
              <w:rPr>
                <w:rFonts w:cs="Calibri"/>
              </w:rPr>
              <w:t xml:space="preserve">               854,089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ADB0C0" w14:textId="77777777">
            <w:pPr>
              <w:jc w:val="right"/>
              <w:rPr>
                <w:rFonts w:cs="Calibri"/>
              </w:rPr>
            </w:pPr>
            <w:r w:rsidRPr="007D15C3">
              <w:rPr>
                <w:rFonts w:cs="Calibri"/>
              </w:rPr>
              <w:t>$6,693</w:t>
            </w:r>
          </w:p>
        </w:tc>
      </w:tr>
      <w:tr w14:paraId="22A7506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CDB6BAE" w14:textId="77777777">
            <w:pPr>
              <w:jc w:val="center"/>
              <w:rPr>
                <w:rFonts w:cs="Calibri"/>
              </w:rPr>
            </w:pPr>
            <w:r w:rsidRPr="007D15C3">
              <w:rPr>
                <w:rFonts w:cs="Calibri"/>
              </w:rPr>
              <w:t>65942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BEBFB0" w14:textId="77777777">
            <w:pPr>
              <w:jc w:val="center"/>
              <w:rPr>
                <w:rFonts w:cs="Calibri"/>
              </w:rPr>
            </w:pPr>
            <w:r w:rsidRPr="007D15C3">
              <w:rPr>
                <w:rFonts w:cs="Calibri"/>
              </w:rPr>
              <w:t>WMPT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CC95BC" w14:textId="77777777">
            <w:pPr>
              <w:rPr>
                <w:rFonts w:cs="Calibri"/>
              </w:rPr>
            </w:pPr>
            <w:r w:rsidRPr="007D15C3">
              <w:rPr>
                <w:rFonts w:cs="Calibri"/>
              </w:rPr>
              <w:t xml:space="preserve">          7,945,122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991C20" w14:textId="77777777">
            <w:pPr>
              <w:rPr>
                <w:rFonts w:cs="Calibri"/>
              </w:rPr>
            </w:pPr>
            <w:r w:rsidRPr="007D15C3">
              <w:rPr>
                <w:rFonts w:cs="Calibri"/>
              </w:rPr>
              <w:t xml:space="preserve">            7,905,666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D8AE65" w14:textId="77777777">
            <w:pPr>
              <w:jc w:val="right"/>
              <w:rPr>
                <w:rFonts w:cs="Calibri"/>
              </w:rPr>
            </w:pPr>
            <w:r w:rsidRPr="007D15C3">
              <w:rPr>
                <w:rFonts w:cs="Calibri"/>
              </w:rPr>
              <w:t>$61,957</w:t>
            </w:r>
          </w:p>
        </w:tc>
      </w:tr>
      <w:tr w14:paraId="5D34F52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C5497B" w14:textId="77777777">
            <w:pPr>
              <w:jc w:val="center"/>
              <w:rPr>
                <w:rFonts w:cs="Calibri"/>
              </w:rPr>
            </w:pPr>
            <w:r w:rsidRPr="007D15C3">
              <w:rPr>
                <w:rFonts w:cs="Calibri"/>
              </w:rPr>
              <w:t>60827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A0AC08" w14:textId="77777777">
            <w:pPr>
              <w:jc w:val="center"/>
              <w:rPr>
                <w:rFonts w:cs="Calibri"/>
              </w:rPr>
            </w:pPr>
            <w:r w:rsidRPr="007D15C3">
              <w:rPr>
                <w:rFonts w:cs="Calibri"/>
              </w:rPr>
              <w:t>WMPV-TV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F47929" w14:textId="77777777">
            <w:pPr>
              <w:rPr>
                <w:rFonts w:cs="Calibri"/>
              </w:rPr>
            </w:pPr>
            <w:r w:rsidRPr="007D15C3">
              <w:rPr>
                <w:rFonts w:cs="Calibri"/>
              </w:rPr>
              <w:t xml:space="preserve">          1,395,611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D8F3F5" w14:textId="77777777">
            <w:pPr>
              <w:rPr>
                <w:rFonts w:cs="Calibri"/>
              </w:rPr>
            </w:pPr>
            <w:r w:rsidRPr="007D15C3">
              <w:rPr>
                <w:rFonts w:cs="Calibri"/>
              </w:rPr>
              <w:t xml:space="preserve">            1,395,036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13E494" w14:textId="77777777">
            <w:pPr>
              <w:jc w:val="right"/>
              <w:rPr>
                <w:rFonts w:cs="Calibri"/>
              </w:rPr>
            </w:pPr>
            <w:r w:rsidRPr="007D15C3">
              <w:rPr>
                <w:rFonts w:cs="Calibri"/>
              </w:rPr>
              <w:t>$10,933</w:t>
            </w:r>
          </w:p>
        </w:tc>
      </w:tr>
      <w:tr w14:paraId="46955F0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ADCEE1" w14:textId="77777777">
            <w:pPr>
              <w:jc w:val="center"/>
              <w:rPr>
                <w:rFonts w:cs="Calibri"/>
              </w:rPr>
            </w:pPr>
            <w:r w:rsidRPr="007D15C3">
              <w:rPr>
                <w:rFonts w:cs="Calibri"/>
              </w:rPr>
              <w:t>10221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E6754A" w14:textId="77777777">
            <w:pPr>
              <w:jc w:val="center"/>
              <w:rPr>
                <w:rFonts w:cs="Calibri"/>
              </w:rPr>
            </w:pPr>
            <w:r w:rsidRPr="007D15C3">
              <w:rPr>
                <w:rFonts w:cs="Calibri"/>
              </w:rPr>
              <w:t>WMSN-TV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2E72C6" w14:textId="77777777">
            <w:pPr>
              <w:rPr>
                <w:rFonts w:cs="Calibri"/>
              </w:rPr>
            </w:pPr>
            <w:r w:rsidRPr="007D15C3">
              <w:rPr>
                <w:rFonts w:cs="Calibri"/>
              </w:rPr>
              <w:t xml:space="preserve">          1,579,847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F5D612" w14:textId="77777777">
            <w:pPr>
              <w:rPr>
                <w:rFonts w:cs="Calibri"/>
              </w:rPr>
            </w:pPr>
            <w:r w:rsidRPr="007D15C3">
              <w:rPr>
                <w:rFonts w:cs="Calibri"/>
              </w:rPr>
              <w:t xml:space="preserve">            1,567,031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22369A" w14:textId="77777777">
            <w:pPr>
              <w:jc w:val="right"/>
              <w:rPr>
                <w:rFonts w:cs="Calibri"/>
              </w:rPr>
            </w:pPr>
            <w:r w:rsidRPr="007D15C3">
              <w:rPr>
                <w:rFonts w:cs="Calibri"/>
              </w:rPr>
              <w:t>$12,281</w:t>
            </w:r>
          </w:p>
        </w:tc>
      </w:tr>
      <w:tr w14:paraId="560FA2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6C5CE6" w14:textId="77777777">
            <w:pPr>
              <w:jc w:val="center"/>
              <w:rPr>
                <w:rFonts w:cs="Calibri"/>
              </w:rPr>
            </w:pPr>
            <w:r w:rsidRPr="007D15C3">
              <w:rPr>
                <w:rFonts w:cs="Calibri"/>
              </w:rPr>
              <w:t>2174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34C1F7" w14:textId="77777777">
            <w:pPr>
              <w:jc w:val="center"/>
              <w:rPr>
                <w:rFonts w:cs="Calibri"/>
              </w:rPr>
            </w:pPr>
            <w:r w:rsidRPr="007D15C3">
              <w:rPr>
                <w:rFonts w:cs="Calibri"/>
              </w:rPr>
              <w:t>WMTJ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01F579" w14:textId="77777777">
            <w:pPr>
              <w:rPr>
                <w:rFonts w:cs="Calibri"/>
              </w:rPr>
            </w:pPr>
            <w:r w:rsidRPr="007D15C3">
              <w:rPr>
                <w:rFonts w:cs="Calibri"/>
              </w:rPr>
              <w:t xml:space="preserve">          3,143,148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330D82" w14:textId="77777777">
            <w:pPr>
              <w:rPr>
                <w:rFonts w:cs="Calibri"/>
              </w:rPr>
            </w:pPr>
            <w:r w:rsidRPr="007D15C3">
              <w:rPr>
                <w:rFonts w:cs="Calibri"/>
              </w:rPr>
              <w:t xml:space="preserve">            2,846,339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99F318" w14:textId="77777777">
            <w:pPr>
              <w:jc w:val="right"/>
              <w:rPr>
                <w:rFonts w:cs="Calibri"/>
              </w:rPr>
            </w:pPr>
            <w:r w:rsidRPr="007D15C3">
              <w:rPr>
                <w:rFonts w:cs="Calibri"/>
              </w:rPr>
              <w:t>$18,537</w:t>
            </w:r>
          </w:p>
        </w:tc>
      </w:tr>
      <w:tr w14:paraId="2565273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D63C96" w14:textId="77777777">
            <w:pPr>
              <w:jc w:val="center"/>
              <w:rPr>
                <w:rFonts w:cs="Calibri"/>
              </w:rPr>
            </w:pPr>
            <w:r w:rsidRPr="007D15C3">
              <w:rPr>
                <w:rFonts w:cs="Calibri"/>
              </w:rPr>
              <w:t>6870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DF00F0" w14:textId="77777777">
            <w:pPr>
              <w:jc w:val="center"/>
              <w:rPr>
                <w:rFonts w:cs="Calibri"/>
              </w:rPr>
            </w:pPr>
            <w:r w:rsidRPr="007D15C3">
              <w:rPr>
                <w:rFonts w:cs="Calibri"/>
              </w:rPr>
              <w:t>WMTV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33C4BC" w14:textId="77777777">
            <w:pPr>
              <w:rPr>
                <w:rFonts w:cs="Calibri"/>
              </w:rPr>
            </w:pPr>
            <w:r w:rsidRPr="007D15C3">
              <w:rPr>
                <w:rFonts w:cs="Calibri"/>
              </w:rPr>
              <w:t xml:space="preserve">          1,548,616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0F606D" w14:textId="77777777">
            <w:pPr>
              <w:rPr>
                <w:rFonts w:cs="Calibri"/>
              </w:rPr>
            </w:pPr>
            <w:r w:rsidRPr="007D15C3">
              <w:rPr>
                <w:rFonts w:cs="Calibri"/>
              </w:rPr>
              <w:t xml:space="preserve">            1,545,459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F30074" w14:textId="77777777">
            <w:pPr>
              <w:jc w:val="right"/>
              <w:rPr>
                <w:rFonts w:cs="Calibri"/>
              </w:rPr>
            </w:pPr>
            <w:r w:rsidRPr="007D15C3">
              <w:rPr>
                <w:rFonts w:cs="Calibri"/>
              </w:rPr>
              <w:t>$12,112</w:t>
            </w:r>
          </w:p>
        </w:tc>
      </w:tr>
      <w:tr w14:paraId="1364E8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9EA1AE" w14:textId="77777777">
            <w:pPr>
              <w:jc w:val="center"/>
              <w:rPr>
                <w:rFonts w:cs="Calibri"/>
              </w:rPr>
            </w:pPr>
            <w:r w:rsidRPr="007D15C3">
              <w:rPr>
                <w:rFonts w:cs="Calibri"/>
              </w:rPr>
              <w:t>73288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AD603C" w14:textId="77777777">
            <w:pPr>
              <w:jc w:val="center"/>
              <w:rPr>
                <w:rFonts w:cs="Calibri"/>
              </w:rPr>
            </w:pPr>
            <w:r w:rsidRPr="007D15C3">
              <w:rPr>
                <w:rFonts w:cs="Calibri"/>
              </w:rPr>
              <w:t>WMTW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51B756" w14:textId="77777777">
            <w:pPr>
              <w:rPr>
                <w:rFonts w:cs="Calibri"/>
              </w:rPr>
            </w:pPr>
            <w:r w:rsidRPr="007D15C3">
              <w:rPr>
                <w:rFonts w:cs="Calibri"/>
              </w:rPr>
              <w:t xml:space="preserve">          1,940,292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F33A68" w14:textId="77777777">
            <w:pPr>
              <w:rPr>
                <w:rFonts w:cs="Calibri"/>
              </w:rPr>
            </w:pPr>
            <w:r w:rsidRPr="007D15C3">
              <w:rPr>
                <w:rFonts w:cs="Calibri"/>
              </w:rPr>
              <w:t xml:space="preserve">            1,658,816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146B4A" w14:textId="77777777">
            <w:pPr>
              <w:jc w:val="right"/>
              <w:rPr>
                <w:rFonts w:cs="Calibri"/>
              </w:rPr>
            </w:pPr>
            <w:r w:rsidRPr="007D15C3">
              <w:rPr>
                <w:rFonts w:cs="Calibri"/>
              </w:rPr>
              <w:t>$13,000</w:t>
            </w:r>
          </w:p>
        </w:tc>
      </w:tr>
      <w:tr w14:paraId="56DF955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4A724C" w14:textId="77777777">
            <w:pPr>
              <w:jc w:val="center"/>
              <w:rPr>
                <w:rFonts w:cs="Calibri"/>
              </w:rPr>
            </w:pPr>
            <w:r w:rsidRPr="007D15C3">
              <w:rPr>
                <w:rFonts w:cs="Calibri"/>
              </w:rPr>
              <w:t>23935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0F9F48" w14:textId="77777777">
            <w:pPr>
              <w:jc w:val="center"/>
              <w:rPr>
                <w:rFonts w:cs="Calibri"/>
              </w:rPr>
            </w:pPr>
            <w:r w:rsidRPr="007D15C3">
              <w:rPr>
                <w:rFonts w:cs="Calibri"/>
              </w:rPr>
              <w:t>WMUM-TV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5E668C" w14:textId="77777777">
            <w:pPr>
              <w:rPr>
                <w:rFonts w:cs="Calibri"/>
              </w:rPr>
            </w:pPr>
            <w:r w:rsidRPr="007D15C3">
              <w:rPr>
                <w:rFonts w:cs="Calibri"/>
              </w:rPr>
              <w:t xml:space="preserve">             862,740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90D715" w14:textId="77777777">
            <w:pPr>
              <w:rPr>
                <w:rFonts w:cs="Calibri"/>
              </w:rPr>
            </w:pPr>
            <w:r w:rsidRPr="007D15C3">
              <w:rPr>
                <w:rFonts w:cs="Calibri"/>
              </w:rPr>
              <w:t xml:space="preserve">               859,204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9832BE" w14:textId="77777777">
            <w:pPr>
              <w:jc w:val="right"/>
              <w:rPr>
                <w:rFonts w:cs="Calibri"/>
              </w:rPr>
            </w:pPr>
            <w:r w:rsidRPr="007D15C3">
              <w:rPr>
                <w:rFonts w:cs="Calibri"/>
              </w:rPr>
              <w:t>$6,734</w:t>
            </w:r>
          </w:p>
        </w:tc>
      </w:tr>
      <w:tr w14:paraId="6F6C3C5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71F1AB" w14:textId="77777777">
            <w:pPr>
              <w:jc w:val="center"/>
              <w:rPr>
                <w:rFonts w:cs="Calibri"/>
              </w:rPr>
            </w:pPr>
            <w:r w:rsidRPr="007D15C3">
              <w:rPr>
                <w:rFonts w:cs="Calibri"/>
              </w:rPr>
              <w:t>73292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5101A3" w14:textId="77777777">
            <w:pPr>
              <w:jc w:val="center"/>
              <w:rPr>
                <w:rFonts w:cs="Calibri"/>
              </w:rPr>
            </w:pPr>
            <w:r w:rsidRPr="007D15C3">
              <w:rPr>
                <w:rFonts w:cs="Calibri"/>
              </w:rPr>
              <w:t>WMUR-TV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B8C639" w14:textId="77777777">
            <w:pPr>
              <w:rPr>
                <w:rFonts w:cs="Calibri"/>
              </w:rPr>
            </w:pPr>
            <w:r w:rsidRPr="007D15C3">
              <w:rPr>
                <w:rFonts w:cs="Calibri"/>
              </w:rPr>
              <w:t xml:space="preserve">          5,192,179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9943C9" w14:textId="77777777">
            <w:pPr>
              <w:rPr>
                <w:rFonts w:cs="Calibri"/>
              </w:rPr>
            </w:pPr>
            <w:r w:rsidRPr="007D15C3">
              <w:rPr>
                <w:rFonts w:cs="Calibri"/>
              </w:rPr>
              <w:t xml:space="preserve">            5,003,980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CA5002" w14:textId="77777777">
            <w:pPr>
              <w:jc w:val="right"/>
              <w:rPr>
                <w:rFonts w:cs="Calibri"/>
              </w:rPr>
            </w:pPr>
            <w:r w:rsidRPr="007D15C3">
              <w:rPr>
                <w:rFonts w:cs="Calibri"/>
              </w:rPr>
              <w:t>$39,216</w:t>
            </w:r>
          </w:p>
        </w:tc>
      </w:tr>
      <w:tr w14:paraId="477AA3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538064" w14:textId="77777777">
            <w:pPr>
              <w:jc w:val="center"/>
              <w:rPr>
                <w:rFonts w:cs="Calibri"/>
              </w:rPr>
            </w:pPr>
            <w:r w:rsidRPr="007D15C3">
              <w:rPr>
                <w:rFonts w:cs="Calibri"/>
              </w:rPr>
              <w:t>42663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714B60" w14:textId="77777777">
            <w:pPr>
              <w:jc w:val="center"/>
              <w:rPr>
                <w:rFonts w:cs="Calibri"/>
              </w:rPr>
            </w:pPr>
            <w:r w:rsidRPr="007D15C3">
              <w:rPr>
                <w:rFonts w:cs="Calibri"/>
              </w:rPr>
              <w:t>WMVS*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6593EA" w14:textId="77777777">
            <w:pPr>
              <w:rPr>
                <w:rFonts w:cs="Calibri"/>
              </w:rPr>
            </w:pPr>
            <w:r w:rsidRPr="007D15C3">
              <w:rPr>
                <w:rFonts w:cs="Calibri"/>
              </w:rPr>
              <w:t xml:space="preserve">          3,172,534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E86388" w14:textId="77777777">
            <w:pPr>
              <w:rPr>
                <w:rFonts w:cs="Calibri"/>
              </w:rPr>
            </w:pPr>
            <w:r w:rsidRPr="007D15C3">
              <w:rPr>
                <w:rFonts w:cs="Calibri"/>
              </w:rPr>
              <w:t xml:space="preserve">            3,112,231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3F24FC" w14:textId="77777777">
            <w:pPr>
              <w:jc w:val="right"/>
              <w:rPr>
                <w:rFonts w:cs="Calibri"/>
              </w:rPr>
            </w:pPr>
            <w:r w:rsidRPr="007D15C3">
              <w:rPr>
                <w:rFonts w:cs="Calibri"/>
              </w:rPr>
              <w:t>$24,391</w:t>
            </w:r>
          </w:p>
        </w:tc>
      </w:tr>
      <w:tr w14:paraId="764A2E2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DD4CB1" w14:textId="77777777">
            <w:pPr>
              <w:jc w:val="center"/>
              <w:rPr>
                <w:rFonts w:cs="Calibri"/>
              </w:rPr>
            </w:pPr>
            <w:r w:rsidRPr="007D15C3">
              <w:rPr>
                <w:rFonts w:cs="Calibri"/>
              </w:rPr>
              <w:t>42665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D3FAF1" w14:textId="77777777">
            <w:pPr>
              <w:jc w:val="center"/>
              <w:rPr>
                <w:rFonts w:cs="Calibri"/>
              </w:rPr>
            </w:pPr>
            <w:r w:rsidRPr="007D15C3">
              <w:rPr>
                <w:rFonts w:cs="Calibri"/>
              </w:rPr>
              <w:t>WMVT*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4EC4D3" w14:textId="77777777">
            <w:pPr>
              <w:rPr>
                <w:rFonts w:cs="Calibri"/>
              </w:rPr>
            </w:pPr>
            <w:r w:rsidRPr="007D15C3">
              <w:rPr>
                <w:rFonts w:cs="Calibri"/>
              </w:rPr>
              <w:t xml:space="preserve">          3,172,534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E17AE4" w14:textId="77777777">
            <w:pPr>
              <w:rPr>
                <w:rFonts w:cs="Calibri"/>
              </w:rPr>
            </w:pPr>
            <w:r w:rsidRPr="007D15C3">
              <w:rPr>
                <w:rFonts w:cs="Calibri"/>
              </w:rPr>
              <w:t xml:space="preserve">            3,112,231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34450F" w14:textId="77777777">
            <w:pPr>
              <w:jc w:val="right"/>
              <w:rPr>
                <w:rFonts w:cs="Calibri"/>
              </w:rPr>
            </w:pPr>
            <w:r w:rsidRPr="007D15C3">
              <w:rPr>
                <w:rFonts w:cs="Calibri"/>
              </w:rPr>
              <w:t>$24,391</w:t>
            </w:r>
          </w:p>
        </w:tc>
      </w:tr>
      <w:tr w14:paraId="7958003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DAA3D5" w14:textId="77777777">
            <w:pPr>
              <w:jc w:val="center"/>
              <w:rPr>
                <w:rFonts w:cs="Calibri"/>
              </w:rPr>
            </w:pPr>
            <w:r w:rsidRPr="007D15C3">
              <w:rPr>
                <w:rFonts w:cs="Calibri"/>
              </w:rPr>
              <w:t>81946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CBE570" w14:textId="77777777">
            <w:pPr>
              <w:jc w:val="center"/>
              <w:rPr>
                <w:rFonts w:cs="Calibri"/>
              </w:rPr>
            </w:pPr>
            <w:r w:rsidRPr="007D15C3">
              <w:rPr>
                <w:rFonts w:cs="Calibri"/>
              </w:rPr>
              <w:t>WMWC-TV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2DE955" w14:textId="77777777">
            <w:pPr>
              <w:rPr>
                <w:rFonts w:cs="Calibri"/>
              </w:rPr>
            </w:pPr>
            <w:r w:rsidRPr="007D15C3">
              <w:rPr>
                <w:rFonts w:cs="Calibri"/>
              </w:rPr>
              <w:t xml:space="preserve">             946,858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5D2E15" w14:textId="77777777">
            <w:pPr>
              <w:rPr>
                <w:rFonts w:cs="Calibri"/>
              </w:rPr>
            </w:pPr>
            <w:r w:rsidRPr="007D15C3">
              <w:rPr>
                <w:rFonts w:cs="Calibri"/>
              </w:rPr>
              <w:t xml:space="preserve">               916,989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BDAB0E" w14:textId="77777777">
            <w:pPr>
              <w:jc w:val="right"/>
              <w:rPr>
                <w:rFonts w:cs="Calibri"/>
              </w:rPr>
            </w:pPr>
            <w:r w:rsidRPr="007D15C3">
              <w:rPr>
                <w:rFonts w:cs="Calibri"/>
              </w:rPr>
              <w:t>$7,186</w:t>
            </w:r>
          </w:p>
        </w:tc>
      </w:tr>
      <w:tr w14:paraId="32CBB67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0E214A" w14:textId="77777777">
            <w:pPr>
              <w:jc w:val="center"/>
              <w:rPr>
                <w:rFonts w:cs="Calibri"/>
              </w:rPr>
            </w:pPr>
            <w:r w:rsidRPr="007D15C3">
              <w:rPr>
                <w:rFonts w:cs="Calibri"/>
              </w:rPr>
              <w:t>56548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1FFAE8" w14:textId="77777777">
            <w:pPr>
              <w:jc w:val="center"/>
              <w:rPr>
                <w:rFonts w:cs="Calibri"/>
              </w:rPr>
            </w:pPr>
            <w:r w:rsidRPr="007D15C3">
              <w:rPr>
                <w:rFonts w:cs="Calibri"/>
              </w:rPr>
              <w:t>WMYA-TV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E98D1E" w14:textId="77777777">
            <w:pPr>
              <w:rPr>
                <w:rFonts w:cs="Calibri"/>
              </w:rPr>
            </w:pPr>
            <w:r w:rsidRPr="007D15C3">
              <w:rPr>
                <w:rFonts w:cs="Calibri"/>
              </w:rPr>
              <w:t xml:space="preserve">          1,577,439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D79509" w14:textId="77777777">
            <w:pPr>
              <w:rPr>
                <w:rFonts w:cs="Calibri"/>
              </w:rPr>
            </w:pPr>
            <w:r w:rsidRPr="007D15C3">
              <w:rPr>
                <w:rFonts w:cs="Calibri"/>
              </w:rPr>
              <w:t xml:space="preserve">            1,516,026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7D4BA5" w14:textId="77777777">
            <w:pPr>
              <w:jc w:val="right"/>
              <w:rPr>
                <w:rFonts w:cs="Calibri"/>
              </w:rPr>
            </w:pPr>
            <w:r w:rsidRPr="007D15C3">
              <w:rPr>
                <w:rFonts w:cs="Calibri"/>
              </w:rPr>
              <w:t>$11,881</w:t>
            </w:r>
          </w:p>
        </w:tc>
      </w:tr>
      <w:tr w14:paraId="6241636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238536" w14:textId="77777777">
            <w:pPr>
              <w:jc w:val="center"/>
              <w:rPr>
                <w:rFonts w:cs="Calibri"/>
              </w:rPr>
            </w:pPr>
            <w:r w:rsidRPr="007D15C3">
              <w:rPr>
                <w:rFonts w:cs="Calibri"/>
              </w:rPr>
              <w:t>74211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BA593D" w14:textId="77777777">
            <w:pPr>
              <w:jc w:val="center"/>
              <w:rPr>
                <w:rFonts w:cs="Calibri"/>
              </w:rPr>
            </w:pPr>
            <w:r w:rsidRPr="007D15C3">
              <w:rPr>
                <w:rFonts w:cs="Calibri"/>
              </w:rPr>
              <w:t>WMYD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FE2CDC" w14:textId="77777777">
            <w:pPr>
              <w:rPr>
                <w:rFonts w:cs="Calibri"/>
              </w:rPr>
            </w:pPr>
            <w:r w:rsidRPr="007D15C3">
              <w:rPr>
                <w:rFonts w:cs="Calibri"/>
              </w:rPr>
              <w:t xml:space="preserve">          5,750,989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0BDA80" w14:textId="77777777">
            <w:pPr>
              <w:rPr>
                <w:rFonts w:cs="Calibri"/>
              </w:rPr>
            </w:pPr>
            <w:r w:rsidRPr="007D15C3">
              <w:rPr>
                <w:rFonts w:cs="Calibri"/>
              </w:rPr>
              <w:t xml:space="preserve">            5,750,873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CA2D87" w14:textId="77777777">
            <w:pPr>
              <w:jc w:val="right"/>
              <w:rPr>
                <w:rFonts w:cs="Calibri"/>
              </w:rPr>
            </w:pPr>
            <w:r w:rsidRPr="007D15C3">
              <w:rPr>
                <w:rFonts w:cs="Calibri"/>
              </w:rPr>
              <w:t>$45,070</w:t>
            </w:r>
          </w:p>
        </w:tc>
      </w:tr>
      <w:tr w14:paraId="34A496F7"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8EDAE2" w14:textId="77777777">
            <w:pPr>
              <w:jc w:val="center"/>
              <w:rPr>
                <w:rFonts w:cs="Calibri"/>
              </w:rPr>
            </w:pPr>
            <w:r w:rsidRPr="007D15C3">
              <w:rPr>
                <w:rFonts w:cs="Calibri"/>
              </w:rPr>
              <w:t>20624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06FC4A0" w14:textId="77777777">
            <w:pPr>
              <w:jc w:val="center"/>
              <w:rPr>
                <w:rFonts w:cs="Calibri"/>
              </w:rPr>
            </w:pPr>
            <w:r w:rsidRPr="007D15C3">
              <w:rPr>
                <w:rFonts w:cs="Calibri"/>
              </w:rPr>
              <w:t>WMYT-TV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AD714A1" w14:textId="77777777">
            <w:pPr>
              <w:rPr>
                <w:rFonts w:cs="Calibri"/>
              </w:rPr>
            </w:pPr>
            <w:r w:rsidRPr="007D15C3">
              <w:rPr>
                <w:rFonts w:cs="Calibri"/>
              </w:rPr>
              <w:t xml:space="preserve">          4,432,745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83F3602" w14:textId="77777777">
            <w:pPr>
              <w:rPr>
                <w:rFonts w:cs="Calibri"/>
              </w:rPr>
            </w:pPr>
            <w:r w:rsidRPr="007D15C3">
              <w:rPr>
                <w:rFonts w:cs="Calibri"/>
              </w:rPr>
              <w:t xml:space="preserve">            4,301,117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C07DC8B" w14:textId="77777777">
            <w:pPr>
              <w:jc w:val="right"/>
              <w:rPr>
                <w:rFonts w:cs="Calibri"/>
              </w:rPr>
            </w:pPr>
            <w:r w:rsidRPr="007D15C3">
              <w:rPr>
                <w:rFonts w:cs="Calibri"/>
              </w:rPr>
              <w:t>$33,708</w:t>
            </w:r>
          </w:p>
        </w:tc>
      </w:tr>
      <w:tr w14:paraId="215433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404CBC" w14:textId="77777777">
            <w:pPr>
              <w:jc w:val="center"/>
              <w:rPr>
                <w:rFonts w:cs="Calibri"/>
              </w:rPr>
            </w:pPr>
            <w:r w:rsidRPr="007D15C3">
              <w:rPr>
                <w:rFonts w:cs="Calibri"/>
              </w:rPr>
              <w:t>25544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CC9B52" w14:textId="77777777">
            <w:pPr>
              <w:jc w:val="center"/>
              <w:rPr>
                <w:rFonts w:cs="Calibri"/>
              </w:rPr>
            </w:pPr>
            <w:r w:rsidRPr="007D15C3">
              <w:rPr>
                <w:rFonts w:cs="Calibri"/>
              </w:rPr>
              <w:t>WMYV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6F5628" w14:textId="77777777">
            <w:pPr>
              <w:rPr>
                <w:rFonts w:cs="Calibri"/>
              </w:rPr>
            </w:pPr>
            <w:r w:rsidRPr="007D15C3">
              <w:rPr>
                <w:rFonts w:cs="Calibri"/>
              </w:rPr>
              <w:t xml:space="preserve">          3,808,852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490D4E" w14:textId="77777777">
            <w:pPr>
              <w:rPr>
                <w:rFonts w:cs="Calibri"/>
              </w:rPr>
            </w:pPr>
            <w:r w:rsidRPr="007D15C3">
              <w:rPr>
                <w:rFonts w:cs="Calibri"/>
              </w:rPr>
              <w:t xml:space="preserve">            3,786,057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903BD4" w14:textId="77777777">
            <w:pPr>
              <w:jc w:val="right"/>
              <w:rPr>
                <w:rFonts w:cs="Calibri"/>
              </w:rPr>
            </w:pPr>
            <w:r w:rsidRPr="007D15C3">
              <w:rPr>
                <w:rFonts w:cs="Calibri"/>
              </w:rPr>
              <w:t>$29,671</w:t>
            </w:r>
          </w:p>
        </w:tc>
      </w:tr>
      <w:tr w14:paraId="3B0060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4FFAEC" w14:textId="77777777">
            <w:pPr>
              <w:jc w:val="center"/>
              <w:rPr>
                <w:rFonts w:cs="Calibri"/>
              </w:rPr>
            </w:pPr>
            <w:r w:rsidRPr="007D15C3">
              <w:rPr>
                <w:rFonts w:cs="Calibri"/>
              </w:rPr>
              <w:t>73310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59FF9C" w14:textId="77777777">
            <w:pPr>
              <w:jc w:val="center"/>
              <w:rPr>
                <w:rFonts w:cs="Calibri"/>
              </w:rPr>
            </w:pPr>
            <w:r w:rsidRPr="007D15C3">
              <w:rPr>
                <w:rFonts w:cs="Calibri"/>
              </w:rPr>
              <w:t>WNAB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AFCF46" w14:textId="77777777">
            <w:pPr>
              <w:rPr>
                <w:rFonts w:cs="Calibri"/>
              </w:rPr>
            </w:pPr>
            <w:r w:rsidRPr="007D15C3">
              <w:rPr>
                <w:rFonts w:cs="Calibri"/>
              </w:rPr>
              <w:t xml:space="preserve">          2,072,197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AF94D5" w14:textId="77777777">
            <w:pPr>
              <w:rPr>
                <w:rFonts w:cs="Calibri"/>
              </w:rPr>
            </w:pPr>
            <w:r w:rsidRPr="007D15C3">
              <w:rPr>
                <w:rFonts w:cs="Calibri"/>
              </w:rPr>
              <w:t xml:space="preserve">            2,059,474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ED9881" w14:textId="77777777">
            <w:pPr>
              <w:jc w:val="right"/>
              <w:rPr>
                <w:rFonts w:cs="Calibri"/>
              </w:rPr>
            </w:pPr>
            <w:r w:rsidRPr="007D15C3">
              <w:rPr>
                <w:rFonts w:cs="Calibri"/>
              </w:rPr>
              <w:t>$16,140</w:t>
            </w:r>
          </w:p>
        </w:tc>
      </w:tr>
      <w:tr w14:paraId="175743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8AE369" w14:textId="77777777">
            <w:pPr>
              <w:jc w:val="center"/>
              <w:rPr>
                <w:rFonts w:cs="Calibri"/>
              </w:rPr>
            </w:pPr>
            <w:r w:rsidRPr="007D15C3">
              <w:rPr>
                <w:rFonts w:cs="Calibri"/>
              </w:rPr>
              <w:t>73311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42FCF3" w14:textId="77777777">
            <w:pPr>
              <w:jc w:val="center"/>
              <w:rPr>
                <w:rFonts w:cs="Calibri"/>
              </w:rPr>
            </w:pPr>
            <w:r w:rsidRPr="007D15C3">
              <w:rPr>
                <w:rFonts w:cs="Calibri"/>
              </w:rPr>
              <w:t>WNAC-TV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EECCE5" w14:textId="77777777">
            <w:pPr>
              <w:rPr>
                <w:rFonts w:cs="Calibri"/>
              </w:rPr>
            </w:pPr>
            <w:r w:rsidRPr="007D15C3">
              <w:rPr>
                <w:rFonts w:cs="Calibri"/>
              </w:rPr>
              <w:t xml:space="preserve">          7,310,183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374621" w14:textId="77777777">
            <w:pPr>
              <w:rPr>
                <w:rFonts w:cs="Calibri"/>
              </w:rPr>
            </w:pPr>
            <w:r w:rsidRPr="007D15C3">
              <w:rPr>
                <w:rFonts w:cs="Calibri"/>
              </w:rPr>
              <w:t xml:space="preserve">            6,959,064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8A5122" w14:textId="77777777">
            <w:pPr>
              <w:jc w:val="right"/>
              <w:rPr>
                <w:rFonts w:cs="Calibri"/>
              </w:rPr>
            </w:pPr>
            <w:r w:rsidRPr="007D15C3">
              <w:rPr>
                <w:rFonts w:cs="Calibri"/>
              </w:rPr>
              <w:t>$54,538</w:t>
            </w:r>
          </w:p>
        </w:tc>
      </w:tr>
      <w:tr w14:paraId="0353EB3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C9DC11" w14:textId="77777777">
            <w:pPr>
              <w:jc w:val="center"/>
              <w:rPr>
                <w:rFonts w:cs="Calibri"/>
              </w:rPr>
            </w:pPr>
            <w:r w:rsidRPr="007D15C3">
              <w:rPr>
                <w:rFonts w:cs="Calibri"/>
              </w:rPr>
              <w:t>47535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0C3F96" w14:textId="77777777">
            <w:pPr>
              <w:jc w:val="center"/>
              <w:rPr>
                <w:rFonts w:cs="Calibri"/>
              </w:rPr>
            </w:pPr>
            <w:r w:rsidRPr="007D15C3">
              <w:rPr>
                <w:rFonts w:cs="Calibri"/>
              </w:rPr>
              <w:t>WNBC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F014F1" w14:textId="77777777">
            <w:pPr>
              <w:rPr>
                <w:rFonts w:cs="Calibri"/>
              </w:rPr>
            </w:pPr>
            <w:r w:rsidRPr="007D15C3">
              <w:rPr>
                <w:rFonts w:cs="Calibri"/>
              </w:rPr>
              <w:t xml:space="preserve">        20,072,714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6024E9" w14:textId="77777777">
            <w:pPr>
              <w:rPr>
                <w:rFonts w:cs="Calibri"/>
              </w:rPr>
            </w:pPr>
            <w:r w:rsidRPr="007D15C3">
              <w:rPr>
                <w:rFonts w:cs="Calibri"/>
              </w:rPr>
              <w:t xml:space="preserve">          19,699,252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74E3CC" w14:textId="77777777">
            <w:pPr>
              <w:jc w:val="right"/>
              <w:rPr>
                <w:rFonts w:cs="Calibri"/>
              </w:rPr>
            </w:pPr>
            <w:r w:rsidRPr="007D15C3">
              <w:rPr>
                <w:rFonts w:cs="Calibri"/>
              </w:rPr>
              <w:t>$154,383</w:t>
            </w:r>
          </w:p>
        </w:tc>
      </w:tr>
      <w:tr w14:paraId="0B1761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7287B9" w14:textId="77777777">
            <w:pPr>
              <w:jc w:val="center"/>
              <w:rPr>
                <w:rFonts w:cs="Calibri"/>
              </w:rPr>
            </w:pPr>
            <w:r w:rsidRPr="007D15C3">
              <w:rPr>
                <w:rFonts w:cs="Calibri"/>
              </w:rPr>
              <w:t>83965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CDA4A4" w14:textId="77777777">
            <w:pPr>
              <w:jc w:val="center"/>
              <w:rPr>
                <w:rFonts w:cs="Calibri"/>
              </w:rPr>
            </w:pPr>
            <w:r w:rsidRPr="007D15C3">
              <w:rPr>
                <w:rFonts w:cs="Calibri"/>
              </w:rPr>
              <w:t>WNBW-DT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320FA7" w14:textId="77777777">
            <w:pPr>
              <w:rPr>
                <w:rFonts w:cs="Calibri"/>
              </w:rPr>
            </w:pPr>
            <w:r w:rsidRPr="007D15C3">
              <w:rPr>
                <w:rFonts w:cs="Calibri"/>
              </w:rPr>
              <w:t xml:space="preserve">             633,243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8F5EF9" w14:textId="77777777">
            <w:pPr>
              <w:rPr>
                <w:rFonts w:cs="Calibri"/>
              </w:rPr>
            </w:pPr>
            <w:r w:rsidRPr="007D15C3">
              <w:rPr>
                <w:rFonts w:cs="Calibri"/>
              </w:rPr>
              <w:t xml:space="preserve">               631,197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3B401C" w14:textId="77777777">
            <w:pPr>
              <w:jc w:val="right"/>
              <w:rPr>
                <w:rFonts w:cs="Calibri"/>
              </w:rPr>
            </w:pPr>
            <w:r w:rsidRPr="007D15C3">
              <w:rPr>
                <w:rFonts w:cs="Calibri"/>
              </w:rPr>
              <w:t>$4,947</w:t>
            </w:r>
          </w:p>
        </w:tc>
      </w:tr>
      <w:tr w14:paraId="0EA1BA2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F95C2A" w14:textId="77777777">
            <w:pPr>
              <w:jc w:val="center"/>
              <w:rPr>
                <w:rFonts w:cs="Calibri"/>
              </w:rPr>
            </w:pPr>
            <w:r w:rsidRPr="007D15C3">
              <w:rPr>
                <w:rFonts w:cs="Calibri"/>
              </w:rPr>
              <w:t>72307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518149" w14:textId="77777777">
            <w:pPr>
              <w:jc w:val="center"/>
              <w:rPr>
                <w:rFonts w:cs="Calibri"/>
              </w:rPr>
            </w:pPr>
            <w:r w:rsidRPr="007D15C3">
              <w:rPr>
                <w:rFonts w:cs="Calibri"/>
              </w:rPr>
              <w:t>WNCF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D9B90B" w14:textId="77777777">
            <w:pPr>
              <w:rPr>
                <w:rFonts w:cs="Calibri"/>
              </w:rPr>
            </w:pPr>
            <w:r w:rsidRPr="007D15C3">
              <w:rPr>
                <w:rFonts w:cs="Calibri"/>
              </w:rPr>
              <w:t xml:space="preserve">             667,683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9CA7A6" w14:textId="77777777">
            <w:pPr>
              <w:rPr>
                <w:rFonts w:cs="Calibri"/>
              </w:rPr>
            </w:pPr>
            <w:r w:rsidRPr="007D15C3">
              <w:rPr>
                <w:rFonts w:cs="Calibri"/>
              </w:rPr>
              <w:t xml:space="preserve">               665,950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D85E2D" w14:textId="77777777">
            <w:pPr>
              <w:jc w:val="right"/>
              <w:rPr>
                <w:rFonts w:cs="Calibri"/>
              </w:rPr>
            </w:pPr>
            <w:r w:rsidRPr="007D15C3">
              <w:rPr>
                <w:rFonts w:cs="Calibri"/>
              </w:rPr>
              <w:t>$5,219</w:t>
            </w:r>
          </w:p>
        </w:tc>
      </w:tr>
      <w:tr w14:paraId="200162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D6ED017" w14:textId="77777777">
            <w:pPr>
              <w:jc w:val="center"/>
              <w:rPr>
                <w:rFonts w:cs="Calibri"/>
              </w:rPr>
            </w:pPr>
            <w:r w:rsidRPr="007D15C3">
              <w:rPr>
                <w:rFonts w:cs="Calibri"/>
              </w:rPr>
              <w:t>50782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31FA77" w14:textId="77777777">
            <w:pPr>
              <w:jc w:val="center"/>
              <w:rPr>
                <w:rFonts w:cs="Calibri"/>
              </w:rPr>
            </w:pPr>
            <w:r w:rsidRPr="007D15C3">
              <w:rPr>
                <w:rFonts w:cs="Calibri"/>
              </w:rPr>
              <w:t>WNCN*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6287AA" w14:textId="77777777">
            <w:pPr>
              <w:rPr>
                <w:rFonts w:cs="Calibri"/>
              </w:rPr>
            </w:pPr>
            <w:r w:rsidRPr="007D15C3">
              <w:rPr>
                <w:rFonts w:cs="Calibri"/>
              </w:rPr>
              <w:t xml:space="preserve">          3,795,494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FB55D5" w14:textId="77777777">
            <w:pPr>
              <w:rPr>
                <w:rFonts w:cs="Calibri"/>
              </w:rPr>
            </w:pPr>
            <w:r w:rsidRPr="007D15C3">
              <w:rPr>
                <w:rFonts w:cs="Calibri"/>
              </w:rPr>
              <w:t xml:space="preserve">            3,783,131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189462" w14:textId="77777777">
            <w:pPr>
              <w:jc w:val="right"/>
              <w:rPr>
                <w:rFonts w:cs="Calibri"/>
              </w:rPr>
            </w:pPr>
            <w:r w:rsidRPr="007D15C3">
              <w:rPr>
                <w:rFonts w:cs="Calibri"/>
              </w:rPr>
              <w:t>$29,648</w:t>
            </w:r>
          </w:p>
        </w:tc>
      </w:tr>
      <w:tr w14:paraId="2F46F4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37F4DD" w14:textId="77777777">
            <w:pPr>
              <w:jc w:val="center"/>
              <w:rPr>
                <w:rFonts w:cs="Calibri"/>
              </w:rPr>
            </w:pPr>
            <w:r w:rsidRPr="007D15C3">
              <w:rPr>
                <w:rFonts w:cs="Calibri"/>
              </w:rPr>
              <w:t>57838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DB9AA70" w14:textId="77777777">
            <w:pPr>
              <w:jc w:val="center"/>
              <w:rPr>
                <w:rFonts w:cs="Calibri"/>
              </w:rPr>
            </w:pPr>
            <w:r w:rsidRPr="007D15C3">
              <w:rPr>
                <w:rFonts w:cs="Calibri"/>
              </w:rPr>
              <w:t>WNCT-TV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CC50BF" w14:textId="77777777">
            <w:pPr>
              <w:rPr>
                <w:rFonts w:cs="Calibri"/>
              </w:rPr>
            </w:pPr>
            <w:r w:rsidRPr="007D15C3">
              <w:rPr>
                <w:rFonts w:cs="Calibri"/>
              </w:rPr>
              <w:t xml:space="preserve">          1,933,527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4282DC" w14:textId="77777777">
            <w:pPr>
              <w:rPr>
                <w:rFonts w:cs="Calibri"/>
              </w:rPr>
            </w:pPr>
            <w:r w:rsidRPr="007D15C3">
              <w:rPr>
                <w:rFonts w:cs="Calibri"/>
              </w:rPr>
              <w:t xml:space="preserve">            1,879,655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A2F2BC" w14:textId="77777777">
            <w:pPr>
              <w:jc w:val="right"/>
              <w:rPr>
                <w:rFonts w:cs="Calibri"/>
              </w:rPr>
            </w:pPr>
            <w:r w:rsidRPr="007D15C3">
              <w:rPr>
                <w:rFonts w:cs="Calibri"/>
              </w:rPr>
              <w:t>$14,731</w:t>
            </w:r>
          </w:p>
        </w:tc>
      </w:tr>
      <w:tr w14:paraId="55441E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26987F" w14:textId="77777777">
            <w:pPr>
              <w:jc w:val="center"/>
              <w:rPr>
                <w:rFonts w:cs="Calibri"/>
              </w:rPr>
            </w:pPr>
            <w:r w:rsidRPr="007D15C3">
              <w:rPr>
                <w:rFonts w:cs="Calibri"/>
              </w:rPr>
              <w:t>41674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B52AAF" w14:textId="77777777">
            <w:pPr>
              <w:jc w:val="center"/>
              <w:rPr>
                <w:rFonts w:cs="Calibri"/>
              </w:rPr>
            </w:pPr>
            <w:r w:rsidRPr="007D15C3">
              <w:rPr>
                <w:rFonts w:cs="Calibri"/>
              </w:rPr>
              <w:t>WNDU-TV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3360A8" w14:textId="77777777">
            <w:pPr>
              <w:rPr>
                <w:rFonts w:cs="Calibri"/>
              </w:rPr>
            </w:pPr>
            <w:r w:rsidRPr="007D15C3">
              <w:rPr>
                <w:rFonts w:cs="Calibri"/>
              </w:rPr>
              <w:t xml:space="preserve">          1,807,909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0FC1DB" w14:textId="77777777">
            <w:pPr>
              <w:rPr>
                <w:rFonts w:cs="Calibri"/>
              </w:rPr>
            </w:pPr>
            <w:r w:rsidRPr="007D15C3">
              <w:rPr>
                <w:rFonts w:cs="Calibri"/>
              </w:rPr>
              <w:t xml:space="preserve">            1,783,617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8CCA93" w14:textId="77777777">
            <w:pPr>
              <w:jc w:val="right"/>
              <w:rPr>
                <w:rFonts w:cs="Calibri"/>
              </w:rPr>
            </w:pPr>
            <w:r w:rsidRPr="007D15C3">
              <w:rPr>
                <w:rFonts w:cs="Calibri"/>
              </w:rPr>
              <w:t>$13,978</w:t>
            </w:r>
          </w:p>
        </w:tc>
      </w:tr>
      <w:tr w14:paraId="1A1D8E6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6531CA" w14:textId="77777777">
            <w:pPr>
              <w:jc w:val="center"/>
              <w:rPr>
                <w:rFonts w:cs="Calibri"/>
              </w:rPr>
            </w:pPr>
            <w:r w:rsidRPr="007D15C3">
              <w:rPr>
                <w:rFonts w:cs="Calibri"/>
              </w:rPr>
              <w:t>28462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33EB7A" w14:textId="77777777">
            <w:pPr>
              <w:jc w:val="center"/>
              <w:rPr>
                <w:rFonts w:cs="Calibri"/>
              </w:rPr>
            </w:pPr>
            <w:r w:rsidRPr="007D15C3">
              <w:rPr>
                <w:rFonts w:cs="Calibri"/>
              </w:rPr>
              <w:t>WNDY-TV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DD59AB" w14:textId="77777777">
            <w:pPr>
              <w:rPr>
                <w:rFonts w:cs="Calibri"/>
              </w:rPr>
            </w:pPr>
            <w:r w:rsidRPr="007D15C3">
              <w:rPr>
                <w:rFonts w:cs="Calibri"/>
              </w:rPr>
              <w:t xml:space="preserve">          2,912,963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C5F7BA" w14:textId="77777777">
            <w:pPr>
              <w:rPr>
                <w:rFonts w:cs="Calibri"/>
              </w:rPr>
            </w:pPr>
            <w:r w:rsidRPr="007D15C3">
              <w:rPr>
                <w:rFonts w:cs="Calibri"/>
              </w:rPr>
              <w:t xml:space="preserve">            2,855,253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BD3EC2" w14:textId="77777777">
            <w:pPr>
              <w:jc w:val="right"/>
              <w:rPr>
                <w:rFonts w:cs="Calibri"/>
              </w:rPr>
            </w:pPr>
            <w:r w:rsidRPr="007D15C3">
              <w:rPr>
                <w:rFonts w:cs="Calibri"/>
              </w:rPr>
              <w:t>$22,377</w:t>
            </w:r>
          </w:p>
        </w:tc>
      </w:tr>
      <w:tr w14:paraId="7E3FE2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ED65AD" w14:textId="77777777">
            <w:pPr>
              <w:jc w:val="center"/>
              <w:rPr>
                <w:rFonts w:cs="Calibri"/>
              </w:rPr>
            </w:pPr>
            <w:r w:rsidRPr="007D15C3">
              <w:rPr>
                <w:rFonts w:cs="Calibri"/>
              </w:rPr>
              <w:t>71928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6290A4" w14:textId="77777777">
            <w:pPr>
              <w:jc w:val="center"/>
              <w:rPr>
                <w:rFonts w:cs="Calibri"/>
              </w:rPr>
            </w:pPr>
            <w:r w:rsidRPr="007D15C3">
              <w:rPr>
                <w:rFonts w:cs="Calibri"/>
              </w:rPr>
              <w:t>WNED-TV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53A18B" w14:textId="77777777">
            <w:pPr>
              <w:rPr>
                <w:rFonts w:cs="Calibri"/>
              </w:rPr>
            </w:pPr>
            <w:r w:rsidRPr="007D15C3">
              <w:rPr>
                <w:rFonts w:cs="Calibri"/>
              </w:rPr>
              <w:t xml:space="preserve">          1,364,333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6933A8" w14:textId="77777777">
            <w:pPr>
              <w:rPr>
                <w:rFonts w:cs="Calibri"/>
              </w:rPr>
            </w:pPr>
            <w:r w:rsidRPr="007D15C3">
              <w:rPr>
                <w:rFonts w:cs="Calibri"/>
              </w:rPr>
              <w:t xml:space="preserve">            1,349,085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EF73F1" w14:textId="77777777">
            <w:pPr>
              <w:jc w:val="right"/>
              <w:rPr>
                <w:rFonts w:cs="Calibri"/>
              </w:rPr>
            </w:pPr>
            <w:r w:rsidRPr="007D15C3">
              <w:rPr>
                <w:rFonts w:cs="Calibri"/>
              </w:rPr>
              <w:t>$10,573</w:t>
            </w:r>
          </w:p>
        </w:tc>
      </w:tr>
      <w:tr w14:paraId="309C11E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DE75CB" w14:textId="77777777">
            <w:pPr>
              <w:jc w:val="center"/>
              <w:rPr>
                <w:rFonts w:cs="Calibri"/>
              </w:rPr>
            </w:pPr>
            <w:r w:rsidRPr="007D15C3">
              <w:rPr>
                <w:rFonts w:cs="Calibri"/>
              </w:rPr>
              <w:t>60931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59D2E0" w14:textId="77777777">
            <w:pPr>
              <w:jc w:val="center"/>
              <w:rPr>
                <w:rFonts w:cs="Calibri"/>
              </w:rPr>
            </w:pPr>
            <w:r w:rsidRPr="007D15C3">
              <w:rPr>
                <w:rFonts w:cs="Calibri"/>
              </w:rPr>
              <w:t>WNEH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FBA507" w14:textId="77777777">
            <w:pPr>
              <w:rPr>
                <w:rFonts w:cs="Calibri"/>
              </w:rPr>
            </w:pPr>
            <w:r w:rsidRPr="007D15C3">
              <w:rPr>
                <w:rFonts w:cs="Calibri"/>
              </w:rPr>
              <w:t xml:space="preserve">          1,261,482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F6EC97" w14:textId="77777777">
            <w:pPr>
              <w:rPr>
                <w:rFonts w:cs="Calibri"/>
              </w:rPr>
            </w:pPr>
            <w:r w:rsidRPr="007D15C3">
              <w:rPr>
                <w:rFonts w:cs="Calibri"/>
              </w:rPr>
              <w:t xml:space="preserve">            1,255,218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DF17AC" w14:textId="77777777">
            <w:pPr>
              <w:jc w:val="right"/>
              <w:rPr>
                <w:rFonts w:cs="Calibri"/>
              </w:rPr>
            </w:pPr>
            <w:r w:rsidRPr="007D15C3">
              <w:rPr>
                <w:rFonts w:cs="Calibri"/>
              </w:rPr>
              <w:t>$9,837</w:t>
            </w:r>
          </w:p>
        </w:tc>
      </w:tr>
      <w:tr w14:paraId="09A5FC2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E66A9E5" w14:textId="77777777">
            <w:pPr>
              <w:jc w:val="center"/>
              <w:rPr>
                <w:rFonts w:cs="Calibri"/>
              </w:rPr>
            </w:pPr>
            <w:r w:rsidRPr="007D15C3">
              <w:rPr>
                <w:rFonts w:cs="Calibri"/>
              </w:rPr>
              <w:t>41221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90A921" w14:textId="77777777">
            <w:pPr>
              <w:jc w:val="center"/>
              <w:rPr>
                <w:rFonts w:cs="Calibri"/>
              </w:rPr>
            </w:pPr>
            <w:r w:rsidRPr="007D15C3">
              <w:rPr>
                <w:rFonts w:cs="Calibri"/>
              </w:rPr>
              <w:t>WNEM-TV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B54968" w14:textId="77777777">
            <w:pPr>
              <w:rPr>
                <w:rFonts w:cs="Calibri"/>
              </w:rPr>
            </w:pPr>
            <w:r w:rsidRPr="007D15C3">
              <w:rPr>
                <w:rFonts w:cs="Calibri"/>
              </w:rPr>
              <w:t xml:space="preserve">          1,617,082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CDDC58" w14:textId="77777777">
            <w:pPr>
              <w:rPr>
                <w:rFonts w:cs="Calibri"/>
              </w:rPr>
            </w:pPr>
            <w:r w:rsidRPr="007D15C3">
              <w:rPr>
                <w:rFonts w:cs="Calibri"/>
              </w:rPr>
              <w:t xml:space="preserve">            1,612,561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8AF356" w14:textId="77777777">
            <w:pPr>
              <w:jc w:val="right"/>
              <w:rPr>
                <w:rFonts w:cs="Calibri"/>
              </w:rPr>
            </w:pPr>
            <w:r w:rsidRPr="007D15C3">
              <w:rPr>
                <w:rFonts w:cs="Calibri"/>
              </w:rPr>
              <w:t>$12,638</w:t>
            </w:r>
          </w:p>
        </w:tc>
      </w:tr>
      <w:tr w14:paraId="64ABEDE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C6B902" w14:textId="77777777">
            <w:pPr>
              <w:jc w:val="center"/>
              <w:rPr>
                <w:rFonts w:cs="Calibri"/>
              </w:rPr>
            </w:pPr>
            <w:r w:rsidRPr="007D15C3">
              <w:rPr>
                <w:rFonts w:cs="Calibri"/>
              </w:rPr>
              <w:t>49439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B469F4" w14:textId="77777777">
            <w:pPr>
              <w:jc w:val="center"/>
              <w:rPr>
                <w:rFonts w:cs="Calibri"/>
              </w:rPr>
            </w:pPr>
            <w:r w:rsidRPr="007D15C3">
              <w:rPr>
                <w:rFonts w:cs="Calibri"/>
              </w:rPr>
              <w:t>WNEO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518285" w14:textId="77777777">
            <w:pPr>
              <w:rPr>
                <w:rFonts w:cs="Calibri"/>
              </w:rPr>
            </w:pPr>
            <w:r w:rsidRPr="007D15C3">
              <w:rPr>
                <w:rFonts w:cs="Calibri"/>
              </w:rPr>
              <w:t xml:space="preserve">          3,151,964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08E9BB" w14:textId="77777777">
            <w:pPr>
              <w:rPr>
                <w:rFonts w:cs="Calibri"/>
              </w:rPr>
            </w:pPr>
            <w:r w:rsidRPr="007D15C3">
              <w:rPr>
                <w:rFonts w:cs="Calibri"/>
              </w:rPr>
              <w:t xml:space="preserve">            3,105,545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FB745D" w14:textId="77777777">
            <w:pPr>
              <w:jc w:val="right"/>
              <w:rPr>
                <w:rFonts w:cs="Calibri"/>
              </w:rPr>
            </w:pPr>
            <w:r w:rsidRPr="007D15C3">
              <w:rPr>
                <w:rFonts w:cs="Calibri"/>
              </w:rPr>
              <w:t>$24,338</w:t>
            </w:r>
          </w:p>
        </w:tc>
      </w:tr>
      <w:tr w14:paraId="12223D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D36448" w14:textId="77777777">
            <w:pPr>
              <w:jc w:val="center"/>
              <w:rPr>
                <w:rFonts w:cs="Calibri"/>
              </w:rPr>
            </w:pPr>
            <w:r w:rsidRPr="007D15C3">
              <w:rPr>
                <w:rFonts w:cs="Calibri"/>
              </w:rPr>
              <w:t>73318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BAE70F" w14:textId="77777777">
            <w:pPr>
              <w:jc w:val="center"/>
              <w:rPr>
                <w:rFonts w:cs="Calibri"/>
              </w:rPr>
            </w:pPr>
            <w:r w:rsidRPr="007D15C3">
              <w:rPr>
                <w:rFonts w:cs="Calibri"/>
              </w:rPr>
              <w:t>WNEP-TV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3F208A" w14:textId="77777777">
            <w:pPr>
              <w:rPr>
                <w:rFonts w:cs="Calibri"/>
              </w:rPr>
            </w:pPr>
            <w:r w:rsidRPr="007D15C3">
              <w:rPr>
                <w:rFonts w:cs="Calibri"/>
              </w:rPr>
              <w:t xml:space="preserve">          3,131,848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D00BCD" w14:textId="77777777">
            <w:pPr>
              <w:rPr>
                <w:rFonts w:cs="Calibri"/>
              </w:rPr>
            </w:pPr>
            <w:r w:rsidRPr="007D15C3">
              <w:rPr>
                <w:rFonts w:cs="Calibri"/>
              </w:rPr>
              <w:t xml:space="preserve">            2,484,949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617DC2" w14:textId="77777777">
            <w:pPr>
              <w:jc w:val="right"/>
              <w:rPr>
                <w:rFonts w:cs="Calibri"/>
              </w:rPr>
            </w:pPr>
            <w:r w:rsidRPr="007D15C3">
              <w:rPr>
                <w:rFonts w:cs="Calibri"/>
              </w:rPr>
              <w:t>$19,475</w:t>
            </w:r>
          </w:p>
        </w:tc>
      </w:tr>
      <w:tr w14:paraId="51CD7C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9DBF39" w14:textId="77777777">
            <w:pPr>
              <w:jc w:val="center"/>
              <w:rPr>
                <w:rFonts w:cs="Calibri"/>
              </w:rPr>
            </w:pPr>
            <w:r w:rsidRPr="007D15C3">
              <w:rPr>
                <w:rFonts w:cs="Calibri"/>
              </w:rPr>
              <w:t>18795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BDCD3E" w14:textId="77777777">
            <w:pPr>
              <w:jc w:val="center"/>
              <w:rPr>
                <w:rFonts w:cs="Calibri"/>
              </w:rPr>
            </w:pPr>
            <w:r w:rsidRPr="007D15C3">
              <w:rPr>
                <w:rFonts w:cs="Calibri"/>
              </w:rPr>
              <w:t>WNET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778DB5" w14:textId="77777777">
            <w:pPr>
              <w:rPr>
                <w:rFonts w:cs="Calibri"/>
              </w:rPr>
            </w:pPr>
            <w:r w:rsidRPr="007D15C3">
              <w:rPr>
                <w:rFonts w:cs="Calibri"/>
              </w:rPr>
              <w:t xml:space="preserve">        20,826,756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84057C" w14:textId="77777777">
            <w:pPr>
              <w:rPr>
                <w:rFonts w:cs="Calibri"/>
              </w:rPr>
            </w:pPr>
            <w:r w:rsidRPr="007D15C3">
              <w:rPr>
                <w:rFonts w:cs="Calibri"/>
              </w:rPr>
              <w:t xml:space="preserve">          20,387,649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D350BE" w14:textId="77777777">
            <w:pPr>
              <w:jc w:val="right"/>
              <w:rPr>
                <w:rFonts w:cs="Calibri"/>
              </w:rPr>
            </w:pPr>
            <w:r w:rsidRPr="007D15C3">
              <w:rPr>
                <w:rFonts w:cs="Calibri"/>
              </w:rPr>
              <w:t>$159,778</w:t>
            </w:r>
          </w:p>
        </w:tc>
      </w:tr>
      <w:tr w14:paraId="591E0EC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1C5E94" w14:textId="77777777">
            <w:pPr>
              <w:jc w:val="center"/>
              <w:rPr>
                <w:rFonts w:cs="Calibri"/>
              </w:rPr>
            </w:pPr>
            <w:r w:rsidRPr="007D15C3">
              <w:rPr>
                <w:rFonts w:cs="Calibri"/>
              </w:rPr>
              <w:t>51864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653088" w14:textId="77777777">
            <w:pPr>
              <w:jc w:val="center"/>
              <w:rPr>
                <w:rFonts w:cs="Calibri"/>
              </w:rPr>
            </w:pPr>
            <w:r w:rsidRPr="007D15C3">
              <w:rPr>
                <w:rFonts w:cs="Calibri"/>
              </w:rPr>
              <w:t>WNEU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037FEF" w14:textId="77777777">
            <w:pPr>
              <w:rPr>
                <w:rFonts w:cs="Calibri"/>
              </w:rPr>
            </w:pPr>
            <w:r w:rsidRPr="007D15C3">
              <w:rPr>
                <w:rFonts w:cs="Calibri"/>
              </w:rPr>
              <w:t xml:space="preserve">          3,471,700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4FEC50" w14:textId="77777777">
            <w:pPr>
              <w:rPr>
                <w:rFonts w:cs="Calibri"/>
              </w:rPr>
            </w:pPr>
            <w:r w:rsidRPr="007D15C3">
              <w:rPr>
                <w:rFonts w:cs="Calibri"/>
              </w:rPr>
              <w:t xml:space="preserve">            3,354,177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29869D" w14:textId="77777777">
            <w:pPr>
              <w:jc w:val="right"/>
              <w:rPr>
                <w:rFonts w:cs="Calibri"/>
              </w:rPr>
            </w:pPr>
            <w:r w:rsidRPr="007D15C3">
              <w:rPr>
                <w:rFonts w:cs="Calibri"/>
              </w:rPr>
              <w:t>$26,287</w:t>
            </w:r>
          </w:p>
        </w:tc>
      </w:tr>
      <w:tr w14:paraId="0B23BB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2A992C" w14:textId="77777777">
            <w:pPr>
              <w:jc w:val="center"/>
              <w:rPr>
                <w:rFonts w:cs="Calibri"/>
              </w:rPr>
            </w:pPr>
            <w:r w:rsidRPr="007D15C3">
              <w:rPr>
                <w:rFonts w:cs="Calibri"/>
              </w:rPr>
              <w:t>23942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4330DD" w14:textId="77777777">
            <w:pPr>
              <w:jc w:val="center"/>
              <w:rPr>
                <w:rFonts w:cs="Calibri"/>
              </w:rPr>
            </w:pPr>
            <w:r w:rsidRPr="007D15C3">
              <w:rPr>
                <w:rFonts w:cs="Calibri"/>
              </w:rPr>
              <w:t>WNGH-TV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B635C6" w14:textId="77777777">
            <w:pPr>
              <w:rPr>
                <w:rFonts w:cs="Calibri"/>
              </w:rPr>
            </w:pPr>
            <w:r w:rsidRPr="007D15C3">
              <w:rPr>
                <w:rFonts w:cs="Calibri"/>
              </w:rPr>
              <w:t xml:space="preserve">          3,715,479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39BC34" w14:textId="77777777">
            <w:pPr>
              <w:rPr>
                <w:rFonts w:cs="Calibri"/>
              </w:rPr>
            </w:pPr>
            <w:r w:rsidRPr="007D15C3">
              <w:rPr>
                <w:rFonts w:cs="Calibri"/>
              </w:rPr>
              <w:t xml:space="preserve">            3,482,438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F5F77A" w14:textId="77777777">
            <w:pPr>
              <w:jc w:val="right"/>
              <w:rPr>
                <w:rFonts w:cs="Calibri"/>
              </w:rPr>
            </w:pPr>
            <w:r w:rsidRPr="007D15C3">
              <w:rPr>
                <w:rFonts w:cs="Calibri"/>
              </w:rPr>
              <w:t>$27,292</w:t>
            </w:r>
          </w:p>
        </w:tc>
      </w:tr>
      <w:tr w14:paraId="02020D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EED8DB" w14:textId="77777777">
            <w:pPr>
              <w:jc w:val="center"/>
              <w:rPr>
                <w:rFonts w:cs="Calibri"/>
              </w:rPr>
            </w:pPr>
            <w:r w:rsidRPr="007D15C3">
              <w:rPr>
                <w:rFonts w:cs="Calibri"/>
              </w:rPr>
              <w:t>67802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023981" w14:textId="77777777">
            <w:pPr>
              <w:jc w:val="center"/>
              <w:rPr>
                <w:rFonts w:cs="Calibri"/>
              </w:rPr>
            </w:pPr>
            <w:r w:rsidRPr="007D15C3">
              <w:rPr>
                <w:rFonts w:cs="Calibri"/>
              </w:rPr>
              <w:t>WNIN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64CBBA" w14:textId="77777777">
            <w:pPr>
              <w:rPr>
                <w:rFonts w:cs="Calibri"/>
              </w:rPr>
            </w:pPr>
            <w:r w:rsidRPr="007D15C3">
              <w:rPr>
                <w:rFonts w:cs="Calibri"/>
              </w:rPr>
              <w:t xml:space="preserve">             883,322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E86B72" w14:textId="77777777">
            <w:pPr>
              <w:rPr>
                <w:rFonts w:cs="Calibri"/>
              </w:rPr>
            </w:pPr>
            <w:r w:rsidRPr="007D15C3">
              <w:rPr>
                <w:rFonts w:cs="Calibri"/>
              </w:rPr>
              <w:t xml:space="preserve">               865,128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6EDC30" w14:textId="77777777">
            <w:pPr>
              <w:jc w:val="right"/>
              <w:rPr>
                <w:rFonts w:cs="Calibri"/>
              </w:rPr>
            </w:pPr>
            <w:r w:rsidRPr="007D15C3">
              <w:rPr>
                <w:rFonts w:cs="Calibri"/>
              </w:rPr>
              <w:t>$6,780</w:t>
            </w:r>
          </w:p>
        </w:tc>
      </w:tr>
      <w:tr w14:paraId="5614F9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C26A93" w14:textId="77777777">
            <w:pPr>
              <w:jc w:val="center"/>
              <w:rPr>
                <w:rFonts w:cs="Calibri"/>
              </w:rPr>
            </w:pPr>
            <w:r w:rsidRPr="007D15C3">
              <w:rPr>
                <w:rFonts w:cs="Calibri"/>
              </w:rPr>
              <w:t>41671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7F5095" w14:textId="77777777">
            <w:pPr>
              <w:jc w:val="center"/>
              <w:rPr>
                <w:rFonts w:cs="Calibri"/>
              </w:rPr>
            </w:pPr>
            <w:r w:rsidRPr="007D15C3">
              <w:rPr>
                <w:rFonts w:cs="Calibri"/>
              </w:rPr>
              <w:t>WNIT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436A66" w14:textId="77777777">
            <w:pPr>
              <w:rPr>
                <w:rFonts w:cs="Calibri"/>
              </w:rPr>
            </w:pPr>
            <w:r w:rsidRPr="007D15C3">
              <w:rPr>
                <w:rFonts w:cs="Calibri"/>
              </w:rPr>
              <w:t xml:space="preserve">          1,298,159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55B813" w14:textId="77777777">
            <w:pPr>
              <w:rPr>
                <w:rFonts w:cs="Calibri"/>
              </w:rPr>
            </w:pPr>
            <w:r w:rsidRPr="007D15C3">
              <w:rPr>
                <w:rFonts w:cs="Calibri"/>
              </w:rPr>
              <w:t xml:space="preserve">            1,298,159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8395C1" w14:textId="77777777">
            <w:pPr>
              <w:jc w:val="right"/>
              <w:rPr>
                <w:rFonts w:cs="Calibri"/>
              </w:rPr>
            </w:pPr>
            <w:r w:rsidRPr="007D15C3">
              <w:rPr>
                <w:rFonts w:cs="Calibri"/>
              </w:rPr>
              <w:t>$10,174</w:t>
            </w:r>
          </w:p>
        </w:tc>
      </w:tr>
      <w:tr w14:paraId="31D7CC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BB8FFA" w14:textId="77777777">
            <w:pPr>
              <w:jc w:val="center"/>
              <w:rPr>
                <w:rFonts w:cs="Calibri"/>
              </w:rPr>
            </w:pPr>
            <w:r w:rsidRPr="007D15C3">
              <w:rPr>
                <w:rFonts w:cs="Calibri"/>
              </w:rPr>
              <w:t>48457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8F6F1F" w14:textId="77777777">
            <w:pPr>
              <w:jc w:val="center"/>
              <w:rPr>
                <w:rFonts w:cs="Calibri"/>
              </w:rPr>
            </w:pPr>
            <w:r w:rsidRPr="007D15C3">
              <w:rPr>
                <w:rFonts w:cs="Calibri"/>
              </w:rPr>
              <w:t>WNJB*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A6B122" w14:textId="77777777">
            <w:pPr>
              <w:rPr>
                <w:rFonts w:cs="Calibri"/>
              </w:rPr>
            </w:pPr>
            <w:r w:rsidRPr="007D15C3">
              <w:rPr>
                <w:rFonts w:cs="Calibri"/>
              </w:rPr>
              <w:t xml:space="preserve">        20,787,272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E63A06" w14:textId="77777777">
            <w:pPr>
              <w:rPr>
                <w:rFonts w:cs="Calibri"/>
              </w:rPr>
            </w:pPr>
            <w:r w:rsidRPr="007D15C3">
              <w:rPr>
                <w:rFonts w:cs="Calibri"/>
              </w:rPr>
              <w:t xml:space="preserve">          20,036,393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4CB565" w14:textId="77777777">
            <w:pPr>
              <w:jc w:val="right"/>
              <w:rPr>
                <w:rFonts w:cs="Calibri"/>
              </w:rPr>
            </w:pPr>
            <w:r w:rsidRPr="007D15C3">
              <w:rPr>
                <w:rFonts w:cs="Calibri"/>
              </w:rPr>
              <w:t>$157,025</w:t>
            </w:r>
          </w:p>
        </w:tc>
      </w:tr>
      <w:tr w14:paraId="563169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DC38A5" w14:textId="77777777">
            <w:pPr>
              <w:jc w:val="center"/>
              <w:rPr>
                <w:rFonts w:cs="Calibri"/>
              </w:rPr>
            </w:pPr>
            <w:r w:rsidRPr="007D15C3">
              <w:rPr>
                <w:rFonts w:cs="Calibri"/>
              </w:rPr>
              <w:t>48477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75E869" w14:textId="77777777">
            <w:pPr>
              <w:jc w:val="center"/>
              <w:rPr>
                <w:rFonts w:cs="Calibri"/>
              </w:rPr>
            </w:pPr>
            <w:r w:rsidRPr="007D15C3">
              <w:rPr>
                <w:rFonts w:cs="Calibri"/>
              </w:rPr>
              <w:t>WNJN*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1CF26" w14:textId="77777777">
            <w:pPr>
              <w:rPr>
                <w:rFonts w:cs="Calibri"/>
              </w:rPr>
            </w:pPr>
            <w:r w:rsidRPr="007D15C3">
              <w:rPr>
                <w:rFonts w:cs="Calibri"/>
              </w:rPr>
              <w:t xml:space="preserve">        20,787,272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54B7D4" w14:textId="77777777">
            <w:pPr>
              <w:rPr>
                <w:rFonts w:cs="Calibri"/>
              </w:rPr>
            </w:pPr>
            <w:r w:rsidRPr="007D15C3">
              <w:rPr>
                <w:rFonts w:cs="Calibri"/>
              </w:rPr>
              <w:t xml:space="preserve">          20,036,393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1CFD62" w14:textId="77777777">
            <w:pPr>
              <w:jc w:val="right"/>
              <w:rPr>
                <w:rFonts w:cs="Calibri"/>
              </w:rPr>
            </w:pPr>
            <w:r w:rsidRPr="007D15C3">
              <w:rPr>
                <w:rFonts w:cs="Calibri"/>
              </w:rPr>
              <w:t>$157,025</w:t>
            </w:r>
          </w:p>
        </w:tc>
      </w:tr>
      <w:tr w14:paraId="05CF9C7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A45A5F" w14:textId="77777777">
            <w:pPr>
              <w:jc w:val="center"/>
              <w:rPr>
                <w:rFonts w:cs="Calibri"/>
              </w:rPr>
            </w:pPr>
            <w:r w:rsidRPr="007D15C3">
              <w:rPr>
                <w:rFonts w:cs="Calibri"/>
              </w:rPr>
              <w:t>48481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2BC7D3" w14:textId="77777777">
            <w:pPr>
              <w:jc w:val="center"/>
              <w:rPr>
                <w:rFonts w:cs="Calibri"/>
              </w:rPr>
            </w:pPr>
            <w:r w:rsidRPr="007D15C3">
              <w:rPr>
                <w:rFonts w:cs="Calibri"/>
              </w:rPr>
              <w:t>WNJS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9DD746" w14:textId="77777777">
            <w:pPr>
              <w:rPr>
                <w:rFonts w:cs="Calibri"/>
              </w:rPr>
            </w:pPr>
            <w:r w:rsidRPr="007D15C3">
              <w:rPr>
                <w:rFonts w:cs="Calibri"/>
              </w:rPr>
              <w:t xml:space="preserve">          7,211,292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586860" w14:textId="77777777">
            <w:pPr>
              <w:rPr>
                <w:rFonts w:cs="Calibri"/>
              </w:rPr>
            </w:pPr>
            <w:r w:rsidRPr="007D15C3">
              <w:rPr>
                <w:rFonts w:cs="Calibri"/>
              </w:rPr>
              <w:t xml:space="preserve">            7,176,711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A923CF" w14:textId="77777777">
            <w:pPr>
              <w:jc w:val="right"/>
              <w:rPr>
                <w:rFonts w:cs="Calibri"/>
              </w:rPr>
            </w:pPr>
            <w:r w:rsidRPr="007D15C3">
              <w:rPr>
                <w:rFonts w:cs="Calibri"/>
              </w:rPr>
              <w:t>$56,244</w:t>
            </w:r>
          </w:p>
        </w:tc>
      </w:tr>
      <w:tr w14:paraId="2B2B5C8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B30430" w14:textId="77777777">
            <w:pPr>
              <w:jc w:val="center"/>
              <w:rPr>
                <w:rFonts w:cs="Calibri"/>
              </w:rPr>
            </w:pPr>
            <w:r w:rsidRPr="007D15C3">
              <w:rPr>
                <w:rFonts w:cs="Calibri"/>
              </w:rPr>
              <w:t>48465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B44F52" w14:textId="77777777">
            <w:pPr>
              <w:jc w:val="center"/>
              <w:rPr>
                <w:rFonts w:cs="Calibri"/>
              </w:rPr>
            </w:pPr>
            <w:r w:rsidRPr="007D15C3">
              <w:rPr>
                <w:rFonts w:cs="Calibri"/>
              </w:rPr>
              <w:t>WNJT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53EB3B" w14:textId="77777777">
            <w:pPr>
              <w:rPr>
                <w:rFonts w:cs="Calibri"/>
              </w:rPr>
            </w:pPr>
            <w:r w:rsidRPr="007D15C3">
              <w:rPr>
                <w:rFonts w:cs="Calibri"/>
              </w:rPr>
              <w:t xml:space="preserve">          7,211,292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742C98" w14:textId="77777777">
            <w:pPr>
              <w:rPr>
                <w:rFonts w:cs="Calibri"/>
              </w:rPr>
            </w:pPr>
            <w:r w:rsidRPr="007D15C3">
              <w:rPr>
                <w:rFonts w:cs="Calibri"/>
              </w:rPr>
              <w:t xml:space="preserve">            7,176,711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DFAE38" w14:textId="77777777">
            <w:pPr>
              <w:jc w:val="right"/>
              <w:rPr>
                <w:rFonts w:cs="Calibri"/>
              </w:rPr>
            </w:pPr>
            <w:r w:rsidRPr="007D15C3">
              <w:rPr>
                <w:rFonts w:cs="Calibri"/>
              </w:rPr>
              <w:t>$56,244</w:t>
            </w:r>
          </w:p>
        </w:tc>
      </w:tr>
      <w:tr w14:paraId="1445600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988A99D" w14:textId="77777777">
            <w:pPr>
              <w:jc w:val="center"/>
              <w:rPr>
                <w:rFonts w:cs="Calibri"/>
              </w:rPr>
            </w:pPr>
            <w:r w:rsidRPr="007D15C3">
              <w:rPr>
                <w:rFonts w:cs="Calibri"/>
              </w:rPr>
              <w:t>73333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DFC354" w14:textId="77777777">
            <w:pPr>
              <w:jc w:val="center"/>
              <w:rPr>
                <w:rFonts w:cs="Calibri"/>
              </w:rPr>
            </w:pPr>
            <w:r w:rsidRPr="007D15C3">
              <w:rPr>
                <w:rFonts w:cs="Calibri"/>
              </w:rPr>
              <w:t>WNJU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553873" w14:textId="77777777">
            <w:pPr>
              <w:rPr>
                <w:rFonts w:cs="Calibri"/>
              </w:rPr>
            </w:pPr>
            <w:r w:rsidRPr="007D15C3">
              <w:rPr>
                <w:rFonts w:cs="Calibri"/>
              </w:rPr>
              <w:t xml:space="preserve">        21,952,082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633978" w14:textId="77777777">
            <w:pPr>
              <w:rPr>
                <w:rFonts w:cs="Calibri"/>
              </w:rPr>
            </w:pPr>
            <w:r w:rsidRPr="007D15C3">
              <w:rPr>
                <w:rFonts w:cs="Calibri"/>
              </w:rPr>
              <w:t xml:space="preserve">          21,399,204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A07215" w14:textId="77777777">
            <w:pPr>
              <w:jc w:val="right"/>
              <w:rPr>
                <w:rFonts w:cs="Calibri"/>
              </w:rPr>
            </w:pPr>
            <w:r w:rsidRPr="007D15C3">
              <w:rPr>
                <w:rFonts w:cs="Calibri"/>
              </w:rPr>
              <w:t>$167,706</w:t>
            </w:r>
          </w:p>
        </w:tc>
      </w:tr>
      <w:tr w14:paraId="636D418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81C290" w14:textId="77777777">
            <w:pPr>
              <w:jc w:val="center"/>
              <w:rPr>
                <w:rFonts w:cs="Calibri"/>
              </w:rPr>
            </w:pPr>
            <w:r w:rsidRPr="007D15C3">
              <w:rPr>
                <w:rFonts w:cs="Calibri"/>
              </w:rPr>
              <w:t>73336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11D5DF" w14:textId="77777777">
            <w:pPr>
              <w:jc w:val="center"/>
              <w:rPr>
                <w:rFonts w:cs="Calibri"/>
              </w:rPr>
            </w:pPr>
            <w:r w:rsidRPr="007D15C3">
              <w:rPr>
                <w:rFonts w:cs="Calibri"/>
              </w:rPr>
              <w:t>WNJX-TV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469165" w14:textId="77777777">
            <w:pPr>
              <w:rPr>
                <w:rFonts w:cs="Calibri"/>
              </w:rPr>
            </w:pPr>
            <w:r w:rsidRPr="007D15C3">
              <w:rPr>
                <w:rFonts w:cs="Calibri"/>
              </w:rPr>
              <w:t xml:space="preserve">          1,585,248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44B12D" w14:textId="77777777">
            <w:pPr>
              <w:rPr>
                <w:rFonts w:cs="Calibri"/>
              </w:rPr>
            </w:pPr>
            <w:r w:rsidRPr="007D15C3">
              <w:rPr>
                <w:rFonts w:cs="Calibri"/>
              </w:rPr>
              <w:t xml:space="preserve">            1,383,235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4DCAE4" w14:textId="77777777">
            <w:pPr>
              <w:jc w:val="right"/>
              <w:rPr>
                <w:rFonts w:cs="Calibri"/>
              </w:rPr>
            </w:pPr>
            <w:r w:rsidRPr="007D15C3">
              <w:rPr>
                <w:rFonts w:cs="Calibri"/>
              </w:rPr>
              <w:t>$</w:t>
            </w:r>
            <w:r>
              <w:rPr>
                <w:rFonts w:cs="Calibri"/>
              </w:rPr>
              <w:t>1,199</w:t>
            </w:r>
          </w:p>
        </w:tc>
      </w:tr>
      <w:tr w14:paraId="2878588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76D6F0" w14:textId="77777777">
            <w:pPr>
              <w:jc w:val="center"/>
              <w:rPr>
                <w:rFonts w:cs="Calibri"/>
              </w:rPr>
            </w:pPr>
            <w:r w:rsidRPr="007D15C3">
              <w:rPr>
                <w:rFonts w:cs="Calibri"/>
              </w:rPr>
              <w:t>61217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20B6A9" w14:textId="77777777">
            <w:pPr>
              <w:jc w:val="center"/>
              <w:rPr>
                <w:rFonts w:cs="Calibri"/>
              </w:rPr>
            </w:pPr>
            <w:r w:rsidRPr="007D15C3">
              <w:rPr>
                <w:rFonts w:cs="Calibri"/>
              </w:rPr>
              <w:t>WNKY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0C6CCD" w14:textId="77777777">
            <w:pPr>
              <w:rPr>
                <w:rFonts w:cs="Calibri"/>
              </w:rPr>
            </w:pPr>
            <w:r w:rsidRPr="007D15C3">
              <w:rPr>
                <w:rFonts w:cs="Calibri"/>
              </w:rPr>
              <w:t xml:space="preserve">             385,619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B6D49C" w14:textId="77777777">
            <w:pPr>
              <w:rPr>
                <w:rFonts w:cs="Calibri"/>
              </w:rPr>
            </w:pPr>
            <w:r w:rsidRPr="007D15C3">
              <w:rPr>
                <w:rFonts w:cs="Calibri"/>
              </w:rPr>
              <w:t xml:space="preserve">               383,911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0719E0" w14:textId="77777777">
            <w:pPr>
              <w:jc w:val="right"/>
              <w:rPr>
                <w:rFonts w:cs="Calibri"/>
              </w:rPr>
            </w:pPr>
            <w:r w:rsidRPr="007D15C3">
              <w:rPr>
                <w:rFonts w:cs="Calibri"/>
              </w:rPr>
              <w:t>$3,009</w:t>
            </w:r>
          </w:p>
        </w:tc>
      </w:tr>
      <w:tr w14:paraId="291AA7D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E81432" w14:textId="77777777">
            <w:pPr>
              <w:jc w:val="center"/>
              <w:rPr>
                <w:rFonts w:cs="Calibri"/>
              </w:rPr>
            </w:pPr>
            <w:r w:rsidRPr="007D15C3">
              <w:rPr>
                <w:rFonts w:cs="Calibri"/>
              </w:rPr>
              <w:t>71905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5B9903" w14:textId="77777777">
            <w:pPr>
              <w:jc w:val="center"/>
              <w:rPr>
                <w:rFonts w:cs="Calibri"/>
              </w:rPr>
            </w:pPr>
            <w:r w:rsidRPr="007D15C3">
              <w:rPr>
                <w:rFonts w:cs="Calibri"/>
              </w:rPr>
              <w:t>WNLO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09A936" w14:textId="77777777">
            <w:pPr>
              <w:rPr>
                <w:rFonts w:cs="Calibri"/>
              </w:rPr>
            </w:pPr>
            <w:r w:rsidRPr="007D15C3">
              <w:rPr>
                <w:rFonts w:cs="Calibri"/>
              </w:rPr>
              <w:t xml:space="preserve">          1,538,108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AD3B09" w14:textId="77777777">
            <w:pPr>
              <w:rPr>
                <w:rFonts w:cs="Calibri"/>
              </w:rPr>
            </w:pPr>
            <w:r w:rsidRPr="007D15C3">
              <w:rPr>
                <w:rFonts w:cs="Calibri"/>
              </w:rPr>
              <w:t xml:space="preserve">            1,502,969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BE9304" w14:textId="77777777">
            <w:pPr>
              <w:jc w:val="right"/>
              <w:rPr>
                <w:rFonts w:cs="Calibri"/>
              </w:rPr>
            </w:pPr>
            <w:r w:rsidRPr="007D15C3">
              <w:rPr>
                <w:rFonts w:cs="Calibri"/>
              </w:rPr>
              <w:t>$11,779</w:t>
            </w:r>
          </w:p>
        </w:tc>
      </w:tr>
      <w:tr w14:paraId="1C3921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A6B7F3" w14:textId="77777777">
            <w:pPr>
              <w:jc w:val="center"/>
              <w:rPr>
                <w:rFonts w:cs="Calibri"/>
              </w:rPr>
            </w:pPr>
            <w:r w:rsidRPr="007D15C3">
              <w:rPr>
                <w:rFonts w:cs="Calibri"/>
              </w:rPr>
              <w:t>4318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EBF058" w14:textId="77777777">
            <w:pPr>
              <w:jc w:val="center"/>
              <w:rPr>
                <w:rFonts w:cs="Calibri"/>
              </w:rPr>
            </w:pPr>
            <w:r w:rsidRPr="007D15C3">
              <w:rPr>
                <w:rFonts w:cs="Calibri"/>
              </w:rPr>
              <w:t>WNMU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703E9A" w14:textId="77777777">
            <w:pPr>
              <w:rPr>
                <w:rFonts w:cs="Calibri"/>
              </w:rPr>
            </w:pPr>
            <w:r w:rsidRPr="007D15C3">
              <w:rPr>
                <w:rFonts w:cs="Calibri"/>
              </w:rPr>
              <w:t xml:space="preserve">             181,730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1E8399" w14:textId="77777777">
            <w:pPr>
              <w:rPr>
                <w:rFonts w:cs="Calibri"/>
              </w:rPr>
            </w:pPr>
            <w:r w:rsidRPr="007D15C3">
              <w:rPr>
                <w:rFonts w:cs="Calibri"/>
              </w:rPr>
              <w:t xml:space="preserve">               177,763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AB3C68" w14:textId="77777777">
            <w:pPr>
              <w:jc w:val="right"/>
              <w:rPr>
                <w:rFonts w:cs="Calibri"/>
              </w:rPr>
            </w:pPr>
            <w:r w:rsidRPr="007D15C3">
              <w:rPr>
                <w:rFonts w:cs="Calibri"/>
              </w:rPr>
              <w:t>$1,393</w:t>
            </w:r>
          </w:p>
        </w:tc>
      </w:tr>
      <w:tr w14:paraId="4655952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CBA14F" w14:textId="77777777">
            <w:pPr>
              <w:jc w:val="center"/>
              <w:rPr>
                <w:rFonts w:cs="Calibri"/>
              </w:rPr>
            </w:pPr>
            <w:r w:rsidRPr="007D15C3">
              <w:rPr>
                <w:rFonts w:cs="Calibri"/>
              </w:rPr>
              <w:t>73344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F837A7" w14:textId="77777777">
            <w:pPr>
              <w:jc w:val="center"/>
              <w:rPr>
                <w:rFonts w:cs="Calibri"/>
              </w:rPr>
            </w:pPr>
            <w:r w:rsidRPr="007D15C3">
              <w:rPr>
                <w:rFonts w:cs="Calibri"/>
              </w:rPr>
              <w:t>WNNE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7BE759" w14:textId="77777777">
            <w:pPr>
              <w:rPr>
                <w:rFonts w:cs="Calibri"/>
              </w:rPr>
            </w:pPr>
            <w:r w:rsidRPr="007D15C3">
              <w:rPr>
                <w:rFonts w:cs="Calibri"/>
              </w:rPr>
              <w:t xml:space="preserve">             792,551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670777" w14:textId="77777777">
            <w:pPr>
              <w:rPr>
                <w:rFonts w:cs="Calibri"/>
              </w:rPr>
            </w:pPr>
            <w:r w:rsidRPr="007D15C3">
              <w:rPr>
                <w:rFonts w:cs="Calibri"/>
              </w:rPr>
              <w:t xml:space="preserve">               676,539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963AAB" w14:textId="77777777">
            <w:pPr>
              <w:jc w:val="right"/>
              <w:rPr>
                <w:rFonts w:cs="Calibri"/>
              </w:rPr>
            </w:pPr>
            <w:r w:rsidRPr="007D15C3">
              <w:rPr>
                <w:rFonts w:cs="Calibri"/>
              </w:rPr>
              <w:t>$5,302</w:t>
            </w:r>
          </w:p>
        </w:tc>
      </w:tr>
      <w:tr w14:paraId="5BF250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48BE21" w14:textId="77777777">
            <w:pPr>
              <w:jc w:val="center"/>
              <w:rPr>
                <w:rFonts w:cs="Calibri"/>
              </w:rPr>
            </w:pPr>
            <w:r w:rsidRPr="007D15C3">
              <w:rPr>
                <w:rFonts w:cs="Calibri"/>
              </w:rPr>
              <w:t>54280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B2EF92" w14:textId="77777777">
            <w:pPr>
              <w:jc w:val="center"/>
              <w:rPr>
                <w:rFonts w:cs="Calibri"/>
              </w:rPr>
            </w:pPr>
            <w:r w:rsidRPr="007D15C3">
              <w:rPr>
                <w:rFonts w:cs="Calibri"/>
              </w:rPr>
              <w:t>WNOL-TV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9DB059" w14:textId="77777777">
            <w:pPr>
              <w:rPr>
                <w:rFonts w:cs="Calibri"/>
              </w:rPr>
            </w:pPr>
            <w:r w:rsidRPr="007D15C3">
              <w:rPr>
                <w:rFonts w:cs="Calibri"/>
              </w:rPr>
              <w:t xml:space="preserve">          1,632,389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8306FF" w14:textId="77777777">
            <w:pPr>
              <w:rPr>
                <w:rFonts w:cs="Calibri"/>
              </w:rPr>
            </w:pPr>
            <w:r w:rsidRPr="007D15C3">
              <w:rPr>
                <w:rFonts w:cs="Calibri"/>
              </w:rPr>
              <w:t xml:space="preserve">            1,632,389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B0351C" w14:textId="77777777">
            <w:pPr>
              <w:jc w:val="right"/>
              <w:rPr>
                <w:rFonts w:cs="Calibri"/>
              </w:rPr>
            </w:pPr>
            <w:r w:rsidRPr="007D15C3">
              <w:rPr>
                <w:rFonts w:cs="Calibri"/>
              </w:rPr>
              <w:t>$12,793</w:t>
            </w:r>
          </w:p>
        </w:tc>
      </w:tr>
      <w:tr w14:paraId="2051D4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F9F854" w14:textId="77777777">
            <w:pPr>
              <w:jc w:val="center"/>
              <w:rPr>
                <w:rFonts w:cs="Calibri"/>
              </w:rPr>
            </w:pPr>
            <w:r w:rsidRPr="007D15C3">
              <w:rPr>
                <w:rFonts w:cs="Calibri"/>
              </w:rPr>
              <w:t>71676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B89AA4" w14:textId="77777777">
            <w:pPr>
              <w:jc w:val="center"/>
              <w:rPr>
                <w:rFonts w:cs="Calibri"/>
              </w:rPr>
            </w:pPr>
            <w:r w:rsidRPr="007D15C3">
              <w:rPr>
                <w:rFonts w:cs="Calibri"/>
              </w:rPr>
              <w:t>WNPB-TV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113D41" w14:textId="77777777">
            <w:pPr>
              <w:rPr>
                <w:rFonts w:cs="Calibri"/>
              </w:rPr>
            </w:pPr>
            <w:r w:rsidRPr="007D15C3">
              <w:rPr>
                <w:rFonts w:cs="Calibri"/>
              </w:rPr>
              <w:t xml:space="preserve">          1,578,317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679884" w14:textId="77777777">
            <w:pPr>
              <w:rPr>
                <w:rFonts w:cs="Calibri"/>
              </w:rPr>
            </w:pPr>
            <w:r w:rsidRPr="007D15C3">
              <w:rPr>
                <w:rFonts w:cs="Calibri"/>
              </w:rPr>
              <w:t xml:space="preserve">            1,446,630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52D8BE" w14:textId="77777777">
            <w:pPr>
              <w:jc w:val="right"/>
              <w:rPr>
                <w:rFonts w:cs="Calibri"/>
              </w:rPr>
            </w:pPr>
            <w:r w:rsidRPr="007D15C3">
              <w:rPr>
                <w:rFonts w:cs="Calibri"/>
              </w:rPr>
              <w:t>$11,337</w:t>
            </w:r>
          </w:p>
        </w:tc>
      </w:tr>
      <w:tr w14:paraId="692EDB8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47A1CA" w14:textId="77777777">
            <w:pPr>
              <w:jc w:val="center"/>
              <w:rPr>
                <w:rFonts w:cs="Calibri"/>
              </w:rPr>
            </w:pPr>
            <w:r w:rsidRPr="007D15C3">
              <w:rPr>
                <w:rFonts w:cs="Calibri"/>
              </w:rPr>
              <w:t>62137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16B1BB" w14:textId="77777777">
            <w:pPr>
              <w:jc w:val="center"/>
              <w:rPr>
                <w:rFonts w:cs="Calibri"/>
              </w:rPr>
            </w:pPr>
            <w:r w:rsidRPr="007D15C3">
              <w:rPr>
                <w:rFonts w:cs="Calibri"/>
              </w:rPr>
              <w:t>WNPI-DT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AD036A" w14:textId="77777777">
            <w:pPr>
              <w:rPr>
                <w:rFonts w:cs="Calibri"/>
              </w:rPr>
            </w:pPr>
            <w:r w:rsidRPr="007D15C3">
              <w:rPr>
                <w:rFonts w:cs="Calibri"/>
              </w:rPr>
              <w:t xml:space="preserve">             167,931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68C0FE" w14:textId="77777777">
            <w:pPr>
              <w:rPr>
                <w:rFonts w:cs="Calibri"/>
              </w:rPr>
            </w:pPr>
            <w:r w:rsidRPr="007D15C3">
              <w:rPr>
                <w:rFonts w:cs="Calibri"/>
              </w:rPr>
              <w:t xml:space="preserve">               161,748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C08EB1" w14:textId="77777777">
            <w:pPr>
              <w:jc w:val="right"/>
              <w:rPr>
                <w:rFonts w:cs="Calibri"/>
              </w:rPr>
            </w:pPr>
            <w:r w:rsidRPr="007D15C3">
              <w:rPr>
                <w:rFonts w:cs="Calibri"/>
              </w:rPr>
              <w:t>$1,268</w:t>
            </w:r>
          </w:p>
        </w:tc>
      </w:tr>
      <w:tr w14:paraId="7C53DA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A922A9" w14:textId="77777777">
            <w:pPr>
              <w:jc w:val="center"/>
              <w:rPr>
                <w:rFonts w:cs="Calibri"/>
              </w:rPr>
            </w:pPr>
            <w:r w:rsidRPr="007D15C3">
              <w:rPr>
                <w:rFonts w:cs="Calibri"/>
              </w:rPr>
              <w:t>41398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A38BF5" w14:textId="77777777">
            <w:pPr>
              <w:jc w:val="center"/>
              <w:rPr>
                <w:rFonts w:cs="Calibri"/>
              </w:rPr>
            </w:pPr>
            <w:r w:rsidRPr="007D15C3">
              <w:rPr>
                <w:rFonts w:cs="Calibri"/>
              </w:rPr>
              <w:t>WNPT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3CF253" w14:textId="77777777">
            <w:pPr>
              <w:rPr>
                <w:rFonts w:cs="Calibri"/>
              </w:rPr>
            </w:pPr>
            <w:r w:rsidRPr="007D15C3">
              <w:rPr>
                <w:rFonts w:cs="Calibri"/>
              </w:rPr>
              <w:t xml:space="preserve">          2,260,463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291618" w14:textId="77777777">
            <w:pPr>
              <w:rPr>
                <w:rFonts w:cs="Calibri"/>
              </w:rPr>
            </w:pPr>
            <w:r w:rsidRPr="007D15C3">
              <w:rPr>
                <w:rFonts w:cs="Calibri"/>
              </w:rPr>
              <w:t xml:space="preserve">            2,227,570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417C8C" w14:textId="77777777">
            <w:pPr>
              <w:jc w:val="right"/>
              <w:rPr>
                <w:rFonts w:cs="Calibri"/>
              </w:rPr>
            </w:pPr>
            <w:r w:rsidRPr="007D15C3">
              <w:rPr>
                <w:rFonts w:cs="Calibri"/>
              </w:rPr>
              <w:t>$17,457</w:t>
            </w:r>
          </w:p>
        </w:tc>
      </w:tr>
      <w:tr w14:paraId="58F775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02AEA8" w14:textId="77777777">
            <w:pPr>
              <w:jc w:val="center"/>
              <w:rPr>
                <w:rFonts w:cs="Calibri"/>
              </w:rPr>
            </w:pPr>
            <w:r w:rsidRPr="007D15C3">
              <w:rPr>
                <w:rFonts w:cs="Calibri"/>
              </w:rPr>
              <w:t>28468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F346E9" w14:textId="77777777">
            <w:pPr>
              <w:jc w:val="center"/>
              <w:rPr>
                <w:rFonts w:cs="Calibri"/>
              </w:rPr>
            </w:pPr>
            <w:r w:rsidRPr="007D15C3">
              <w:rPr>
                <w:rFonts w:cs="Calibri"/>
              </w:rPr>
              <w:t>WNPX-TV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F4375A" w14:textId="77777777">
            <w:pPr>
              <w:rPr>
                <w:rFonts w:cs="Calibri"/>
              </w:rPr>
            </w:pPr>
            <w:r w:rsidRPr="007D15C3">
              <w:rPr>
                <w:rFonts w:cs="Calibri"/>
              </w:rPr>
              <w:t xml:space="preserve">          2,216,131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FC6851" w14:textId="77777777">
            <w:pPr>
              <w:rPr>
                <w:rFonts w:cs="Calibri"/>
              </w:rPr>
            </w:pPr>
            <w:r w:rsidRPr="007D15C3">
              <w:rPr>
                <w:rFonts w:cs="Calibri"/>
              </w:rPr>
              <w:t xml:space="preserve">            2,209,662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3A9F20" w14:textId="77777777">
            <w:pPr>
              <w:jc w:val="right"/>
              <w:rPr>
                <w:rFonts w:cs="Calibri"/>
              </w:rPr>
            </w:pPr>
            <w:r w:rsidRPr="007D15C3">
              <w:rPr>
                <w:rFonts w:cs="Calibri"/>
              </w:rPr>
              <w:t>$17,317</w:t>
            </w:r>
          </w:p>
        </w:tc>
      </w:tr>
      <w:tr w14:paraId="7EDDC9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5818FE" w14:textId="77777777">
            <w:pPr>
              <w:jc w:val="center"/>
              <w:rPr>
                <w:rFonts w:cs="Calibri"/>
              </w:rPr>
            </w:pPr>
            <w:r w:rsidRPr="007D15C3">
              <w:rPr>
                <w:rFonts w:cs="Calibri"/>
              </w:rPr>
              <w:t>61009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C39E97" w14:textId="77777777">
            <w:pPr>
              <w:jc w:val="center"/>
              <w:rPr>
                <w:rFonts w:cs="Calibri"/>
              </w:rPr>
            </w:pPr>
            <w:r w:rsidRPr="007D15C3">
              <w:rPr>
                <w:rFonts w:cs="Calibri"/>
              </w:rPr>
              <w:t>WNSC-TV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A7EA49" w14:textId="77777777">
            <w:pPr>
              <w:rPr>
                <w:rFonts w:cs="Calibri"/>
              </w:rPr>
            </w:pPr>
            <w:r w:rsidRPr="007D15C3">
              <w:rPr>
                <w:rFonts w:cs="Calibri"/>
              </w:rPr>
              <w:t xml:space="preserve">          2,072,821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D3CDC9" w14:textId="77777777">
            <w:pPr>
              <w:rPr>
                <w:rFonts w:cs="Calibri"/>
              </w:rPr>
            </w:pPr>
            <w:r w:rsidRPr="007D15C3">
              <w:rPr>
                <w:rFonts w:cs="Calibri"/>
              </w:rPr>
              <w:t xml:space="preserve">            2,067,933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8A54A3" w14:textId="77777777">
            <w:pPr>
              <w:jc w:val="right"/>
              <w:rPr>
                <w:rFonts w:cs="Calibri"/>
              </w:rPr>
            </w:pPr>
            <w:r w:rsidRPr="007D15C3">
              <w:rPr>
                <w:rFonts w:cs="Calibri"/>
              </w:rPr>
              <w:t>$16,206</w:t>
            </w:r>
          </w:p>
        </w:tc>
      </w:tr>
      <w:tr w14:paraId="762DCFCF"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760D41" w14:textId="77777777">
            <w:pPr>
              <w:jc w:val="center"/>
              <w:rPr>
                <w:rFonts w:cs="Calibri"/>
              </w:rPr>
            </w:pPr>
            <w:r w:rsidRPr="007D15C3">
              <w:rPr>
                <w:rFonts w:cs="Calibri"/>
              </w:rPr>
              <w:t>61010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4E725E4" w14:textId="77777777">
            <w:pPr>
              <w:jc w:val="center"/>
              <w:rPr>
                <w:rFonts w:cs="Calibri"/>
              </w:rPr>
            </w:pPr>
            <w:r w:rsidRPr="007D15C3">
              <w:rPr>
                <w:rFonts w:cs="Calibri"/>
              </w:rPr>
              <w:t>WNTV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2A58D45" w14:textId="77777777">
            <w:pPr>
              <w:rPr>
                <w:rFonts w:cs="Calibri"/>
              </w:rPr>
            </w:pPr>
            <w:r w:rsidRPr="007D15C3">
              <w:rPr>
                <w:rFonts w:cs="Calibri"/>
              </w:rPr>
              <w:t xml:space="preserve">          2,419,841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4296A0E" w14:textId="77777777">
            <w:pPr>
              <w:rPr>
                <w:rFonts w:cs="Calibri"/>
              </w:rPr>
            </w:pPr>
            <w:r w:rsidRPr="007D15C3">
              <w:rPr>
                <w:rFonts w:cs="Calibri"/>
              </w:rPr>
              <w:t xml:space="preserve">            2,211,019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3D67AB2" w14:textId="77777777">
            <w:pPr>
              <w:jc w:val="right"/>
              <w:rPr>
                <w:rFonts w:cs="Calibri"/>
              </w:rPr>
            </w:pPr>
            <w:r w:rsidRPr="007D15C3">
              <w:rPr>
                <w:rFonts w:cs="Calibri"/>
              </w:rPr>
              <w:t>$17,328</w:t>
            </w:r>
          </w:p>
        </w:tc>
      </w:tr>
      <w:tr w14:paraId="0518798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8A2D89" w14:textId="77777777">
            <w:pPr>
              <w:jc w:val="center"/>
              <w:rPr>
                <w:rFonts w:cs="Calibri"/>
              </w:rPr>
            </w:pPr>
            <w:r w:rsidRPr="007D15C3">
              <w:rPr>
                <w:rFonts w:cs="Calibri"/>
              </w:rPr>
              <w:t>16539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01CBFF" w14:textId="77777777">
            <w:pPr>
              <w:jc w:val="center"/>
              <w:rPr>
                <w:rFonts w:cs="Calibri"/>
              </w:rPr>
            </w:pPr>
            <w:r w:rsidRPr="007D15C3">
              <w:rPr>
                <w:rFonts w:cs="Calibri"/>
              </w:rPr>
              <w:t>WNTZ-TV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FBA656" w14:textId="77777777">
            <w:pPr>
              <w:rPr>
                <w:rFonts w:cs="Calibri"/>
              </w:rPr>
            </w:pPr>
            <w:r w:rsidRPr="007D15C3">
              <w:rPr>
                <w:rFonts w:cs="Calibri"/>
              </w:rPr>
              <w:t xml:space="preserve">             344,704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2933FE" w14:textId="77777777">
            <w:pPr>
              <w:rPr>
                <w:rFonts w:cs="Calibri"/>
              </w:rPr>
            </w:pPr>
            <w:r w:rsidRPr="007D15C3">
              <w:rPr>
                <w:rFonts w:cs="Calibri"/>
              </w:rPr>
              <w:t xml:space="preserve">               343,849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BC6FC4" w14:textId="77777777">
            <w:pPr>
              <w:jc w:val="right"/>
              <w:rPr>
                <w:rFonts w:cs="Calibri"/>
              </w:rPr>
            </w:pPr>
            <w:r w:rsidRPr="007D15C3">
              <w:rPr>
                <w:rFonts w:cs="Calibri"/>
              </w:rPr>
              <w:t>$2,695</w:t>
            </w:r>
          </w:p>
        </w:tc>
      </w:tr>
      <w:tr w14:paraId="61B33F2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FB539D" w14:textId="77777777">
            <w:pPr>
              <w:jc w:val="center"/>
              <w:rPr>
                <w:rFonts w:cs="Calibri"/>
              </w:rPr>
            </w:pPr>
            <w:r w:rsidRPr="007D15C3">
              <w:rPr>
                <w:rFonts w:cs="Calibri"/>
              </w:rPr>
              <w:t>7933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C37584" w14:textId="77777777">
            <w:pPr>
              <w:jc w:val="center"/>
              <w:rPr>
                <w:rFonts w:cs="Calibri"/>
              </w:rPr>
            </w:pPr>
            <w:r w:rsidRPr="007D15C3">
              <w:rPr>
                <w:rFonts w:cs="Calibri"/>
              </w:rPr>
              <w:t>WNUV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802DBB" w14:textId="77777777">
            <w:pPr>
              <w:rPr>
                <w:rFonts w:cs="Calibri"/>
              </w:rPr>
            </w:pPr>
            <w:r w:rsidRPr="007D15C3">
              <w:rPr>
                <w:rFonts w:cs="Calibri"/>
              </w:rPr>
              <w:t xml:space="preserve">          9,098,694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674489" w14:textId="77777777">
            <w:pPr>
              <w:rPr>
                <w:rFonts w:cs="Calibri"/>
              </w:rPr>
            </w:pPr>
            <w:r w:rsidRPr="007D15C3">
              <w:rPr>
                <w:rFonts w:cs="Calibri"/>
              </w:rPr>
              <w:t xml:space="preserve">            8,906,508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BD214C" w14:textId="77777777">
            <w:pPr>
              <w:jc w:val="right"/>
              <w:rPr>
                <w:rFonts w:cs="Calibri"/>
              </w:rPr>
            </w:pPr>
            <w:r w:rsidRPr="007D15C3">
              <w:rPr>
                <w:rFonts w:cs="Calibri"/>
              </w:rPr>
              <w:t>$69,800</w:t>
            </w:r>
          </w:p>
        </w:tc>
      </w:tr>
      <w:tr w14:paraId="21AB77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8B374D" w14:textId="77777777">
            <w:pPr>
              <w:jc w:val="center"/>
              <w:rPr>
                <w:rFonts w:cs="Calibri"/>
              </w:rPr>
            </w:pPr>
            <w:r w:rsidRPr="007D15C3">
              <w:rPr>
                <w:rFonts w:cs="Calibri"/>
              </w:rPr>
              <w:t>9999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D56747" w14:textId="77777777">
            <w:pPr>
              <w:jc w:val="center"/>
              <w:rPr>
                <w:rFonts w:cs="Calibri"/>
              </w:rPr>
            </w:pPr>
            <w:r w:rsidRPr="007D15C3">
              <w:rPr>
                <w:rFonts w:cs="Calibri"/>
              </w:rPr>
              <w:t>WNVC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E7F49F" w14:textId="77777777">
            <w:pPr>
              <w:rPr>
                <w:rFonts w:cs="Calibri"/>
              </w:rPr>
            </w:pPr>
            <w:r w:rsidRPr="007D15C3">
              <w:rPr>
                <w:rFonts w:cs="Calibri"/>
              </w:rPr>
              <w:t xml:space="preserve">             723,698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A04BD4" w14:textId="77777777">
            <w:pPr>
              <w:rPr>
                <w:rFonts w:cs="Calibri"/>
              </w:rPr>
            </w:pPr>
            <w:r w:rsidRPr="007D15C3">
              <w:rPr>
                <w:rFonts w:cs="Calibri"/>
              </w:rPr>
              <w:t xml:space="preserve">               490,045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89FC94" w14:textId="77777777">
            <w:pPr>
              <w:jc w:val="right"/>
              <w:rPr>
                <w:rFonts w:cs="Calibri"/>
              </w:rPr>
            </w:pPr>
            <w:r w:rsidRPr="007D15C3">
              <w:rPr>
                <w:rFonts w:cs="Calibri"/>
              </w:rPr>
              <w:t>$3,840</w:t>
            </w:r>
          </w:p>
        </w:tc>
      </w:tr>
      <w:tr w14:paraId="5465A7F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0BE3DE" w14:textId="77777777">
            <w:pPr>
              <w:jc w:val="center"/>
              <w:rPr>
                <w:rFonts w:cs="Calibri"/>
              </w:rPr>
            </w:pPr>
            <w:r w:rsidRPr="007D15C3">
              <w:rPr>
                <w:rFonts w:cs="Calibri"/>
              </w:rPr>
              <w:t>10019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3185E7" w14:textId="77777777">
            <w:pPr>
              <w:jc w:val="center"/>
              <w:rPr>
                <w:rFonts w:cs="Calibri"/>
              </w:rPr>
            </w:pPr>
            <w:r w:rsidRPr="007D15C3">
              <w:rPr>
                <w:rFonts w:cs="Calibri"/>
              </w:rPr>
              <w:t>WNVT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EAC8FC" w14:textId="77777777">
            <w:pPr>
              <w:rPr>
                <w:rFonts w:cs="Calibri"/>
              </w:rPr>
            </w:pPr>
            <w:r w:rsidRPr="007D15C3">
              <w:rPr>
                <w:rFonts w:cs="Calibri"/>
              </w:rPr>
              <w:t xml:space="preserve">          1,582,094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2D2BC3" w14:textId="77777777">
            <w:pPr>
              <w:rPr>
                <w:rFonts w:cs="Calibri"/>
              </w:rPr>
            </w:pPr>
            <w:r w:rsidRPr="007D15C3">
              <w:rPr>
                <w:rFonts w:cs="Calibri"/>
              </w:rPr>
              <w:t xml:space="preserve">            1,581,725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F4A4DE" w14:textId="77777777">
            <w:pPr>
              <w:jc w:val="right"/>
              <w:rPr>
                <w:rFonts w:cs="Calibri"/>
              </w:rPr>
            </w:pPr>
            <w:r w:rsidRPr="007D15C3">
              <w:rPr>
                <w:rFonts w:cs="Calibri"/>
              </w:rPr>
              <w:t>$12,396</w:t>
            </w:r>
          </w:p>
        </w:tc>
      </w:tr>
      <w:tr w14:paraId="125EF0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EAC930" w14:textId="77777777">
            <w:pPr>
              <w:jc w:val="center"/>
              <w:rPr>
                <w:rFonts w:cs="Calibri"/>
              </w:rPr>
            </w:pPr>
            <w:r w:rsidRPr="007D15C3">
              <w:rPr>
                <w:rFonts w:cs="Calibri"/>
              </w:rPr>
              <w:t>73354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351152" w14:textId="77777777">
            <w:pPr>
              <w:jc w:val="center"/>
              <w:rPr>
                <w:rFonts w:cs="Calibri"/>
              </w:rPr>
            </w:pPr>
            <w:r w:rsidRPr="007D15C3">
              <w:rPr>
                <w:rFonts w:cs="Calibri"/>
              </w:rPr>
              <w:t>WNWO-TV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E683A8" w14:textId="77777777">
            <w:pPr>
              <w:rPr>
                <w:rFonts w:cs="Calibri"/>
              </w:rPr>
            </w:pPr>
            <w:r w:rsidRPr="007D15C3">
              <w:rPr>
                <w:rFonts w:cs="Calibri"/>
              </w:rPr>
              <w:t xml:space="preserve">          2,232,660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558A18" w14:textId="77777777">
            <w:pPr>
              <w:rPr>
                <w:rFonts w:cs="Calibri"/>
              </w:rPr>
            </w:pPr>
            <w:r w:rsidRPr="007D15C3">
              <w:rPr>
                <w:rFonts w:cs="Calibri"/>
              </w:rPr>
              <w:t xml:space="preserve">            2,232,660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9F67D4" w14:textId="77777777">
            <w:pPr>
              <w:jc w:val="right"/>
              <w:rPr>
                <w:rFonts w:cs="Calibri"/>
              </w:rPr>
            </w:pPr>
            <w:r w:rsidRPr="007D15C3">
              <w:rPr>
                <w:rFonts w:cs="Calibri"/>
              </w:rPr>
              <w:t>$17,497</w:t>
            </w:r>
          </w:p>
        </w:tc>
      </w:tr>
      <w:tr w14:paraId="3CD13B0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49D36C" w14:textId="77777777">
            <w:pPr>
              <w:jc w:val="center"/>
              <w:rPr>
                <w:rFonts w:cs="Calibri"/>
              </w:rPr>
            </w:pPr>
            <w:r w:rsidRPr="007D15C3">
              <w:rPr>
                <w:rFonts w:cs="Calibri"/>
              </w:rPr>
              <w:t>136751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40D158" w14:textId="77777777">
            <w:pPr>
              <w:jc w:val="center"/>
              <w:rPr>
                <w:rFonts w:cs="Calibri"/>
              </w:rPr>
            </w:pPr>
            <w:r w:rsidRPr="007D15C3">
              <w:rPr>
                <w:rFonts w:cs="Calibri"/>
              </w:rPr>
              <w:t>WNYA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ABE128" w14:textId="77777777">
            <w:pPr>
              <w:rPr>
                <w:rFonts w:cs="Calibri"/>
              </w:rPr>
            </w:pPr>
            <w:r w:rsidRPr="007D15C3">
              <w:rPr>
                <w:rFonts w:cs="Calibri"/>
              </w:rPr>
              <w:t xml:space="preserve">          1,540,430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E97A3E" w14:textId="77777777">
            <w:pPr>
              <w:rPr>
                <w:rFonts w:cs="Calibri"/>
              </w:rPr>
            </w:pPr>
            <w:r w:rsidRPr="007D15C3">
              <w:rPr>
                <w:rFonts w:cs="Calibri"/>
              </w:rPr>
              <w:t xml:space="preserve">            1,406,032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039E01" w14:textId="77777777">
            <w:pPr>
              <w:jc w:val="right"/>
              <w:rPr>
                <w:rFonts w:cs="Calibri"/>
              </w:rPr>
            </w:pPr>
            <w:r w:rsidRPr="007D15C3">
              <w:rPr>
                <w:rFonts w:cs="Calibri"/>
              </w:rPr>
              <w:t>$11,019</w:t>
            </w:r>
          </w:p>
        </w:tc>
      </w:tr>
      <w:tr w14:paraId="4C8630A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1D2F50F" w14:textId="77777777">
            <w:pPr>
              <w:jc w:val="center"/>
              <w:rPr>
                <w:rFonts w:cs="Calibri"/>
              </w:rPr>
            </w:pPr>
            <w:r w:rsidRPr="007D15C3">
              <w:rPr>
                <w:rFonts w:cs="Calibri"/>
              </w:rPr>
              <w:t>30303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1005AF" w14:textId="77777777">
            <w:pPr>
              <w:jc w:val="center"/>
              <w:rPr>
                <w:rFonts w:cs="Calibri"/>
              </w:rPr>
            </w:pPr>
            <w:r w:rsidRPr="007D15C3">
              <w:rPr>
                <w:rFonts w:cs="Calibri"/>
              </w:rPr>
              <w:t>WNYB*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B6DE1E" w14:textId="77777777">
            <w:pPr>
              <w:rPr>
                <w:rFonts w:cs="Calibri"/>
              </w:rPr>
            </w:pPr>
            <w:r w:rsidRPr="007D15C3">
              <w:rPr>
                <w:rFonts w:cs="Calibri"/>
              </w:rPr>
              <w:t xml:space="preserve">          1,785,269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74130C" w14:textId="77777777">
            <w:pPr>
              <w:rPr>
                <w:rFonts w:cs="Calibri"/>
              </w:rPr>
            </w:pPr>
            <w:r w:rsidRPr="007D15C3">
              <w:rPr>
                <w:rFonts w:cs="Calibri"/>
              </w:rPr>
              <w:t xml:space="preserve">            1,756,096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0B6749" w14:textId="77777777">
            <w:pPr>
              <w:jc w:val="right"/>
              <w:rPr>
                <w:rFonts w:cs="Calibri"/>
              </w:rPr>
            </w:pPr>
            <w:r w:rsidRPr="007D15C3">
              <w:rPr>
                <w:rFonts w:cs="Calibri"/>
              </w:rPr>
              <w:t>$13,763</w:t>
            </w:r>
          </w:p>
        </w:tc>
      </w:tr>
      <w:tr w14:paraId="5D401E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04C43E" w14:textId="77777777">
            <w:pPr>
              <w:jc w:val="center"/>
              <w:rPr>
                <w:rFonts w:cs="Calibri"/>
              </w:rPr>
            </w:pPr>
            <w:r w:rsidRPr="007D15C3">
              <w:rPr>
                <w:rFonts w:cs="Calibri"/>
              </w:rPr>
              <w:t>6048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E94EFE" w14:textId="77777777">
            <w:pPr>
              <w:jc w:val="center"/>
              <w:rPr>
                <w:rFonts w:cs="Calibri"/>
              </w:rPr>
            </w:pPr>
            <w:r w:rsidRPr="007D15C3">
              <w:rPr>
                <w:rFonts w:cs="Calibri"/>
              </w:rPr>
              <w:t>WNYE-TV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869A0" w14:textId="77777777">
            <w:pPr>
              <w:rPr>
                <w:rFonts w:cs="Calibri"/>
              </w:rPr>
            </w:pPr>
            <w:r w:rsidRPr="007D15C3">
              <w:rPr>
                <w:rFonts w:cs="Calibri"/>
              </w:rPr>
              <w:t xml:space="preserve">        19,185,983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48E2A2" w14:textId="77777777">
            <w:pPr>
              <w:rPr>
                <w:rFonts w:cs="Calibri"/>
              </w:rPr>
            </w:pPr>
            <w:r w:rsidRPr="007D15C3">
              <w:rPr>
                <w:rFonts w:cs="Calibri"/>
              </w:rPr>
              <w:t xml:space="preserve">          19,015,910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2B53F2" w14:textId="77777777">
            <w:pPr>
              <w:jc w:val="right"/>
              <w:rPr>
                <w:rFonts w:cs="Calibri"/>
              </w:rPr>
            </w:pPr>
            <w:r w:rsidRPr="007D15C3">
              <w:rPr>
                <w:rFonts w:cs="Calibri"/>
              </w:rPr>
              <w:t>$149,028</w:t>
            </w:r>
          </w:p>
        </w:tc>
      </w:tr>
      <w:tr w14:paraId="5D07904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DAB3FF" w14:textId="77777777">
            <w:pPr>
              <w:jc w:val="center"/>
              <w:rPr>
                <w:rFonts w:cs="Calibri"/>
              </w:rPr>
            </w:pPr>
            <w:r w:rsidRPr="007D15C3">
              <w:rPr>
                <w:rFonts w:cs="Calibri"/>
              </w:rPr>
              <w:t>34329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383D65" w14:textId="77777777">
            <w:pPr>
              <w:jc w:val="center"/>
              <w:rPr>
                <w:rFonts w:cs="Calibri"/>
              </w:rPr>
            </w:pPr>
            <w:r w:rsidRPr="007D15C3">
              <w:rPr>
                <w:rFonts w:cs="Calibri"/>
              </w:rPr>
              <w:t>WNYI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97F3A0" w14:textId="77777777">
            <w:pPr>
              <w:rPr>
                <w:rFonts w:cs="Calibri"/>
              </w:rPr>
            </w:pPr>
            <w:r w:rsidRPr="007D15C3">
              <w:rPr>
                <w:rFonts w:cs="Calibri"/>
              </w:rPr>
              <w:t xml:space="preserve">          1,627,542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6A3A35" w14:textId="77777777">
            <w:pPr>
              <w:rPr>
                <w:rFonts w:cs="Calibri"/>
              </w:rPr>
            </w:pPr>
            <w:r w:rsidRPr="007D15C3">
              <w:rPr>
                <w:rFonts w:cs="Calibri"/>
              </w:rPr>
              <w:t xml:space="preserve">            1,338,811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47F179" w14:textId="77777777">
            <w:pPr>
              <w:jc w:val="right"/>
              <w:rPr>
                <w:rFonts w:cs="Calibri"/>
              </w:rPr>
            </w:pPr>
            <w:r w:rsidRPr="007D15C3">
              <w:rPr>
                <w:rFonts w:cs="Calibri"/>
              </w:rPr>
              <w:t>$10,492</w:t>
            </w:r>
          </w:p>
        </w:tc>
      </w:tr>
      <w:tr w14:paraId="16CC339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373EDA" w14:textId="77777777">
            <w:pPr>
              <w:jc w:val="center"/>
              <w:rPr>
                <w:rFonts w:cs="Calibri"/>
              </w:rPr>
            </w:pPr>
            <w:r w:rsidRPr="007D15C3">
              <w:rPr>
                <w:rFonts w:cs="Calibri"/>
              </w:rPr>
              <w:t>67784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72EE1E" w14:textId="77777777">
            <w:pPr>
              <w:jc w:val="center"/>
              <w:rPr>
                <w:rFonts w:cs="Calibri"/>
              </w:rPr>
            </w:pPr>
            <w:r w:rsidRPr="007D15C3">
              <w:rPr>
                <w:rFonts w:cs="Calibri"/>
              </w:rPr>
              <w:t>WNYO-TV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259BDD" w14:textId="77777777">
            <w:pPr>
              <w:rPr>
                <w:rFonts w:cs="Calibri"/>
              </w:rPr>
            </w:pPr>
            <w:r w:rsidRPr="007D15C3">
              <w:rPr>
                <w:rFonts w:cs="Calibri"/>
              </w:rPr>
              <w:t xml:space="preserve">          1,539,525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D93225" w14:textId="77777777">
            <w:pPr>
              <w:rPr>
                <w:rFonts w:cs="Calibri"/>
              </w:rPr>
            </w:pPr>
            <w:r w:rsidRPr="007D15C3">
              <w:rPr>
                <w:rFonts w:cs="Calibri"/>
              </w:rPr>
              <w:t xml:space="preserve">            1,499,591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658C83" w14:textId="77777777">
            <w:pPr>
              <w:jc w:val="right"/>
              <w:rPr>
                <w:rFonts w:cs="Calibri"/>
              </w:rPr>
            </w:pPr>
            <w:r w:rsidRPr="007D15C3">
              <w:rPr>
                <w:rFonts w:cs="Calibri"/>
              </w:rPr>
              <w:t>$11,752</w:t>
            </w:r>
          </w:p>
        </w:tc>
      </w:tr>
      <w:tr w14:paraId="303B08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E4E674" w14:textId="77777777">
            <w:pPr>
              <w:jc w:val="center"/>
              <w:rPr>
                <w:rFonts w:cs="Calibri"/>
              </w:rPr>
            </w:pPr>
            <w:r w:rsidRPr="007D15C3">
              <w:rPr>
                <w:rFonts w:cs="Calibri"/>
              </w:rPr>
              <w:t>58725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69B082" w14:textId="77777777">
            <w:pPr>
              <w:jc w:val="center"/>
              <w:rPr>
                <w:rFonts w:cs="Calibri"/>
              </w:rPr>
            </w:pPr>
            <w:r w:rsidRPr="007D15C3">
              <w:rPr>
                <w:rFonts w:cs="Calibri"/>
              </w:rPr>
              <w:t>WNYS-TV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A51FD3" w14:textId="77777777">
            <w:pPr>
              <w:rPr>
                <w:rFonts w:cs="Calibri"/>
              </w:rPr>
            </w:pPr>
            <w:r w:rsidRPr="007D15C3">
              <w:rPr>
                <w:rFonts w:cs="Calibri"/>
              </w:rPr>
              <w:t xml:space="preserve">          1,690,696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C2CF20" w14:textId="77777777">
            <w:pPr>
              <w:rPr>
                <w:rFonts w:cs="Calibri"/>
              </w:rPr>
            </w:pPr>
            <w:r w:rsidRPr="007D15C3">
              <w:rPr>
                <w:rFonts w:cs="Calibri"/>
              </w:rPr>
              <w:t xml:space="preserve">            1,445,505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90C0A3" w14:textId="77777777">
            <w:pPr>
              <w:jc w:val="right"/>
              <w:rPr>
                <w:rFonts w:cs="Calibri"/>
              </w:rPr>
            </w:pPr>
            <w:r w:rsidRPr="007D15C3">
              <w:rPr>
                <w:rFonts w:cs="Calibri"/>
              </w:rPr>
              <w:t>$11,328</w:t>
            </w:r>
          </w:p>
        </w:tc>
      </w:tr>
      <w:tr w14:paraId="57EC44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3AFD413" w14:textId="77777777">
            <w:pPr>
              <w:jc w:val="center"/>
              <w:rPr>
                <w:rFonts w:cs="Calibri"/>
              </w:rPr>
            </w:pPr>
            <w:r w:rsidRPr="007D15C3">
              <w:rPr>
                <w:rFonts w:cs="Calibri"/>
              </w:rPr>
              <w:t>73363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67CD71" w14:textId="77777777">
            <w:pPr>
              <w:jc w:val="center"/>
              <w:rPr>
                <w:rFonts w:cs="Calibri"/>
              </w:rPr>
            </w:pPr>
            <w:r w:rsidRPr="007D15C3">
              <w:rPr>
                <w:rFonts w:cs="Calibri"/>
              </w:rPr>
              <w:t>WNYT*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416183" w14:textId="77777777">
            <w:pPr>
              <w:rPr>
                <w:rFonts w:cs="Calibri"/>
              </w:rPr>
            </w:pPr>
            <w:r w:rsidRPr="007D15C3">
              <w:rPr>
                <w:rFonts w:cs="Calibri"/>
              </w:rPr>
              <w:t xml:space="preserve">          1,679,494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46A300" w14:textId="77777777">
            <w:pPr>
              <w:rPr>
                <w:rFonts w:cs="Calibri"/>
              </w:rPr>
            </w:pPr>
            <w:r w:rsidRPr="007D15C3">
              <w:rPr>
                <w:rFonts w:cs="Calibri"/>
              </w:rPr>
              <w:t xml:space="preserve">            1,516,775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E80A9E" w14:textId="77777777">
            <w:pPr>
              <w:jc w:val="right"/>
              <w:rPr>
                <w:rFonts w:cs="Calibri"/>
              </w:rPr>
            </w:pPr>
            <w:r w:rsidRPr="007D15C3">
              <w:rPr>
                <w:rFonts w:cs="Calibri"/>
              </w:rPr>
              <w:t>$11,887</w:t>
            </w:r>
          </w:p>
        </w:tc>
      </w:tr>
      <w:tr w14:paraId="2D96D7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0D2BC3" w14:textId="77777777">
            <w:pPr>
              <w:jc w:val="center"/>
              <w:rPr>
                <w:rFonts w:cs="Calibri"/>
              </w:rPr>
            </w:pPr>
            <w:r w:rsidRPr="007D15C3">
              <w:rPr>
                <w:rFonts w:cs="Calibri"/>
              </w:rPr>
              <w:t>22206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A5486F7" w14:textId="77777777">
            <w:pPr>
              <w:jc w:val="center"/>
              <w:rPr>
                <w:rFonts w:cs="Calibri"/>
              </w:rPr>
            </w:pPr>
            <w:r w:rsidRPr="007D15C3">
              <w:rPr>
                <w:rFonts w:cs="Calibri"/>
              </w:rPr>
              <w:t>WNYW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CABB9A" w14:textId="77777777">
            <w:pPr>
              <w:rPr>
                <w:rFonts w:cs="Calibri"/>
              </w:rPr>
            </w:pPr>
            <w:r w:rsidRPr="007D15C3">
              <w:rPr>
                <w:rFonts w:cs="Calibri"/>
              </w:rPr>
              <w:t xml:space="preserve">        20,075,874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8BBED0" w14:textId="77777777">
            <w:pPr>
              <w:rPr>
                <w:rFonts w:cs="Calibri"/>
              </w:rPr>
            </w:pPr>
            <w:r w:rsidRPr="007D15C3">
              <w:rPr>
                <w:rFonts w:cs="Calibri"/>
              </w:rPr>
              <w:t xml:space="preserve">          19,753,060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24106C" w14:textId="77777777">
            <w:pPr>
              <w:jc w:val="right"/>
              <w:rPr>
                <w:rFonts w:cs="Calibri"/>
              </w:rPr>
            </w:pPr>
            <w:r w:rsidRPr="007D15C3">
              <w:rPr>
                <w:rFonts w:cs="Calibri"/>
              </w:rPr>
              <w:t>$154,805</w:t>
            </w:r>
          </w:p>
        </w:tc>
      </w:tr>
      <w:tr w14:paraId="070427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D3426C" w14:textId="77777777">
            <w:pPr>
              <w:jc w:val="center"/>
              <w:rPr>
                <w:rFonts w:cs="Calibri"/>
              </w:rPr>
            </w:pPr>
            <w:r w:rsidRPr="007D15C3">
              <w:rPr>
                <w:rFonts w:cs="Calibri"/>
              </w:rPr>
              <w:t>69618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A7EA32" w14:textId="77777777">
            <w:pPr>
              <w:jc w:val="center"/>
              <w:rPr>
                <w:rFonts w:cs="Calibri"/>
              </w:rPr>
            </w:pPr>
            <w:r w:rsidRPr="007D15C3">
              <w:rPr>
                <w:rFonts w:cs="Calibri"/>
              </w:rPr>
              <w:t>WOAI-TV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D06C83" w14:textId="77777777">
            <w:pPr>
              <w:rPr>
                <w:rFonts w:cs="Calibri"/>
              </w:rPr>
            </w:pPr>
            <w:r w:rsidRPr="007D15C3">
              <w:rPr>
                <w:rFonts w:cs="Calibri"/>
              </w:rPr>
              <w:t xml:space="preserve">          2,525,811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DFAA17" w14:textId="77777777">
            <w:pPr>
              <w:rPr>
                <w:rFonts w:cs="Calibri"/>
              </w:rPr>
            </w:pPr>
            <w:r w:rsidRPr="007D15C3">
              <w:rPr>
                <w:rFonts w:cs="Calibri"/>
              </w:rPr>
              <w:t xml:space="preserve">            2,513,887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8D1FA6" w14:textId="77777777">
            <w:pPr>
              <w:jc w:val="right"/>
              <w:rPr>
                <w:rFonts w:cs="Calibri"/>
              </w:rPr>
            </w:pPr>
            <w:r w:rsidRPr="007D15C3">
              <w:rPr>
                <w:rFonts w:cs="Calibri"/>
              </w:rPr>
              <w:t>$19,701</w:t>
            </w:r>
          </w:p>
        </w:tc>
      </w:tr>
      <w:tr w14:paraId="778E6B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73FCBB" w14:textId="77777777">
            <w:pPr>
              <w:jc w:val="center"/>
              <w:rPr>
                <w:rFonts w:cs="Calibri"/>
              </w:rPr>
            </w:pPr>
            <w:r w:rsidRPr="007D15C3">
              <w:rPr>
                <w:rFonts w:cs="Calibri"/>
              </w:rPr>
              <w:t>66804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B371B2" w14:textId="77777777">
            <w:pPr>
              <w:jc w:val="center"/>
              <w:rPr>
                <w:rFonts w:cs="Calibri"/>
              </w:rPr>
            </w:pPr>
            <w:r w:rsidRPr="007D15C3">
              <w:rPr>
                <w:rFonts w:cs="Calibri"/>
              </w:rPr>
              <w:t>WOAY-TV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1D7263" w14:textId="77777777">
            <w:pPr>
              <w:rPr>
                <w:rFonts w:cs="Calibri"/>
              </w:rPr>
            </w:pPr>
            <w:r w:rsidRPr="007D15C3">
              <w:rPr>
                <w:rFonts w:cs="Calibri"/>
              </w:rPr>
              <w:t xml:space="preserve">             569,330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BA06B2" w14:textId="77777777">
            <w:pPr>
              <w:rPr>
                <w:rFonts w:cs="Calibri"/>
              </w:rPr>
            </w:pPr>
            <w:r w:rsidRPr="007D15C3">
              <w:rPr>
                <w:rFonts w:cs="Calibri"/>
              </w:rPr>
              <w:t xml:space="preserve">               416,995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9FC67C" w14:textId="77777777">
            <w:pPr>
              <w:jc w:val="right"/>
              <w:rPr>
                <w:rFonts w:cs="Calibri"/>
              </w:rPr>
            </w:pPr>
            <w:r w:rsidRPr="007D15C3">
              <w:rPr>
                <w:rFonts w:cs="Calibri"/>
              </w:rPr>
              <w:t>$3,268</w:t>
            </w:r>
          </w:p>
        </w:tc>
      </w:tr>
      <w:tr w14:paraId="7190BFE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BEC8EB" w14:textId="77777777">
            <w:pPr>
              <w:jc w:val="center"/>
              <w:rPr>
                <w:rFonts w:cs="Calibri"/>
              </w:rPr>
            </w:pPr>
            <w:r w:rsidRPr="007D15C3">
              <w:rPr>
                <w:rFonts w:cs="Calibri"/>
              </w:rPr>
              <w:t>41225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2EBADD" w14:textId="77777777">
            <w:pPr>
              <w:jc w:val="center"/>
              <w:rPr>
                <w:rFonts w:cs="Calibri"/>
              </w:rPr>
            </w:pPr>
            <w:r w:rsidRPr="007D15C3">
              <w:rPr>
                <w:rFonts w:cs="Calibri"/>
              </w:rPr>
              <w:t>WOFL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C35B72" w14:textId="77777777">
            <w:pPr>
              <w:rPr>
                <w:rFonts w:cs="Calibri"/>
              </w:rPr>
            </w:pPr>
            <w:r w:rsidRPr="007D15C3">
              <w:rPr>
                <w:rFonts w:cs="Calibri"/>
              </w:rPr>
              <w:t xml:space="preserve">          3,941,895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97EFDE" w14:textId="77777777">
            <w:pPr>
              <w:rPr>
                <w:rFonts w:cs="Calibri"/>
              </w:rPr>
            </w:pPr>
            <w:r w:rsidRPr="007D15C3">
              <w:rPr>
                <w:rFonts w:cs="Calibri"/>
              </w:rPr>
              <w:t xml:space="preserve">            3,938,046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D9EE1F" w14:textId="77777777">
            <w:pPr>
              <w:jc w:val="right"/>
              <w:rPr>
                <w:rFonts w:cs="Calibri"/>
              </w:rPr>
            </w:pPr>
            <w:r w:rsidRPr="007D15C3">
              <w:rPr>
                <w:rFonts w:cs="Calibri"/>
              </w:rPr>
              <w:t>$30,862</w:t>
            </w:r>
          </w:p>
        </w:tc>
      </w:tr>
      <w:tr w14:paraId="3D152A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1ED3F0" w14:textId="77777777">
            <w:pPr>
              <w:jc w:val="center"/>
              <w:rPr>
                <w:rFonts w:cs="Calibri"/>
              </w:rPr>
            </w:pPr>
            <w:r w:rsidRPr="007D15C3">
              <w:rPr>
                <w:rFonts w:cs="Calibri"/>
              </w:rPr>
              <w:t>70651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B581EC" w14:textId="77777777">
            <w:pPr>
              <w:jc w:val="center"/>
              <w:rPr>
                <w:rFonts w:cs="Calibri"/>
              </w:rPr>
            </w:pPr>
            <w:r w:rsidRPr="007D15C3">
              <w:rPr>
                <w:rFonts w:cs="Calibri"/>
              </w:rPr>
              <w:t>WOGX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45E524" w14:textId="77777777">
            <w:pPr>
              <w:rPr>
                <w:rFonts w:cs="Calibri"/>
              </w:rPr>
            </w:pPr>
            <w:r w:rsidRPr="007D15C3">
              <w:rPr>
                <w:rFonts w:cs="Calibri"/>
              </w:rPr>
              <w:t xml:space="preserve">          1,112,408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748EEF" w14:textId="77777777">
            <w:pPr>
              <w:rPr>
                <w:rFonts w:cs="Calibri"/>
              </w:rPr>
            </w:pPr>
            <w:r w:rsidRPr="007D15C3">
              <w:rPr>
                <w:rFonts w:cs="Calibri"/>
              </w:rPr>
              <w:t xml:space="preserve">            1,112,408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9C6680" w14:textId="77777777">
            <w:pPr>
              <w:jc w:val="right"/>
              <w:rPr>
                <w:rFonts w:cs="Calibri"/>
              </w:rPr>
            </w:pPr>
            <w:r w:rsidRPr="007D15C3">
              <w:rPr>
                <w:rFonts w:cs="Calibri"/>
              </w:rPr>
              <w:t>$8,718</w:t>
            </w:r>
          </w:p>
        </w:tc>
      </w:tr>
      <w:tr w14:paraId="1334C9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FDB722" w14:textId="77777777">
            <w:pPr>
              <w:jc w:val="center"/>
              <w:rPr>
                <w:rFonts w:cs="Calibri"/>
              </w:rPr>
            </w:pPr>
            <w:r w:rsidRPr="007D15C3">
              <w:rPr>
                <w:rFonts w:cs="Calibri"/>
              </w:rPr>
              <w:t>8661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678551" w14:textId="77777777">
            <w:pPr>
              <w:jc w:val="center"/>
              <w:rPr>
                <w:rFonts w:cs="Calibri"/>
              </w:rPr>
            </w:pPr>
            <w:r w:rsidRPr="007D15C3">
              <w:rPr>
                <w:rFonts w:cs="Calibri"/>
              </w:rPr>
              <w:t>WOI-DT*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7258E7" w14:textId="77777777">
            <w:pPr>
              <w:rPr>
                <w:rFonts w:cs="Calibri"/>
              </w:rPr>
            </w:pPr>
            <w:r w:rsidRPr="007D15C3">
              <w:rPr>
                <w:rFonts w:cs="Calibri"/>
              </w:rPr>
              <w:t xml:space="preserve">          1,173,757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C98615" w14:textId="77777777">
            <w:pPr>
              <w:rPr>
                <w:rFonts w:cs="Calibri"/>
              </w:rPr>
            </w:pPr>
            <w:r w:rsidRPr="007D15C3">
              <w:rPr>
                <w:rFonts w:cs="Calibri"/>
              </w:rPr>
              <w:t xml:space="preserve">            1,170,432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29D09C" w14:textId="77777777">
            <w:pPr>
              <w:jc w:val="right"/>
              <w:rPr>
                <w:rFonts w:cs="Calibri"/>
              </w:rPr>
            </w:pPr>
            <w:r w:rsidRPr="007D15C3">
              <w:rPr>
                <w:rFonts w:cs="Calibri"/>
              </w:rPr>
              <w:t>$9,173</w:t>
            </w:r>
          </w:p>
        </w:tc>
      </w:tr>
      <w:tr w14:paraId="48E78D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2756D0" w14:textId="77777777">
            <w:pPr>
              <w:jc w:val="center"/>
              <w:rPr>
                <w:rFonts w:cs="Calibri"/>
              </w:rPr>
            </w:pPr>
            <w:r w:rsidRPr="007D15C3">
              <w:rPr>
                <w:rFonts w:cs="Calibri"/>
              </w:rPr>
              <w:t>39746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3A4E0A" w14:textId="77777777">
            <w:pPr>
              <w:jc w:val="center"/>
              <w:rPr>
                <w:rFonts w:cs="Calibri"/>
              </w:rPr>
            </w:pPr>
            <w:r w:rsidRPr="007D15C3">
              <w:rPr>
                <w:rFonts w:cs="Calibri"/>
              </w:rPr>
              <w:t>WOIO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D0C5CD" w14:textId="77777777">
            <w:pPr>
              <w:rPr>
                <w:rFonts w:cs="Calibri"/>
              </w:rPr>
            </w:pPr>
            <w:r w:rsidRPr="007D15C3">
              <w:rPr>
                <w:rFonts w:cs="Calibri"/>
              </w:rPr>
              <w:t xml:space="preserve">          3,821,233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412018" w14:textId="77777777">
            <w:pPr>
              <w:rPr>
                <w:rFonts w:cs="Calibri"/>
              </w:rPr>
            </w:pPr>
            <w:r w:rsidRPr="007D15C3">
              <w:rPr>
                <w:rFonts w:cs="Calibri"/>
              </w:rPr>
              <w:t xml:space="preserve">            3,745,335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78EB4B" w14:textId="77777777">
            <w:pPr>
              <w:jc w:val="right"/>
              <w:rPr>
                <w:rFonts w:cs="Calibri"/>
              </w:rPr>
            </w:pPr>
            <w:r w:rsidRPr="007D15C3">
              <w:rPr>
                <w:rFonts w:cs="Calibri"/>
              </w:rPr>
              <w:t>$29,352</w:t>
            </w:r>
          </w:p>
        </w:tc>
      </w:tr>
      <w:tr w14:paraId="304C2A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27F371" w14:textId="77777777">
            <w:pPr>
              <w:jc w:val="center"/>
              <w:rPr>
                <w:rFonts w:cs="Calibri"/>
              </w:rPr>
            </w:pPr>
            <w:r w:rsidRPr="007D15C3">
              <w:rPr>
                <w:rFonts w:cs="Calibri"/>
              </w:rPr>
              <w:t>71725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5B32624" w14:textId="77777777">
            <w:pPr>
              <w:jc w:val="center"/>
              <w:rPr>
                <w:rFonts w:cs="Calibri"/>
                <w:vertAlign w:val="superscript"/>
              </w:rPr>
            </w:pPr>
            <w:r w:rsidRPr="007D15C3">
              <w:rPr>
                <w:rFonts w:cs="Calibri"/>
              </w:rPr>
              <w:t>WOLE-DT*</w:t>
            </w:r>
            <w:r w:rsidRPr="007D15C3">
              <w:rPr>
                <w:rFonts w:cs="Calibri"/>
                <w:vertAlign w:val="superscript"/>
              </w:rPr>
              <w:t>1</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CB2916" w14:textId="77777777">
            <w:pPr>
              <w:rPr>
                <w:rFonts w:cs="Calibri"/>
              </w:rPr>
            </w:pPr>
            <w:r w:rsidRPr="007D15C3">
              <w:rPr>
                <w:rFonts w:cs="Calibri"/>
              </w:rPr>
              <w:t xml:space="preserve">          2,503,603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F4347E" w14:textId="77777777">
            <w:pPr>
              <w:rPr>
                <w:rFonts w:cs="Calibri"/>
              </w:rPr>
            </w:pPr>
            <w:r w:rsidRPr="007D15C3">
              <w:rPr>
                <w:rFonts w:cs="Calibri"/>
              </w:rPr>
              <w:t xml:space="preserve">            947,174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8E9739" w14:textId="77777777">
            <w:pPr>
              <w:jc w:val="right"/>
              <w:rPr>
                <w:rFonts w:cs="Calibri"/>
              </w:rPr>
            </w:pPr>
            <w:r w:rsidRPr="007D15C3">
              <w:rPr>
                <w:rFonts w:cs="Calibri"/>
              </w:rPr>
              <w:t>$7,423</w:t>
            </w:r>
          </w:p>
        </w:tc>
      </w:tr>
      <w:tr w14:paraId="52CF7AC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FB7463" w14:textId="77777777">
            <w:pPr>
              <w:jc w:val="center"/>
              <w:rPr>
                <w:rFonts w:cs="Calibri"/>
              </w:rPr>
            </w:pPr>
            <w:r w:rsidRPr="007D15C3">
              <w:rPr>
                <w:rFonts w:cs="Calibri"/>
              </w:rPr>
              <w:t>73375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ACEAF4" w14:textId="77777777">
            <w:pPr>
              <w:jc w:val="center"/>
              <w:rPr>
                <w:rFonts w:cs="Calibri"/>
              </w:rPr>
            </w:pPr>
            <w:r w:rsidRPr="007D15C3">
              <w:rPr>
                <w:rFonts w:cs="Calibri"/>
              </w:rPr>
              <w:t>WOLF-TV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BE8F8C" w14:textId="77777777">
            <w:pPr>
              <w:rPr>
                <w:rFonts w:cs="Calibri"/>
              </w:rPr>
            </w:pPr>
            <w:r w:rsidRPr="007D15C3">
              <w:rPr>
                <w:rFonts w:cs="Calibri"/>
              </w:rPr>
              <w:t xml:space="preserve">          3,006,606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95BFE8" w14:textId="77777777">
            <w:pPr>
              <w:rPr>
                <w:rFonts w:cs="Calibri"/>
              </w:rPr>
            </w:pPr>
            <w:r w:rsidRPr="007D15C3">
              <w:rPr>
                <w:rFonts w:cs="Calibri"/>
              </w:rPr>
              <w:t xml:space="preserve">            2,425,396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EFFD26" w14:textId="77777777">
            <w:pPr>
              <w:jc w:val="right"/>
              <w:rPr>
                <w:rFonts w:cs="Calibri"/>
              </w:rPr>
            </w:pPr>
            <w:r w:rsidRPr="007D15C3">
              <w:rPr>
                <w:rFonts w:cs="Calibri"/>
              </w:rPr>
              <w:t>$19,008</w:t>
            </w:r>
          </w:p>
        </w:tc>
      </w:tr>
      <w:tr w14:paraId="568C18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A66501" w14:textId="77777777">
            <w:pPr>
              <w:jc w:val="center"/>
              <w:rPr>
                <w:rFonts w:cs="Calibri"/>
              </w:rPr>
            </w:pPr>
            <w:r w:rsidRPr="007D15C3">
              <w:rPr>
                <w:rFonts w:cs="Calibri"/>
              </w:rPr>
              <w:t>60963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7DDE76" w14:textId="77777777">
            <w:pPr>
              <w:jc w:val="center"/>
              <w:rPr>
                <w:rFonts w:cs="Calibri"/>
              </w:rPr>
            </w:pPr>
            <w:r w:rsidRPr="007D15C3">
              <w:rPr>
                <w:rFonts w:cs="Calibri"/>
              </w:rPr>
              <w:t>WOLO-TV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CC1B86" w14:textId="77777777">
            <w:pPr>
              <w:rPr>
                <w:rFonts w:cs="Calibri"/>
              </w:rPr>
            </w:pPr>
            <w:r w:rsidRPr="007D15C3">
              <w:rPr>
                <w:rFonts w:cs="Calibri"/>
              </w:rPr>
              <w:t xml:space="preserve">          2,635,115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48C889" w14:textId="77777777">
            <w:pPr>
              <w:rPr>
                <w:rFonts w:cs="Calibri"/>
              </w:rPr>
            </w:pPr>
            <w:r w:rsidRPr="007D15C3">
              <w:rPr>
                <w:rFonts w:cs="Calibri"/>
              </w:rPr>
              <w:t xml:space="preserve">            2,590,158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41F621" w14:textId="77777777">
            <w:pPr>
              <w:jc w:val="right"/>
              <w:rPr>
                <w:rFonts w:cs="Calibri"/>
              </w:rPr>
            </w:pPr>
            <w:r w:rsidRPr="007D15C3">
              <w:rPr>
                <w:rFonts w:cs="Calibri"/>
              </w:rPr>
              <w:t>$20,299</w:t>
            </w:r>
          </w:p>
        </w:tc>
      </w:tr>
      <w:tr w14:paraId="7F667B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A6B8C9" w14:textId="77777777">
            <w:pPr>
              <w:jc w:val="center"/>
              <w:rPr>
                <w:rFonts w:cs="Calibri"/>
              </w:rPr>
            </w:pPr>
            <w:r w:rsidRPr="007D15C3">
              <w:rPr>
                <w:rFonts w:cs="Calibri"/>
              </w:rPr>
              <w:t>36838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0BD6EE" w14:textId="77777777">
            <w:pPr>
              <w:jc w:val="center"/>
              <w:rPr>
                <w:rFonts w:cs="Calibri"/>
              </w:rPr>
            </w:pPr>
            <w:r w:rsidRPr="007D15C3">
              <w:rPr>
                <w:rFonts w:cs="Calibri"/>
              </w:rPr>
              <w:t>WOOD-TV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412F1F" w14:textId="77777777">
            <w:pPr>
              <w:rPr>
                <w:rFonts w:cs="Calibri"/>
              </w:rPr>
            </w:pPr>
            <w:r w:rsidRPr="007D15C3">
              <w:rPr>
                <w:rFonts w:cs="Calibri"/>
              </w:rPr>
              <w:t xml:space="preserve">          2,507,053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B976C0" w14:textId="77777777">
            <w:pPr>
              <w:rPr>
                <w:rFonts w:cs="Calibri"/>
              </w:rPr>
            </w:pPr>
            <w:r w:rsidRPr="007D15C3">
              <w:rPr>
                <w:rFonts w:cs="Calibri"/>
              </w:rPr>
              <w:t xml:space="preserve">            2,501,084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0D9053" w14:textId="77777777">
            <w:pPr>
              <w:jc w:val="right"/>
              <w:rPr>
                <w:rFonts w:cs="Calibri"/>
              </w:rPr>
            </w:pPr>
            <w:r w:rsidRPr="007D15C3">
              <w:rPr>
                <w:rFonts w:cs="Calibri"/>
              </w:rPr>
              <w:t>$19,601</w:t>
            </w:r>
          </w:p>
        </w:tc>
      </w:tr>
      <w:tr w14:paraId="2BC99DB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910C1A" w14:textId="77777777">
            <w:pPr>
              <w:jc w:val="center"/>
              <w:rPr>
                <w:rFonts w:cs="Calibri"/>
              </w:rPr>
            </w:pPr>
            <w:r w:rsidRPr="007D15C3">
              <w:rPr>
                <w:rFonts w:cs="Calibri"/>
              </w:rPr>
              <w:t>67602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89FA50" w14:textId="77777777">
            <w:pPr>
              <w:jc w:val="center"/>
              <w:rPr>
                <w:rFonts w:cs="Calibri"/>
              </w:rPr>
            </w:pPr>
            <w:r w:rsidRPr="007D15C3">
              <w:rPr>
                <w:rFonts w:cs="Calibri"/>
              </w:rPr>
              <w:t>WOPX-TV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54CA19" w14:textId="77777777">
            <w:pPr>
              <w:rPr>
                <w:rFonts w:cs="Calibri"/>
              </w:rPr>
            </w:pPr>
            <w:r w:rsidRPr="007D15C3">
              <w:rPr>
                <w:rFonts w:cs="Calibri"/>
              </w:rPr>
              <w:t xml:space="preserve">          3,826,498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D9DE73" w14:textId="77777777">
            <w:pPr>
              <w:rPr>
                <w:rFonts w:cs="Calibri"/>
              </w:rPr>
            </w:pPr>
            <w:r w:rsidRPr="007D15C3">
              <w:rPr>
                <w:rFonts w:cs="Calibri"/>
              </w:rPr>
              <w:t xml:space="preserve">            3,826,259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37B28E" w14:textId="77777777">
            <w:pPr>
              <w:jc w:val="right"/>
              <w:rPr>
                <w:rFonts w:cs="Calibri"/>
              </w:rPr>
            </w:pPr>
            <w:r w:rsidRPr="007D15C3">
              <w:rPr>
                <w:rFonts w:cs="Calibri"/>
              </w:rPr>
              <w:t>$29,986</w:t>
            </w:r>
          </w:p>
        </w:tc>
      </w:tr>
      <w:tr w14:paraId="2F4BE7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B47528" w14:textId="77777777">
            <w:pPr>
              <w:jc w:val="center"/>
              <w:rPr>
                <w:rFonts w:cs="Calibri"/>
              </w:rPr>
            </w:pPr>
            <w:r w:rsidRPr="007D15C3">
              <w:rPr>
                <w:rFonts w:cs="Calibri"/>
              </w:rPr>
              <w:t>64865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FF6D26" w14:textId="77777777">
            <w:pPr>
              <w:jc w:val="center"/>
              <w:rPr>
                <w:rFonts w:cs="Calibri"/>
              </w:rPr>
            </w:pPr>
            <w:r w:rsidRPr="007D15C3">
              <w:rPr>
                <w:rFonts w:cs="Calibri"/>
              </w:rPr>
              <w:t>WORA-TV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0B411E" w14:textId="77777777">
            <w:pPr>
              <w:rPr>
                <w:rFonts w:cs="Calibri"/>
              </w:rPr>
            </w:pPr>
            <w:r w:rsidRPr="007D15C3">
              <w:rPr>
                <w:rFonts w:cs="Calibri"/>
              </w:rPr>
              <w:t xml:space="preserve">          2,733,629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CDEE79" w14:textId="77777777">
            <w:pPr>
              <w:rPr>
                <w:rFonts w:cs="Calibri"/>
              </w:rPr>
            </w:pPr>
            <w:r w:rsidRPr="007D15C3">
              <w:rPr>
                <w:rFonts w:cs="Calibri"/>
              </w:rPr>
              <w:t xml:space="preserve">            2,586,149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4251E0" w14:textId="77777777">
            <w:pPr>
              <w:jc w:val="right"/>
              <w:rPr>
                <w:rFonts w:cs="Calibri"/>
              </w:rPr>
            </w:pPr>
            <w:r w:rsidRPr="007D15C3">
              <w:rPr>
                <w:rFonts w:cs="Calibri"/>
              </w:rPr>
              <w:t>$2,893</w:t>
            </w:r>
          </w:p>
        </w:tc>
      </w:tr>
      <w:tr w14:paraId="0E6BB5F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0B4CA0" w14:textId="77777777">
            <w:pPr>
              <w:jc w:val="center"/>
              <w:rPr>
                <w:rFonts w:cs="Calibri"/>
              </w:rPr>
            </w:pPr>
            <w:r w:rsidRPr="007D15C3">
              <w:rPr>
                <w:rFonts w:cs="Calibri"/>
              </w:rPr>
              <w:t>73901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875E34" w14:textId="77777777">
            <w:pPr>
              <w:jc w:val="center"/>
              <w:rPr>
                <w:rFonts w:cs="Calibri"/>
              </w:rPr>
            </w:pPr>
            <w:r w:rsidRPr="007D15C3">
              <w:rPr>
                <w:rFonts w:cs="Calibri"/>
              </w:rPr>
              <w:t>WORO-DT*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35E70D" w14:textId="77777777">
            <w:pPr>
              <w:rPr>
                <w:rFonts w:cs="Calibri"/>
              </w:rPr>
            </w:pPr>
            <w:r w:rsidRPr="007D15C3">
              <w:rPr>
                <w:rFonts w:cs="Calibri"/>
              </w:rPr>
              <w:t xml:space="preserve">          3,243,301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EDC8B8" w14:textId="77777777">
            <w:pPr>
              <w:rPr>
                <w:rFonts w:cs="Calibri"/>
              </w:rPr>
            </w:pPr>
            <w:r w:rsidRPr="007D15C3">
              <w:rPr>
                <w:rFonts w:cs="Calibri"/>
              </w:rPr>
              <w:t xml:space="preserve">            3,022,553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3A235E" w14:textId="77777777">
            <w:pPr>
              <w:jc w:val="right"/>
              <w:rPr>
                <w:rFonts w:cs="Calibri"/>
                <w:b/>
                <w:bCs/>
              </w:rPr>
            </w:pPr>
            <w:r w:rsidRPr="007D15C3">
              <w:rPr>
                <w:rFonts w:cs="Calibri"/>
                <w:b/>
                <w:bCs/>
              </w:rPr>
              <w:t>$20,711</w:t>
            </w:r>
          </w:p>
        </w:tc>
      </w:tr>
      <w:tr w14:paraId="11AB05F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30EFB7" w14:textId="77777777">
            <w:pPr>
              <w:jc w:val="center"/>
              <w:rPr>
                <w:rFonts w:cs="Calibri"/>
              </w:rPr>
            </w:pPr>
            <w:r w:rsidRPr="007D15C3">
              <w:rPr>
                <w:rFonts w:cs="Calibri"/>
              </w:rPr>
              <w:t>60357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692CA6" w14:textId="77777777">
            <w:pPr>
              <w:jc w:val="center"/>
              <w:rPr>
                <w:rFonts w:cs="Calibri"/>
              </w:rPr>
            </w:pPr>
            <w:r w:rsidRPr="007D15C3">
              <w:rPr>
                <w:rFonts w:cs="Calibri"/>
              </w:rPr>
              <w:t>WOST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E2CF18" w14:textId="77777777">
            <w:pPr>
              <w:rPr>
                <w:rFonts w:cs="Calibri"/>
              </w:rPr>
            </w:pPr>
            <w:r w:rsidRPr="007D15C3">
              <w:rPr>
                <w:rFonts w:cs="Calibri"/>
              </w:rPr>
              <w:t xml:space="preserve">          1,193,381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2FB00B" w14:textId="77777777">
            <w:pPr>
              <w:rPr>
                <w:rFonts w:cs="Calibri"/>
              </w:rPr>
            </w:pPr>
            <w:r w:rsidRPr="007D15C3">
              <w:rPr>
                <w:rFonts w:cs="Calibri"/>
              </w:rPr>
              <w:t xml:space="preserve">            1,027,391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819E85" w14:textId="77777777">
            <w:pPr>
              <w:jc w:val="right"/>
              <w:rPr>
                <w:rFonts w:cs="Calibri"/>
              </w:rPr>
            </w:pPr>
            <w:r w:rsidRPr="007D15C3">
              <w:rPr>
                <w:rFonts w:cs="Calibri"/>
              </w:rPr>
              <w:t>$6,691</w:t>
            </w:r>
          </w:p>
        </w:tc>
      </w:tr>
      <w:tr w14:paraId="226397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11CB85" w14:textId="77777777">
            <w:pPr>
              <w:jc w:val="center"/>
              <w:rPr>
                <w:rFonts w:cs="Calibri"/>
              </w:rPr>
            </w:pPr>
            <w:r w:rsidRPr="007D15C3">
              <w:rPr>
                <w:rFonts w:cs="Calibri"/>
              </w:rPr>
              <w:t>66185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B99CE2" w14:textId="77777777">
            <w:pPr>
              <w:jc w:val="center"/>
              <w:rPr>
                <w:rFonts w:cs="Calibri"/>
              </w:rPr>
            </w:pPr>
            <w:r w:rsidRPr="007D15C3">
              <w:rPr>
                <w:rFonts w:cs="Calibri"/>
              </w:rPr>
              <w:t>WOSU-TV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C475B2" w14:textId="77777777">
            <w:pPr>
              <w:rPr>
                <w:rFonts w:cs="Calibri"/>
              </w:rPr>
            </w:pPr>
            <w:r w:rsidRPr="007D15C3">
              <w:rPr>
                <w:rFonts w:cs="Calibri"/>
              </w:rPr>
              <w:t xml:space="preserve">          2,649,515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E42793" w14:textId="77777777">
            <w:pPr>
              <w:rPr>
                <w:rFonts w:cs="Calibri"/>
              </w:rPr>
            </w:pPr>
            <w:r w:rsidRPr="007D15C3">
              <w:rPr>
                <w:rFonts w:cs="Calibri"/>
              </w:rPr>
              <w:t xml:space="preserve">            2,617,817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CEFA42" w14:textId="77777777">
            <w:pPr>
              <w:jc w:val="right"/>
              <w:rPr>
                <w:rFonts w:cs="Calibri"/>
              </w:rPr>
            </w:pPr>
            <w:r w:rsidRPr="007D15C3">
              <w:rPr>
                <w:rFonts w:cs="Calibri"/>
              </w:rPr>
              <w:t>$20,516</w:t>
            </w:r>
          </w:p>
        </w:tc>
      </w:tr>
      <w:tr w14:paraId="490132F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1ADA9CB" w14:textId="77777777">
            <w:pPr>
              <w:jc w:val="center"/>
              <w:rPr>
                <w:rFonts w:cs="Calibri"/>
              </w:rPr>
            </w:pPr>
            <w:r w:rsidRPr="007D15C3">
              <w:rPr>
                <w:rFonts w:cs="Calibri"/>
              </w:rPr>
              <w:t>131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E57B825" w14:textId="77777777">
            <w:pPr>
              <w:jc w:val="center"/>
              <w:rPr>
                <w:rFonts w:cs="Calibri"/>
              </w:rPr>
            </w:pPr>
            <w:r w:rsidRPr="007D15C3">
              <w:rPr>
                <w:rFonts w:cs="Calibri"/>
              </w:rPr>
              <w:t>WOTF-TV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4056C1" w14:textId="77777777">
            <w:pPr>
              <w:rPr>
                <w:rFonts w:cs="Calibri"/>
              </w:rPr>
            </w:pPr>
            <w:r w:rsidRPr="007D15C3">
              <w:rPr>
                <w:rFonts w:cs="Calibri"/>
              </w:rPr>
              <w:t xml:space="preserve">          3,288,537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4D18DB" w14:textId="77777777">
            <w:pPr>
              <w:rPr>
                <w:rFonts w:cs="Calibri"/>
              </w:rPr>
            </w:pPr>
            <w:r w:rsidRPr="007D15C3">
              <w:rPr>
                <w:rFonts w:cs="Calibri"/>
              </w:rPr>
              <w:t xml:space="preserve">            3,288,535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BF753C" w14:textId="77777777">
            <w:pPr>
              <w:jc w:val="right"/>
              <w:rPr>
                <w:rFonts w:cs="Calibri"/>
              </w:rPr>
            </w:pPr>
            <w:r w:rsidRPr="007D15C3">
              <w:rPr>
                <w:rFonts w:cs="Calibri"/>
              </w:rPr>
              <w:t>$25,772</w:t>
            </w:r>
          </w:p>
        </w:tc>
      </w:tr>
      <w:tr w14:paraId="7FE292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0C57F0" w14:textId="77777777">
            <w:pPr>
              <w:jc w:val="center"/>
              <w:rPr>
                <w:rFonts w:cs="Calibri"/>
              </w:rPr>
            </w:pPr>
            <w:r w:rsidRPr="007D15C3">
              <w:rPr>
                <w:rFonts w:cs="Calibri"/>
              </w:rPr>
              <w:t>10212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966CDA" w14:textId="77777777">
            <w:pPr>
              <w:jc w:val="center"/>
              <w:rPr>
                <w:rFonts w:cs="Calibri"/>
              </w:rPr>
            </w:pPr>
            <w:r w:rsidRPr="007D15C3">
              <w:rPr>
                <w:rFonts w:cs="Calibri"/>
              </w:rPr>
              <w:t>WOTV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DAB8CC" w14:textId="77777777">
            <w:pPr>
              <w:rPr>
                <w:rFonts w:cs="Calibri"/>
              </w:rPr>
            </w:pPr>
            <w:r w:rsidRPr="007D15C3">
              <w:rPr>
                <w:rFonts w:cs="Calibri"/>
              </w:rPr>
              <w:t xml:space="preserve">          2,277,566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F0162A" w14:textId="77777777">
            <w:pPr>
              <w:rPr>
                <w:rFonts w:cs="Calibri"/>
              </w:rPr>
            </w:pPr>
            <w:r w:rsidRPr="007D15C3">
              <w:rPr>
                <w:rFonts w:cs="Calibri"/>
              </w:rPr>
              <w:t xml:space="preserve">            2,277,258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8F41F7" w14:textId="77777777">
            <w:pPr>
              <w:jc w:val="right"/>
              <w:rPr>
                <w:rFonts w:cs="Calibri"/>
              </w:rPr>
            </w:pPr>
            <w:r w:rsidRPr="007D15C3">
              <w:rPr>
                <w:rFonts w:cs="Calibri"/>
              </w:rPr>
              <w:t>$17,847</w:t>
            </w:r>
          </w:p>
        </w:tc>
      </w:tr>
      <w:tr w14:paraId="199380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1CDB54" w14:textId="77777777">
            <w:pPr>
              <w:jc w:val="center"/>
              <w:rPr>
                <w:rFonts w:cs="Calibri"/>
              </w:rPr>
            </w:pPr>
            <w:r w:rsidRPr="007D15C3">
              <w:rPr>
                <w:rFonts w:cs="Calibri"/>
              </w:rPr>
              <w:t>50147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16F0AC" w14:textId="77777777">
            <w:pPr>
              <w:jc w:val="center"/>
              <w:rPr>
                <w:rFonts w:cs="Calibri"/>
              </w:rPr>
            </w:pPr>
            <w:r w:rsidRPr="007D15C3">
              <w:rPr>
                <w:rFonts w:cs="Calibri"/>
              </w:rPr>
              <w:t>WOUB-TV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1BB114" w14:textId="77777777">
            <w:pPr>
              <w:rPr>
                <w:rFonts w:cs="Calibri"/>
              </w:rPr>
            </w:pPr>
            <w:r w:rsidRPr="007D15C3">
              <w:rPr>
                <w:rFonts w:cs="Calibri"/>
              </w:rPr>
              <w:t xml:space="preserve">             756,762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6527C1" w14:textId="77777777">
            <w:pPr>
              <w:rPr>
                <w:rFonts w:cs="Calibri"/>
              </w:rPr>
            </w:pPr>
            <w:r w:rsidRPr="007D15C3">
              <w:rPr>
                <w:rFonts w:cs="Calibri"/>
              </w:rPr>
              <w:t xml:space="preserve">               734,988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B2E8A2" w14:textId="77777777">
            <w:pPr>
              <w:jc w:val="right"/>
              <w:rPr>
                <w:rFonts w:cs="Calibri"/>
              </w:rPr>
            </w:pPr>
            <w:r w:rsidRPr="007D15C3">
              <w:rPr>
                <w:rFonts w:cs="Calibri"/>
              </w:rPr>
              <w:t>$5,760</w:t>
            </w:r>
          </w:p>
        </w:tc>
      </w:tr>
      <w:tr w14:paraId="029385D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BBF6AA" w14:textId="77777777">
            <w:pPr>
              <w:jc w:val="center"/>
              <w:rPr>
                <w:rFonts w:cs="Calibri"/>
              </w:rPr>
            </w:pPr>
            <w:r w:rsidRPr="007D15C3">
              <w:rPr>
                <w:rFonts w:cs="Calibri"/>
              </w:rPr>
              <w:t>50141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F2A9BB" w14:textId="77777777">
            <w:pPr>
              <w:jc w:val="center"/>
              <w:rPr>
                <w:rFonts w:cs="Calibri"/>
              </w:rPr>
            </w:pPr>
            <w:r w:rsidRPr="007D15C3">
              <w:rPr>
                <w:rFonts w:cs="Calibri"/>
              </w:rPr>
              <w:t>WOUC-TV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6639D6" w14:textId="77777777">
            <w:pPr>
              <w:rPr>
                <w:rFonts w:cs="Calibri"/>
              </w:rPr>
            </w:pPr>
            <w:r w:rsidRPr="007D15C3">
              <w:rPr>
                <w:rFonts w:cs="Calibri"/>
              </w:rPr>
              <w:t xml:space="preserve">          1,713,515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C5847C" w14:textId="77777777">
            <w:pPr>
              <w:rPr>
                <w:rFonts w:cs="Calibri"/>
              </w:rPr>
            </w:pPr>
            <w:r w:rsidRPr="007D15C3">
              <w:rPr>
                <w:rFonts w:cs="Calibri"/>
              </w:rPr>
              <w:t xml:space="preserve">            1,649,853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78564C" w14:textId="77777777">
            <w:pPr>
              <w:jc w:val="right"/>
              <w:rPr>
                <w:rFonts w:cs="Calibri"/>
              </w:rPr>
            </w:pPr>
            <w:r w:rsidRPr="007D15C3">
              <w:rPr>
                <w:rFonts w:cs="Calibri"/>
              </w:rPr>
              <w:t>$12,930</w:t>
            </w:r>
          </w:p>
        </w:tc>
      </w:tr>
      <w:tr w14:paraId="526E4A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834A9F" w14:textId="77777777">
            <w:pPr>
              <w:jc w:val="center"/>
              <w:rPr>
                <w:rFonts w:cs="Calibri"/>
              </w:rPr>
            </w:pPr>
            <w:r w:rsidRPr="007D15C3">
              <w:rPr>
                <w:rFonts w:cs="Calibri"/>
              </w:rPr>
              <w:t>23342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D29FB6" w14:textId="77777777">
            <w:pPr>
              <w:jc w:val="center"/>
              <w:rPr>
                <w:rFonts w:cs="Calibri"/>
              </w:rPr>
            </w:pPr>
            <w:r w:rsidRPr="007D15C3">
              <w:rPr>
                <w:rFonts w:cs="Calibri"/>
              </w:rPr>
              <w:t>WOWK-TV*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45F3E3" w14:textId="77777777">
            <w:pPr>
              <w:rPr>
                <w:rFonts w:cs="Calibri"/>
              </w:rPr>
            </w:pPr>
            <w:r w:rsidRPr="007D15C3">
              <w:rPr>
                <w:rFonts w:cs="Calibri"/>
              </w:rPr>
              <w:t xml:space="preserve">          1,159,175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AA4586" w14:textId="77777777">
            <w:pPr>
              <w:rPr>
                <w:rFonts w:cs="Calibri"/>
              </w:rPr>
            </w:pPr>
            <w:r w:rsidRPr="007D15C3">
              <w:rPr>
                <w:rFonts w:cs="Calibri"/>
              </w:rPr>
              <w:t xml:space="preserve">            1,082,354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39FB66" w14:textId="77777777">
            <w:pPr>
              <w:jc w:val="right"/>
              <w:rPr>
                <w:rFonts w:cs="Calibri"/>
              </w:rPr>
            </w:pPr>
            <w:r w:rsidRPr="007D15C3">
              <w:rPr>
                <w:rFonts w:cs="Calibri"/>
              </w:rPr>
              <w:t>$8,482</w:t>
            </w:r>
          </w:p>
        </w:tc>
      </w:tr>
      <w:tr w14:paraId="65FA57B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C1D9D50" w14:textId="77777777">
            <w:pPr>
              <w:jc w:val="center"/>
              <w:rPr>
                <w:rFonts w:cs="Calibri"/>
              </w:rPr>
            </w:pPr>
            <w:r w:rsidRPr="007D15C3">
              <w:rPr>
                <w:rFonts w:cs="Calibri"/>
              </w:rPr>
              <w:t>65528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28E60C" w14:textId="77777777">
            <w:pPr>
              <w:jc w:val="center"/>
              <w:rPr>
                <w:rFonts w:cs="Calibri"/>
              </w:rPr>
            </w:pPr>
            <w:r w:rsidRPr="007D15C3">
              <w:rPr>
                <w:rFonts w:cs="Calibri"/>
              </w:rPr>
              <w:t>WOWT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0E2810" w14:textId="77777777">
            <w:pPr>
              <w:rPr>
                <w:rFonts w:cs="Calibri"/>
              </w:rPr>
            </w:pPr>
            <w:r w:rsidRPr="007D15C3">
              <w:rPr>
                <w:rFonts w:cs="Calibri"/>
              </w:rPr>
              <w:t xml:space="preserve">          1,380,979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23AF26" w14:textId="77777777">
            <w:pPr>
              <w:rPr>
                <w:rFonts w:cs="Calibri"/>
              </w:rPr>
            </w:pPr>
            <w:r w:rsidRPr="007D15C3">
              <w:rPr>
                <w:rFonts w:cs="Calibri"/>
              </w:rPr>
              <w:t xml:space="preserve">            1,377,287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032DA2" w14:textId="77777777">
            <w:pPr>
              <w:jc w:val="right"/>
              <w:rPr>
                <w:rFonts w:cs="Calibri"/>
              </w:rPr>
            </w:pPr>
            <w:r w:rsidRPr="007D15C3">
              <w:rPr>
                <w:rFonts w:cs="Calibri"/>
              </w:rPr>
              <w:t>$10,794</w:t>
            </w:r>
          </w:p>
        </w:tc>
      </w:tr>
      <w:tr w14:paraId="0BAC1E7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05278E" w14:textId="77777777">
            <w:pPr>
              <w:jc w:val="center"/>
              <w:rPr>
                <w:rFonts w:cs="Calibri"/>
              </w:rPr>
            </w:pPr>
            <w:r w:rsidRPr="007D15C3">
              <w:rPr>
                <w:rFonts w:cs="Calibri"/>
              </w:rPr>
              <w:t>31570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CB6560" w14:textId="77777777">
            <w:pPr>
              <w:jc w:val="center"/>
              <w:rPr>
                <w:rFonts w:cs="Calibri"/>
              </w:rPr>
            </w:pPr>
            <w:r w:rsidRPr="007D15C3">
              <w:rPr>
                <w:rFonts w:cs="Calibri"/>
              </w:rPr>
              <w:t>WPAN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FCF834" w14:textId="77777777">
            <w:pPr>
              <w:rPr>
                <w:rFonts w:cs="Calibri"/>
              </w:rPr>
            </w:pPr>
            <w:r w:rsidRPr="007D15C3">
              <w:rPr>
                <w:rFonts w:cs="Calibri"/>
              </w:rPr>
              <w:t xml:space="preserve">             637,347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CAC520" w14:textId="77777777">
            <w:pPr>
              <w:rPr>
                <w:rFonts w:cs="Calibri"/>
              </w:rPr>
            </w:pPr>
            <w:r w:rsidRPr="007D15C3">
              <w:rPr>
                <w:rFonts w:cs="Calibri"/>
              </w:rPr>
              <w:t xml:space="preserve">               637,347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F9151F" w14:textId="77777777">
            <w:pPr>
              <w:jc w:val="right"/>
              <w:rPr>
                <w:rFonts w:cs="Calibri"/>
              </w:rPr>
            </w:pPr>
            <w:r w:rsidRPr="007D15C3">
              <w:rPr>
                <w:rFonts w:cs="Calibri"/>
              </w:rPr>
              <w:t>$4,995</w:t>
            </w:r>
          </w:p>
        </w:tc>
      </w:tr>
      <w:tr w14:paraId="7B73A74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51919F6" w14:textId="77777777">
            <w:pPr>
              <w:jc w:val="center"/>
              <w:rPr>
                <w:rFonts w:cs="Calibri"/>
              </w:rPr>
            </w:pPr>
            <w:r w:rsidRPr="007D15C3">
              <w:rPr>
                <w:rFonts w:cs="Calibri"/>
              </w:rPr>
              <w:t>4190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05D9B2" w14:textId="77777777">
            <w:pPr>
              <w:jc w:val="center"/>
              <w:rPr>
                <w:rFonts w:cs="Calibri"/>
              </w:rPr>
            </w:pPr>
            <w:r w:rsidRPr="007D15C3">
              <w:rPr>
                <w:rFonts w:cs="Calibri"/>
              </w:rPr>
              <w:t>WPBA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7D47A5" w14:textId="77777777">
            <w:pPr>
              <w:rPr>
                <w:rFonts w:cs="Calibri"/>
              </w:rPr>
            </w:pPr>
            <w:r w:rsidRPr="007D15C3">
              <w:rPr>
                <w:rFonts w:cs="Calibri"/>
              </w:rPr>
              <w:t xml:space="preserve">          5,217,180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3277CE" w14:textId="77777777">
            <w:pPr>
              <w:rPr>
                <w:rFonts w:cs="Calibri"/>
              </w:rPr>
            </w:pPr>
            <w:r w:rsidRPr="007D15C3">
              <w:rPr>
                <w:rFonts w:cs="Calibri"/>
              </w:rPr>
              <w:t xml:space="preserve">            5,200,958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2B0535" w14:textId="77777777">
            <w:pPr>
              <w:jc w:val="right"/>
              <w:rPr>
                <w:rFonts w:cs="Calibri"/>
              </w:rPr>
            </w:pPr>
            <w:r w:rsidRPr="007D15C3">
              <w:rPr>
                <w:rFonts w:cs="Calibri"/>
              </w:rPr>
              <w:t>$40,760</w:t>
            </w:r>
          </w:p>
        </w:tc>
      </w:tr>
      <w:tr w14:paraId="0B1D74FA"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E46320" w14:textId="77777777">
            <w:pPr>
              <w:jc w:val="center"/>
              <w:rPr>
                <w:rFonts w:cs="Calibri"/>
              </w:rPr>
            </w:pPr>
            <w:r w:rsidRPr="007D15C3">
              <w:rPr>
                <w:rFonts w:cs="Calibri"/>
              </w:rPr>
              <w:t>51988</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3ABB7581" w14:textId="77777777">
            <w:pPr>
              <w:jc w:val="center"/>
              <w:rPr>
                <w:rFonts w:cs="Calibri"/>
              </w:rPr>
            </w:pPr>
            <w:r w:rsidRPr="007D15C3">
              <w:rPr>
                <w:rFonts w:cs="Calibri"/>
              </w:rPr>
              <w:t>WPBF</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4979627" w14:textId="77777777">
            <w:pPr>
              <w:rPr>
                <w:rFonts w:cs="Calibri"/>
              </w:rPr>
            </w:pPr>
            <w:r w:rsidRPr="007D15C3">
              <w:rPr>
                <w:rFonts w:cs="Calibri"/>
              </w:rPr>
              <w:t xml:space="preserve">          3,190,307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6682A2B" w14:textId="77777777">
            <w:pPr>
              <w:rPr>
                <w:rFonts w:cs="Calibri"/>
              </w:rPr>
            </w:pPr>
            <w:r w:rsidRPr="007D15C3">
              <w:rPr>
                <w:rFonts w:cs="Calibri"/>
              </w:rPr>
              <w:t xml:space="preserve">            3,186,405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526587C" w14:textId="77777777">
            <w:pPr>
              <w:jc w:val="right"/>
              <w:rPr>
                <w:rFonts w:cs="Calibri"/>
              </w:rPr>
            </w:pPr>
            <w:r w:rsidRPr="007D15C3">
              <w:rPr>
                <w:rFonts w:cs="Calibri"/>
              </w:rPr>
              <w:t>$24,972</w:t>
            </w:r>
          </w:p>
        </w:tc>
      </w:tr>
      <w:tr w14:paraId="6076A19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1D4BD4" w14:textId="77777777">
            <w:pPr>
              <w:jc w:val="center"/>
              <w:rPr>
                <w:rFonts w:cs="Calibri"/>
              </w:rPr>
            </w:pPr>
            <w:r w:rsidRPr="007D15C3">
              <w:rPr>
                <w:rFonts w:cs="Calibri"/>
              </w:rPr>
              <w:t>21253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F2AF8C" w14:textId="77777777">
            <w:pPr>
              <w:jc w:val="center"/>
              <w:rPr>
                <w:rFonts w:cs="Calibri"/>
              </w:rPr>
            </w:pPr>
            <w:r w:rsidRPr="007D15C3">
              <w:rPr>
                <w:rFonts w:cs="Calibri"/>
              </w:rPr>
              <w:t>WPBN-TV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457C27" w14:textId="77777777">
            <w:pPr>
              <w:rPr>
                <w:rFonts w:cs="Calibri"/>
              </w:rPr>
            </w:pPr>
            <w:r w:rsidRPr="007D15C3">
              <w:rPr>
                <w:rFonts w:cs="Calibri"/>
              </w:rPr>
              <w:t xml:space="preserve">             411,213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B8CC64" w14:textId="77777777">
            <w:pPr>
              <w:rPr>
                <w:rFonts w:cs="Calibri"/>
              </w:rPr>
            </w:pPr>
            <w:r w:rsidRPr="007D15C3">
              <w:rPr>
                <w:rFonts w:cs="Calibri"/>
              </w:rPr>
              <w:t xml:space="preserve">               394,778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860B91" w14:textId="77777777">
            <w:pPr>
              <w:jc w:val="right"/>
              <w:rPr>
                <w:rFonts w:cs="Calibri"/>
              </w:rPr>
            </w:pPr>
            <w:r w:rsidRPr="007D15C3">
              <w:rPr>
                <w:rFonts w:cs="Calibri"/>
              </w:rPr>
              <w:t>$3,094</w:t>
            </w:r>
          </w:p>
        </w:tc>
      </w:tr>
      <w:tr w14:paraId="6E7A10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226863" w14:textId="77777777">
            <w:pPr>
              <w:jc w:val="center"/>
              <w:rPr>
                <w:rFonts w:cs="Calibri"/>
              </w:rPr>
            </w:pPr>
            <w:r w:rsidRPr="007D15C3">
              <w:rPr>
                <w:rFonts w:cs="Calibri"/>
              </w:rPr>
              <w:t>62136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D0B76D5" w14:textId="77777777">
            <w:pPr>
              <w:jc w:val="center"/>
              <w:rPr>
                <w:rFonts w:cs="Calibri"/>
              </w:rPr>
            </w:pPr>
            <w:r w:rsidRPr="007D15C3">
              <w:rPr>
                <w:rFonts w:cs="Calibri"/>
              </w:rPr>
              <w:t>WPBS-DT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DA8D30" w14:textId="77777777">
            <w:pPr>
              <w:rPr>
                <w:rFonts w:cs="Calibri"/>
              </w:rPr>
            </w:pPr>
            <w:r w:rsidRPr="007D15C3">
              <w:rPr>
                <w:rFonts w:cs="Calibri"/>
              </w:rPr>
              <w:t xml:space="preserve">             338,448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7530A" w14:textId="77777777">
            <w:pPr>
              <w:rPr>
                <w:rFonts w:cs="Calibri"/>
              </w:rPr>
            </w:pPr>
            <w:r w:rsidRPr="007D15C3">
              <w:rPr>
                <w:rFonts w:cs="Calibri"/>
              </w:rPr>
              <w:t xml:space="preserve">               301,692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E96FFD" w14:textId="77777777">
            <w:pPr>
              <w:jc w:val="right"/>
              <w:rPr>
                <w:rFonts w:cs="Calibri"/>
              </w:rPr>
            </w:pPr>
            <w:r w:rsidRPr="007D15C3">
              <w:rPr>
                <w:rFonts w:cs="Calibri"/>
              </w:rPr>
              <w:t>$2,364</w:t>
            </w:r>
          </w:p>
        </w:tc>
      </w:tr>
      <w:tr w14:paraId="36682A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C7C0EE" w14:textId="77777777">
            <w:pPr>
              <w:jc w:val="center"/>
              <w:rPr>
                <w:rFonts w:cs="Calibri"/>
              </w:rPr>
            </w:pPr>
            <w:r w:rsidRPr="007D15C3">
              <w:rPr>
                <w:rFonts w:cs="Calibri"/>
              </w:rPr>
              <w:t>13456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41596F" w14:textId="77777777">
            <w:pPr>
              <w:jc w:val="center"/>
              <w:rPr>
                <w:rFonts w:cs="Calibri"/>
              </w:rPr>
            </w:pPr>
            <w:r w:rsidRPr="007D15C3">
              <w:rPr>
                <w:rFonts w:cs="Calibri"/>
              </w:rPr>
              <w:t>WPBT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10AB2C" w14:textId="77777777">
            <w:pPr>
              <w:rPr>
                <w:rFonts w:cs="Calibri"/>
              </w:rPr>
            </w:pPr>
            <w:r w:rsidRPr="007D15C3">
              <w:rPr>
                <w:rFonts w:cs="Calibri"/>
              </w:rPr>
              <w:t xml:space="preserve">          5,416,604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83AB7F" w14:textId="77777777">
            <w:pPr>
              <w:rPr>
                <w:rFonts w:cs="Calibri"/>
              </w:rPr>
            </w:pPr>
            <w:r w:rsidRPr="007D15C3">
              <w:rPr>
                <w:rFonts w:cs="Calibri"/>
              </w:rPr>
              <w:t xml:space="preserve">            5,416,604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57125C" w14:textId="77777777">
            <w:pPr>
              <w:jc w:val="right"/>
              <w:rPr>
                <w:rFonts w:cs="Calibri"/>
              </w:rPr>
            </w:pPr>
            <w:r w:rsidRPr="007D15C3">
              <w:rPr>
                <w:rFonts w:cs="Calibri"/>
              </w:rPr>
              <w:t>$42,450</w:t>
            </w:r>
          </w:p>
        </w:tc>
      </w:tr>
      <w:tr w14:paraId="3E951E1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32D9CC" w14:textId="77777777">
            <w:pPr>
              <w:jc w:val="center"/>
              <w:rPr>
                <w:rFonts w:cs="Calibri"/>
              </w:rPr>
            </w:pPr>
            <w:r w:rsidRPr="007D15C3">
              <w:rPr>
                <w:rFonts w:cs="Calibri"/>
              </w:rPr>
              <w:t>13924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DA3F87" w14:textId="77777777">
            <w:pPr>
              <w:jc w:val="center"/>
              <w:rPr>
                <w:rFonts w:cs="Calibri"/>
              </w:rPr>
            </w:pPr>
            <w:r w:rsidRPr="007D15C3">
              <w:rPr>
                <w:rFonts w:cs="Calibri"/>
              </w:rPr>
              <w:t>WPCB-TV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C3DE68" w14:textId="77777777">
            <w:pPr>
              <w:rPr>
                <w:rFonts w:cs="Calibri"/>
              </w:rPr>
            </w:pPr>
            <w:r w:rsidRPr="007D15C3">
              <w:rPr>
                <w:rFonts w:cs="Calibri"/>
              </w:rPr>
              <w:t xml:space="preserve">          2,934,614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3816BF" w14:textId="77777777">
            <w:pPr>
              <w:rPr>
                <w:rFonts w:cs="Calibri"/>
              </w:rPr>
            </w:pPr>
            <w:r w:rsidRPr="007D15C3">
              <w:rPr>
                <w:rFonts w:cs="Calibri"/>
              </w:rPr>
              <w:t xml:space="preserve">            2,800,516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CD647F" w14:textId="77777777">
            <w:pPr>
              <w:jc w:val="right"/>
              <w:rPr>
                <w:rFonts w:cs="Calibri"/>
              </w:rPr>
            </w:pPr>
            <w:r w:rsidRPr="007D15C3">
              <w:rPr>
                <w:rFonts w:cs="Calibri"/>
              </w:rPr>
              <w:t>$21,948</w:t>
            </w:r>
          </w:p>
        </w:tc>
      </w:tr>
      <w:tr w14:paraId="6EDF9CC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AF92BE" w14:textId="77777777">
            <w:pPr>
              <w:jc w:val="center"/>
              <w:rPr>
                <w:rFonts w:cs="Calibri"/>
              </w:rPr>
            </w:pPr>
            <w:r w:rsidRPr="007D15C3">
              <w:rPr>
                <w:rFonts w:cs="Calibri"/>
              </w:rPr>
              <w:t>64033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9D8D0A" w14:textId="77777777">
            <w:pPr>
              <w:jc w:val="center"/>
              <w:rPr>
                <w:rFonts w:cs="Calibri"/>
              </w:rPr>
            </w:pPr>
            <w:r w:rsidRPr="007D15C3">
              <w:rPr>
                <w:rFonts w:cs="Calibri"/>
              </w:rPr>
              <w:t>WPCH-TV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38A8F3" w14:textId="77777777">
            <w:pPr>
              <w:rPr>
                <w:rFonts w:cs="Calibri"/>
              </w:rPr>
            </w:pPr>
            <w:r w:rsidRPr="007D15C3">
              <w:rPr>
                <w:rFonts w:cs="Calibri"/>
              </w:rPr>
              <w:t xml:space="preserve">          5,948,778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B656D5" w14:textId="77777777">
            <w:pPr>
              <w:rPr>
                <w:rFonts w:cs="Calibri"/>
              </w:rPr>
            </w:pPr>
            <w:r w:rsidRPr="007D15C3">
              <w:rPr>
                <w:rFonts w:cs="Calibri"/>
              </w:rPr>
              <w:t xml:space="preserve">            5,874,163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2DFA14" w14:textId="77777777">
            <w:pPr>
              <w:jc w:val="right"/>
              <w:rPr>
                <w:rFonts w:cs="Calibri"/>
              </w:rPr>
            </w:pPr>
            <w:r w:rsidRPr="007D15C3">
              <w:rPr>
                <w:rFonts w:cs="Calibri"/>
              </w:rPr>
              <w:t>$46,036</w:t>
            </w:r>
          </w:p>
        </w:tc>
      </w:tr>
      <w:tr w14:paraId="3269FB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8EF52F" w14:textId="77777777">
            <w:pPr>
              <w:jc w:val="center"/>
              <w:rPr>
                <w:rFonts w:cs="Calibri"/>
              </w:rPr>
            </w:pPr>
            <w:r w:rsidRPr="007D15C3">
              <w:rPr>
                <w:rFonts w:cs="Calibri"/>
              </w:rPr>
              <w:t>4354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60D307" w14:textId="77777777">
            <w:pPr>
              <w:jc w:val="center"/>
              <w:rPr>
                <w:rFonts w:cs="Calibri"/>
              </w:rPr>
            </w:pPr>
            <w:r w:rsidRPr="007D15C3">
              <w:rPr>
                <w:rFonts w:cs="Calibri"/>
              </w:rPr>
              <w:t>WPCT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8CB446" w14:textId="77777777">
            <w:pPr>
              <w:rPr>
                <w:rFonts w:cs="Calibri"/>
              </w:rPr>
            </w:pPr>
            <w:r w:rsidRPr="007D15C3">
              <w:rPr>
                <w:rFonts w:cs="Calibri"/>
              </w:rPr>
              <w:t xml:space="preserve">             195,270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EC974E" w14:textId="77777777">
            <w:pPr>
              <w:rPr>
                <w:rFonts w:cs="Calibri"/>
              </w:rPr>
            </w:pPr>
            <w:r w:rsidRPr="007D15C3">
              <w:rPr>
                <w:rFonts w:cs="Calibri"/>
              </w:rPr>
              <w:t xml:space="preserve">               194,869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7555D0" w14:textId="77777777">
            <w:pPr>
              <w:jc w:val="right"/>
              <w:rPr>
                <w:rFonts w:cs="Calibri"/>
              </w:rPr>
            </w:pPr>
            <w:r w:rsidRPr="007D15C3">
              <w:rPr>
                <w:rFonts w:cs="Calibri"/>
              </w:rPr>
              <w:t>$1,527</w:t>
            </w:r>
          </w:p>
        </w:tc>
      </w:tr>
      <w:tr w14:paraId="5C4C978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E36A9F" w14:textId="77777777">
            <w:pPr>
              <w:jc w:val="center"/>
              <w:rPr>
                <w:rFonts w:cs="Calibri"/>
              </w:rPr>
            </w:pPr>
            <w:r w:rsidRPr="007D15C3">
              <w:rPr>
                <w:rFonts w:cs="Calibri"/>
              </w:rPr>
              <w:t>69880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7E23E9" w14:textId="77777777">
            <w:pPr>
              <w:jc w:val="center"/>
              <w:rPr>
                <w:rFonts w:cs="Calibri"/>
              </w:rPr>
            </w:pPr>
            <w:r w:rsidRPr="007D15C3">
              <w:rPr>
                <w:rFonts w:cs="Calibri"/>
              </w:rPr>
              <w:t>WPCW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348CCA" w14:textId="77777777">
            <w:pPr>
              <w:rPr>
                <w:rFonts w:cs="Calibri"/>
              </w:rPr>
            </w:pPr>
            <w:r w:rsidRPr="007D15C3">
              <w:rPr>
                <w:rFonts w:cs="Calibri"/>
              </w:rPr>
              <w:t xml:space="preserve">          3,393,365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0A17FE" w14:textId="77777777">
            <w:pPr>
              <w:rPr>
                <w:rFonts w:cs="Calibri"/>
              </w:rPr>
            </w:pPr>
            <w:r w:rsidRPr="007D15C3">
              <w:rPr>
                <w:rFonts w:cs="Calibri"/>
              </w:rPr>
              <w:t xml:space="preserve">            3,188,441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4759CB" w14:textId="77777777">
            <w:pPr>
              <w:jc w:val="right"/>
              <w:rPr>
                <w:rFonts w:cs="Calibri"/>
              </w:rPr>
            </w:pPr>
            <w:r w:rsidRPr="007D15C3">
              <w:rPr>
                <w:rFonts w:cs="Calibri"/>
              </w:rPr>
              <w:t>$24,988</w:t>
            </w:r>
          </w:p>
        </w:tc>
      </w:tr>
      <w:tr w14:paraId="532557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5D6378" w14:textId="77777777">
            <w:pPr>
              <w:jc w:val="center"/>
              <w:rPr>
                <w:rFonts w:cs="Calibri"/>
              </w:rPr>
            </w:pPr>
            <w:r w:rsidRPr="007D15C3">
              <w:rPr>
                <w:rFonts w:cs="Calibri"/>
              </w:rPr>
              <w:t>17012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6BDB521" w14:textId="77777777">
            <w:pPr>
              <w:jc w:val="center"/>
              <w:rPr>
                <w:rFonts w:cs="Calibri"/>
              </w:rPr>
            </w:pPr>
            <w:r w:rsidRPr="007D15C3">
              <w:rPr>
                <w:rFonts w:cs="Calibri"/>
              </w:rPr>
              <w:t>WPDE-TV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DA9837" w14:textId="77777777">
            <w:pPr>
              <w:rPr>
                <w:rFonts w:cs="Calibri"/>
              </w:rPr>
            </w:pPr>
            <w:r w:rsidRPr="007D15C3">
              <w:rPr>
                <w:rFonts w:cs="Calibri"/>
              </w:rPr>
              <w:t xml:space="preserve">          1,764,645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0E6AA4" w14:textId="77777777">
            <w:pPr>
              <w:rPr>
                <w:rFonts w:cs="Calibri"/>
              </w:rPr>
            </w:pPr>
            <w:r w:rsidRPr="007D15C3">
              <w:rPr>
                <w:rFonts w:cs="Calibri"/>
              </w:rPr>
              <w:t xml:space="preserve">            1,762,758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1E0EAA" w14:textId="77777777">
            <w:pPr>
              <w:jc w:val="right"/>
              <w:rPr>
                <w:rFonts w:cs="Calibri"/>
              </w:rPr>
            </w:pPr>
            <w:r w:rsidRPr="007D15C3">
              <w:rPr>
                <w:rFonts w:cs="Calibri"/>
              </w:rPr>
              <w:t>$13,815</w:t>
            </w:r>
          </w:p>
        </w:tc>
      </w:tr>
      <w:tr w14:paraId="154F83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9F034A" w14:textId="77777777">
            <w:pPr>
              <w:jc w:val="center"/>
              <w:rPr>
                <w:rFonts w:cs="Calibri"/>
              </w:rPr>
            </w:pPr>
            <w:r w:rsidRPr="007D15C3">
              <w:rPr>
                <w:rFonts w:cs="Calibri"/>
              </w:rPr>
              <w:t>52527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4E253F" w14:textId="77777777">
            <w:pPr>
              <w:jc w:val="center"/>
              <w:rPr>
                <w:rFonts w:cs="Calibri"/>
              </w:rPr>
            </w:pPr>
            <w:r w:rsidRPr="007D15C3">
              <w:rPr>
                <w:rFonts w:cs="Calibri"/>
              </w:rPr>
              <w:t>WPEC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F7A2ED" w14:textId="77777777">
            <w:pPr>
              <w:rPr>
                <w:rFonts w:cs="Calibri"/>
              </w:rPr>
            </w:pPr>
            <w:r w:rsidRPr="007D15C3">
              <w:rPr>
                <w:rFonts w:cs="Calibri"/>
              </w:rPr>
              <w:t xml:space="preserve">          5,788,448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322B0D" w14:textId="77777777">
            <w:pPr>
              <w:rPr>
                <w:rFonts w:cs="Calibri"/>
              </w:rPr>
            </w:pPr>
            <w:r w:rsidRPr="007D15C3">
              <w:rPr>
                <w:rFonts w:cs="Calibri"/>
              </w:rPr>
              <w:t xml:space="preserve">            5,788,448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AA5A1B" w14:textId="77777777">
            <w:pPr>
              <w:jc w:val="right"/>
              <w:rPr>
                <w:rFonts w:cs="Calibri"/>
              </w:rPr>
            </w:pPr>
            <w:r w:rsidRPr="007D15C3">
              <w:rPr>
                <w:rFonts w:cs="Calibri"/>
              </w:rPr>
              <w:t>$45,364</w:t>
            </w:r>
          </w:p>
        </w:tc>
      </w:tr>
      <w:tr w14:paraId="40D80D2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65F06A" w14:textId="77777777">
            <w:pPr>
              <w:jc w:val="center"/>
              <w:rPr>
                <w:rFonts w:cs="Calibri"/>
              </w:rPr>
            </w:pPr>
            <w:r w:rsidRPr="007D15C3">
              <w:rPr>
                <w:rFonts w:cs="Calibri"/>
              </w:rPr>
              <w:t>84088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C4D62B" w14:textId="77777777">
            <w:pPr>
              <w:jc w:val="center"/>
              <w:rPr>
                <w:rFonts w:cs="Calibri"/>
              </w:rPr>
            </w:pPr>
            <w:r w:rsidRPr="007D15C3">
              <w:rPr>
                <w:rFonts w:cs="Calibri"/>
              </w:rPr>
              <w:t>WPFO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590A49" w14:textId="77777777">
            <w:pPr>
              <w:rPr>
                <w:rFonts w:cs="Calibri"/>
              </w:rPr>
            </w:pPr>
            <w:r w:rsidRPr="007D15C3">
              <w:rPr>
                <w:rFonts w:cs="Calibri"/>
              </w:rPr>
              <w:t xml:space="preserve">          1,329,690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EC641E" w14:textId="77777777">
            <w:pPr>
              <w:rPr>
                <w:rFonts w:cs="Calibri"/>
              </w:rPr>
            </w:pPr>
            <w:r w:rsidRPr="007D15C3">
              <w:rPr>
                <w:rFonts w:cs="Calibri"/>
              </w:rPr>
              <w:t xml:space="preserve">            1,209,873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C9A552" w14:textId="77777777">
            <w:pPr>
              <w:jc w:val="right"/>
              <w:rPr>
                <w:rFonts w:cs="Calibri"/>
              </w:rPr>
            </w:pPr>
            <w:r w:rsidRPr="007D15C3">
              <w:rPr>
                <w:rFonts w:cs="Calibri"/>
              </w:rPr>
              <w:t>$9,482</w:t>
            </w:r>
          </w:p>
        </w:tc>
      </w:tr>
      <w:tr w14:paraId="0139CC8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B7CC318" w14:textId="77777777">
            <w:pPr>
              <w:jc w:val="center"/>
              <w:rPr>
                <w:rFonts w:cs="Calibri"/>
              </w:rPr>
            </w:pPr>
            <w:r w:rsidRPr="007D15C3">
              <w:rPr>
                <w:rFonts w:cs="Calibri"/>
              </w:rPr>
              <w:t>54728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553F38" w14:textId="77777777">
            <w:pPr>
              <w:jc w:val="center"/>
              <w:rPr>
                <w:rFonts w:cs="Calibri"/>
              </w:rPr>
            </w:pPr>
            <w:r w:rsidRPr="007D15C3">
              <w:rPr>
                <w:rFonts w:cs="Calibri"/>
              </w:rPr>
              <w:t>WPGA-TV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671678" w14:textId="77777777">
            <w:pPr>
              <w:rPr>
                <w:rFonts w:cs="Calibri"/>
              </w:rPr>
            </w:pPr>
            <w:r w:rsidRPr="007D15C3">
              <w:rPr>
                <w:rFonts w:cs="Calibri"/>
              </w:rPr>
              <w:t xml:space="preserve">             559,495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D5CC3D" w14:textId="77777777">
            <w:pPr>
              <w:rPr>
                <w:rFonts w:cs="Calibri"/>
              </w:rPr>
            </w:pPr>
            <w:r w:rsidRPr="007D15C3">
              <w:rPr>
                <w:rFonts w:cs="Calibri"/>
              </w:rPr>
              <w:t xml:space="preserve">               559,004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09276A" w14:textId="77777777">
            <w:pPr>
              <w:jc w:val="right"/>
              <w:rPr>
                <w:rFonts w:cs="Calibri"/>
              </w:rPr>
            </w:pPr>
            <w:r w:rsidRPr="007D15C3">
              <w:rPr>
                <w:rFonts w:cs="Calibri"/>
              </w:rPr>
              <w:t>$4,381</w:t>
            </w:r>
          </w:p>
        </w:tc>
      </w:tr>
      <w:tr w14:paraId="0EEEBFB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68014E" w14:textId="77777777">
            <w:pPr>
              <w:jc w:val="center"/>
              <w:rPr>
                <w:rFonts w:cs="Calibri"/>
              </w:rPr>
            </w:pPr>
            <w:r w:rsidRPr="007D15C3">
              <w:rPr>
                <w:rFonts w:cs="Calibri"/>
              </w:rPr>
              <w:t>60820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06D1E6" w14:textId="77777777">
            <w:pPr>
              <w:jc w:val="center"/>
              <w:rPr>
                <w:rFonts w:cs="Calibri"/>
              </w:rPr>
            </w:pPr>
            <w:r w:rsidRPr="007D15C3">
              <w:rPr>
                <w:rFonts w:cs="Calibri"/>
              </w:rPr>
              <w:t>WPGD-TV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AF2B40" w14:textId="77777777">
            <w:pPr>
              <w:rPr>
                <w:rFonts w:cs="Calibri"/>
              </w:rPr>
            </w:pPr>
            <w:r w:rsidRPr="007D15C3">
              <w:rPr>
                <w:rFonts w:cs="Calibri"/>
              </w:rPr>
              <w:t xml:space="preserve">          2,355,629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1B0B69" w14:textId="77777777">
            <w:pPr>
              <w:rPr>
                <w:rFonts w:cs="Calibri"/>
              </w:rPr>
            </w:pPr>
            <w:r w:rsidRPr="007D15C3">
              <w:rPr>
                <w:rFonts w:cs="Calibri"/>
              </w:rPr>
              <w:t xml:space="preserve">            2,343,715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916C26" w14:textId="77777777">
            <w:pPr>
              <w:jc w:val="right"/>
              <w:rPr>
                <w:rFonts w:cs="Calibri"/>
              </w:rPr>
            </w:pPr>
            <w:r w:rsidRPr="007D15C3">
              <w:rPr>
                <w:rFonts w:cs="Calibri"/>
              </w:rPr>
              <w:t>$18,368</w:t>
            </w:r>
          </w:p>
        </w:tc>
      </w:tr>
      <w:tr w14:paraId="64C8573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3D2452" w14:textId="77777777">
            <w:pPr>
              <w:jc w:val="center"/>
              <w:rPr>
                <w:rFonts w:cs="Calibri"/>
              </w:rPr>
            </w:pPr>
            <w:r w:rsidRPr="007D15C3">
              <w:rPr>
                <w:rFonts w:cs="Calibri"/>
              </w:rPr>
              <w:t>73875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A74603" w14:textId="77777777">
            <w:pPr>
              <w:jc w:val="center"/>
              <w:rPr>
                <w:rFonts w:cs="Calibri"/>
              </w:rPr>
            </w:pPr>
            <w:r w:rsidRPr="007D15C3">
              <w:rPr>
                <w:rFonts w:cs="Calibri"/>
              </w:rPr>
              <w:t>WPGH-TV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35D468" w14:textId="77777777">
            <w:pPr>
              <w:rPr>
                <w:rFonts w:cs="Calibri"/>
              </w:rPr>
            </w:pPr>
            <w:r w:rsidRPr="007D15C3">
              <w:rPr>
                <w:rFonts w:cs="Calibri"/>
              </w:rPr>
              <w:t xml:space="preserve">          3,132,507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226229" w14:textId="77777777">
            <w:pPr>
              <w:rPr>
                <w:rFonts w:cs="Calibri"/>
              </w:rPr>
            </w:pPr>
            <w:r w:rsidRPr="007D15C3">
              <w:rPr>
                <w:rFonts w:cs="Calibri"/>
              </w:rPr>
              <w:t xml:space="preserve">            3,007,511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1CAA92" w14:textId="77777777">
            <w:pPr>
              <w:jc w:val="right"/>
              <w:rPr>
                <w:rFonts w:cs="Calibri"/>
              </w:rPr>
            </w:pPr>
            <w:r w:rsidRPr="007D15C3">
              <w:rPr>
                <w:rFonts w:cs="Calibri"/>
              </w:rPr>
              <w:t>$23,570</w:t>
            </w:r>
          </w:p>
        </w:tc>
      </w:tr>
      <w:tr w14:paraId="469BDC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C5B675" w14:textId="77777777">
            <w:pPr>
              <w:jc w:val="center"/>
              <w:rPr>
                <w:rFonts w:cs="Calibri"/>
              </w:rPr>
            </w:pPr>
            <w:r w:rsidRPr="007D15C3">
              <w:rPr>
                <w:rFonts w:cs="Calibri"/>
              </w:rPr>
              <w:t>2942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F5A787" w14:textId="77777777">
            <w:pPr>
              <w:jc w:val="center"/>
              <w:rPr>
                <w:rFonts w:cs="Calibri"/>
              </w:rPr>
            </w:pPr>
            <w:r w:rsidRPr="007D15C3">
              <w:rPr>
                <w:rFonts w:cs="Calibri"/>
              </w:rPr>
              <w:t>WPGX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28DE27" w14:textId="77777777">
            <w:pPr>
              <w:rPr>
                <w:rFonts w:cs="Calibri"/>
              </w:rPr>
            </w:pPr>
            <w:r w:rsidRPr="007D15C3">
              <w:rPr>
                <w:rFonts w:cs="Calibri"/>
              </w:rPr>
              <w:t xml:space="preserve">             425,098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DF5E87" w14:textId="77777777">
            <w:pPr>
              <w:rPr>
                <w:rFonts w:cs="Calibri"/>
              </w:rPr>
            </w:pPr>
            <w:r w:rsidRPr="007D15C3">
              <w:rPr>
                <w:rFonts w:cs="Calibri"/>
              </w:rPr>
              <w:t xml:space="preserve">               422,872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3A2B4D" w14:textId="77777777">
            <w:pPr>
              <w:jc w:val="right"/>
              <w:rPr>
                <w:rFonts w:cs="Calibri"/>
              </w:rPr>
            </w:pPr>
            <w:r w:rsidRPr="007D15C3">
              <w:rPr>
                <w:rFonts w:cs="Calibri"/>
              </w:rPr>
              <w:t>$3,314</w:t>
            </w:r>
          </w:p>
        </w:tc>
      </w:tr>
      <w:tr w14:paraId="51263FF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6D990F" w14:textId="77777777">
            <w:pPr>
              <w:jc w:val="center"/>
              <w:rPr>
                <w:rFonts w:cs="Calibri"/>
              </w:rPr>
            </w:pPr>
            <w:r w:rsidRPr="007D15C3">
              <w:rPr>
                <w:rFonts w:cs="Calibri"/>
              </w:rPr>
              <w:t>73879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95C7D6" w14:textId="77777777">
            <w:pPr>
              <w:jc w:val="center"/>
              <w:rPr>
                <w:rFonts w:cs="Calibri"/>
              </w:rPr>
            </w:pPr>
            <w:r w:rsidRPr="007D15C3">
              <w:rPr>
                <w:rFonts w:cs="Calibri"/>
              </w:rPr>
              <w:t>WPHL-TV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205275" w14:textId="77777777">
            <w:pPr>
              <w:rPr>
                <w:rFonts w:cs="Calibri"/>
              </w:rPr>
            </w:pPr>
            <w:r w:rsidRPr="007D15C3">
              <w:rPr>
                <w:rFonts w:cs="Calibri"/>
              </w:rPr>
              <w:t xml:space="preserve">        10,421,216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0813B2" w14:textId="77777777">
            <w:pPr>
              <w:rPr>
                <w:rFonts w:cs="Calibri"/>
              </w:rPr>
            </w:pPr>
            <w:r w:rsidRPr="007D15C3">
              <w:rPr>
                <w:rFonts w:cs="Calibri"/>
              </w:rPr>
              <w:t xml:space="preserve">          10,246,856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E84831" w14:textId="77777777">
            <w:pPr>
              <w:jc w:val="right"/>
              <w:rPr>
                <w:rFonts w:cs="Calibri"/>
              </w:rPr>
            </w:pPr>
            <w:r w:rsidRPr="007D15C3">
              <w:rPr>
                <w:rFonts w:cs="Calibri"/>
              </w:rPr>
              <w:t>$80,305</w:t>
            </w:r>
          </w:p>
        </w:tc>
      </w:tr>
      <w:tr w14:paraId="1ACD94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6FC69C" w14:textId="77777777">
            <w:pPr>
              <w:jc w:val="center"/>
              <w:rPr>
                <w:rFonts w:cs="Calibri"/>
              </w:rPr>
            </w:pPr>
            <w:r w:rsidRPr="007D15C3">
              <w:rPr>
                <w:rFonts w:cs="Calibri"/>
              </w:rPr>
              <w:t>73881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232225" w14:textId="77777777">
            <w:pPr>
              <w:jc w:val="center"/>
              <w:rPr>
                <w:rFonts w:cs="Calibri"/>
              </w:rPr>
            </w:pPr>
            <w:r w:rsidRPr="007D15C3">
              <w:rPr>
                <w:rFonts w:cs="Calibri"/>
              </w:rPr>
              <w:t>WPIX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E1A642" w14:textId="77777777">
            <w:pPr>
              <w:rPr>
                <w:rFonts w:cs="Calibri"/>
              </w:rPr>
            </w:pPr>
            <w:r w:rsidRPr="007D15C3">
              <w:rPr>
                <w:rFonts w:cs="Calibri"/>
              </w:rPr>
              <w:t xml:space="preserve">        20,638,932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3EA06" w14:textId="77777777">
            <w:pPr>
              <w:rPr>
                <w:rFonts w:cs="Calibri"/>
              </w:rPr>
            </w:pPr>
            <w:r w:rsidRPr="007D15C3">
              <w:rPr>
                <w:rFonts w:cs="Calibri"/>
              </w:rPr>
              <w:t xml:space="preserve">          20,213,158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25BCED" w14:textId="77777777">
            <w:pPr>
              <w:jc w:val="right"/>
              <w:rPr>
                <w:rFonts w:cs="Calibri"/>
              </w:rPr>
            </w:pPr>
            <w:r w:rsidRPr="007D15C3">
              <w:rPr>
                <w:rFonts w:cs="Calibri"/>
              </w:rPr>
              <w:t>$158,411</w:t>
            </w:r>
          </w:p>
        </w:tc>
      </w:tr>
      <w:tr w14:paraId="7B3EB41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BE733C" w14:textId="77777777">
            <w:pPr>
              <w:jc w:val="center"/>
              <w:rPr>
                <w:rFonts w:cs="Calibri"/>
              </w:rPr>
            </w:pPr>
            <w:r w:rsidRPr="007D15C3">
              <w:rPr>
                <w:rFonts w:cs="Calibri"/>
              </w:rPr>
              <w:t>53113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579FE9" w14:textId="77777777">
            <w:pPr>
              <w:jc w:val="center"/>
              <w:rPr>
                <w:rFonts w:cs="Calibri"/>
              </w:rPr>
            </w:pPr>
            <w:r w:rsidRPr="007D15C3">
              <w:rPr>
                <w:rFonts w:cs="Calibri"/>
              </w:rPr>
              <w:t>WPLG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9E82B1" w14:textId="77777777">
            <w:pPr>
              <w:rPr>
                <w:rFonts w:cs="Calibri"/>
              </w:rPr>
            </w:pPr>
            <w:r w:rsidRPr="007D15C3">
              <w:rPr>
                <w:rFonts w:cs="Calibri"/>
              </w:rPr>
              <w:t xml:space="preserve">          5,587,129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0879FE" w14:textId="77777777">
            <w:pPr>
              <w:rPr>
                <w:rFonts w:cs="Calibri"/>
              </w:rPr>
            </w:pPr>
            <w:r w:rsidRPr="007D15C3">
              <w:rPr>
                <w:rFonts w:cs="Calibri"/>
              </w:rPr>
              <w:t xml:space="preserve">            5,587,129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3D003A" w14:textId="77777777">
            <w:pPr>
              <w:jc w:val="right"/>
              <w:rPr>
                <w:rFonts w:cs="Calibri"/>
              </w:rPr>
            </w:pPr>
            <w:r w:rsidRPr="007D15C3">
              <w:rPr>
                <w:rFonts w:cs="Calibri"/>
              </w:rPr>
              <w:t>$43,786</w:t>
            </w:r>
          </w:p>
        </w:tc>
      </w:tr>
      <w:tr w14:paraId="1A74D8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90D743" w14:textId="77777777">
            <w:pPr>
              <w:jc w:val="center"/>
              <w:rPr>
                <w:rFonts w:cs="Calibri"/>
              </w:rPr>
            </w:pPr>
            <w:r w:rsidRPr="007D15C3">
              <w:rPr>
                <w:rFonts w:cs="Calibri"/>
              </w:rPr>
              <w:t>11906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9F02A0" w14:textId="77777777">
            <w:pPr>
              <w:jc w:val="center"/>
              <w:rPr>
                <w:rFonts w:cs="Calibri"/>
              </w:rPr>
            </w:pPr>
            <w:r w:rsidRPr="007D15C3">
              <w:rPr>
                <w:rFonts w:cs="Calibri"/>
              </w:rPr>
              <w:t>WPMI-TV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349370" w14:textId="77777777">
            <w:pPr>
              <w:rPr>
                <w:rFonts w:cs="Calibri"/>
              </w:rPr>
            </w:pPr>
            <w:r w:rsidRPr="007D15C3">
              <w:rPr>
                <w:rFonts w:cs="Calibri"/>
              </w:rPr>
              <w:t xml:space="preserve">          1,467,869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08E4F6" w14:textId="77777777">
            <w:pPr>
              <w:rPr>
                <w:rFonts w:cs="Calibri"/>
              </w:rPr>
            </w:pPr>
            <w:r w:rsidRPr="007D15C3">
              <w:rPr>
                <w:rFonts w:cs="Calibri"/>
              </w:rPr>
              <w:t xml:space="preserve">            1,467,462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4490D4" w14:textId="77777777">
            <w:pPr>
              <w:jc w:val="right"/>
              <w:rPr>
                <w:rFonts w:cs="Calibri"/>
              </w:rPr>
            </w:pPr>
            <w:r w:rsidRPr="007D15C3">
              <w:rPr>
                <w:rFonts w:cs="Calibri"/>
              </w:rPr>
              <w:t>$11,500</w:t>
            </w:r>
          </w:p>
        </w:tc>
      </w:tr>
      <w:tr w14:paraId="2C9F7CD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98004A" w14:textId="77777777">
            <w:pPr>
              <w:jc w:val="center"/>
              <w:rPr>
                <w:rFonts w:cs="Calibri"/>
              </w:rPr>
            </w:pPr>
            <w:r w:rsidRPr="007D15C3">
              <w:rPr>
                <w:rFonts w:cs="Calibri"/>
              </w:rPr>
              <w:t>10213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4FDAD8" w14:textId="77777777">
            <w:pPr>
              <w:jc w:val="center"/>
              <w:rPr>
                <w:rFonts w:cs="Calibri"/>
              </w:rPr>
            </w:pPr>
            <w:r w:rsidRPr="007D15C3">
              <w:rPr>
                <w:rFonts w:cs="Calibri"/>
              </w:rPr>
              <w:t>WPMT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8B60A4" w14:textId="77777777">
            <w:pPr>
              <w:rPr>
                <w:rFonts w:cs="Calibri"/>
              </w:rPr>
            </w:pPr>
            <w:r w:rsidRPr="007D15C3">
              <w:rPr>
                <w:rFonts w:cs="Calibri"/>
              </w:rPr>
              <w:t xml:space="preserve">          2,412,561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075B0E" w14:textId="77777777">
            <w:pPr>
              <w:rPr>
                <w:rFonts w:cs="Calibri"/>
              </w:rPr>
            </w:pPr>
            <w:r w:rsidRPr="007D15C3">
              <w:rPr>
                <w:rFonts w:cs="Calibri"/>
              </w:rPr>
              <w:t xml:space="preserve">            2,191,501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3CFC15" w14:textId="77777777">
            <w:pPr>
              <w:jc w:val="right"/>
              <w:rPr>
                <w:rFonts w:cs="Calibri"/>
              </w:rPr>
            </w:pPr>
            <w:r w:rsidRPr="007D15C3">
              <w:rPr>
                <w:rFonts w:cs="Calibri"/>
              </w:rPr>
              <w:t>$17,175</w:t>
            </w:r>
          </w:p>
        </w:tc>
      </w:tr>
      <w:tr w14:paraId="03E128F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85C57B" w14:textId="77777777">
            <w:pPr>
              <w:jc w:val="center"/>
              <w:rPr>
                <w:rFonts w:cs="Calibri"/>
              </w:rPr>
            </w:pPr>
            <w:r w:rsidRPr="007D15C3">
              <w:rPr>
                <w:rFonts w:cs="Calibri"/>
              </w:rPr>
              <w:t>18798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F5FD6B" w14:textId="77777777">
            <w:pPr>
              <w:jc w:val="center"/>
              <w:rPr>
                <w:rFonts w:cs="Calibri"/>
              </w:rPr>
            </w:pPr>
            <w:r w:rsidRPr="007D15C3">
              <w:rPr>
                <w:rFonts w:cs="Calibri"/>
              </w:rPr>
              <w:t>WPNE-TV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079D8D" w14:textId="77777777">
            <w:pPr>
              <w:rPr>
                <w:rFonts w:cs="Calibri"/>
              </w:rPr>
            </w:pPr>
            <w:r w:rsidRPr="007D15C3">
              <w:rPr>
                <w:rFonts w:cs="Calibri"/>
              </w:rPr>
              <w:t xml:space="preserve">          1,132,868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342675" w14:textId="77777777">
            <w:pPr>
              <w:rPr>
                <w:rFonts w:cs="Calibri"/>
              </w:rPr>
            </w:pPr>
            <w:r w:rsidRPr="007D15C3">
              <w:rPr>
                <w:rFonts w:cs="Calibri"/>
              </w:rPr>
              <w:t xml:space="preserve">            1,132,699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B41046" w14:textId="77777777">
            <w:pPr>
              <w:jc w:val="right"/>
              <w:rPr>
                <w:rFonts w:cs="Calibri"/>
              </w:rPr>
            </w:pPr>
            <w:r w:rsidRPr="007D15C3">
              <w:rPr>
                <w:rFonts w:cs="Calibri"/>
              </w:rPr>
              <w:t>$8,877</w:t>
            </w:r>
          </w:p>
        </w:tc>
      </w:tr>
      <w:tr w14:paraId="6E6E31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EE70C3" w14:textId="77777777">
            <w:pPr>
              <w:jc w:val="center"/>
              <w:rPr>
                <w:rFonts w:cs="Calibri"/>
              </w:rPr>
            </w:pPr>
            <w:r w:rsidRPr="007D15C3">
              <w:rPr>
                <w:rFonts w:cs="Calibri"/>
              </w:rPr>
              <w:t>73907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68D689" w14:textId="77777777">
            <w:pPr>
              <w:jc w:val="center"/>
              <w:rPr>
                <w:rFonts w:cs="Calibri"/>
              </w:rPr>
            </w:pPr>
            <w:r w:rsidRPr="007D15C3">
              <w:rPr>
                <w:rFonts w:cs="Calibri"/>
              </w:rPr>
              <w:t>WPNT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FB1C9D" w14:textId="77777777">
            <w:pPr>
              <w:rPr>
                <w:rFonts w:cs="Calibri"/>
              </w:rPr>
            </w:pPr>
            <w:r w:rsidRPr="007D15C3">
              <w:rPr>
                <w:rFonts w:cs="Calibri"/>
              </w:rPr>
              <w:t xml:space="preserve">          3,130,920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857A83" w14:textId="77777777">
            <w:pPr>
              <w:rPr>
                <w:rFonts w:cs="Calibri"/>
              </w:rPr>
            </w:pPr>
            <w:r w:rsidRPr="007D15C3">
              <w:rPr>
                <w:rFonts w:cs="Calibri"/>
              </w:rPr>
              <w:t xml:space="preserve">            3,010,828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B9FEBC" w14:textId="77777777">
            <w:pPr>
              <w:jc w:val="right"/>
              <w:rPr>
                <w:rFonts w:cs="Calibri"/>
              </w:rPr>
            </w:pPr>
            <w:r w:rsidRPr="007D15C3">
              <w:rPr>
                <w:rFonts w:cs="Calibri"/>
              </w:rPr>
              <w:t>$23,596</w:t>
            </w:r>
          </w:p>
        </w:tc>
      </w:tr>
      <w:tr w14:paraId="2E81E4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721A2C" w14:textId="77777777">
            <w:pPr>
              <w:jc w:val="center"/>
              <w:rPr>
                <w:rFonts w:cs="Calibri"/>
              </w:rPr>
            </w:pPr>
            <w:r w:rsidRPr="007D15C3">
              <w:rPr>
                <w:rFonts w:cs="Calibri"/>
              </w:rPr>
              <w:t>28480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62BE0E" w14:textId="77777777">
            <w:pPr>
              <w:jc w:val="center"/>
              <w:rPr>
                <w:rFonts w:cs="Calibri"/>
              </w:rPr>
            </w:pPr>
            <w:r w:rsidRPr="007D15C3">
              <w:rPr>
                <w:rFonts w:cs="Calibri"/>
              </w:rPr>
              <w:t>WPPT*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222880" w14:textId="77777777">
            <w:pPr>
              <w:rPr>
                <w:rFonts w:cs="Calibri"/>
              </w:rPr>
            </w:pPr>
            <w:r w:rsidRPr="007D15C3">
              <w:rPr>
                <w:rFonts w:cs="Calibri"/>
              </w:rPr>
              <w:t xml:space="preserve">        10,613,847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78BBCC" w14:textId="77777777">
            <w:pPr>
              <w:jc w:val="right"/>
              <w:rPr>
                <w:rFonts w:cs="Calibri"/>
              </w:rPr>
            </w:pPr>
            <w:r w:rsidRPr="007D15C3">
              <w:rPr>
                <w:rFonts w:cs="Calibri"/>
              </w:rPr>
              <w:t xml:space="preserve">          9,474,797</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C96058" w14:textId="77777777">
            <w:pPr>
              <w:jc w:val="right"/>
              <w:rPr>
                <w:rFonts w:cs="Calibri"/>
              </w:rPr>
            </w:pPr>
            <w:r w:rsidRPr="007D15C3">
              <w:rPr>
                <w:rFonts w:cs="Calibri"/>
              </w:rPr>
              <w:t>$74,254</w:t>
            </w:r>
          </w:p>
        </w:tc>
      </w:tr>
      <w:tr w14:paraId="046E42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2D24CB" w14:textId="77777777">
            <w:pPr>
              <w:jc w:val="center"/>
              <w:rPr>
                <w:rFonts w:cs="Calibri"/>
              </w:rPr>
            </w:pPr>
            <w:r w:rsidRPr="007D15C3">
              <w:rPr>
                <w:rFonts w:cs="Calibri"/>
              </w:rPr>
              <w:t>51984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E968F3" w14:textId="77777777">
            <w:pPr>
              <w:jc w:val="center"/>
              <w:rPr>
                <w:rFonts w:cs="Calibri"/>
              </w:rPr>
            </w:pPr>
            <w:r w:rsidRPr="007D15C3">
              <w:rPr>
                <w:rFonts w:cs="Calibri"/>
              </w:rPr>
              <w:t>WPPX-TV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BE6A7" w14:textId="77777777">
            <w:pPr>
              <w:rPr>
                <w:rFonts w:cs="Calibri"/>
              </w:rPr>
            </w:pPr>
            <w:r w:rsidRPr="007D15C3">
              <w:rPr>
                <w:rFonts w:cs="Calibri"/>
              </w:rPr>
              <w:t xml:space="preserve">          8,206,117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7C6D3C" w14:textId="77777777">
            <w:pPr>
              <w:rPr>
                <w:rFonts w:cs="Calibri"/>
              </w:rPr>
            </w:pPr>
            <w:r w:rsidRPr="007D15C3">
              <w:rPr>
                <w:rFonts w:cs="Calibri"/>
              </w:rPr>
              <w:t xml:space="preserve">            7,995,941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776519" w14:textId="77777777">
            <w:pPr>
              <w:jc w:val="right"/>
              <w:rPr>
                <w:rFonts w:cs="Calibri"/>
              </w:rPr>
            </w:pPr>
            <w:r w:rsidRPr="007D15C3">
              <w:rPr>
                <w:rFonts w:cs="Calibri"/>
              </w:rPr>
              <w:t>$62,664</w:t>
            </w:r>
          </w:p>
        </w:tc>
      </w:tr>
      <w:tr w14:paraId="0190B1B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05A0B2" w14:textId="77777777">
            <w:pPr>
              <w:jc w:val="center"/>
              <w:rPr>
                <w:rFonts w:cs="Calibri"/>
              </w:rPr>
            </w:pPr>
            <w:r w:rsidRPr="007D15C3">
              <w:rPr>
                <w:rFonts w:cs="Calibri"/>
              </w:rPr>
              <w:t>47404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F28790" w14:textId="77777777">
            <w:pPr>
              <w:jc w:val="center"/>
              <w:rPr>
                <w:rFonts w:cs="Calibri"/>
              </w:rPr>
            </w:pPr>
            <w:r w:rsidRPr="007D15C3">
              <w:rPr>
                <w:rFonts w:cs="Calibri"/>
              </w:rPr>
              <w:t>WPRI-TV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4749F2" w14:textId="77777777">
            <w:pPr>
              <w:rPr>
                <w:rFonts w:cs="Calibri"/>
              </w:rPr>
            </w:pPr>
            <w:r w:rsidRPr="007D15C3">
              <w:rPr>
                <w:rFonts w:cs="Calibri"/>
              </w:rPr>
              <w:t xml:space="preserve">          7,254,721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ECB050" w14:textId="77777777">
            <w:pPr>
              <w:rPr>
                <w:rFonts w:cs="Calibri"/>
              </w:rPr>
            </w:pPr>
            <w:r w:rsidRPr="007D15C3">
              <w:rPr>
                <w:rFonts w:cs="Calibri"/>
              </w:rPr>
              <w:t xml:space="preserve">            6,990,606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34E061" w14:textId="77777777">
            <w:pPr>
              <w:jc w:val="right"/>
              <w:rPr>
                <w:rFonts w:cs="Calibri"/>
              </w:rPr>
            </w:pPr>
            <w:r w:rsidRPr="007D15C3">
              <w:rPr>
                <w:rFonts w:cs="Calibri"/>
              </w:rPr>
              <w:t>$54,785</w:t>
            </w:r>
          </w:p>
        </w:tc>
      </w:tr>
      <w:tr w14:paraId="21717D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FDC5F1" w14:textId="77777777">
            <w:pPr>
              <w:jc w:val="center"/>
              <w:rPr>
                <w:rFonts w:cs="Calibri"/>
              </w:rPr>
            </w:pPr>
            <w:r w:rsidRPr="007D15C3">
              <w:rPr>
                <w:rFonts w:cs="Calibri"/>
              </w:rPr>
              <w:t>51991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9F84F1" w14:textId="77777777">
            <w:pPr>
              <w:jc w:val="center"/>
              <w:rPr>
                <w:rFonts w:cs="Calibri"/>
              </w:rPr>
            </w:pPr>
            <w:r w:rsidRPr="007D15C3">
              <w:rPr>
                <w:rFonts w:cs="Calibri"/>
              </w:rPr>
              <w:t>WPSD-TV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BC0774" w14:textId="77777777">
            <w:pPr>
              <w:rPr>
                <w:rFonts w:cs="Calibri"/>
              </w:rPr>
            </w:pPr>
            <w:r w:rsidRPr="007D15C3">
              <w:rPr>
                <w:rFonts w:cs="Calibri"/>
              </w:rPr>
              <w:t xml:space="preserve">             883,812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76AC9A" w14:textId="77777777">
            <w:pPr>
              <w:rPr>
                <w:rFonts w:cs="Calibri"/>
              </w:rPr>
            </w:pPr>
            <w:r w:rsidRPr="007D15C3">
              <w:rPr>
                <w:rFonts w:cs="Calibri"/>
              </w:rPr>
              <w:t xml:space="preserve">               878,287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C88A61" w14:textId="77777777">
            <w:pPr>
              <w:jc w:val="right"/>
              <w:rPr>
                <w:rFonts w:cs="Calibri"/>
              </w:rPr>
            </w:pPr>
            <w:r w:rsidRPr="007D15C3">
              <w:rPr>
                <w:rFonts w:cs="Calibri"/>
              </w:rPr>
              <w:t>$6,883</w:t>
            </w:r>
          </w:p>
        </w:tc>
      </w:tr>
      <w:tr w14:paraId="2D0B5CE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EBAEDF" w14:textId="77777777">
            <w:pPr>
              <w:jc w:val="center"/>
              <w:rPr>
                <w:rFonts w:cs="Calibri"/>
              </w:rPr>
            </w:pPr>
            <w:r w:rsidRPr="007D15C3">
              <w:rPr>
                <w:rFonts w:cs="Calibri"/>
              </w:rPr>
              <w:t>12499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A07084" w14:textId="77777777">
            <w:pPr>
              <w:jc w:val="center"/>
              <w:rPr>
                <w:rFonts w:cs="Calibri"/>
              </w:rPr>
            </w:pPr>
            <w:r w:rsidRPr="007D15C3">
              <w:rPr>
                <w:rFonts w:cs="Calibri"/>
              </w:rPr>
              <w:t>WPSG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0920B8" w14:textId="77777777">
            <w:pPr>
              <w:rPr>
                <w:rFonts w:cs="Calibri"/>
              </w:rPr>
            </w:pPr>
            <w:r w:rsidRPr="007D15C3">
              <w:rPr>
                <w:rFonts w:cs="Calibri"/>
              </w:rPr>
              <w:t xml:space="preserve">        10,232,988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38DF21" w14:textId="77777777">
            <w:pPr>
              <w:rPr>
                <w:rFonts w:cs="Calibri"/>
              </w:rPr>
            </w:pPr>
            <w:r w:rsidRPr="007D15C3">
              <w:rPr>
                <w:rFonts w:cs="Calibri"/>
              </w:rPr>
              <w:t xml:space="preserve">            9,925,334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D4C15F" w14:textId="77777777">
            <w:pPr>
              <w:jc w:val="right"/>
              <w:rPr>
                <w:rFonts w:cs="Calibri"/>
              </w:rPr>
            </w:pPr>
            <w:r w:rsidRPr="007D15C3">
              <w:rPr>
                <w:rFonts w:cs="Calibri"/>
              </w:rPr>
              <w:t>$77,785</w:t>
            </w:r>
          </w:p>
        </w:tc>
      </w:tr>
      <w:tr w14:paraId="4E0B83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F7BDB2" w14:textId="77777777">
            <w:pPr>
              <w:jc w:val="center"/>
              <w:rPr>
                <w:rFonts w:cs="Calibri"/>
              </w:rPr>
            </w:pPr>
            <w:r w:rsidRPr="007D15C3">
              <w:rPr>
                <w:rFonts w:cs="Calibri"/>
              </w:rPr>
              <w:t>66219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351CD8" w14:textId="77777777">
            <w:pPr>
              <w:jc w:val="center"/>
              <w:rPr>
                <w:rFonts w:cs="Calibri"/>
              </w:rPr>
            </w:pPr>
            <w:r w:rsidRPr="007D15C3">
              <w:rPr>
                <w:rFonts w:cs="Calibri"/>
              </w:rPr>
              <w:t>WPSU-TV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A079BD" w14:textId="77777777">
            <w:pPr>
              <w:rPr>
                <w:rFonts w:cs="Calibri"/>
              </w:rPr>
            </w:pPr>
            <w:r w:rsidRPr="007D15C3">
              <w:rPr>
                <w:rFonts w:cs="Calibri"/>
              </w:rPr>
              <w:t xml:space="preserve">          1,055,133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6B1763" w14:textId="77777777">
            <w:pPr>
              <w:rPr>
                <w:rFonts w:cs="Calibri"/>
              </w:rPr>
            </w:pPr>
            <w:r w:rsidRPr="007D15C3">
              <w:rPr>
                <w:rFonts w:cs="Calibri"/>
              </w:rPr>
              <w:t xml:space="preserve">               868,013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6CEEA1" w14:textId="77777777">
            <w:pPr>
              <w:jc w:val="right"/>
              <w:rPr>
                <w:rFonts w:cs="Calibri"/>
              </w:rPr>
            </w:pPr>
            <w:r w:rsidRPr="007D15C3">
              <w:rPr>
                <w:rFonts w:cs="Calibri"/>
              </w:rPr>
              <w:t>$6,803</w:t>
            </w:r>
          </w:p>
        </w:tc>
      </w:tr>
      <w:tr w14:paraId="0F31A73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AB297BA" w14:textId="77777777">
            <w:pPr>
              <w:jc w:val="center"/>
              <w:rPr>
                <w:rFonts w:cs="Calibri"/>
              </w:rPr>
            </w:pPr>
            <w:r w:rsidRPr="007D15C3">
              <w:rPr>
                <w:rFonts w:cs="Calibri"/>
              </w:rPr>
              <w:t>73905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739563" w14:textId="77777777">
            <w:pPr>
              <w:jc w:val="center"/>
              <w:rPr>
                <w:rFonts w:cs="Calibri"/>
              </w:rPr>
            </w:pPr>
            <w:r w:rsidRPr="007D15C3">
              <w:rPr>
                <w:rFonts w:cs="Calibri"/>
              </w:rPr>
              <w:t>WPTA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36B023" w14:textId="77777777">
            <w:pPr>
              <w:rPr>
                <w:rFonts w:cs="Calibri"/>
              </w:rPr>
            </w:pPr>
            <w:r w:rsidRPr="007D15C3">
              <w:rPr>
                <w:rFonts w:cs="Calibri"/>
              </w:rPr>
              <w:t xml:space="preserve">          1,099,180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0FF8E6" w14:textId="77777777">
            <w:pPr>
              <w:rPr>
                <w:rFonts w:cs="Calibri"/>
              </w:rPr>
            </w:pPr>
            <w:r w:rsidRPr="007D15C3">
              <w:rPr>
                <w:rFonts w:cs="Calibri"/>
              </w:rPr>
              <w:t xml:space="preserve">            1,099,180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CC3C4A" w14:textId="77777777">
            <w:pPr>
              <w:jc w:val="right"/>
              <w:rPr>
                <w:rFonts w:cs="Calibri"/>
              </w:rPr>
            </w:pPr>
            <w:r w:rsidRPr="007D15C3">
              <w:rPr>
                <w:rFonts w:cs="Calibri"/>
              </w:rPr>
              <w:t>$8,614</w:t>
            </w:r>
          </w:p>
        </w:tc>
      </w:tr>
      <w:tr w14:paraId="1376FA6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E8DBFE" w14:textId="77777777">
            <w:pPr>
              <w:jc w:val="center"/>
              <w:rPr>
                <w:rFonts w:cs="Calibri"/>
              </w:rPr>
            </w:pPr>
            <w:r w:rsidRPr="007D15C3">
              <w:rPr>
                <w:rFonts w:cs="Calibri"/>
              </w:rPr>
              <w:t>25067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4C9882" w14:textId="77777777">
            <w:pPr>
              <w:jc w:val="center"/>
              <w:rPr>
                <w:rFonts w:cs="Calibri"/>
              </w:rPr>
            </w:pPr>
            <w:r w:rsidRPr="007D15C3">
              <w:rPr>
                <w:rFonts w:cs="Calibri"/>
              </w:rPr>
              <w:t>WPTD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83892C" w14:textId="77777777">
            <w:pPr>
              <w:rPr>
                <w:rFonts w:cs="Calibri"/>
              </w:rPr>
            </w:pPr>
            <w:r w:rsidRPr="007D15C3">
              <w:rPr>
                <w:rFonts w:cs="Calibri"/>
              </w:rPr>
              <w:t xml:space="preserve">          3,423,417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321D92" w14:textId="77777777">
            <w:pPr>
              <w:rPr>
                <w:rFonts w:cs="Calibri"/>
              </w:rPr>
            </w:pPr>
            <w:r w:rsidRPr="007D15C3">
              <w:rPr>
                <w:rFonts w:cs="Calibri"/>
              </w:rPr>
              <w:t xml:space="preserve">            3,415,232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A559E8" w14:textId="77777777">
            <w:pPr>
              <w:jc w:val="right"/>
              <w:rPr>
                <w:rFonts w:cs="Calibri"/>
              </w:rPr>
            </w:pPr>
            <w:r w:rsidRPr="007D15C3">
              <w:rPr>
                <w:rFonts w:cs="Calibri"/>
              </w:rPr>
              <w:t>$26,765</w:t>
            </w:r>
          </w:p>
        </w:tc>
      </w:tr>
      <w:tr w14:paraId="5DF1C54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709163" w14:textId="77777777">
            <w:pPr>
              <w:jc w:val="center"/>
              <w:rPr>
                <w:rFonts w:cs="Calibri"/>
              </w:rPr>
            </w:pPr>
            <w:r w:rsidRPr="007D15C3">
              <w:rPr>
                <w:rFonts w:cs="Calibri"/>
              </w:rPr>
              <w:t>25065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86729C" w14:textId="77777777">
            <w:pPr>
              <w:jc w:val="center"/>
              <w:rPr>
                <w:rFonts w:cs="Calibri"/>
              </w:rPr>
            </w:pPr>
            <w:r w:rsidRPr="007D15C3">
              <w:rPr>
                <w:rFonts w:cs="Calibri"/>
              </w:rPr>
              <w:t>WPTO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E796E0" w14:textId="77777777">
            <w:pPr>
              <w:rPr>
                <w:rFonts w:cs="Calibri"/>
              </w:rPr>
            </w:pPr>
            <w:r w:rsidRPr="007D15C3">
              <w:rPr>
                <w:rFonts w:cs="Calibri"/>
              </w:rPr>
              <w:t xml:space="preserve">          2,912,159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93DECD" w14:textId="77777777">
            <w:pPr>
              <w:rPr>
                <w:rFonts w:cs="Calibri"/>
              </w:rPr>
            </w:pPr>
            <w:r w:rsidRPr="007D15C3">
              <w:rPr>
                <w:rFonts w:cs="Calibri"/>
              </w:rPr>
              <w:t xml:space="preserve">            2,893,581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D726A1" w14:textId="77777777">
            <w:pPr>
              <w:jc w:val="right"/>
              <w:rPr>
                <w:rFonts w:cs="Calibri"/>
              </w:rPr>
            </w:pPr>
            <w:r w:rsidRPr="007D15C3">
              <w:rPr>
                <w:rFonts w:cs="Calibri"/>
              </w:rPr>
              <w:t>$22,677</w:t>
            </w:r>
          </w:p>
        </w:tc>
      </w:tr>
      <w:tr w14:paraId="1885121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29357E" w14:textId="77777777">
            <w:pPr>
              <w:jc w:val="center"/>
              <w:rPr>
                <w:rFonts w:cs="Calibri"/>
              </w:rPr>
            </w:pPr>
            <w:r w:rsidRPr="007D15C3">
              <w:rPr>
                <w:rFonts w:cs="Calibri"/>
              </w:rPr>
              <w:t>59443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AF5E550" w14:textId="77777777">
            <w:pPr>
              <w:jc w:val="center"/>
              <w:rPr>
                <w:rFonts w:cs="Calibri"/>
              </w:rPr>
            </w:pPr>
            <w:r w:rsidRPr="007D15C3">
              <w:rPr>
                <w:rFonts w:cs="Calibri"/>
              </w:rPr>
              <w:t>WPTV-TV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6AECEE" w14:textId="77777777">
            <w:pPr>
              <w:rPr>
                <w:rFonts w:cs="Calibri"/>
              </w:rPr>
            </w:pPr>
            <w:r w:rsidRPr="007D15C3">
              <w:rPr>
                <w:rFonts w:cs="Calibri"/>
              </w:rPr>
              <w:t xml:space="preserve">          5,840,102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102926" w14:textId="77777777">
            <w:pPr>
              <w:rPr>
                <w:rFonts w:cs="Calibri"/>
              </w:rPr>
            </w:pPr>
            <w:r w:rsidRPr="007D15C3">
              <w:rPr>
                <w:rFonts w:cs="Calibri"/>
              </w:rPr>
              <w:t xml:space="preserve">            5,840,102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07639B" w14:textId="77777777">
            <w:pPr>
              <w:jc w:val="right"/>
              <w:rPr>
                <w:rFonts w:cs="Calibri"/>
              </w:rPr>
            </w:pPr>
            <w:r w:rsidRPr="007D15C3">
              <w:rPr>
                <w:rFonts w:cs="Calibri"/>
              </w:rPr>
              <w:t>$45,769</w:t>
            </w:r>
          </w:p>
        </w:tc>
      </w:tr>
      <w:tr w14:paraId="617117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14D673" w14:textId="77777777">
            <w:pPr>
              <w:jc w:val="center"/>
              <w:rPr>
                <w:rFonts w:cs="Calibri"/>
              </w:rPr>
            </w:pPr>
            <w:r w:rsidRPr="007D15C3">
              <w:rPr>
                <w:rFonts w:cs="Calibri"/>
              </w:rPr>
              <w:t>57476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73D38A" w14:textId="77777777">
            <w:pPr>
              <w:jc w:val="center"/>
              <w:rPr>
                <w:rFonts w:cs="Calibri"/>
              </w:rPr>
            </w:pPr>
            <w:r w:rsidRPr="007D15C3">
              <w:rPr>
                <w:rFonts w:cs="Calibri"/>
              </w:rPr>
              <w:t>WPTZ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874632" w14:textId="77777777">
            <w:pPr>
              <w:rPr>
                <w:rFonts w:cs="Calibri"/>
              </w:rPr>
            </w:pPr>
            <w:r w:rsidRPr="007D15C3">
              <w:rPr>
                <w:rFonts w:cs="Calibri"/>
              </w:rPr>
              <w:t xml:space="preserve">             792,551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9CF01E" w14:textId="77777777">
            <w:pPr>
              <w:rPr>
                <w:rFonts w:cs="Calibri"/>
              </w:rPr>
            </w:pPr>
            <w:r w:rsidRPr="007D15C3">
              <w:rPr>
                <w:rFonts w:cs="Calibri"/>
              </w:rPr>
              <w:t xml:space="preserve">               676,539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B45D6E" w14:textId="77777777">
            <w:pPr>
              <w:jc w:val="right"/>
              <w:rPr>
                <w:rFonts w:cs="Calibri"/>
              </w:rPr>
            </w:pPr>
            <w:r w:rsidRPr="007D15C3">
              <w:rPr>
                <w:rFonts w:cs="Calibri"/>
              </w:rPr>
              <w:t>$5,302</w:t>
            </w:r>
          </w:p>
        </w:tc>
      </w:tr>
      <w:tr w14:paraId="5E53B4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8F5D77" w14:textId="77777777">
            <w:pPr>
              <w:jc w:val="center"/>
              <w:rPr>
                <w:rFonts w:cs="Calibri"/>
              </w:rPr>
            </w:pPr>
            <w:r w:rsidRPr="007D15C3">
              <w:rPr>
                <w:rFonts w:cs="Calibri"/>
              </w:rPr>
              <w:t>8616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017A17" w14:textId="77777777">
            <w:pPr>
              <w:jc w:val="center"/>
              <w:rPr>
                <w:rFonts w:cs="Calibri"/>
              </w:rPr>
            </w:pPr>
            <w:r w:rsidRPr="007D15C3">
              <w:rPr>
                <w:rFonts w:cs="Calibri"/>
              </w:rPr>
              <w:t>WPVI-TV*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B5B8B8" w14:textId="77777777">
            <w:pPr>
              <w:rPr>
                <w:rFonts w:cs="Calibri"/>
              </w:rPr>
            </w:pPr>
            <w:r w:rsidRPr="007D15C3">
              <w:rPr>
                <w:rFonts w:cs="Calibri"/>
              </w:rPr>
              <w:t xml:space="preserve">        11,491,587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7C4820" w14:textId="77777777">
            <w:pPr>
              <w:rPr>
                <w:rFonts w:cs="Calibri"/>
              </w:rPr>
            </w:pPr>
            <w:r w:rsidRPr="007D15C3">
              <w:rPr>
                <w:rFonts w:cs="Calibri"/>
              </w:rPr>
              <w:t xml:space="preserve">          11,302,701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E7F94D" w14:textId="77777777">
            <w:pPr>
              <w:jc w:val="right"/>
              <w:rPr>
                <w:rFonts w:cs="Calibri"/>
              </w:rPr>
            </w:pPr>
            <w:r w:rsidRPr="007D15C3">
              <w:rPr>
                <w:rFonts w:cs="Calibri"/>
              </w:rPr>
              <w:t>$88,579</w:t>
            </w:r>
          </w:p>
        </w:tc>
      </w:tr>
      <w:tr w14:paraId="3CCEA0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36B459" w14:textId="77777777">
            <w:pPr>
              <w:jc w:val="center"/>
              <w:rPr>
                <w:rFonts w:cs="Calibri"/>
              </w:rPr>
            </w:pPr>
            <w:r w:rsidRPr="007D15C3">
              <w:rPr>
                <w:rFonts w:cs="Calibri"/>
              </w:rPr>
              <w:t>48772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B18901" w14:textId="77777777">
            <w:pPr>
              <w:jc w:val="center"/>
              <w:rPr>
                <w:rFonts w:cs="Calibri"/>
              </w:rPr>
            </w:pPr>
            <w:r w:rsidRPr="007D15C3">
              <w:rPr>
                <w:rFonts w:cs="Calibri"/>
              </w:rPr>
              <w:t>WPWR-TV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E1E0ED" w14:textId="77777777">
            <w:pPr>
              <w:rPr>
                <w:rFonts w:cs="Calibri"/>
              </w:rPr>
            </w:pPr>
            <w:r w:rsidRPr="007D15C3">
              <w:rPr>
                <w:rFonts w:cs="Calibri"/>
              </w:rPr>
              <w:t xml:space="preserve">          9,957,301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7EBDB7" w14:textId="77777777">
            <w:pPr>
              <w:rPr>
                <w:rFonts w:cs="Calibri"/>
              </w:rPr>
            </w:pPr>
            <w:r w:rsidRPr="007D15C3">
              <w:rPr>
                <w:rFonts w:cs="Calibri"/>
              </w:rPr>
              <w:t xml:space="preserve">            9,954,828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40D23F" w14:textId="77777777">
            <w:pPr>
              <w:jc w:val="right"/>
              <w:rPr>
                <w:rFonts w:cs="Calibri"/>
              </w:rPr>
            </w:pPr>
            <w:r w:rsidRPr="007D15C3">
              <w:rPr>
                <w:rFonts w:cs="Calibri"/>
              </w:rPr>
              <w:t>$78,016</w:t>
            </w:r>
          </w:p>
        </w:tc>
      </w:tr>
      <w:tr w14:paraId="635C06F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F580AE" w14:textId="77777777">
            <w:pPr>
              <w:jc w:val="center"/>
              <w:rPr>
                <w:rFonts w:cs="Calibri"/>
              </w:rPr>
            </w:pPr>
            <w:r w:rsidRPr="007D15C3">
              <w:rPr>
                <w:rFonts w:cs="Calibri"/>
              </w:rPr>
              <w:t>51969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566988" w14:textId="77777777">
            <w:pPr>
              <w:jc w:val="center"/>
              <w:rPr>
                <w:rFonts w:cs="Calibri"/>
              </w:rPr>
            </w:pPr>
            <w:r w:rsidRPr="007D15C3">
              <w:rPr>
                <w:rFonts w:cs="Calibri"/>
              </w:rPr>
              <w:t>WPXA-TV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1B4379" w14:textId="77777777">
            <w:pPr>
              <w:rPr>
                <w:rFonts w:cs="Calibri"/>
              </w:rPr>
            </w:pPr>
            <w:r w:rsidRPr="007D15C3">
              <w:rPr>
                <w:rFonts w:cs="Calibri"/>
              </w:rPr>
              <w:t xml:space="preserve">          6,587,205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F85438" w14:textId="77777777">
            <w:pPr>
              <w:rPr>
                <w:rFonts w:cs="Calibri"/>
              </w:rPr>
            </w:pPr>
            <w:r w:rsidRPr="007D15C3">
              <w:rPr>
                <w:rFonts w:cs="Calibri"/>
              </w:rPr>
              <w:t xml:space="preserve">            6,458,510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C3CB53" w14:textId="77777777">
            <w:pPr>
              <w:jc w:val="right"/>
              <w:rPr>
                <w:rFonts w:cs="Calibri"/>
              </w:rPr>
            </w:pPr>
            <w:r w:rsidRPr="007D15C3">
              <w:rPr>
                <w:rFonts w:cs="Calibri"/>
              </w:rPr>
              <w:t>$50,615</w:t>
            </w:r>
          </w:p>
        </w:tc>
      </w:tr>
      <w:tr w14:paraId="3FE404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842D70" w14:textId="77777777">
            <w:pPr>
              <w:jc w:val="center"/>
              <w:rPr>
                <w:rFonts w:cs="Calibri"/>
              </w:rPr>
            </w:pPr>
            <w:r w:rsidRPr="007D15C3">
              <w:rPr>
                <w:rFonts w:cs="Calibri"/>
              </w:rPr>
              <w:t>71236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CFF741" w14:textId="77777777">
            <w:pPr>
              <w:jc w:val="center"/>
              <w:rPr>
                <w:rFonts w:cs="Calibri"/>
              </w:rPr>
            </w:pPr>
            <w:r w:rsidRPr="007D15C3">
              <w:rPr>
                <w:rFonts w:cs="Calibri"/>
              </w:rPr>
              <w:t>WPXC-TV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D6317" w14:textId="77777777">
            <w:pPr>
              <w:rPr>
                <w:rFonts w:cs="Calibri"/>
              </w:rPr>
            </w:pPr>
            <w:r w:rsidRPr="007D15C3">
              <w:rPr>
                <w:rFonts w:cs="Calibri"/>
              </w:rPr>
              <w:t xml:space="preserve">          1,561,014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DF211B" w14:textId="77777777">
            <w:pPr>
              <w:rPr>
                <w:rFonts w:cs="Calibri"/>
              </w:rPr>
            </w:pPr>
            <w:r w:rsidRPr="007D15C3">
              <w:rPr>
                <w:rFonts w:cs="Calibri"/>
              </w:rPr>
              <w:t xml:space="preserve">            1,561,014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05C1AD" w14:textId="77777777">
            <w:pPr>
              <w:jc w:val="right"/>
              <w:rPr>
                <w:rFonts w:cs="Calibri"/>
              </w:rPr>
            </w:pPr>
            <w:r w:rsidRPr="007D15C3">
              <w:rPr>
                <w:rFonts w:cs="Calibri"/>
              </w:rPr>
              <w:t>$12,234</w:t>
            </w:r>
          </w:p>
        </w:tc>
      </w:tr>
      <w:tr w14:paraId="6C10E501"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9C2653" w14:textId="77777777">
            <w:pPr>
              <w:jc w:val="center"/>
              <w:rPr>
                <w:rFonts w:cs="Calibri"/>
              </w:rPr>
            </w:pPr>
            <w:r w:rsidRPr="007D15C3">
              <w:rPr>
                <w:rFonts w:cs="Calibri"/>
              </w:rPr>
              <w:t>5800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676F7EC" w14:textId="77777777">
            <w:pPr>
              <w:jc w:val="center"/>
              <w:rPr>
                <w:rFonts w:cs="Calibri"/>
              </w:rPr>
            </w:pPr>
            <w:r w:rsidRPr="007D15C3">
              <w:rPr>
                <w:rFonts w:cs="Calibri"/>
              </w:rPr>
              <w:t>WPXD-TV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D11F44B" w14:textId="77777777">
            <w:pPr>
              <w:rPr>
                <w:rFonts w:cs="Calibri"/>
              </w:rPr>
            </w:pPr>
            <w:r w:rsidRPr="007D15C3">
              <w:rPr>
                <w:rFonts w:cs="Calibri"/>
              </w:rPr>
              <w:t xml:space="preserve">          5,133,364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4D5E01A" w14:textId="77777777">
            <w:pPr>
              <w:rPr>
                <w:rFonts w:cs="Calibri"/>
              </w:rPr>
            </w:pPr>
            <w:r w:rsidRPr="007D15C3">
              <w:rPr>
                <w:rFonts w:cs="Calibri"/>
              </w:rPr>
              <w:t xml:space="preserve">            5,133,257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C030CDB" w14:textId="77777777">
            <w:pPr>
              <w:jc w:val="right"/>
              <w:rPr>
                <w:rFonts w:cs="Calibri"/>
              </w:rPr>
            </w:pPr>
            <w:r w:rsidRPr="007D15C3">
              <w:rPr>
                <w:rFonts w:cs="Calibri"/>
              </w:rPr>
              <w:t>$40,229</w:t>
            </w:r>
          </w:p>
        </w:tc>
      </w:tr>
      <w:tr w14:paraId="07E9F1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2E4116" w14:textId="77777777">
            <w:pPr>
              <w:jc w:val="center"/>
              <w:rPr>
                <w:rFonts w:cs="Calibri"/>
              </w:rPr>
            </w:pPr>
            <w:r w:rsidRPr="007D15C3">
              <w:rPr>
                <w:rFonts w:cs="Calibri"/>
              </w:rPr>
              <w:t>37104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83CE39" w14:textId="77777777">
            <w:pPr>
              <w:jc w:val="center"/>
              <w:rPr>
                <w:rFonts w:cs="Calibri"/>
              </w:rPr>
            </w:pPr>
            <w:r w:rsidRPr="007D15C3">
              <w:rPr>
                <w:rFonts w:cs="Calibri"/>
              </w:rPr>
              <w:t>WPXE-TV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8B2365" w14:textId="77777777">
            <w:pPr>
              <w:rPr>
                <w:rFonts w:cs="Calibri"/>
              </w:rPr>
            </w:pPr>
            <w:r w:rsidRPr="007D15C3">
              <w:rPr>
                <w:rFonts w:cs="Calibri"/>
              </w:rPr>
              <w:t xml:space="preserve">          3,163,550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D9A67E" w14:textId="77777777">
            <w:pPr>
              <w:rPr>
                <w:rFonts w:cs="Calibri"/>
              </w:rPr>
            </w:pPr>
            <w:r w:rsidRPr="007D15C3">
              <w:rPr>
                <w:rFonts w:cs="Calibri"/>
              </w:rPr>
              <w:t xml:space="preserve">            3,160,601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D51096" w14:textId="77777777">
            <w:pPr>
              <w:jc w:val="right"/>
              <w:rPr>
                <w:rFonts w:cs="Calibri"/>
              </w:rPr>
            </w:pPr>
            <w:r w:rsidRPr="007D15C3">
              <w:rPr>
                <w:rFonts w:cs="Calibri"/>
              </w:rPr>
              <w:t>$24,770</w:t>
            </w:r>
          </w:p>
        </w:tc>
      </w:tr>
      <w:tr w14:paraId="48933C4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E979FA" w14:textId="77777777">
            <w:pPr>
              <w:jc w:val="center"/>
              <w:rPr>
                <w:rFonts w:cs="Calibri"/>
              </w:rPr>
            </w:pPr>
            <w:r w:rsidRPr="007D15C3">
              <w:rPr>
                <w:rFonts w:cs="Calibri"/>
              </w:rPr>
              <w:t>48406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F93685" w14:textId="77777777">
            <w:pPr>
              <w:jc w:val="center"/>
              <w:rPr>
                <w:rFonts w:cs="Calibri"/>
              </w:rPr>
            </w:pPr>
            <w:r w:rsidRPr="007D15C3">
              <w:rPr>
                <w:rFonts w:cs="Calibri"/>
              </w:rPr>
              <w:t>WPXG-TV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AD9031" w14:textId="77777777">
            <w:pPr>
              <w:rPr>
                <w:rFonts w:cs="Calibri"/>
              </w:rPr>
            </w:pPr>
            <w:r w:rsidRPr="007D15C3">
              <w:rPr>
                <w:rFonts w:cs="Calibri"/>
              </w:rPr>
              <w:t xml:space="preserve">          2,577,848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8175A6" w14:textId="77777777">
            <w:pPr>
              <w:rPr>
                <w:rFonts w:cs="Calibri"/>
              </w:rPr>
            </w:pPr>
            <w:r w:rsidRPr="007D15C3">
              <w:rPr>
                <w:rFonts w:cs="Calibri"/>
              </w:rPr>
              <w:t xml:space="preserve">            2,512,150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8B56F1" w14:textId="77777777">
            <w:pPr>
              <w:jc w:val="right"/>
              <w:rPr>
                <w:rFonts w:cs="Calibri"/>
              </w:rPr>
            </w:pPr>
            <w:r w:rsidRPr="007D15C3">
              <w:rPr>
                <w:rFonts w:cs="Calibri"/>
              </w:rPr>
              <w:t>$19,688</w:t>
            </w:r>
          </w:p>
        </w:tc>
      </w:tr>
      <w:tr w14:paraId="05FD8D3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7C831A" w14:textId="77777777">
            <w:pPr>
              <w:jc w:val="center"/>
              <w:rPr>
                <w:rFonts w:cs="Calibri"/>
              </w:rPr>
            </w:pPr>
            <w:r w:rsidRPr="007D15C3">
              <w:rPr>
                <w:rFonts w:cs="Calibri"/>
              </w:rPr>
              <w:t>73312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BE5A54" w14:textId="77777777">
            <w:pPr>
              <w:jc w:val="center"/>
              <w:rPr>
                <w:rFonts w:cs="Calibri"/>
              </w:rPr>
            </w:pPr>
            <w:r w:rsidRPr="007D15C3">
              <w:rPr>
                <w:rFonts w:cs="Calibri"/>
              </w:rPr>
              <w:t>WPXH-TV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9C3936" w14:textId="77777777">
            <w:pPr>
              <w:rPr>
                <w:rFonts w:cs="Calibri"/>
              </w:rPr>
            </w:pPr>
            <w:r w:rsidRPr="007D15C3">
              <w:rPr>
                <w:rFonts w:cs="Calibri"/>
              </w:rPr>
              <w:t xml:space="preserve">          1,495,968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4B8749" w14:textId="77777777">
            <w:pPr>
              <w:rPr>
                <w:rFonts w:cs="Calibri"/>
              </w:rPr>
            </w:pPr>
            <w:r w:rsidRPr="007D15C3">
              <w:rPr>
                <w:rFonts w:cs="Calibri"/>
              </w:rPr>
              <w:t xml:space="preserve">            1,423,805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91DDF9" w14:textId="77777777">
            <w:pPr>
              <w:jc w:val="right"/>
              <w:rPr>
                <w:rFonts w:cs="Calibri"/>
              </w:rPr>
            </w:pPr>
            <w:r w:rsidRPr="007D15C3">
              <w:rPr>
                <w:rFonts w:cs="Calibri"/>
              </w:rPr>
              <w:t>$11,158</w:t>
            </w:r>
          </w:p>
        </w:tc>
      </w:tr>
      <w:tr w14:paraId="0315275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1F8F88" w14:textId="77777777">
            <w:pPr>
              <w:jc w:val="center"/>
              <w:rPr>
                <w:rFonts w:cs="Calibri"/>
              </w:rPr>
            </w:pPr>
            <w:r w:rsidRPr="007D15C3">
              <w:rPr>
                <w:rFonts w:cs="Calibri"/>
              </w:rPr>
              <w:t>73910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D24DB7" w14:textId="77777777">
            <w:pPr>
              <w:jc w:val="center"/>
              <w:rPr>
                <w:rFonts w:cs="Calibri"/>
              </w:rPr>
            </w:pPr>
            <w:r w:rsidRPr="007D15C3">
              <w:rPr>
                <w:rFonts w:cs="Calibri"/>
              </w:rPr>
              <w:t>WPXI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FC4252" w14:textId="77777777">
            <w:pPr>
              <w:rPr>
                <w:rFonts w:cs="Calibri"/>
              </w:rPr>
            </w:pPr>
            <w:r w:rsidRPr="007D15C3">
              <w:rPr>
                <w:rFonts w:cs="Calibri"/>
              </w:rPr>
              <w:t xml:space="preserve">          3,300,896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88F94A" w14:textId="77777777">
            <w:pPr>
              <w:rPr>
                <w:rFonts w:cs="Calibri"/>
              </w:rPr>
            </w:pPr>
            <w:r w:rsidRPr="007D15C3">
              <w:rPr>
                <w:rFonts w:cs="Calibri"/>
              </w:rPr>
              <w:t xml:space="preserve">            3,197,864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D059E2" w14:textId="77777777">
            <w:pPr>
              <w:jc w:val="right"/>
              <w:rPr>
                <w:rFonts w:cs="Calibri"/>
              </w:rPr>
            </w:pPr>
            <w:r w:rsidRPr="007D15C3">
              <w:rPr>
                <w:rFonts w:cs="Calibri"/>
              </w:rPr>
              <w:t>$25,062</w:t>
            </w:r>
          </w:p>
        </w:tc>
      </w:tr>
      <w:tr w14:paraId="520CC37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921DC6" w14:textId="77777777">
            <w:pPr>
              <w:jc w:val="center"/>
              <w:rPr>
                <w:rFonts w:cs="Calibri"/>
              </w:rPr>
            </w:pPr>
            <w:r w:rsidRPr="007D15C3">
              <w:rPr>
                <w:rFonts w:cs="Calibri"/>
              </w:rPr>
              <w:t>2325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8D1C7C" w14:textId="77777777">
            <w:pPr>
              <w:jc w:val="center"/>
              <w:rPr>
                <w:rFonts w:cs="Calibri"/>
              </w:rPr>
            </w:pPr>
            <w:r w:rsidRPr="007D15C3">
              <w:rPr>
                <w:rFonts w:cs="Calibri"/>
              </w:rPr>
              <w:t>WPXJ-TV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8A8C93" w14:textId="77777777">
            <w:pPr>
              <w:rPr>
                <w:rFonts w:cs="Calibri"/>
              </w:rPr>
            </w:pPr>
            <w:r w:rsidRPr="007D15C3">
              <w:rPr>
                <w:rFonts w:cs="Calibri"/>
              </w:rPr>
              <w:t xml:space="preserve">          2,358,750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3FC0D6" w14:textId="77777777">
            <w:pPr>
              <w:rPr>
                <w:rFonts w:cs="Calibri"/>
              </w:rPr>
            </w:pPr>
            <w:r w:rsidRPr="007D15C3">
              <w:rPr>
                <w:rFonts w:cs="Calibri"/>
              </w:rPr>
              <w:t xml:space="preserve">            2,294,833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D5BEFC" w14:textId="77777777">
            <w:pPr>
              <w:jc w:val="right"/>
              <w:rPr>
                <w:rFonts w:cs="Calibri"/>
              </w:rPr>
            </w:pPr>
            <w:r w:rsidRPr="007D15C3">
              <w:rPr>
                <w:rFonts w:cs="Calibri"/>
              </w:rPr>
              <w:t>$17,985</w:t>
            </w:r>
          </w:p>
        </w:tc>
      </w:tr>
      <w:tr w14:paraId="4955F1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B3275C" w14:textId="77777777">
            <w:pPr>
              <w:jc w:val="center"/>
              <w:rPr>
                <w:rFonts w:cs="Calibri"/>
              </w:rPr>
            </w:pPr>
            <w:r w:rsidRPr="007D15C3">
              <w:rPr>
                <w:rFonts w:cs="Calibri"/>
              </w:rPr>
              <w:t>52628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9F9D5AE" w14:textId="77777777">
            <w:pPr>
              <w:jc w:val="center"/>
              <w:rPr>
                <w:rFonts w:cs="Calibri"/>
              </w:rPr>
            </w:pPr>
            <w:r w:rsidRPr="007D15C3">
              <w:rPr>
                <w:rFonts w:cs="Calibri"/>
              </w:rPr>
              <w:t>WPXK-TV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874536" w14:textId="77777777">
            <w:pPr>
              <w:rPr>
                <w:rFonts w:cs="Calibri"/>
              </w:rPr>
            </w:pPr>
            <w:r w:rsidRPr="007D15C3">
              <w:rPr>
                <w:rFonts w:cs="Calibri"/>
              </w:rPr>
              <w:t xml:space="preserve">          1,801,997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76E9A8" w14:textId="77777777">
            <w:pPr>
              <w:rPr>
                <w:rFonts w:cs="Calibri"/>
              </w:rPr>
            </w:pPr>
            <w:r w:rsidRPr="007D15C3">
              <w:rPr>
                <w:rFonts w:cs="Calibri"/>
              </w:rPr>
              <w:t xml:space="preserve">            1,577,806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EE9EFB" w14:textId="77777777">
            <w:pPr>
              <w:jc w:val="right"/>
              <w:rPr>
                <w:rFonts w:cs="Calibri"/>
              </w:rPr>
            </w:pPr>
            <w:r w:rsidRPr="007D15C3">
              <w:rPr>
                <w:rFonts w:cs="Calibri"/>
              </w:rPr>
              <w:t>$12,365</w:t>
            </w:r>
          </w:p>
        </w:tc>
      </w:tr>
      <w:tr w14:paraId="744D5E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2EFCC6" w14:textId="77777777">
            <w:pPr>
              <w:jc w:val="center"/>
              <w:rPr>
                <w:rFonts w:cs="Calibri"/>
              </w:rPr>
            </w:pPr>
            <w:r w:rsidRPr="007D15C3">
              <w:rPr>
                <w:rFonts w:cs="Calibri"/>
              </w:rPr>
              <w:t>21729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A3EC15" w14:textId="77777777">
            <w:pPr>
              <w:jc w:val="center"/>
              <w:rPr>
                <w:rFonts w:cs="Calibri"/>
              </w:rPr>
            </w:pPr>
            <w:r w:rsidRPr="007D15C3">
              <w:rPr>
                <w:rFonts w:cs="Calibri"/>
              </w:rPr>
              <w:t>WPXL-TV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A4A54A" w14:textId="77777777">
            <w:pPr>
              <w:rPr>
                <w:rFonts w:cs="Calibri"/>
              </w:rPr>
            </w:pPr>
            <w:r w:rsidRPr="007D15C3">
              <w:rPr>
                <w:rFonts w:cs="Calibri"/>
              </w:rPr>
              <w:t xml:space="preserve">          1,566,829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65EE0B" w14:textId="77777777">
            <w:pPr>
              <w:rPr>
                <w:rFonts w:cs="Calibri"/>
              </w:rPr>
            </w:pPr>
            <w:r w:rsidRPr="007D15C3">
              <w:rPr>
                <w:rFonts w:cs="Calibri"/>
              </w:rPr>
              <w:t xml:space="preserve">            1,566,829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6A0BA3" w14:textId="77777777">
            <w:pPr>
              <w:jc w:val="right"/>
              <w:rPr>
                <w:rFonts w:cs="Calibri"/>
              </w:rPr>
            </w:pPr>
            <w:r w:rsidRPr="007D15C3">
              <w:rPr>
                <w:rFonts w:cs="Calibri"/>
              </w:rPr>
              <w:t>$12,279</w:t>
            </w:r>
          </w:p>
        </w:tc>
      </w:tr>
      <w:tr w14:paraId="4B808D2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3FADE5" w14:textId="77777777">
            <w:pPr>
              <w:jc w:val="center"/>
              <w:rPr>
                <w:rFonts w:cs="Calibri"/>
              </w:rPr>
            </w:pPr>
            <w:r w:rsidRPr="007D15C3">
              <w:rPr>
                <w:rFonts w:cs="Calibri"/>
              </w:rPr>
              <w:t>48608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FF1783" w14:textId="77777777">
            <w:pPr>
              <w:jc w:val="center"/>
              <w:rPr>
                <w:rFonts w:cs="Calibri"/>
              </w:rPr>
            </w:pPr>
            <w:r w:rsidRPr="007D15C3">
              <w:rPr>
                <w:rFonts w:cs="Calibri"/>
              </w:rPr>
              <w:t>WPXM-TV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35D6F5" w14:textId="77777777">
            <w:pPr>
              <w:rPr>
                <w:rFonts w:cs="Calibri"/>
              </w:rPr>
            </w:pPr>
            <w:r w:rsidRPr="007D15C3">
              <w:rPr>
                <w:rFonts w:cs="Calibri"/>
              </w:rPr>
              <w:t xml:space="preserve">          5,153,621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842ABA" w14:textId="77777777">
            <w:pPr>
              <w:rPr>
                <w:rFonts w:cs="Calibri"/>
              </w:rPr>
            </w:pPr>
            <w:r w:rsidRPr="007D15C3">
              <w:rPr>
                <w:rFonts w:cs="Calibri"/>
              </w:rPr>
              <w:t xml:space="preserve">            5,153,621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680479" w14:textId="77777777">
            <w:pPr>
              <w:jc w:val="right"/>
              <w:rPr>
                <w:rFonts w:cs="Calibri"/>
              </w:rPr>
            </w:pPr>
            <w:r w:rsidRPr="007D15C3">
              <w:rPr>
                <w:rFonts w:cs="Calibri"/>
              </w:rPr>
              <w:t>$40,389</w:t>
            </w:r>
          </w:p>
        </w:tc>
      </w:tr>
      <w:tr w14:paraId="02F5EFB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B48417" w14:textId="77777777">
            <w:pPr>
              <w:jc w:val="center"/>
              <w:rPr>
                <w:rFonts w:cs="Calibri"/>
              </w:rPr>
            </w:pPr>
            <w:r w:rsidRPr="007D15C3">
              <w:rPr>
                <w:rFonts w:cs="Calibri"/>
              </w:rPr>
              <w:t>73356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3C1530" w14:textId="77777777">
            <w:pPr>
              <w:jc w:val="center"/>
              <w:rPr>
                <w:rFonts w:cs="Calibri"/>
              </w:rPr>
            </w:pPr>
            <w:r w:rsidRPr="007D15C3">
              <w:rPr>
                <w:rFonts w:cs="Calibri"/>
              </w:rPr>
              <w:t>WPXN-TV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059A11" w14:textId="77777777">
            <w:pPr>
              <w:rPr>
                <w:rFonts w:cs="Calibri"/>
              </w:rPr>
            </w:pPr>
            <w:r w:rsidRPr="007D15C3">
              <w:rPr>
                <w:rFonts w:cs="Calibri"/>
              </w:rPr>
              <w:t xml:space="preserve">        20,465,198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F470E5" w14:textId="77777777">
            <w:pPr>
              <w:rPr>
                <w:rFonts w:cs="Calibri"/>
              </w:rPr>
            </w:pPr>
            <w:r w:rsidRPr="007D15C3">
              <w:rPr>
                <w:rFonts w:cs="Calibri"/>
              </w:rPr>
              <w:t xml:space="preserve">          20,092,448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9BB830" w14:textId="77777777">
            <w:pPr>
              <w:jc w:val="right"/>
              <w:rPr>
                <w:rFonts w:cs="Calibri"/>
              </w:rPr>
            </w:pPr>
            <w:r w:rsidRPr="007D15C3">
              <w:rPr>
                <w:rFonts w:cs="Calibri"/>
              </w:rPr>
              <w:t>$157,465</w:t>
            </w:r>
          </w:p>
        </w:tc>
      </w:tr>
      <w:tr w14:paraId="2A5BB22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FA16FF" w14:textId="77777777">
            <w:pPr>
              <w:jc w:val="center"/>
              <w:rPr>
                <w:rFonts w:cs="Calibri"/>
              </w:rPr>
            </w:pPr>
            <w:r w:rsidRPr="007D15C3">
              <w:rPr>
                <w:rFonts w:cs="Calibri"/>
              </w:rPr>
              <w:t>27290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511479" w14:textId="77777777">
            <w:pPr>
              <w:jc w:val="center"/>
              <w:rPr>
                <w:rFonts w:cs="Calibri"/>
              </w:rPr>
            </w:pPr>
            <w:r w:rsidRPr="007D15C3">
              <w:rPr>
                <w:rFonts w:cs="Calibri"/>
              </w:rPr>
              <w:t>WPXP-TV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8B3CA6" w14:textId="77777777">
            <w:pPr>
              <w:rPr>
                <w:rFonts w:cs="Calibri"/>
              </w:rPr>
            </w:pPr>
            <w:r w:rsidRPr="007D15C3">
              <w:rPr>
                <w:rFonts w:cs="Calibri"/>
              </w:rPr>
              <w:t xml:space="preserve">          5,565,072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A28C36" w14:textId="77777777">
            <w:pPr>
              <w:rPr>
                <w:rFonts w:cs="Calibri"/>
              </w:rPr>
            </w:pPr>
            <w:r w:rsidRPr="007D15C3">
              <w:rPr>
                <w:rFonts w:cs="Calibri"/>
              </w:rPr>
              <w:t xml:space="preserve">            5,565,072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E9E0A3" w14:textId="77777777">
            <w:pPr>
              <w:jc w:val="right"/>
              <w:rPr>
                <w:rFonts w:cs="Calibri"/>
              </w:rPr>
            </w:pPr>
            <w:r w:rsidRPr="007D15C3">
              <w:rPr>
                <w:rFonts w:cs="Calibri"/>
              </w:rPr>
              <w:t>$43,613</w:t>
            </w:r>
          </w:p>
        </w:tc>
      </w:tr>
      <w:tr w14:paraId="60C6CF7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CE029F" w14:textId="77777777">
            <w:pPr>
              <w:jc w:val="center"/>
              <w:rPr>
                <w:rFonts w:cs="Calibri"/>
              </w:rPr>
            </w:pPr>
            <w:r w:rsidRPr="007D15C3">
              <w:rPr>
                <w:rFonts w:cs="Calibri"/>
              </w:rPr>
              <w:t>50063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4744AF" w14:textId="77777777">
            <w:pPr>
              <w:jc w:val="center"/>
              <w:rPr>
                <w:rFonts w:cs="Calibri"/>
              </w:rPr>
            </w:pPr>
            <w:r w:rsidRPr="007D15C3">
              <w:rPr>
                <w:rFonts w:cs="Calibri"/>
              </w:rPr>
              <w:t>WPXQ-TV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22CCE3" w14:textId="77777777">
            <w:pPr>
              <w:rPr>
                <w:rFonts w:cs="Calibri"/>
              </w:rPr>
            </w:pPr>
            <w:r w:rsidRPr="007D15C3">
              <w:rPr>
                <w:rFonts w:cs="Calibri"/>
              </w:rPr>
              <w:t xml:space="preserve">          3,281,532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1AD5BE" w14:textId="77777777">
            <w:pPr>
              <w:rPr>
                <w:rFonts w:cs="Calibri"/>
              </w:rPr>
            </w:pPr>
            <w:r w:rsidRPr="007D15C3">
              <w:rPr>
                <w:rFonts w:cs="Calibri"/>
              </w:rPr>
              <w:t xml:space="preserve">            3,150,875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86931E" w14:textId="77777777">
            <w:pPr>
              <w:jc w:val="right"/>
              <w:rPr>
                <w:rFonts w:cs="Calibri"/>
              </w:rPr>
            </w:pPr>
            <w:r w:rsidRPr="007D15C3">
              <w:rPr>
                <w:rFonts w:cs="Calibri"/>
              </w:rPr>
              <w:t>$24,693</w:t>
            </w:r>
          </w:p>
        </w:tc>
      </w:tr>
      <w:tr w14:paraId="4B3BF22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6122C2C" w14:textId="77777777">
            <w:pPr>
              <w:jc w:val="center"/>
              <w:rPr>
                <w:rFonts w:cs="Calibri"/>
              </w:rPr>
            </w:pPr>
            <w:r w:rsidRPr="007D15C3">
              <w:rPr>
                <w:rFonts w:cs="Calibri"/>
              </w:rPr>
              <w:t>70251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357E4F" w14:textId="77777777">
            <w:pPr>
              <w:jc w:val="center"/>
              <w:rPr>
                <w:rFonts w:cs="Calibri"/>
              </w:rPr>
            </w:pPr>
            <w:r w:rsidRPr="007D15C3">
              <w:rPr>
                <w:rFonts w:cs="Calibri"/>
              </w:rPr>
              <w:t>WPXR-TV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3B6CE0" w14:textId="77777777">
            <w:pPr>
              <w:rPr>
                <w:rFonts w:cs="Calibri"/>
              </w:rPr>
            </w:pPr>
            <w:r w:rsidRPr="007D15C3">
              <w:rPr>
                <w:rFonts w:cs="Calibri"/>
              </w:rPr>
              <w:t xml:space="preserve">          1,375,640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CC8E7E" w14:textId="77777777">
            <w:pPr>
              <w:rPr>
                <w:rFonts w:cs="Calibri"/>
              </w:rPr>
            </w:pPr>
            <w:r w:rsidRPr="007D15C3">
              <w:rPr>
                <w:rFonts w:cs="Calibri"/>
              </w:rPr>
              <w:t xml:space="preserve">            1,200,331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832555" w14:textId="77777777">
            <w:pPr>
              <w:jc w:val="right"/>
              <w:rPr>
                <w:rFonts w:cs="Calibri"/>
              </w:rPr>
            </w:pPr>
            <w:r w:rsidRPr="007D15C3">
              <w:rPr>
                <w:rFonts w:cs="Calibri"/>
              </w:rPr>
              <w:t>$9,407</w:t>
            </w:r>
          </w:p>
        </w:tc>
      </w:tr>
      <w:tr w14:paraId="7637FC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C514C3" w14:textId="77777777">
            <w:pPr>
              <w:jc w:val="center"/>
              <w:rPr>
                <w:rFonts w:cs="Calibri"/>
              </w:rPr>
            </w:pPr>
            <w:r w:rsidRPr="007D15C3">
              <w:rPr>
                <w:rFonts w:cs="Calibri"/>
              </w:rPr>
              <w:t>40861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4BA53D6" w14:textId="77777777">
            <w:pPr>
              <w:jc w:val="center"/>
              <w:rPr>
                <w:rFonts w:cs="Calibri"/>
              </w:rPr>
            </w:pPr>
            <w:r w:rsidRPr="007D15C3">
              <w:rPr>
                <w:rFonts w:cs="Calibri"/>
              </w:rPr>
              <w:t>WPXS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2EE7CB" w14:textId="77777777">
            <w:pPr>
              <w:rPr>
                <w:rFonts w:cs="Calibri"/>
              </w:rPr>
            </w:pPr>
            <w:r w:rsidRPr="007D15C3">
              <w:rPr>
                <w:rFonts w:cs="Calibri"/>
              </w:rPr>
              <w:t xml:space="preserve">          1,152,104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7F59A5" w14:textId="77777777">
            <w:pPr>
              <w:rPr>
                <w:rFonts w:cs="Calibri"/>
              </w:rPr>
            </w:pPr>
            <w:r w:rsidRPr="007D15C3">
              <w:rPr>
                <w:rFonts w:cs="Calibri"/>
              </w:rPr>
              <w:t xml:space="preserve">            1,145,695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9EF55F" w14:textId="77777777">
            <w:pPr>
              <w:jc w:val="right"/>
              <w:rPr>
                <w:rFonts w:cs="Calibri"/>
              </w:rPr>
            </w:pPr>
            <w:r w:rsidRPr="007D15C3">
              <w:rPr>
                <w:rFonts w:cs="Calibri"/>
              </w:rPr>
              <w:t>$8,979</w:t>
            </w:r>
          </w:p>
        </w:tc>
      </w:tr>
      <w:tr w14:paraId="06B9506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E27789" w14:textId="77777777">
            <w:pPr>
              <w:jc w:val="center"/>
              <w:rPr>
                <w:rFonts w:cs="Calibri"/>
              </w:rPr>
            </w:pPr>
            <w:r w:rsidRPr="007D15C3">
              <w:rPr>
                <w:rFonts w:cs="Calibri"/>
              </w:rPr>
              <w:t>53065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10A9A5" w14:textId="77777777">
            <w:pPr>
              <w:jc w:val="center"/>
              <w:rPr>
                <w:rFonts w:cs="Calibri"/>
              </w:rPr>
            </w:pPr>
            <w:r w:rsidRPr="007D15C3">
              <w:rPr>
                <w:rFonts w:cs="Calibri"/>
              </w:rPr>
              <w:t>WPXT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4907D7" w14:textId="77777777">
            <w:pPr>
              <w:rPr>
                <w:rFonts w:cs="Calibri"/>
              </w:rPr>
            </w:pPr>
            <w:r w:rsidRPr="007D15C3">
              <w:rPr>
                <w:rFonts w:cs="Calibri"/>
              </w:rPr>
              <w:t xml:space="preserve">             760,491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BEA855" w14:textId="77777777">
            <w:pPr>
              <w:rPr>
                <w:rFonts w:cs="Calibri"/>
              </w:rPr>
            </w:pPr>
            <w:r w:rsidRPr="007D15C3">
              <w:rPr>
                <w:rFonts w:cs="Calibri"/>
              </w:rPr>
              <w:t xml:space="preserve">               735,051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4CADEE" w14:textId="77777777">
            <w:pPr>
              <w:jc w:val="right"/>
              <w:rPr>
                <w:rFonts w:cs="Calibri"/>
              </w:rPr>
            </w:pPr>
            <w:r w:rsidRPr="007D15C3">
              <w:rPr>
                <w:rFonts w:cs="Calibri"/>
              </w:rPr>
              <w:t>$5,761</w:t>
            </w:r>
          </w:p>
        </w:tc>
      </w:tr>
      <w:tr w14:paraId="12CB9A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4EBAE4" w14:textId="77777777">
            <w:pPr>
              <w:jc w:val="center"/>
              <w:rPr>
                <w:rFonts w:cs="Calibri"/>
              </w:rPr>
            </w:pPr>
            <w:r w:rsidRPr="007D15C3">
              <w:rPr>
                <w:rFonts w:cs="Calibri"/>
              </w:rPr>
              <w:t>37971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648222" w14:textId="77777777">
            <w:pPr>
              <w:jc w:val="center"/>
              <w:rPr>
                <w:rFonts w:cs="Calibri"/>
              </w:rPr>
            </w:pPr>
            <w:r w:rsidRPr="007D15C3">
              <w:rPr>
                <w:rFonts w:cs="Calibri"/>
              </w:rPr>
              <w:t>WPXU-TV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E1533B" w14:textId="77777777">
            <w:pPr>
              <w:rPr>
                <w:rFonts w:cs="Calibri"/>
              </w:rPr>
            </w:pPr>
            <w:r w:rsidRPr="007D15C3">
              <w:rPr>
                <w:rFonts w:cs="Calibri"/>
              </w:rPr>
              <w:t xml:space="preserve">             690,613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42C218" w14:textId="77777777">
            <w:pPr>
              <w:rPr>
                <w:rFonts w:cs="Calibri"/>
              </w:rPr>
            </w:pPr>
            <w:r w:rsidRPr="007D15C3">
              <w:rPr>
                <w:rFonts w:cs="Calibri"/>
              </w:rPr>
              <w:t xml:space="preserve">               690,613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1CED63" w14:textId="77777777">
            <w:pPr>
              <w:jc w:val="right"/>
              <w:rPr>
                <w:rFonts w:cs="Calibri"/>
              </w:rPr>
            </w:pPr>
            <w:r w:rsidRPr="007D15C3">
              <w:rPr>
                <w:rFonts w:cs="Calibri"/>
              </w:rPr>
              <w:t>$5,412</w:t>
            </w:r>
          </w:p>
        </w:tc>
      </w:tr>
      <w:tr w14:paraId="6008F81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E768F3" w14:textId="77777777">
            <w:pPr>
              <w:jc w:val="center"/>
              <w:rPr>
                <w:rFonts w:cs="Calibri"/>
              </w:rPr>
            </w:pPr>
            <w:r w:rsidRPr="007D15C3">
              <w:rPr>
                <w:rFonts w:cs="Calibri"/>
              </w:rPr>
              <w:t>67077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3B2049F" w14:textId="77777777">
            <w:pPr>
              <w:jc w:val="center"/>
              <w:rPr>
                <w:rFonts w:cs="Calibri"/>
              </w:rPr>
            </w:pPr>
            <w:r w:rsidRPr="007D15C3">
              <w:rPr>
                <w:rFonts w:cs="Calibri"/>
              </w:rPr>
              <w:t>WPXV-TV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683982" w14:textId="77777777">
            <w:pPr>
              <w:rPr>
                <w:rFonts w:cs="Calibri"/>
              </w:rPr>
            </w:pPr>
            <w:r w:rsidRPr="007D15C3">
              <w:rPr>
                <w:rFonts w:cs="Calibri"/>
              </w:rPr>
              <w:t xml:space="preserve">          1,905,128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72D983" w14:textId="77777777">
            <w:pPr>
              <w:rPr>
                <w:rFonts w:cs="Calibri"/>
              </w:rPr>
            </w:pPr>
            <w:r w:rsidRPr="007D15C3">
              <w:rPr>
                <w:rFonts w:cs="Calibri"/>
              </w:rPr>
              <w:t xml:space="preserve">            1,905,128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0F53A6" w14:textId="77777777">
            <w:pPr>
              <w:jc w:val="right"/>
              <w:rPr>
                <w:rFonts w:cs="Calibri"/>
              </w:rPr>
            </w:pPr>
            <w:r w:rsidRPr="007D15C3">
              <w:rPr>
                <w:rFonts w:cs="Calibri"/>
              </w:rPr>
              <w:t>$14,930</w:t>
            </w:r>
          </w:p>
        </w:tc>
      </w:tr>
      <w:tr w14:paraId="56A5C4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21B28A" w14:textId="77777777">
            <w:pPr>
              <w:jc w:val="center"/>
              <w:rPr>
                <w:rFonts w:cs="Calibri"/>
              </w:rPr>
            </w:pPr>
            <w:r w:rsidRPr="007D15C3">
              <w:rPr>
                <w:rFonts w:cs="Calibri"/>
              </w:rPr>
              <w:t>74091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CB3678" w14:textId="77777777">
            <w:pPr>
              <w:jc w:val="center"/>
              <w:rPr>
                <w:rFonts w:cs="Calibri"/>
              </w:rPr>
            </w:pPr>
            <w:r w:rsidRPr="007D15C3">
              <w:rPr>
                <w:rFonts w:cs="Calibri"/>
              </w:rPr>
              <w:t>WPXW-TV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F5675E" w14:textId="77777777">
            <w:pPr>
              <w:rPr>
                <w:rFonts w:cs="Calibri"/>
              </w:rPr>
            </w:pPr>
            <w:r w:rsidRPr="007D15C3">
              <w:rPr>
                <w:rFonts w:cs="Calibri"/>
              </w:rPr>
              <w:t xml:space="preserve">          8,091,469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8B6FD2" w14:textId="77777777">
            <w:pPr>
              <w:rPr>
                <w:rFonts w:cs="Calibri"/>
              </w:rPr>
            </w:pPr>
            <w:r w:rsidRPr="007D15C3">
              <w:rPr>
                <w:rFonts w:cs="Calibri"/>
              </w:rPr>
              <w:t xml:space="preserve">            8,044,165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4D89A1" w14:textId="77777777">
            <w:pPr>
              <w:jc w:val="right"/>
              <w:rPr>
                <w:rFonts w:cs="Calibri"/>
              </w:rPr>
            </w:pPr>
            <w:r w:rsidRPr="007D15C3">
              <w:rPr>
                <w:rFonts w:cs="Calibri"/>
              </w:rPr>
              <w:t>$63,042</w:t>
            </w:r>
          </w:p>
        </w:tc>
      </w:tr>
      <w:tr w14:paraId="694DE1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61C2E9" w14:textId="77777777">
            <w:pPr>
              <w:jc w:val="center"/>
              <w:rPr>
                <w:rFonts w:cs="Calibri"/>
              </w:rPr>
            </w:pPr>
            <w:r w:rsidRPr="007D15C3">
              <w:rPr>
                <w:rFonts w:cs="Calibri"/>
              </w:rPr>
              <w:t>21726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7F42D5" w14:textId="77777777">
            <w:pPr>
              <w:jc w:val="center"/>
              <w:rPr>
                <w:rFonts w:cs="Calibri"/>
              </w:rPr>
            </w:pPr>
            <w:r w:rsidRPr="007D15C3">
              <w:rPr>
                <w:rFonts w:cs="Calibri"/>
              </w:rPr>
              <w:t>WPXX-TV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33A537" w14:textId="77777777">
            <w:pPr>
              <w:rPr>
                <w:rFonts w:cs="Calibri"/>
              </w:rPr>
            </w:pPr>
            <w:r w:rsidRPr="007D15C3">
              <w:rPr>
                <w:rFonts w:cs="Calibri"/>
              </w:rPr>
              <w:t xml:space="preserve">          1,562,675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5625E5" w14:textId="77777777">
            <w:pPr>
              <w:rPr>
                <w:rFonts w:cs="Calibri"/>
              </w:rPr>
            </w:pPr>
            <w:r w:rsidRPr="007D15C3">
              <w:rPr>
                <w:rFonts w:cs="Calibri"/>
              </w:rPr>
              <w:t xml:space="preserve">            1,560,834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F87FDB" w14:textId="77777777">
            <w:pPr>
              <w:jc w:val="right"/>
              <w:rPr>
                <w:rFonts w:cs="Calibri"/>
              </w:rPr>
            </w:pPr>
            <w:r w:rsidRPr="007D15C3">
              <w:rPr>
                <w:rFonts w:cs="Calibri"/>
              </w:rPr>
              <w:t>$12,232</w:t>
            </w:r>
          </w:p>
        </w:tc>
      </w:tr>
      <w:tr w14:paraId="5C75770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C57043" w14:textId="77777777">
            <w:pPr>
              <w:jc w:val="center"/>
              <w:rPr>
                <w:rFonts w:cs="Calibri"/>
              </w:rPr>
            </w:pPr>
            <w:r w:rsidRPr="007D15C3">
              <w:rPr>
                <w:rFonts w:cs="Calibri"/>
              </w:rPr>
              <w:t>73319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70BB85" w14:textId="77777777">
            <w:pPr>
              <w:jc w:val="center"/>
              <w:rPr>
                <w:rFonts w:cs="Calibri"/>
              </w:rPr>
            </w:pPr>
            <w:r w:rsidRPr="007D15C3">
              <w:rPr>
                <w:rFonts w:cs="Calibri"/>
              </w:rPr>
              <w:t>WQAD-TV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D6967C" w14:textId="77777777">
            <w:pPr>
              <w:rPr>
                <w:rFonts w:cs="Calibri"/>
              </w:rPr>
            </w:pPr>
            <w:r w:rsidRPr="007D15C3">
              <w:rPr>
                <w:rFonts w:cs="Calibri"/>
              </w:rPr>
              <w:t xml:space="preserve">          1,079,594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580396" w14:textId="77777777">
            <w:pPr>
              <w:rPr>
                <w:rFonts w:cs="Calibri"/>
              </w:rPr>
            </w:pPr>
            <w:r w:rsidRPr="007D15C3">
              <w:rPr>
                <w:rFonts w:cs="Calibri"/>
              </w:rPr>
              <w:t xml:space="preserve">            1,066,743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E8AF4" w14:textId="77777777">
            <w:pPr>
              <w:jc w:val="right"/>
              <w:rPr>
                <w:rFonts w:cs="Calibri"/>
              </w:rPr>
            </w:pPr>
            <w:r w:rsidRPr="007D15C3">
              <w:rPr>
                <w:rFonts w:cs="Calibri"/>
              </w:rPr>
              <w:t>$8,360</w:t>
            </w:r>
          </w:p>
        </w:tc>
      </w:tr>
      <w:tr w14:paraId="342A041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650158" w14:textId="77777777">
            <w:pPr>
              <w:jc w:val="center"/>
              <w:rPr>
                <w:rFonts w:cs="Calibri"/>
              </w:rPr>
            </w:pPr>
            <w:r w:rsidRPr="007D15C3">
              <w:rPr>
                <w:rFonts w:cs="Calibri"/>
              </w:rPr>
              <w:t>65130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F15BB8" w14:textId="77777777">
            <w:pPr>
              <w:jc w:val="center"/>
              <w:rPr>
                <w:rFonts w:cs="Calibri"/>
              </w:rPr>
            </w:pPr>
            <w:r w:rsidRPr="007D15C3">
              <w:rPr>
                <w:rFonts w:cs="Calibri"/>
              </w:rPr>
              <w:t>WQCW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587803" w14:textId="77777777">
            <w:pPr>
              <w:rPr>
                <w:rFonts w:cs="Calibri"/>
              </w:rPr>
            </w:pPr>
            <w:r w:rsidRPr="007D15C3">
              <w:rPr>
                <w:rFonts w:cs="Calibri"/>
              </w:rPr>
              <w:t xml:space="preserve">          1,319,392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00E095" w14:textId="77777777">
            <w:pPr>
              <w:rPr>
                <w:rFonts w:cs="Calibri"/>
              </w:rPr>
            </w:pPr>
            <w:r w:rsidRPr="007D15C3">
              <w:rPr>
                <w:rFonts w:cs="Calibri"/>
              </w:rPr>
              <w:t xml:space="preserve">            1,249,533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B497A3" w14:textId="77777777">
            <w:pPr>
              <w:jc w:val="right"/>
              <w:rPr>
                <w:rFonts w:cs="Calibri"/>
              </w:rPr>
            </w:pPr>
            <w:r w:rsidRPr="007D15C3">
              <w:rPr>
                <w:rFonts w:cs="Calibri"/>
              </w:rPr>
              <w:t>$9,793</w:t>
            </w:r>
          </w:p>
        </w:tc>
      </w:tr>
      <w:tr w14:paraId="08757D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EB787D" w14:textId="77777777">
            <w:pPr>
              <w:jc w:val="center"/>
              <w:rPr>
                <w:rFonts w:cs="Calibri"/>
              </w:rPr>
            </w:pPr>
            <w:r w:rsidRPr="007D15C3">
              <w:rPr>
                <w:rFonts w:cs="Calibri"/>
              </w:rPr>
              <w:t>71561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7A2B9A" w14:textId="77777777">
            <w:pPr>
              <w:jc w:val="center"/>
              <w:rPr>
                <w:rFonts w:cs="Calibri"/>
              </w:rPr>
            </w:pPr>
            <w:r w:rsidRPr="007D15C3">
              <w:rPr>
                <w:rFonts w:cs="Calibri"/>
              </w:rPr>
              <w:t>WQEC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E784C4" w14:textId="77777777">
            <w:pPr>
              <w:rPr>
                <w:rFonts w:cs="Calibri"/>
              </w:rPr>
            </w:pPr>
            <w:r w:rsidRPr="007D15C3">
              <w:rPr>
                <w:rFonts w:cs="Calibri"/>
              </w:rPr>
              <w:t xml:space="preserve">             183,969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DD3A87" w14:textId="77777777">
            <w:pPr>
              <w:rPr>
                <w:rFonts w:cs="Calibri"/>
              </w:rPr>
            </w:pPr>
            <w:r w:rsidRPr="007D15C3">
              <w:rPr>
                <w:rFonts w:cs="Calibri"/>
              </w:rPr>
              <w:t xml:space="preserve">               183,690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1B3964" w14:textId="77777777">
            <w:pPr>
              <w:jc w:val="right"/>
              <w:rPr>
                <w:rFonts w:cs="Calibri"/>
              </w:rPr>
            </w:pPr>
            <w:r w:rsidRPr="007D15C3">
              <w:rPr>
                <w:rFonts w:cs="Calibri"/>
              </w:rPr>
              <w:t>$1,440</w:t>
            </w:r>
          </w:p>
        </w:tc>
      </w:tr>
      <w:tr w14:paraId="7D49F3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E691951" w14:textId="77777777">
            <w:pPr>
              <w:jc w:val="center"/>
              <w:rPr>
                <w:rFonts w:cs="Calibri"/>
              </w:rPr>
            </w:pPr>
            <w:r w:rsidRPr="007D15C3">
              <w:rPr>
                <w:rFonts w:cs="Calibri"/>
              </w:rPr>
              <w:t>41315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FCF019" w14:textId="77777777">
            <w:pPr>
              <w:jc w:val="center"/>
              <w:rPr>
                <w:rFonts w:cs="Calibri"/>
              </w:rPr>
            </w:pPr>
            <w:r w:rsidRPr="007D15C3">
              <w:rPr>
                <w:rFonts w:cs="Calibri"/>
              </w:rPr>
              <w:t>WQED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93C759" w14:textId="77777777">
            <w:pPr>
              <w:rPr>
                <w:rFonts w:cs="Calibri"/>
              </w:rPr>
            </w:pPr>
            <w:r w:rsidRPr="007D15C3">
              <w:rPr>
                <w:rFonts w:cs="Calibri"/>
              </w:rPr>
              <w:t xml:space="preserve">          3,529,305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537A1F" w14:textId="77777777">
            <w:pPr>
              <w:rPr>
                <w:rFonts w:cs="Calibri"/>
              </w:rPr>
            </w:pPr>
            <w:r w:rsidRPr="007D15C3">
              <w:rPr>
                <w:rFonts w:cs="Calibri"/>
              </w:rPr>
              <w:t xml:space="preserve">            3,426,684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80DA78" w14:textId="77777777">
            <w:pPr>
              <w:jc w:val="right"/>
              <w:rPr>
                <w:rFonts w:cs="Calibri"/>
              </w:rPr>
            </w:pPr>
            <w:r w:rsidRPr="007D15C3">
              <w:rPr>
                <w:rFonts w:cs="Calibri"/>
              </w:rPr>
              <w:t>$26,855</w:t>
            </w:r>
          </w:p>
        </w:tc>
      </w:tr>
      <w:tr w14:paraId="6AF178A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20A0A0" w14:textId="77777777">
            <w:pPr>
              <w:jc w:val="center"/>
              <w:rPr>
                <w:rFonts w:cs="Calibri"/>
              </w:rPr>
            </w:pPr>
            <w:r w:rsidRPr="007D15C3">
              <w:rPr>
                <w:rFonts w:cs="Calibri"/>
              </w:rPr>
              <w:t>3255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3BECA9B" w14:textId="77777777">
            <w:pPr>
              <w:jc w:val="center"/>
              <w:rPr>
                <w:rFonts w:cs="Calibri"/>
              </w:rPr>
            </w:pPr>
            <w:r w:rsidRPr="007D15C3">
              <w:rPr>
                <w:rFonts w:cs="Calibri"/>
              </w:rPr>
              <w:t>WQHA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6F63CB" w14:textId="77777777">
            <w:pPr>
              <w:rPr>
                <w:rFonts w:cs="Calibri"/>
              </w:rPr>
            </w:pPr>
            <w:r w:rsidRPr="007D15C3">
              <w:rPr>
                <w:rFonts w:cs="Calibri"/>
              </w:rPr>
              <w:t xml:space="preserve">          1,052,107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542129" w14:textId="77777777">
            <w:pPr>
              <w:rPr>
                <w:rFonts w:cs="Calibri"/>
              </w:rPr>
            </w:pPr>
            <w:r w:rsidRPr="007D15C3">
              <w:rPr>
                <w:rFonts w:cs="Calibri"/>
              </w:rPr>
              <w:t xml:space="preserve">               879,558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89077F" w14:textId="77777777">
            <w:pPr>
              <w:jc w:val="right"/>
              <w:rPr>
                <w:rFonts w:cs="Calibri"/>
              </w:rPr>
            </w:pPr>
            <w:r w:rsidRPr="007D15C3">
              <w:rPr>
                <w:rFonts w:cs="Calibri"/>
              </w:rPr>
              <w:t>$5,728</w:t>
            </w:r>
          </w:p>
        </w:tc>
      </w:tr>
      <w:tr w14:paraId="480CD2D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AEF064" w14:textId="77777777">
            <w:pPr>
              <w:jc w:val="center"/>
              <w:rPr>
                <w:rFonts w:cs="Calibri"/>
              </w:rPr>
            </w:pPr>
            <w:r w:rsidRPr="007D15C3">
              <w:rPr>
                <w:rFonts w:cs="Calibri"/>
              </w:rPr>
              <w:t>60556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E49160D" w14:textId="77777777">
            <w:pPr>
              <w:jc w:val="center"/>
              <w:rPr>
                <w:rFonts w:cs="Calibri"/>
              </w:rPr>
            </w:pPr>
            <w:r w:rsidRPr="007D15C3">
              <w:rPr>
                <w:rFonts w:cs="Calibri"/>
              </w:rPr>
              <w:t>WQHS-DT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DFD5E1" w14:textId="77777777">
            <w:pPr>
              <w:rPr>
                <w:rFonts w:cs="Calibri"/>
              </w:rPr>
            </w:pPr>
            <w:r w:rsidRPr="007D15C3">
              <w:rPr>
                <w:rFonts w:cs="Calibri"/>
              </w:rPr>
              <w:t xml:space="preserve">          3,996,567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1CD49C" w14:textId="77777777">
            <w:pPr>
              <w:rPr>
                <w:rFonts w:cs="Calibri"/>
              </w:rPr>
            </w:pPr>
            <w:r w:rsidRPr="007D15C3">
              <w:rPr>
                <w:rFonts w:cs="Calibri"/>
              </w:rPr>
              <w:t xml:space="preserve">            3,952,672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151D2B" w14:textId="77777777">
            <w:pPr>
              <w:jc w:val="right"/>
              <w:rPr>
                <w:rFonts w:cs="Calibri"/>
              </w:rPr>
            </w:pPr>
            <w:r w:rsidRPr="007D15C3">
              <w:rPr>
                <w:rFonts w:cs="Calibri"/>
              </w:rPr>
              <w:t>$30,977</w:t>
            </w:r>
          </w:p>
        </w:tc>
      </w:tr>
      <w:tr w14:paraId="773924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004763" w14:textId="77777777">
            <w:pPr>
              <w:jc w:val="center"/>
              <w:rPr>
                <w:rFonts w:cs="Calibri"/>
              </w:rPr>
            </w:pPr>
            <w:r w:rsidRPr="007D15C3">
              <w:rPr>
                <w:rFonts w:cs="Calibri"/>
              </w:rPr>
              <w:t>53716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BF61EE" w14:textId="77777777">
            <w:pPr>
              <w:jc w:val="center"/>
              <w:rPr>
                <w:rFonts w:cs="Calibri"/>
              </w:rPr>
            </w:pPr>
            <w:r w:rsidRPr="007D15C3">
              <w:rPr>
                <w:rFonts w:cs="Calibri"/>
              </w:rPr>
              <w:t>WQLN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1CAD72" w14:textId="77777777">
            <w:pPr>
              <w:rPr>
                <w:rFonts w:cs="Calibri"/>
              </w:rPr>
            </w:pPr>
            <w:r w:rsidRPr="007D15C3">
              <w:rPr>
                <w:rFonts w:cs="Calibri"/>
              </w:rPr>
              <w:t xml:space="preserve">             602,212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36BAEA" w14:textId="77777777">
            <w:pPr>
              <w:rPr>
                <w:rFonts w:cs="Calibri"/>
              </w:rPr>
            </w:pPr>
            <w:r w:rsidRPr="007D15C3">
              <w:rPr>
                <w:rFonts w:cs="Calibri"/>
              </w:rPr>
              <w:t xml:space="preserve">               571,790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AD8E4F" w14:textId="77777777">
            <w:pPr>
              <w:jc w:val="right"/>
              <w:rPr>
                <w:rFonts w:cs="Calibri"/>
              </w:rPr>
            </w:pPr>
            <w:r w:rsidRPr="007D15C3">
              <w:rPr>
                <w:rFonts w:cs="Calibri"/>
              </w:rPr>
              <w:t>$4,481</w:t>
            </w:r>
          </w:p>
        </w:tc>
      </w:tr>
      <w:tr w14:paraId="47B8740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3528C6" w14:textId="77777777">
            <w:pPr>
              <w:jc w:val="center"/>
              <w:rPr>
                <w:rFonts w:cs="Calibri"/>
              </w:rPr>
            </w:pPr>
            <w:r w:rsidRPr="007D15C3">
              <w:rPr>
                <w:rFonts w:cs="Calibri"/>
              </w:rPr>
              <w:t>52075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6A333C" w14:textId="77777777">
            <w:pPr>
              <w:jc w:val="center"/>
              <w:rPr>
                <w:rFonts w:cs="Calibri"/>
              </w:rPr>
            </w:pPr>
            <w:r w:rsidRPr="007D15C3">
              <w:rPr>
                <w:rFonts w:cs="Calibri"/>
              </w:rPr>
              <w:t>WQMY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3C4F94" w14:textId="77777777">
            <w:pPr>
              <w:rPr>
                <w:rFonts w:cs="Calibri"/>
              </w:rPr>
            </w:pPr>
            <w:r w:rsidRPr="007D15C3">
              <w:rPr>
                <w:rFonts w:cs="Calibri"/>
              </w:rPr>
              <w:t xml:space="preserve">             410,269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C59EE2" w14:textId="77777777">
            <w:pPr>
              <w:rPr>
                <w:rFonts w:cs="Calibri"/>
              </w:rPr>
            </w:pPr>
            <w:r w:rsidRPr="007D15C3">
              <w:rPr>
                <w:rFonts w:cs="Calibri"/>
              </w:rPr>
              <w:t xml:space="preserve">               254,586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6D0DD4" w14:textId="77777777">
            <w:pPr>
              <w:jc w:val="right"/>
              <w:rPr>
                <w:rFonts w:cs="Calibri"/>
              </w:rPr>
            </w:pPr>
            <w:r w:rsidRPr="007D15C3">
              <w:rPr>
                <w:rFonts w:cs="Calibri"/>
              </w:rPr>
              <w:t>$1,995</w:t>
            </w:r>
          </w:p>
        </w:tc>
      </w:tr>
      <w:tr w14:paraId="6376C6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480D9C" w14:textId="77777777">
            <w:pPr>
              <w:jc w:val="center"/>
              <w:rPr>
                <w:rFonts w:cs="Calibri"/>
              </w:rPr>
            </w:pPr>
            <w:r w:rsidRPr="007D15C3">
              <w:rPr>
                <w:rFonts w:cs="Calibri"/>
              </w:rPr>
              <w:t>64550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3EBDB7" w14:textId="77777777">
            <w:pPr>
              <w:jc w:val="center"/>
              <w:rPr>
                <w:rFonts w:cs="Calibri"/>
              </w:rPr>
            </w:pPr>
            <w:r w:rsidRPr="007D15C3">
              <w:rPr>
                <w:rFonts w:cs="Calibri"/>
              </w:rPr>
              <w:t>WQOW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00D71E" w14:textId="77777777">
            <w:pPr>
              <w:rPr>
                <w:rFonts w:cs="Calibri"/>
              </w:rPr>
            </w:pPr>
            <w:r w:rsidRPr="007D15C3">
              <w:rPr>
                <w:rFonts w:cs="Calibri"/>
              </w:rPr>
              <w:t xml:space="preserve">             369,066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49783D" w14:textId="77777777">
            <w:pPr>
              <w:rPr>
                <w:rFonts w:cs="Calibri"/>
              </w:rPr>
            </w:pPr>
            <w:r w:rsidRPr="007D15C3">
              <w:rPr>
                <w:rFonts w:cs="Calibri"/>
              </w:rPr>
              <w:t xml:space="preserve">               358,576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966392" w14:textId="77777777">
            <w:pPr>
              <w:jc w:val="right"/>
              <w:rPr>
                <w:rFonts w:cs="Calibri"/>
              </w:rPr>
            </w:pPr>
            <w:r w:rsidRPr="007D15C3">
              <w:rPr>
                <w:rFonts w:cs="Calibri"/>
              </w:rPr>
              <w:t>$2,810</w:t>
            </w:r>
          </w:p>
        </w:tc>
      </w:tr>
      <w:tr w14:paraId="0DEBB5F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EB1F275" w14:textId="77777777">
            <w:pPr>
              <w:jc w:val="center"/>
              <w:rPr>
                <w:rFonts w:cs="Calibri"/>
              </w:rPr>
            </w:pPr>
            <w:r w:rsidRPr="007D15C3">
              <w:rPr>
                <w:rFonts w:cs="Calibri"/>
              </w:rPr>
              <w:t>5468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AF5123" w14:textId="77777777">
            <w:pPr>
              <w:jc w:val="center"/>
              <w:rPr>
                <w:rFonts w:cs="Calibri"/>
              </w:rPr>
            </w:pPr>
            <w:r w:rsidRPr="007D15C3">
              <w:rPr>
                <w:rFonts w:cs="Calibri"/>
              </w:rPr>
              <w:t>WQPT-TV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C8955D" w14:textId="77777777">
            <w:pPr>
              <w:rPr>
                <w:rFonts w:cs="Calibri"/>
              </w:rPr>
            </w:pPr>
            <w:r w:rsidRPr="007D15C3">
              <w:rPr>
                <w:rFonts w:cs="Calibri"/>
              </w:rPr>
              <w:t xml:space="preserve">             595,685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16EF20" w14:textId="77777777">
            <w:pPr>
              <w:rPr>
                <w:rFonts w:cs="Calibri"/>
              </w:rPr>
            </w:pPr>
            <w:r w:rsidRPr="007D15C3">
              <w:rPr>
                <w:rFonts w:cs="Calibri"/>
              </w:rPr>
              <w:t xml:space="preserve">               595,437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E0460A" w14:textId="77777777">
            <w:pPr>
              <w:jc w:val="right"/>
              <w:rPr>
                <w:rFonts w:cs="Calibri"/>
              </w:rPr>
            </w:pPr>
            <w:r w:rsidRPr="007D15C3">
              <w:rPr>
                <w:rFonts w:cs="Calibri"/>
              </w:rPr>
              <w:t>$4,666</w:t>
            </w:r>
          </w:p>
        </w:tc>
      </w:tr>
      <w:tr w14:paraId="26D12EE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AF9CE5" w14:textId="77777777">
            <w:pPr>
              <w:jc w:val="center"/>
              <w:rPr>
                <w:rFonts w:cs="Calibri"/>
              </w:rPr>
            </w:pPr>
            <w:r w:rsidRPr="007D15C3">
              <w:rPr>
                <w:rFonts w:cs="Calibri"/>
              </w:rPr>
              <w:t>64690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22B577" w14:textId="77777777">
            <w:pPr>
              <w:jc w:val="center"/>
              <w:rPr>
                <w:rFonts w:cs="Calibri"/>
              </w:rPr>
            </w:pPr>
            <w:r w:rsidRPr="007D15C3">
              <w:rPr>
                <w:rFonts w:cs="Calibri"/>
              </w:rPr>
              <w:t>WQPX-TV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985984" w14:textId="77777777">
            <w:pPr>
              <w:rPr>
                <w:rFonts w:cs="Calibri"/>
              </w:rPr>
            </w:pPr>
            <w:r w:rsidRPr="007D15C3">
              <w:rPr>
                <w:rFonts w:cs="Calibri"/>
              </w:rPr>
              <w:t xml:space="preserve">          1,644,283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AEFB23" w14:textId="77777777">
            <w:pPr>
              <w:rPr>
                <w:rFonts w:cs="Calibri"/>
              </w:rPr>
            </w:pPr>
            <w:r w:rsidRPr="007D15C3">
              <w:rPr>
                <w:rFonts w:cs="Calibri"/>
              </w:rPr>
              <w:t xml:space="preserve">            1,212,587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E553EC" w14:textId="77777777">
            <w:pPr>
              <w:jc w:val="right"/>
              <w:rPr>
                <w:rFonts w:cs="Calibri"/>
              </w:rPr>
            </w:pPr>
            <w:r w:rsidRPr="007D15C3">
              <w:rPr>
                <w:rFonts w:cs="Calibri"/>
              </w:rPr>
              <w:t>$9,503</w:t>
            </w:r>
          </w:p>
        </w:tc>
      </w:tr>
      <w:tr w14:paraId="11EE52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01D153" w14:textId="77777777">
            <w:pPr>
              <w:jc w:val="center"/>
              <w:rPr>
                <w:rFonts w:cs="Calibri"/>
              </w:rPr>
            </w:pPr>
            <w:r w:rsidRPr="007D15C3">
              <w:rPr>
                <w:rFonts w:cs="Calibri"/>
              </w:rPr>
              <w:t>52408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AC842D4" w14:textId="77777777">
            <w:pPr>
              <w:jc w:val="center"/>
              <w:rPr>
                <w:rFonts w:cs="Calibri"/>
              </w:rPr>
            </w:pPr>
            <w:r w:rsidRPr="007D15C3">
              <w:rPr>
                <w:rFonts w:cs="Calibri"/>
              </w:rPr>
              <w:t>WQRF-TV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B8AB83" w14:textId="77777777">
            <w:pPr>
              <w:rPr>
                <w:rFonts w:cs="Calibri"/>
              </w:rPr>
            </w:pPr>
            <w:r w:rsidRPr="007D15C3">
              <w:rPr>
                <w:rFonts w:cs="Calibri"/>
              </w:rPr>
              <w:t xml:space="preserve">          1,326,695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989B06" w14:textId="77777777">
            <w:pPr>
              <w:rPr>
                <w:rFonts w:cs="Calibri"/>
              </w:rPr>
            </w:pPr>
            <w:r w:rsidRPr="007D15C3">
              <w:rPr>
                <w:rFonts w:cs="Calibri"/>
              </w:rPr>
              <w:t xml:space="preserve">            1,305,762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803E99" w14:textId="77777777">
            <w:pPr>
              <w:jc w:val="right"/>
              <w:rPr>
                <w:rFonts w:cs="Calibri"/>
              </w:rPr>
            </w:pPr>
            <w:r w:rsidRPr="007D15C3">
              <w:rPr>
                <w:rFonts w:cs="Calibri"/>
              </w:rPr>
              <w:t>$10,233</w:t>
            </w:r>
          </w:p>
        </w:tc>
      </w:tr>
      <w:tr w14:paraId="08EBB29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E0711C" w14:textId="77777777">
            <w:pPr>
              <w:jc w:val="center"/>
              <w:rPr>
                <w:rFonts w:cs="Calibri"/>
              </w:rPr>
            </w:pPr>
            <w:r w:rsidRPr="007D15C3">
              <w:rPr>
                <w:rFonts w:cs="Calibri"/>
              </w:rPr>
              <w:t>2175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360333D" w14:textId="77777777">
            <w:pPr>
              <w:jc w:val="center"/>
              <w:rPr>
                <w:rFonts w:cs="Calibri"/>
              </w:rPr>
            </w:pPr>
            <w:r w:rsidRPr="007D15C3">
              <w:rPr>
                <w:rFonts w:cs="Calibri"/>
              </w:rPr>
              <w:t>WQTO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9A6C93" w14:textId="77777777">
            <w:pPr>
              <w:rPr>
                <w:rFonts w:cs="Calibri"/>
              </w:rPr>
            </w:pPr>
            <w:r w:rsidRPr="007D15C3">
              <w:rPr>
                <w:rFonts w:cs="Calibri"/>
              </w:rPr>
              <w:t xml:space="preserve">          2,864,201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440CD4" w14:textId="77777777">
            <w:pPr>
              <w:rPr>
                <w:rFonts w:cs="Calibri"/>
              </w:rPr>
            </w:pPr>
            <w:r w:rsidRPr="007D15C3">
              <w:rPr>
                <w:rFonts w:cs="Calibri"/>
              </w:rPr>
              <w:t xml:space="preserve">            1,923,424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AD2185" w14:textId="77777777">
            <w:pPr>
              <w:jc w:val="right"/>
              <w:rPr>
                <w:rFonts w:cs="Calibri"/>
              </w:rPr>
            </w:pPr>
            <w:r w:rsidRPr="007D15C3">
              <w:rPr>
                <w:rFonts w:cs="Calibri"/>
              </w:rPr>
              <w:t>$12,526</w:t>
            </w:r>
          </w:p>
        </w:tc>
      </w:tr>
      <w:tr w14:paraId="2CB7A2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2E8146" w14:textId="77777777">
            <w:pPr>
              <w:jc w:val="center"/>
              <w:rPr>
                <w:rFonts w:cs="Calibri"/>
              </w:rPr>
            </w:pPr>
            <w:r w:rsidRPr="007D15C3">
              <w:rPr>
                <w:rFonts w:cs="Calibri"/>
              </w:rPr>
              <w:t>8688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224C65" w14:textId="77777777">
            <w:pPr>
              <w:jc w:val="center"/>
              <w:rPr>
                <w:rFonts w:cs="Calibri"/>
              </w:rPr>
            </w:pPr>
            <w:r w:rsidRPr="007D15C3">
              <w:rPr>
                <w:rFonts w:cs="Calibri"/>
              </w:rPr>
              <w:t>WRAL-TV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D9A318" w14:textId="77777777">
            <w:pPr>
              <w:rPr>
                <w:rFonts w:cs="Calibri"/>
              </w:rPr>
            </w:pPr>
            <w:r w:rsidRPr="007D15C3">
              <w:rPr>
                <w:rFonts w:cs="Calibri"/>
              </w:rPr>
              <w:t xml:space="preserve">          3,643,511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52B8D8" w14:textId="77777777">
            <w:pPr>
              <w:rPr>
                <w:rFonts w:cs="Calibri"/>
              </w:rPr>
            </w:pPr>
            <w:r w:rsidRPr="007D15C3">
              <w:rPr>
                <w:rFonts w:cs="Calibri"/>
              </w:rPr>
              <w:t xml:space="preserve">            3,639,448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8A0A3D" w14:textId="77777777">
            <w:pPr>
              <w:jc w:val="right"/>
              <w:rPr>
                <w:rFonts w:cs="Calibri"/>
              </w:rPr>
            </w:pPr>
            <w:r w:rsidRPr="007D15C3">
              <w:rPr>
                <w:rFonts w:cs="Calibri"/>
              </w:rPr>
              <w:t>$28,522</w:t>
            </w:r>
          </w:p>
        </w:tc>
      </w:tr>
      <w:tr w14:paraId="20D62E1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EF2CC3" w14:textId="77777777">
            <w:pPr>
              <w:jc w:val="center"/>
              <w:rPr>
                <w:rFonts w:cs="Calibri"/>
              </w:rPr>
            </w:pPr>
            <w:r w:rsidRPr="007D15C3">
              <w:rPr>
                <w:rFonts w:cs="Calibri"/>
              </w:rPr>
              <w:t>10133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94E4B8" w14:textId="77777777">
            <w:pPr>
              <w:jc w:val="center"/>
              <w:rPr>
                <w:rFonts w:cs="Calibri"/>
              </w:rPr>
            </w:pPr>
            <w:r w:rsidRPr="007D15C3">
              <w:rPr>
                <w:rFonts w:cs="Calibri"/>
              </w:rPr>
              <w:t>WRAY-TV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17434F" w14:textId="77777777">
            <w:pPr>
              <w:rPr>
                <w:rFonts w:cs="Calibri"/>
              </w:rPr>
            </w:pPr>
            <w:r w:rsidRPr="007D15C3">
              <w:rPr>
                <w:rFonts w:cs="Calibri"/>
              </w:rPr>
              <w:t xml:space="preserve">          4,021,948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7DE6B7" w14:textId="77777777">
            <w:pPr>
              <w:rPr>
                <w:rFonts w:cs="Calibri"/>
              </w:rPr>
            </w:pPr>
            <w:r w:rsidRPr="007D15C3">
              <w:rPr>
                <w:rFonts w:cs="Calibri"/>
              </w:rPr>
              <w:t xml:space="preserve">            4,004,902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090374" w14:textId="77777777">
            <w:pPr>
              <w:jc w:val="right"/>
              <w:rPr>
                <w:rFonts w:cs="Calibri"/>
              </w:rPr>
            </w:pPr>
            <w:r w:rsidRPr="007D15C3">
              <w:rPr>
                <w:rFonts w:cs="Calibri"/>
              </w:rPr>
              <w:t>$31,386</w:t>
            </w:r>
          </w:p>
        </w:tc>
      </w:tr>
      <w:tr w14:paraId="18B2C6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B3F87C" w14:textId="77777777">
            <w:pPr>
              <w:jc w:val="center"/>
              <w:rPr>
                <w:rFonts w:cs="Calibri"/>
              </w:rPr>
            </w:pPr>
            <w:r w:rsidRPr="007D15C3">
              <w:rPr>
                <w:rFonts w:cs="Calibri"/>
              </w:rPr>
              <w:t>64611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5080BE" w14:textId="77777777">
            <w:pPr>
              <w:jc w:val="center"/>
              <w:rPr>
                <w:rFonts w:cs="Calibri"/>
              </w:rPr>
            </w:pPr>
            <w:r w:rsidRPr="007D15C3">
              <w:rPr>
                <w:rFonts w:cs="Calibri"/>
              </w:rPr>
              <w:t>WRAZ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67CEBE" w14:textId="77777777">
            <w:pPr>
              <w:rPr>
                <w:rFonts w:cs="Calibri"/>
              </w:rPr>
            </w:pPr>
            <w:r w:rsidRPr="007D15C3">
              <w:rPr>
                <w:rFonts w:cs="Calibri"/>
              </w:rPr>
              <w:t xml:space="preserve">          3,605,228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732112" w14:textId="77777777">
            <w:pPr>
              <w:rPr>
                <w:rFonts w:cs="Calibri"/>
              </w:rPr>
            </w:pPr>
            <w:r w:rsidRPr="007D15C3">
              <w:rPr>
                <w:rFonts w:cs="Calibri"/>
              </w:rPr>
              <w:t xml:space="preserve">            3,601,029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C88569" w14:textId="77777777">
            <w:pPr>
              <w:jc w:val="right"/>
              <w:rPr>
                <w:rFonts w:cs="Calibri"/>
              </w:rPr>
            </w:pPr>
            <w:r w:rsidRPr="007D15C3">
              <w:rPr>
                <w:rFonts w:cs="Calibri"/>
              </w:rPr>
              <w:t>$28,221</w:t>
            </w:r>
          </w:p>
        </w:tc>
      </w:tr>
      <w:tr w14:paraId="050994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D801AD5" w14:textId="77777777">
            <w:pPr>
              <w:jc w:val="center"/>
              <w:rPr>
                <w:rFonts w:cs="Calibri"/>
              </w:rPr>
            </w:pPr>
            <w:r w:rsidRPr="007D15C3">
              <w:rPr>
                <w:rFonts w:cs="Calibri"/>
              </w:rPr>
              <w:t>136749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9217BF" w14:textId="77777777">
            <w:pPr>
              <w:jc w:val="center"/>
              <w:rPr>
                <w:rFonts w:cs="Calibri"/>
              </w:rPr>
            </w:pPr>
            <w:r w:rsidRPr="007D15C3">
              <w:rPr>
                <w:rFonts w:cs="Calibri"/>
              </w:rPr>
              <w:t>WRBJ-TV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A5E755" w14:textId="77777777">
            <w:pPr>
              <w:rPr>
                <w:rFonts w:cs="Calibri"/>
              </w:rPr>
            </w:pPr>
            <w:r w:rsidRPr="007D15C3">
              <w:rPr>
                <w:rFonts w:cs="Calibri"/>
              </w:rPr>
              <w:t xml:space="preserve">          1,030,831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A885C4" w14:textId="77777777">
            <w:pPr>
              <w:rPr>
                <w:rFonts w:cs="Calibri"/>
              </w:rPr>
            </w:pPr>
            <w:r w:rsidRPr="007D15C3">
              <w:rPr>
                <w:rFonts w:cs="Calibri"/>
              </w:rPr>
              <w:t xml:space="preserve">            1,028,010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207A87" w14:textId="77777777">
            <w:pPr>
              <w:jc w:val="right"/>
              <w:rPr>
                <w:rFonts w:cs="Calibri"/>
              </w:rPr>
            </w:pPr>
            <w:r w:rsidRPr="007D15C3">
              <w:rPr>
                <w:rFonts w:cs="Calibri"/>
              </w:rPr>
              <w:t>$8,057</w:t>
            </w:r>
          </w:p>
        </w:tc>
      </w:tr>
      <w:tr w14:paraId="726E552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906F38" w14:textId="77777777">
            <w:pPr>
              <w:jc w:val="center"/>
              <w:rPr>
                <w:rFonts w:cs="Calibri"/>
              </w:rPr>
            </w:pPr>
            <w:r w:rsidRPr="007D15C3">
              <w:rPr>
                <w:rFonts w:cs="Calibri"/>
              </w:rPr>
              <w:t>3359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078BB6" w14:textId="77777777">
            <w:pPr>
              <w:jc w:val="center"/>
              <w:rPr>
                <w:rFonts w:cs="Calibri"/>
              </w:rPr>
            </w:pPr>
            <w:r w:rsidRPr="007D15C3">
              <w:rPr>
                <w:rFonts w:cs="Calibri"/>
              </w:rPr>
              <w:t>WRBL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87B32F" w14:textId="77777777">
            <w:pPr>
              <w:rPr>
                <w:rFonts w:cs="Calibri"/>
              </w:rPr>
            </w:pPr>
            <w:r w:rsidRPr="007D15C3">
              <w:rPr>
                <w:rFonts w:cs="Calibri"/>
              </w:rPr>
              <w:t xml:space="preserve">          1,493,140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F20BC2" w14:textId="77777777">
            <w:pPr>
              <w:rPr>
                <w:rFonts w:cs="Calibri"/>
              </w:rPr>
            </w:pPr>
            <w:r w:rsidRPr="007D15C3">
              <w:rPr>
                <w:rFonts w:cs="Calibri"/>
              </w:rPr>
              <w:t xml:space="preserve">            1,461,459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B9EAB8" w14:textId="77777777">
            <w:pPr>
              <w:jc w:val="right"/>
              <w:rPr>
                <w:rFonts w:cs="Calibri"/>
              </w:rPr>
            </w:pPr>
            <w:r w:rsidRPr="007D15C3">
              <w:rPr>
                <w:rFonts w:cs="Calibri"/>
              </w:rPr>
              <w:t>$11,453</w:t>
            </w:r>
          </w:p>
        </w:tc>
      </w:tr>
      <w:tr w14:paraId="1B71EA09"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C4CD59" w14:textId="77777777">
            <w:pPr>
              <w:jc w:val="center"/>
              <w:rPr>
                <w:rFonts w:cs="Calibri"/>
              </w:rPr>
            </w:pPr>
            <w:r w:rsidRPr="007D15C3">
              <w:rPr>
                <w:rFonts w:cs="Calibri"/>
              </w:rPr>
              <w:t>57221</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52069AA2" w14:textId="77777777">
            <w:pPr>
              <w:jc w:val="center"/>
              <w:rPr>
                <w:rFonts w:cs="Calibri"/>
              </w:rPr>
            </w:pPr>
            <w:r w:rsidRPr="007D15C3">
              <w:rPr>
                <w:rFonts w:cs="Calibri"/>
              </w:rPr>
              <w:t>WRBU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26727BE" w14:textId="77777777">
            <w:pPr>
              <w:rPr>
                <w:rFonts w:cs="Calibri"/>
              </w:rPr>
            </w:pPr>
            <w:r w:rsidRPr="007D15C3">
              <w:rPr>
                <w:rFonts w:cs="Calibri"/>
              </w:rPr>
              <w:t xml:space="preserve">          2,737,188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A6C9DA2" w14:textId="77777777">
            <w:pPr>
              <w:rPr>
                <w:rFonts w:cs="Calibri"/>
              </w:rPr>
            </w:pPr>
            <w:r w:rsidRPr="007D15C3">
              <w:rPr>
                <w:rFonts w:cs="Calibri"/>
              </w:rPr>
              <w:t xml:space="preserve">            2,734,806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3E82220" w14:textId="77777777">
            <w:pPr>
              <w:jc w:val="right"/>
              <w:rPr>
                <w:rFonts w:cs="Calibri"/>
              </w:rPr>
            </w:pPr>
            <w:r w:rsidRPr="007D15C3">
              <w:rPr>
                <w:rFonts w:cs="Calibri"/>
              </w:rPr>
              <w:t>$21,433</w:t>
            </w:r>
          </w:p>
        </w:tc>
      </w:tr>
      <w:tr w14:paraId="08764EE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2C2EE3" w14:textId="77777777">
            <w:pPr>
              <w:jc w:val="center"/>
              <w:rPr>
                <w:rFonts w:cs="Calibri"/>
              </w:rPr>
            </w:pPr>
            <w:r w:rsidRPr="007D15C3">
              <w:rPr>
                <w:rFonts w:cs="Calibri"/>
              </w:rPr>
              <w:t>54940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0FAF94" w14:textId="77777777">
            <w:pPr>
              <w:jc w:val="center"/>
              <w:rPr>
                <w:rFonts w:cs="Calibri"/>
              </w:rPr>
            </w:pPr>
            <w:r w:rsidRPr="007D15C3">
              <w:rPr>
                <w:rFonts w:cs="Calibri"/>
              </w:rPr>
              <w:t>WRBW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CF9702" w14:textId="77777777">
            <w:pPr>
              <w:rPr>
                <w:rFonts w:cs="Calibri"/>
              </w:rPr>
            </w:pPr>
            <w:r w:rsidRPr="007D15C3">
              <w:rPr>
                <w:rFonts w:cs="Calibri"/>
              </w:rPr>
              <w:t xml:space="preserve">          4,025,123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E10430" w14:textId="77777777">
            <w:pPr>
              <w:rPr>
                <w:rFonts w:cs="Calibri"/>
              </w:rPr>
            </w:pPr>
            <w:r w:rsidRPr="007D15C3">
              <w:rPr>
                <w:rFonts w:cs="Calibri"/>
              </w:rPr>
              <w:t xml:space="preserve">            4,023,804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6A84D2" w14:textId="77777777">
            <w:pPr>
              <w:jc w:val="right"/>
              <w:rPr>
                <w:rFonts w:cs="Calibri"/>
              </w:rPr>
            </w:pPr>
            <w:r w:rsidRPr="007D15C3">
              <w:rPr>
                <w:rFonts w:cs="Calibri"/>
              </w:rPr>
              <w:t>$31,535</w:t>
            </w:r>
          </w:p>
        </w:tc>
      </w:tr>
      <w:tr w14:paraId="13FB83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BD8288" w14:textId="77777777">
            <w:pPr>
              <w:jc w:val="center"/>
              <w:rPr>
                <w:rFonts w:cs="Calibri"/>
              </w:rPr>
            </w:pPr>
            <w:r w:rsidRPr="007D15C3">
              <w:rPr>
                <w:rFonts w:cs="Calibri"/>
              </w:rPr>
              <w:t>59137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A455EFE" w14:textId="77777777">
            <w:pPr>
              <w:jc w:val="center"/>
              <w:rPr>
                <w:rFonts w:cs="Calibri"/>
              </w:rPr>
            </w:pPr>
            <w:r w:rsidRPr="007D15C3">
              <w:rPr>
                <w:rFonts w:cs="Calibri"/>
              </w:rPr>
              <w:t>WRCB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5A09F8" w14:textId="77777777">
            <w:pPr>
              <w:rPr>
                <w:rFonts w:cs="Calibri"/>
              </w:rPr>
            </w:pPr>
            <w:r w:rsidRPr="007D15C3">
              <w:rPr>
                <w:rFonts w:cs="Calibri"/>
              </w:rPr>
              <w:t xml:space="preserve">          1,587,742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3D44D1" w14:textId="77777777">
            <w:pPr>
              <w:rPr>
                <w:rFonts w:cs="Calibri"/>
              </w:rPr>
            </w:pPr>
            <w:r w:rsidRPr="007D15C3">
              <w:rPr>
                <w:rFonts w:cs="Calibri"/>
              </w:rPr>
              <w:t xml:space="preserve">            1,363,582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85B19C" w14:textId="77777777">
            <w:pPr>
              <w:jc w:val="right"/>
              <w:rPr>
                <w:rFonts w:cs="Calibri"/>
              </w:rPr>
            </w:pPr>
            <w:r w:rsidRPr="007D15C3">
              <w:rPr>
                <w:rFonts w:cs="Calibri"/>
              </w:rPr>
              <w:t>$10,686</w:t>
            </w:r>
          </w:p>
        </w:tc>
      </w:tr>
      <w:tr w14:paraId="4D40EB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F2251E" w14:textId="77777777">
            <w:pPr>
              <w:jc w:val="center"/>
              <w:rPr>
                <w:rFonts w:cs="Calibri"/>
              </w:rPr>
            </w:pPr>
            <w:r w:rsidRPr="007D15C3">
              <w:rPr>
                <w:rFonts w:cs="Calibri"/>
              </w:rPr>
              <w:t>47904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E86BD87" w14:textId="77777777">
            <w:pPr>
              <w:jc w:val="center"/>
              <w:rPr>
                <w:rFonts w:cs="Calibri"/>
              </w:rPr>
            </w:pPr>
            <w:r w:rsidRPr="007D15C3">
              <w:rPr>
                <w:rFonts w:cs="Calibri"/>
              </w:rPr>
              <w:t>WRC-TV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219E69" w14:textId="77777777">
            <w:pPr>
              <w:rPr>
                <w:rFonts w:cs="Calibri"/>
              </w:rPr>
            </w:pPr>
            <w:r w:rsidRPr="007D15C3">
              <w:rPr>
                <w:rFonts w:cs="Calibri"/>
              </w:rPr>
              <w:t xml:space="preserve">          8,188,601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C70F17" w14:textId="77777777">
            <w:pPr>
              <w:rPr>
                <w:rFonts w:cs="Calibri"/>
              </w:rPr>
            </w:pPr>
            <w:r w:rsidRPr="007D15C3">
              <w:rPr>
                <w:rFonts w:cs="Calibri"/>
              </w:rPr>
              <w:t xml:space="preserve">            8,146,696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9AC33D" w14:textId="77777777">
            <w:pPr>
              <w:jc w:val="right"/>
              <w:rPr>
                <w:rFonts w:cs="Calibri"/>
              </w:rPr>
            </w:pPr>
            <w:r w:rsidRPr="007D15C3">
              <w:rPr>
                <w:rFonts w:cs="Calibri"/>
              </w:rPr>
              <w:t>$63,846</w:t>
            </w:r>
          </w:p>
        </w:tc>
      </w:tr>
      <w:tr w14:paraId="30F0C45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A4EB3A" w14:textId="77777777">
            <w:pPr>
              <w:jc w:val="center"/>
              <w:rPr>
                <w:rFonts w:cs="Calibri"/>
              </w:rPr>
            </w:pPr>
            <w:r w:rsidRPr="007D15C3">
              <w:rPr>
                <w:rFonts w:cs="Calibri"/>
              </w:rPr>
              <w:t>54963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7E0F287" w14:textId="77777777">
            <w:pPr>
              <w:jc w:val="center"/>
              <w:rPr>
                <w:rFonts w:cs="Calibri"/>
              </w:rPr>
            </w:pPr>
            <w:r w:rsidRPr="007D15C3">
              <w:rPr>
                <w:rFonts w:cs="Calibri"/>
              </w:rPr>
              <w:t>WRDC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C4F271" w14:textId="77777777">
            <w:pPr>
              <w:rPr>
                <w:rFonts w:cs="Calibri"/>
              </w:rPr>
            </w:pPr>
            <w:r w:rsidRPr="007D15C3">
              <w:rPr>
                <w:rFonts w:cs="Calibri"/>
              </w:rPr>
              <w:t xml:space="preserve">          3,624,288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95CB3E" w14:textId="77777777">
            <w:pPr>
              <w:rPr>
                <w:rFonts w:cs="Calibri"/>
              </w:rPr>
            </w:pPr>
            <w:r w:rsidRPr="007D15C3">
              <w:rPr>
                <w:rFonts w:cs="Calibri"/>
              </w:rPr>
              <w:t xml:space="preserve">            3,620,526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A2DC79" w14:textId="77777777">
            <w:pPr>
              <w:jc w:val="right"/>
              <w:rPr>
                <w:rFonts w:cs="Calibri"/>
              </w:rPr>
            </w:pPr>
            <w:r w:rsidRPr="007D15C3">
              <w:rPr>
                <w:rFonts w:cs="Calibri"/>
              </w:rPr>
              <w:t>$28,374</w:t>
            </w:r>
          </w:p>
        </w:tc>
      </w:tr>
      <w:tr w14:paraId="4354621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A9ABF4" w14:textId="77777777">
            <w:pPr>
              <w:jc w:val="center"/>
              <w:rPr>
                <w:rFonts w:cs="Calibri"/>
              </w:rPr>
            </w:pPr>
            <w:r w:rsidRPr="007D15C3">
              <w:rPr>
                <w:rFonts w:cs="Calibri"/>
              </w:rPr>
              <w:t>55454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B3681C3" w14:textId="77777777">
            <w:pPr>
              <w:jc w:val="center"/>
              <w:rPr>
                <w:rFonts w:cs="Calibri"/>
              </w:rPr>
            </w:pPr>
            <w:r w:rsidRPr="007D15C3">
              <w:rPr>
                <w:rFonts w:cs="Calibri"/>
              </w:rPr>
              <w:t>WRDQ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1CF2AE" w14:textId="77777777">
            <w:pPr>
              <w:rPr>
                <w:rFonts w:cs="Calibri"/>
              </w:rPr>
            </w:pPr>
            <w:r w:rsidRPr="007D15C3">
              <w:rPr>
                <w:rFonts w:cs="Calibri"/>
              </w:rPr>
              <w:t xml:space="preserve">          3,931,023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96B2B6" w14:textId="77777777">
            <w:pPr>
              <w:rPr>
                <w:rFonts w:cs="Calibri"/>
              </w:rPr>
            </w:pPr>
            <w:r w:rsidRPr="007D15C3">
              <w:rPr>
                <w:rFonts w:cs="Calibri"/>
              </w:rPr>
              <w:t xml:space="preserve">            3,931,023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52BE1F" w14:textId="77777777">
            <w:pPr>
              <w:jc w:val="right"/>
              <w:rPr>
                <w:rFonts w:cs="Calibri"/>
              </w:rPr>
            </w:pPr>
            <w:r w:rsidRPr="007D15C3">
              <w:rPr>
                <w:rFonts w:cs="Calibri"/>
              </w:rPr>
              <w:t>$30,807</w:t>
            </w:r>
          </w:p>
        </w:tc>
      </w:tr>
      <w:tr w14:paraId="42E09FA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44A484" w14:textId="77777777">
            <w:pPr>
              <w:jc w:val="center"/>
              <w:rPr>
                <w:rFonts w:cs="Calibri"/>
              </w:rPr>
            </w:pPr>
            <w:r w:rsidRPr="007D15C3">
              <w:rPr>
                <w:rFonts w:cs="Calibri"/>
              </w:rPr>
              <w:t>73937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681559" w14:textId="77777777">
            <w:pPr>
              <w:jc w:val="center"/>
              <w:rPr>
                <w:rFonts w:cs="Calibri"/>
              </w:rPr>
            </w:pPr>
            <w:r w:rsidRPr="007D15C3">
              <w:rPr>
                <w:rFonts w:cs="Calibri"/>
              </w:rPr>
              <w:t>WRDW-TV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07D66B" w14:textId="77777777">
            <w:pPr>
              <w:rPr>
                <w:rFonts w:cs="Calibri"/>
              </w:rPr>
            </w:pPr>
            <w:r w:rsidRPr="007D15C3">
              <w:rPr>
                <w:rFonts w:cs="Calibri"/>
              </w:rPr>
              <w:t xml:space="preserve">          1,564,584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B98D9B" w14:textId="77777777">
            <w:pPr>
              <w:rPr>
                <w:rFonts w:cs="Calibri"/>
              </w:rPr>
            </w:pPr>
            <w:r w:rsidRPr="007D15C3">
              <w:rPr>
                <w:rFonts w:cs="Calibri"/>
              </w:rPr>
              <w:t xml:space="preserve">            1,533,682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7A38C4" w14:textId="77777777">
            <w:pPr>
              <w:jc w:val="right"/>
              <w:rPr>
                <w:rFonts w:cs="Calibri"/>
              </w:rPr>
            </w:pPr>
            <w:r w:rsidRPr="007D15C3">
              <w:rPr>
                <w:rFonts w:cs="Calibri"/>
              </w:rPr>
              <w:t>$12,019</w:t>
            </w:r>
          </w:p>
        </w:tc>
      </w:tr>
      <w:tr w14:paraId="091F80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59AB73" w14:textId="77777777">
            <w:pPr>
              <w:jc w:val="center"/>
              <w:rPr>
                <w:rFonts w:cs="Calibri"/>
              </w:rPr>
            </w:pPr>
            <w:r w:rsidRPr="007D15C3">
              <w:rPr>
                <w:rFonts w:cs="Calibri"/>
              </w:rPr>
              <w:t>66174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133631" w14:textId="77777777">
            <w:pPr>
              <w:jc w:val="center"/>
              <w:rPr>
                <w:rFonts w:cs="Calibri"/>
              </w:rPr>
            </w:pPr>
            <w:r w:rsidRPr="007D15C3">
              <w:rPr>
                <w:rFonts w:cs="Calibri"/>
              </w:rPr>
              <w:t>WREG-TV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12C05B" w14:textId="77777777">
            <w:pPr>
              <w:rPr>
                <w:rFonts w:cs="Calibri"/>
              </w:rPr>
            </w:pPr>
            <w:r w:rsidRPr="007D15C3">
              <w:rPr>
                <w:rFonts w:cs="Calibri"/>
              </w:rPr>
              <w:t xml:space="preserve">          1,642,307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6A32A2" w14:textId="77777777">
            <w:pPr>
              <w:rPr>
                <w:rFonts w:cs="Calibri"/>
              </w:rPr>
            </w:pPr>
            <w:r w:rsidRPr="007D15C3">
              <w:rPr>
                <w:rFonts w:cs="Calibri"/>
              </w:rPr>
              <w:t xml:space="preserve">            1,638,585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2546F2" w14:textId="77777777">
            <w:pPr>
              <w:jc w:val="right"/>
              <w:rPr>
                <w:rFonts w:cs="Calibri"/>
              </w:rPr>
            </w:pPr>
            <w:r w:rsidRPr="007D15C3">
              <w:rPr>
                <w:rFonts w:cs="Calibri"/>
              </w:rPr>
              <w:t>$12,842</w:t>
            </w:r>
          </w:p>
        </w:tc>
      </w:tr>
      <w:tr w14:paraId="7F7C26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8F3051" w14:textId="77777777">
            <w:pPr>
              <w:jc w:val="center"/>
              <w:rPr>
                <w:rFonts w:cs="Calibri"/>
              </w:rPr>
            </w:pPr>
            <w:r w:rsidRPr="007D15C3">
              <w:rPr>
                <w:rFonts w:cs="Calibri"/>
              </w:rPr>
              <w:t>61011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83D4EEB" w14:textId="77777777">
            <w:pPr>
              <w:jc w:val="center"/>
              <w:rPr>
                <w:rFonts w:cs="Calibri"/>
              </w:rPr>
            </w:pPr>
            <w:r w:rsidRPr="007D15C3">
              <w:rPr>
                <w:rFonts w:cs="Calibri"/>
              </w:rPr>
              <w:t>WRET-TV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096FC0" w14:textId="77777777">
            <w:pPr>
              <w:rPr>
                <w:rFonts w:cs="Calibri"/>
              </w:rPr>
            </w:pPr>
            <w:r w:rsidRPr="007D15C3">
              <w:rPr>
                <w:rFonts w:cs="Calibri"/>
              </w:rPr>
              <w:t xml:space="preserve">          2,419,841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11058C" w14:textId="77777777">
            <w:pPr>
              <w:rPr>
                <w:rFonts w:cs="Calibri"/>
              </w:rPr>
            </w:pPr>
            <w:r w:rsidRPr="007D15C3">
              <w:rPr>
                <w:rFonts w:cs="Calibri"/>
              </w:rPr>
              <w:t xml:space="preserve">            2,211,019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0E9BCF" w14:textId="77777777">
            <w:pPr>
              <w:jc w:val="right"/>
              <w:rPr>
                <w:rFonts w:cs="Calibri"/>
              </w:rPr>
            </w:pPr>
            <w:r w:rsidRPr="007D15C3">
              <w:rPr>
                <w:rFonts w:cs="Calibri"/>
              </w:rPr>
              <w:t>$17,328</w:t>
            </w:r>
          </w:p>
        </w:tc>
      </w:tr>
      <w:tr w14:paraId="4B51C6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E833D9" w14:textId="77777777">
            <w:pPr>
              <w:jc w:val="center"/>
              <w:rPr>
                <w:rFonts w:cs="Calibri"/>
              </w:rPr>
            </w:pPr>
            <w:r w:rsidRPr="007D15C3">
              <w:rPr>
                <w:rFonts w:cs="Calibri"/>
              </w:rPr>
              <w:t>73940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19F568" w14:textId="77777777">
            <w:pPr>
              <w:jc w:val="center"/>
              <w:rPr>
                <w:rFonts w:cs="Calibri"/>
              </w:rPr>
            </w:pPr>
            <w:r w:rsidRPr="007D15C3">
              <w:rPr>
                <w:rFonts w:cs="Calibri"/>
              </w:rPr>
              <w:t>WREX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E86E00" w14:textId="77777777">
            <w:pPr>
              <w:rPr>
                <w:rFonts w:cs="Calibri"/>
              </w:rPr>
            </w:pPr>
            <w:r w:rsidRPr="007D15C3">
              <w:rPr>
                <w:rFonts w:cs="Calibri"/>
              </w:rPr>
              <w:t xml:space="preserve">          2,303,027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D0B9F6" w14:textId="77777777">
            <w:pPr>
              <w:rPr>
                <w:rFonts w:cs="Calibri"/>
              </w:rPr>
            </w:pPr>
            <w:r w:rsidRPr="007D15C3">
              <w:rPr>
                <w:rFonts w:cs="Calibri"/>
              </w:rPr>
              <w:t xml:space="preserve">            2,047,951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7AE28A" w14:textId="77777777">
            <w:pPr>
              <w:jc w:val="right"/>
              <w:rPr>
                <w:rFonts w:cs="Calibri"/>
              </w:rPr>
            </w:pPr>
            <w:r w:rsidRPr="007D15C3">
              <w:rPr>
                <w:rFonts w:cs="Calibri"/>
              </w:rPr>
              <w:t>$16,050</w:t>
            </w:r>
          </w:p>
        </w:tc>
      </w:tr>
      <w:tr w14:paraId="076635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3D3FE4" w14:textId="77777777">
            <w:pPr>
              <w:jc w:val="center"/>
              <w:rPr>
                <w:rFonts w:cs="Calibri"/>
              </w:rPr>
            </w:pPr>
            <w:r w:rsidRPr="007D15C3">
              <w:rPr>
                <w:rFonts w:cs="Calibri"/>
              </w:rPr>
              <w:t>54443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C8D2EA" w14:textId="77777777">
            <w:pPr>
              <w:jc w:val="center"/>
              <w:rPr>
                <w:rFonts w:cs="Calibri"/>
              </w:rPr>
            </w:pPr>
            <w:r w:rsidRPr="007D15C3">
              <w:rPr>
                <w:rFonts w:cs="Calibri"/>
              </w:rPr>
              <w:t>WRFB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50209F" w14:textId="77777777">
            <w:pPr>
              <w:rPr>
                <w:rFonts w:cs="Calibri"/>
              </w:rPr>
            </w:pPr>
            <w:r w:rsidRPr="007D15C3">
              <w:rPr>
                <w:rFonts w:cs="Calibri"/>
              </w:rPr>
              <w:t xml:space="preserve">          2,674,527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001D6C" w14:textId="77777777">
            <w:pPr>
              <w:rPr>
                <w:rFonts w:cs="Calibri"/>
              </w:rPr>
            </w:pPr>
            <w:r w:rsidRPr="007D15C3">
              <w:rPr>
                <w:rFonts w:cs="Calibri"/>
              </w:rPr>
              <w:t xml:space="preserve">            2,377,106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7591C7" w14:textId="77777777">
            <w:pPr>
              <w:jc w:val="right"/>
              <w:rPr>
                <w:rFonts w:cs="Calibri"/>
              </w:rPr>
            </w:pPr>
            <w:r w:rsidRPr="007D15C3">
              <w:rPr>
                <w:rFonts w:cs="Calibri"/>
              </w:rPr>
              <w:t>$15,481</w:t>
            </w:r>
          </w:p>
        </w:tc>
      </w:tr>
      <w:tr w14:paraId="31EA524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0F9D3A" w14:textId="77777777">
            <w:pPr>
              <w:jc w:val="center"/>
              <w:rPr>
                <w:rFonts w:cs="Calibri"/>
              </w:rPr>
            </w:pPr>
            <w:r w:rsidRPr="007D15C3">
              <w:rPr>
                <w:rFonts w:cs="Calibri"/>
              </w:rPr>
              <w:t>73942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D0FAD29" w14:textId="77777777">
            <w:pPr>
              <w:jc w:val="center"/>
              <w:rPr>
                <w:rFonts w:cs="Calibri"/>
              </w:rPr>
            </w:pPr>
            <w:r w:rsidRPr="007D15C3">
              <w:rPr>
                <w:rFonts w:cs="Calibri"/>
              </w:rPr>
              <w:t>WRGB*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72D7BC" w14:textId="77777777">
            <w:pPr>
              <w:rPr>
                <w:rFonts w:cs="Calibri"/>
              </w:rPr>
            </w:pPr>
            <w:r w:rsidRPr="007D15C3">
              <w:rPr>
                <w:rFonts w:cs="Calibri"/>
              </w:rPr>
              <w:t xml:space="preserve">          1,757,575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CB18F8" w14:textId="77777777">
            <w:pPr>
              <w:rPr>
                <w:rFonts w:cs="Calibri"/>
              </w:rPr>
            </w:pPr>
            <w:r w:rsidRPr="007D15C3">
              <w:rPr>
                <w:rFonts w:cs="Calibri"/>
              </w:rPr>
              <w:t xml:space="preserve">            1,645,483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89BB7D" w14:textId="77777777">
            <w:pPr>
              <w:jc w:val="right"/>
              <w:rPr>
                <w:rFonts w:cs="Calibri"/>
              </w:rPr>
            </w:pPr>
            <w:r w:rsidRPr="007D15C3">
              <w:rPr>
                <w:rFonts w:cs="Calibri"/>
              </w:rPr>
              <w:t>$12,896</w:t>
            </w:r>
          </w:p>
        </w:tc>
      </w:tr>
      <w:tr w14:paraId="1D5D4B7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631330" w14:textId="77777777">
            <w:pPr>
              <w:jc w:val="center"/>
              <w:rPr>
                <w:rFonts w:cs="Calibri"/>
              </w:rPr>
            </w:pPr>
            <w:r w:rsidRPr="007D15C3">
              <w:rPr>
                <w:rFonts w:cs="Calibri"/>
              </w:rPr>
              <w:t>411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E3BE0D" w14:textId="77777777">
            <w:pPr>
              <w:jc w:val="center"/>
              <w:rPr>
                <w:rFonts w:cs="Calibri"/>
              </w:rPr>
            </w:pPr>
            <w:r w:rsidRPr="007D15C3">
              <w:rPr>
                <w:rFonts w:cs="Calibri"/>
              </w:rPr>
              <w:t>WRGT-TV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FED99A" w14:textId="77777777">
            <w:pPr>
              <w:rPr>
                <w:rFonts w:cs="Calibri"/>
              </w:rPr>
            </w:pPr>
            <w:r w:rsidRPr="007D15C3">
              <w:rPr>
                <w:rFonts w:cs="Calibri"/>
              </w:rPr>
              <w:t xml:space="preserve">          3,252,046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EEE3D4" w14:textId="77777777">
            <w:pPr>
              <w:rPr>
                <w:rFonts w:cs="Calibri"/>
              </w:rPr>
            </w:pPr>
            <w:r w:rsidRPr="007D15C3">
              <w:rPr>
                <w:rFonts w:cs="Calibri"/>
              </w:rPr>
              <w:t xml:space="preserve">            3,219,309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A711A8" w14:textId="77777777">
            <w:pPr>
              <w:jc w:val="right"/>
              <w:rPr>
                <w:rFonts w:cs="Calibri"/>
              </w:rPr>
            </w:pPr>
            <w:r w:rsidRPr="007D15C3">
              <w:rPr>
                <w:rFonts w:cs="Calibri"/>
              </w:rPr>
              <w:t>$25,230</w:t>
            </w:r>
          </w:p>
        </w:tc>
      </w:tr>
      <w:tr w14:paraId="4BBF037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253AF3" w14:textId="77777777">
            <w:pPr>
              <w:jc w:val="center"/>
              <w:rPr>
                <w:rFonts w:cs="Calibri"/>
              </w:rPr>
            </w:pPr>
            <w:r w:rsidRPr="007D15C3">
              <w:rPr>
                <w:rFonts w:cs="Calibri"/>
              </w:rPr>
              <w:t>74416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533585" w14:textId="77777777">
            <w:pPr>
              <w:jc w:val="center"/>
              <w:rPr>
                <w:rFonts w:cs="Calibri"/>
              </w:rPr>
            </w:pPr>
            <w:r w:rsidRPr="007D15C3">
              <w:rPr>
                <w:rFonts w:cs="Calibri"/>
              </w:rPr>
              <w:t>WRIC-TV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3926D3" w14:textId="77777777">
            <w:pPr>
              <w:rPr>
                <w:rFonts w:cs="Calibri"/>
              </w:rPr>
            </w:pPr>
            <w:r w:rsidRPr="007D15C3">
              <w:rPr>
                <w:rFonts w:cs="Calibri"/>
              </w:rPr>
              <w:t xml:space="preserve">          1,996,265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936211" w14:textId="77777777">
            <w:pPr>
              <w:rPr>
                <w:rFonts w:cs="Calibri"/>
              </w:rPr>
            </w:pPr>
            <w:r w:rsidRPr="007D15C3">
              <w:rPr>
                <w:rFonts w:cs="Calibri"/>
              </w:rPr>
              <w:t xml:space="preserve">            1,939,664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25F1ED" w14:textId="77777777">
            <w:pPr>
              <w:jc w:val="right"/>
              <w:rPr>
                <w:rFonts w:cs="Calibri"/>
              </w:rPr>
            </w:pPr>
            <w:r w:rsidRPr="007D15C3">
              <w:rPr>
                <w:rFonts w:cs="Calibri"/>
              </w:rPr>
              <w:t>$15,201</w:t>
            </w:r>
          </w:p>
        </w:tc>
      </w:tr>
      <w:tr w14:paraId="4DF752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F3C0B7" w14:textId="77777777">
            <w:pPr>
              <w:jc w:val="center"/>
              <w:rPr>
                <w:rFonts w:cs="Calibri"/>
              </w:rPr>
            </w:pPr>
            <w:r w:rsidRPr="007D15C3">
              <w:rPr>
                <w:rFonts w:cs="Calibri"/>
              </w:rPr>
              <w:t>61012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35354D" w14:textId="77777777">
            <w:pPr>
              <w:jc w:val="center"/>
              <w:rPr>
                <w:rFonts w:cs="Calibri"/>
              </w:rPr>
            </w:pPr>
            <w:r w:rsidRPr="007D15C3">
              <w:rPr>
                <w:rFonts w:cs="Calibri"/>
              </w:rPr>
              <w:t>WRJA-TV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4A9885" w14:textId="77777777">
            <w:pPr>
              <w:rPr>
                <w:rFonts w:cs="Calibri"/>
              </w:rPr>
            </w:pPr>
            <w:r w:rsidRPr="007D15C3">
              <w:rPr>
                <w:rFonts w:cs="Calibri"/>
              </w:rPr>
              <w:t xml:space="preserve">          1,127,088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CA2672" w14:textId="77777777">
            <w:pPr>
              <w:rPr>
                <w:rFonts w:cs="Calibri"/>
              </w:rPr>
            </w:pPr>
            <w:r w:rsidRPr="007D15C3">
              <w:rPr>
                <w:rFonts w:cs="Calibri"/>
              </w:rPr>
              <w:t xml:space="preserve">            1,119,936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31AE45" w14:textId="77777777">
            <w:pPr>
              <w:jc w:val="right"/>
              <w:rPr>
                <w:rFonts w:cs="Calibri"/>
              </w:rPr>
            </w:pPr>
            <w:r w:rsidRPr="007D15C3">
              <w:rPr>
                <w:rFonts w:cs="Calibri"/>
              </w:rPr>
              <w:t>$8,777</w:t>
            </w:r>
          </w:p>
        </w:tc>
      </w:tr>
      <w:tr w14:paraId="75ACAA1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1767C7" w14:textId="77777777">
            <w:pPr>
              <w:jc w:val="center"/>
              <w:rPr>
                <w:rFonts w:cs="Calibri"/>
              </w:rPr>
            </w:pPr>
            <w:r w:rsidRPr="007D15C3">
              <w:rPr>
                <w:rFonts w:cs="Calibri"/>
              </w:rPr>
              <w:t>412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F50D51" w14:textId="77777777">
            <w:pPr>
              <w:jc w:val="center"/>
              <w:rPr>
                <w:rFonts w:cs="Calibri"/>
              </w:rPr>
            </w:pPr>
            <w:r w:rsidRPr="007D15C3">
              <w:rPr>
                <w:rFonts w:cs="Calibri"/>
              </w:rPr>
              <w:t>WRLH-TV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0CB5F7" w14:textId="77777777">
            <w:pPr>
              <w:rPr>
                <w:rFonts w:cs="Calibri"/>
              </w:rPr>
            </w:pPr>
            <w:r w:rsidRPr="007D15C3">
              <w:rPr>
                <w:rFonts w:cs="Calibri"/>
              </w:rPr>
              <w:t xml:space="preserve">          2,017,508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ADA0E5" w14:textId="77777777">
            <w:pPr>
              <w:rPr>
                <w:rFonts w:cs="Calibri"/>
              </w:rPr>
            </w:pPr>
            <w:r w:rsidRPr="007D15C3">
              <w:rPr>
                <w:rFonts w:cs="Calibri"/>
              </w:rPr>
              <w:t xml:space="preserve">            1,959,111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0234B4" w14:textId="77777777">
            <w:pPr>
              <w:jc w:val="right"/>
              <w:rPr>
                <w:rFonts w:cs="Calibri"/>
              </w:rPr>
            </w:pPr>
            <w:r w:rsidRPr="007D15C3">
              <w:rPr>
                <w:rFonts w:cs="Calibri"/>
              </w:rPr>
              <w:t>$15,354</w:t>
            </w:r>
          </w:p>
        </w:tc>
      </w:tr>
      <w:tr w14:paraId="1AF5A98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071ABC" w14:textId="77777777">
            <w:pPr>
              <w:jc w:val="center"/>
              <w:rPr>
                <w:rFonts w:cs="Calibri"/>
              </w:rPr>
            </w:pPr>
            <w:r w:rsidRPr="007D15C3">
              <w:rPr>
                <w:rFonts w:cs="Calibri"/>
              </w:rPr>
              <w:t>61013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999668" w14:textId="77777777">
            <w:pPr>
              <w:jc w:val="center"/>
              <w:rPr>
                <w:rFonts w:cs="Calibri"/>
              </w:rPr>
            </w:pPr>
            <w:r w:rsidRPr="007D15C3">
              <w:rPr>
                <w:rFonts w:cs="Calibri"/>
              </w:rPr>
              <w:t>WRLK-TV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2BF437" w14:textId="77777777">
            <w:pPr>
              <w:rPr>
                <w:rFonts w:cs="Calibri"/>
              </w:rPr>
            </w:pPr>
            <w:r w:rsidRPr="007D15C3">
              <w:rPr>
                <w:rFonts w:cs="Calibri"/>
              </w:rPr>
              <w:t xml:space="preserve">          1,229,094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44B30E" w14:textId="77777777">
            <w:pPr>
              <w:rPr>
                <w:rFonts w:cs="Calibri"/>
              </w:rPr>
            </w:pPr>
            <w:r w:rsidRPr="007D15C3">
              <w:rPr>
                <w:rFonts w:cs="Calibri"/>
              </w:rPr>
              <w:t xml:space="preserve">            1,228,616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95E818" w14:textId="77777777">
            <w:pPr>
              <w:jc w:val="right"/>
              <w:rPr>
                <w:rFonts w:cs="Calibri"/>
              </w:rPr>
            </w:pPr>
            <w:r w:rsidRPr="007D15C3">
              <w:rPr>
                <w:rFonts w:cs="Calibri"/>
              </w:rPr>
              <w:t>$9,629</w:t>
            </w:r>
          </w:p>
        </w:tc>
      </w:tr>
      <w:tr w14:paraId="324B0D2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764EFA" w14:textId="77777777">
            <w:pPr>
              <w:jc w:val="center"/>
              <w:rPr>
                <w:rFonts w:cs="Calibri"/>
              </w:rPr>
            </w:pPr>
            <w:r w:rsidRPr="007D15C3">
              <w:rPr>
                <w:rFonts w:cs="Calibri"/>
              </w:rPr>
              <w:t>43870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C0B4F9" w14:textId="77777777">
            <w:pPr>
              <w:jc w:val="center"/>
              <w:rPr>
                <w:rFonts w:cs="Calibri"/>
              </w:rPr>
            </w:pPr>
            <w:r w:rsidRPr="007D15C3">
              <w:rPr>
                <w:rFonts w:cs="Calibri"/>
              </w:rPr>
              <w:t>WRLM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EB7A5D" w14:textId="77777777">
            <w:pPr>
              <w:rPr>
                <w:rFonts w:cs="Calibri"/>
              </w:rPr>
            </w:pPr>
            <w:r w:rsidRPr="007D15C3">
              <w:rPr>
                <w:rFonts w:cs="Calibri"/>
              </w:rPr>
              <w:t xml:space="preserve">          3,919,602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C22DAF" w14:textId="77777777">
            <w:pPr>
              <w:rPr>
                <w:rFonts w:cs="Calibri"/>
              </w:rPr>
            </w:pPr>
            <w:r w:rsidRPr="007D15C3">
              <w:rPr>
                <w:rFonts w:cs="Calibri"/>
              </w:rPr>
              <w:t xml:space="preserve">            3,892,146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5F5BA1" w14:textId="77777777">
            <w:pPr>
              <w:jc w:val="right"/>
              <w:rPr>
                <w:rFonts w:cs="Calibri"/>
              </w:rPr>
            </w:pPr>
            <w:r w:rsidRPr="007D15C3">
              <w:rPr>
                <w:rFonts w:cs="Calibri"/>
              </w:rPr>
              <w:t>$30,503</w:t>
            </w:r>
          </w:p>
        </w:tc>
      </w:tr>
      <w:tr w14:paraId="5A81795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444699" w14:textId="77777777">
            <w:pPr>
              <w:jc w:val="center"/>
              <w:rPr>
                <w:rFonts w:cs="Calibri"/>
              </w:rPr>
            </w:pPr>
            <w:r w:rsidRPr="007D15C3">
              <w:rPr>
                <w:rFonts w:cs="Calibri"/>
              </w:rPr>
              <w:t>74156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54FC40" w14:textId="77777777">
            <w:pPr>
              <w:jc w:val="center"/>
              <w:rPr>
                <w:rFonts w:cs="Calibri"/>
              </w:rPr>
            </w:pPr>
            <w:r w:rsidRPr="007D15C3">
              <w:rPr>
                <w:rFonts w:cs="Calibri"/>
              </w:rPr>
              <w:t>WRNN-TV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5E0495" w14:textId="77777777">
            <w:pPr>
              <w:rPr>
                <w:rFonts w:cs="Calibri"/>
              </w:rPr>
            </w:pPr>
            <w:r w:rsidRPr="007D15C3">
              <w:rPr>
                <w:rFonts w:cs="Calibri"/>
              </w:rPr>
              <w:t xml:space="preserve">        19,853,836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E2A018" w14:textId="77777777">
            <w:pPr>
              <w:rPr>
                <w:rFonts w:cs="Calibri"/>
              </w:rPr>
            </w:pPr>
            <w:r w:rsidRPr="007D15C3">
              <w:rPr>
                <w:rFonts w:cs="Calibri"/>
              </w:rPr>
              <w:t xml:space="preserve">          19,615,370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249C00" w14:textId="77777777">
            <w:pPr>
              <w:jc w:val="right"/>
              <w:rPr>
                <w:rFonts w:cs="Calibri"/>
              </w:rPr>
            </w:pPr>
            <w:r w:rsidRPr="007D15C3">
              <w:rPr>
                <w:rFonts w:cs="Calibri"/>
              </w:rPr>
              <w:t>$153,726</w:t>
            </w:r>
          </w:p>
        </w:tc>
      </w:tr>
      <w:tr w14:paraId="5161707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185060" w14:textId="77777777">
            <w:pPr>
              <w:jc w:val="center"/>
              <w:rPr>
                <w:rFonts w:cs="Calibri"/>
              </w:rPr>
            </w:pPr>
            <w:r w:rsidRPr="007D15C3">
              <w:rPr>
                <w:rFonts w:cs="Calibri"/>
              </w:rPr>
              <w:t>73964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D049F2" w14:textId="77777777">
            <w:pPr>
              <w:jc w:val="center"/>
              <w:rPr>
                <w:rFonts w:cs="Calibri"/>
              </w:rPr>
            </w:pPr>
            <w:r w:rsidRPr="007D15C3">
              <w:rPr>
                <w:rFonts w:cs="Calibri"/>
              </w:rPr>
              <w:t>WROC-TV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B17EF1" w14:textId="77777777">
            <w:pPr>
              <w:rPr>
                <w:rFonts w:cs="Calibri"/>
              </w:rPr>
            </w:pPr>
            <w:r w:rsidRPr="007D15C3">
              <w:rPr>
                <w:rFonts w:cs="Calibri"/>
              </w:rPr>
              <w:t xml:space="preserve">          1,203,412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5F959B" w14:textId="77777777">
            <w:pPr>
              <w:rPr>
                <w:rFonts w:cs="Calibri"/>
              </w:rPr>
            </w:pPr>
            <w:r w:rsidRPr="007D15C3">
              <w:rPr>
                <w:rFonts w:cs="Calibri"/>
              </w:rPr>
              <w:t xml:space="preserve">            1,185,203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FB1BAD" w14:textId="77777777">
            <w:pPr>
              <w:jc w:val="right"/>
              <w:rPr>
                <w:rFonts w:cs="Calibri"/>
              </w:rPr>
            </w:pPr>
            <w:r w:rsidRPr="007D15C3">
              <w:rPr>
                <w:rFonts w:cs="Calibri"/>
              </w:rPr>
              <w:t>$9,288</w:t>
            </w:r>
          </w:p>
        </w:tc>
      </w:tr>
      <w:tr w14:paraId="792099A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23B2E3" w14:textId="77777777">
            <w:pPr>
              <w:jc w:val="center"/>
              <w:rPr>
                <w:rFonts w:cs="Calibri"/>
              </w:rPr>
            </w:pPr>
            <w:r w:rsidRPr="007D15C3">
              <w:rPr>
                <w:rFonts w:cs="Calibri"/>
              </w:rPr>
              <w:t>159007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E927067" w14:textId="77777777">
            <w:pPr>
              <w:jc w:val="center"/>
              <w:rPr>
                <w:rFonts w:cs="Calibri"/>
              </w:rPr>
            </w:pPr>
            <w:r w:rsidRPr="007D15C3">
              <w:rPr>
                <w:rFonts w:cs="Calibri"/>
              </w:rPr>
              <w:t>WRPT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EEF343" w14:textId="77777777">
            <w:pPr>
              <w:rPr>
                <w:rFonts w:cs="Calibri"/>
              </w:rPr>
            </w:pPr>
            <w:r w:rsidRPr="007D15C3">
              <w:rPr>
                <w:rFonts w:cs="Calibri"/>
              </w:rPr>
              <w:t xml:space="preserve">             110,009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F73500" w14:textId="77777777">
            <w:pPr>
              <w:rPr>
                <w:rFonts w:cs="Calibri"/>
              </w:rPr>
            </w:pPr>
            <w:r w:rsidRPr="007D15C3">
              <w:rPr>
                <w:rFonts w:cs="Calibri"/>
              </w:rPr>
              <w:t xml:space="preserve">               109,937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B8E471" w14:textId="77777777">
            <w:pPr>
              <w:jc w:val="right"/>
              <w:rPr>
                <w:rFonts w:cs="Calibri"/>
              </w:rPr>
            </w:pPr>
            <w:r w:rsidRPr="007D15C3">
              <w:rPr>
                <w:rFonts w:cs="Calibri"/>
              </w:rPr>
              <w:t>$862</w:t>
            </w:r>
          </w:p>
        </w:tc>
      </w:tr>
      <w:tr w14:paraId="1119B7A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B40E0F" w14:textId="77777777">
            <w:pPr>
              <w:jc w:val="center"/>
              <w:rPr>
                <w:rFonts w:cs="Calibri"/>
              </w:rPr>
            </w:pPr>
            <w:r w:rsidRPr="007D15C3">
              <w:rPr>
                <w:rFonts w:cs="Calibri"/>
              </w:rPr>
              <w:t>20590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8C46AC" w14:textId="77777777">
            <w:pPr>
              <w:jc w:val="center"/>
              <w:rPr>
                <w:rFonts w:cs="Calibri"/>
              </w:rPr>
            </w:pPr>
            <w:r w:rsidRPr="007D15C3">
              <w:rPr>
                <w:rFonts w:cs="Calibri"/>
              </w:rPr>
              <w:t>WRPX-TV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7FD348" w14:textId="77777777">
            <w:pPr>
              <w:rPr>
                <w:rFonts w:cs="Calibri"/>
              </w:rPr>
            </w:pPr>
            <w:r w:rsidRPr="007D15C3">
              <w:rPr>
                <w:rFonts w:cs="Calibri"/>
              </w:rPr>
              <w:t xml:space="preserve">          2,637,949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D93DBB" w14:textId="77777777">
            <w:pPr>
              <w:rPr>
                <w:rFonts w:cs="Calibri"/>
              </w:rPr>
            </w:pPr>
            <w:r w:rsidRPr="007D15C3">
              <w:rPr>
                <w:rFonts w:cs="Calibri"/>
              </w:rPr>
              <w:t xml:space="preserve">            2,634,141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222CB3" w14:textId="77777777">
            <w:pPr>
              <w:jc w:val="right"/>
              <w:rPr>
                <w:rFonts w:cs="Calibri"/>
              </w:rPr>
            </w:pPr>
            <w:r w:rsidRPr="007D15C3">
              <w:rPr>
                <w:rFonts w:cs="Calibri"/>
              </w:rPr>
              <w:t>$20,644</w:t>
            </w:r>
          </w:p>
        </w:tc>
      </w:tr>
      <w:tr w14:paraId="0AD6C45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A664D8" w14:textId="77777777">
            <w:pPr>
              <w:jc w:val="center"/>
              <w:rPr>
                <w:rFonts w:cs="Calibri"/>
              </w:rPr>
            </w:pPr>
            <w:r w:rsidRPr="007D15C3">
              <w:rPr>
                <w:rFonts w:cs="Calibri"/>
              </w:rPr>
              <w:t>62009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7785A3" w14:textId="77777777">
            <w:pPr>
              <w:jc w:val="center"/>
              <w:rPr>
                <w:rFonts w:cs="Calibri"/>
              </w:rPr>
            </w:pPr>
            <w:r w:rsidRPr="007D15C3">
              <w:rPr>
                <w:rFonts w:cs="Calibri"/>
              </w:rPr>
              <w:t>WRSP-TV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4EAFE1" w14:textId="77777777">
            <w:pPr>
              <w:rPr>
                <w:rFonts w:cs="Calibri"/>
              </w:rPr>
            </w:pPr>
            <w:r w:rsidRPr="007D15C3">
              <w:rPr>
                <w:rFonts w:cs="Calibri"/>
              </w:rPr>
              <w:t xml:space="preserve">             904,190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BE39A1" w14:textId="77777777">
            <w:pPr>
              <w:rPr>
                <w:rFonts w:cs="Calibri"/>
              </w:rPr>
            </w:pPr>
            <w:r w:rsidRPr="007D15C3">
              <w:rPr>
                <w:rFonts w:cs="Calibri"/>
              </w:rPr>
              <w:t xml:space="preserve">               902,682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B5CF18" w14:textId="77777777">
            <w:pPr>
              <w:jc w:val="right"/>
              <w:rPr>
                <w:rFonts w:cs="Calibri"/>
              </w:rPr>
            </w:pPr>
            <w:r w:rsidRPr="007D15C3">
              <w:rPr>
                <w:rFonts w:cs="Calibri"/>
              </w:rPr>
              <w:t>$7,074</w:t>
            </w:r>
          </w:p>
        </w:tc>
      </w:tr>
      <w:tr w14:paraId="32E8E2B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C379B77" w14:textId="77777777">
            <w:pPr>
              <w:jc w:val="center"/>
              <w:rPr>
                <w:rFonts w:cs="Calibri"/>
              </w:rPr>
            </w:pPr>
            <w:r w:rsidRPr="007D15C3">
              <w:rPr>
                <w:rFonts w:cs="Calibri"/>
              </w:rPr>
              <w:t>40877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541E37" w14:textId="77777777">
            <w:pPr>
              <w:jc w:val="center"/>
              <w:rPr>
                <w:rFonts w:cs="Calibri"/>
              </w:rPr>
            </w:pPr>
            <w:r w:rsidRPr="007D15C3">
              <w:rPr>
                <w:rFonts w:cs="Calibri"/>
              </w:rPr>
              <w:t>WRTV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17F2BB" w14:textId="77777777">
            <w:pPr>
              <w:rPr>
                <w:rFonts w:cs="Calibri"/>
              </w:rPr>
            </w:pPr>
            <w:r w:rsidRPr="007D15C3">
              <w:rPr>
                <w:rFonts w:cs="Calibri"/>
              </w:rPr>
              <w:t xml:space="preserve">          2,919,683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C7C61A" w14:textId="77777777">
            <w:pPr>
              <w:rPr>
                <w:rFonts w:cs="Calibri"/>
              </w:rPr>
            </w:pPr>
            <w:r w:rsidRPr="007D15C3">
              <w:rPr>
                <w:rFonts w:cs="Calibri"/>
              </w:rPr>
              <w:t xml:space="preserve">            2,895,164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07A8F1" w14:textId="77777777">
            <w:pPr>
              <w:jc w:val="right"/>
              <w:rPr>
                <w:rFonts w:cs="Calibri"/>
              </w:rPr>
            </w:pPr>
            <w:r w:rsidRPr="007D15C3">
              <w:rPr>
                <w:rFonts w:cs="Calibri"/>
              </w:rPr>
              <w:t>$22,689</w:t>
            </w:r>
          </w:p>
        </w:tc>
      </w:tr>
      <w:tr w14:paraId="2EFDBDD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4D8289" w14:textId="77777777">
            <w:pPr>
              <w:jc w:val="center"/>
              <w:rPr>
                <w:rFonts w:cs="Calibri"/>
              </w:rPr>
            </w:pPr>
            <w:r w:rsidRPr="007D15C3">
              <w:rPr>
                <w:rFonts w:cs="Calibri"/>
              </w:rPr>
              <w:t>15320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957A44" w14:textId="77777777">
            <w:pPr>
              <w:jc w:val="center"/>
              <w:rPr>
                <w:rFonts w:cs="Calibri"/>
              </w:rPr>
            </w:pPr>
            <w:r w:rsidRPr="007D15C3">
              <w:rPr>
                <w:rFonts w:cs="Calibri"/>
              </w:rPr>
              <w:t>WRUA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805AE5" w14:textId="77777777">
            <w:pPr>
              <w:rPr>
                <w:rFonts w:cs="Calibri"/>
              </w:rPr>
            </w:pPr>
            <w:r w:rsidRPr="007D15C3">
              <w:rPr>
                <w:rFonts w:cs="Calibri"/>
              </w:rPr>
              <w:t xml:space="preserve">          2,905,193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2BD504" w14:textId="77777777">
            <w:pPr>
              <w:rPr>
                <w:rFonts w:cs="Calibri"/>
              </w:rPr>
            </w:pPr>
            <w:r w:rsidRPr="007D15C3">
              <w:rPr>
                <w:rFonts w:cs="Calibri"/>
              </w:rPr>
              <w:t xml:space="preserve">            2,552,782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97BB6B" w14:textId="77777777">
            <w:pPr>
              <w:jc w:val="right"/>
              <w:rPr>
                <w:rFonts w:cs="Calibri"/>
              </w:rPr>
            </w:pPr>
            <w:r w:rsidRPr="007D15C3">
              <w:rPr>
                <w:rFonts w:cs="Calibri"/>
              </w:rPr>
              <w:t>$16,625</w:t>
            </w:r>
          </w:p>
        </w:tc>
      </w:tr>
      <w:tr w14:paraId="64DD9D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695E10" w14:textId="77777777">
            <w:pPr>
              <w:jc w:val="center"/>
              <w:rPr>
                <w:rFonts w:cs="Calibri"/>
              </w:rPr>
            </w:pPr>
            <w:r w:rsidRPr="007D15C3">
              <w:rPr>
                <w:rFonts w:cs="Calibri"/>
              </w:rPr>
              <w:t>71580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4A6E0C" w14:textId="77777777">
            <w:pPr>
              <w:jc w:val="center"/>
              <w:rPr>
                <w:rFonts w:cs="Calibri"/>
              </w:rPr>
            </w:pPr>
            <w:r w:rsidRPr="007D15C3">
              <w:rPr>
                <w:rFonts w:cs="Calibri"/>
              </w:rPr>
              <w:t>WRXY-TV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6C7ADB" w14:textId="77777777">
            <w:pPr>
              <w:rPr>
                <w:rFonts w:cs="Calibri"/>
              </w:rPr>
            </w:pPr>
            <w:r w:rsidRPr="007D15C3">
              <w:rPr>
                <w:rFonts w:cs="Calibri"/>
              </w:rPr>
              <w:t xml:space="preserve">          1,633,655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B1FBC0" w14:textId="77777777">
            <w:pPr>
              <w:rPr>
                <w:rFonts w:cs="Calibri"/>
              </w:rPr>
            </w:pPr>
            <w:r w:rsidRPr="007D15C3">
              <w:rPr>
                <w:rFonts w:cs="Calibri"/>
              </w:rPr>
              <w:t xml:space="preserve">            1,633,655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13D4F6" w14:textId="77777777">
            <w:pPr>
              <w:jc w:val="right"/>
              <w:rPr>
                <w:rFonts w:cs="Calibri"/>
              </w:rPr>
            </w:pPr>
            <w:r w:rsidRPr="007D15C3">
              <w:rPr>
                <w:rFonts w:cs="Calibri"/>
              </w:rPr>
              <w:t>$12,803</w:t>
            </w:r>
          </w:p>
        </w:tc>
      </w:tr>
      <w:tr w14:paraId="4805234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F16524" w14:textId="77777777">
            <w:pPr>
              <w:jc w:val="center"/>
              <w:rPr>
                <w:rFonts w:cs="Calibri"/>
              </w:rPr>
            </w:pPr>
            <w:r w:rsidRPr="007D15C3">
              <w:rPr>
                <w:rFonts w:cs="Calibri"/>
              </w:rPr>
              <w:t>48662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C1DDC8" w14:textId="77777777">
            <w:pPr>
              <w:jc w:val="center"/>
              <w:rPr>
                <w:rFonts w:cs="Calibri"/>
              </w:rPr>
            </w:pPr>
            <w:r w:rsidRPr="007D15C3">
              <w:rPr>
                <w:rFonts w:cs="Calibri"/>
              </w:rPr>
              <w:t>WSAV-TV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663B57" w14:textId="77777777">
            <w:pPr>
              <w:rPr>
                <w:rFonts w:cs="Calibri"/>
              </w:rPr>
            </w:pPr>
            <w:r w:rsidRPr="007D15C3">
              <w:rPr>
                <w:rFonts w:cs="Calibri"/>
              </w:rPr>
              <w:t xml:space="preserve">          1,000,315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FF51D8" w14:textId="77777777">
            <w:pPr>
              <w:rPr>
                <w:rFonts w:cs="Calibri"/>
              </w:rPr>
            </w:pPr>
            <w:r w:rsidRPr="007D15C3">
              <w:rPr>
                <w:rFonts w:cs="Calibri"/>
              </w:rPr>
              <w:t xml:space="preserve">            1,000,309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F3B21F" w14:textId="77777777">
            <w:pPr>
              <w:jc w:val="right"/>
              <w:rPr>
                <w:rFonts w:cs="Calibri"/>
              </w:rPr>
            </w:pPr>
            <w:r w:rsidRPr="007D15C3">
              <w:rPr>
                <w:rFonts w:cs="Calibri"/>
              </w:rPr>
              <w:t>$7,839</w:t>
            </w:r>
          </w:p>
        </w:tc>
      </w:tr>
      <w:tr w14:paraId="77E89F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266635" w14:textId="77777777">
            <w:pPr>
              <w:jc w:val="center"/>
              <w:rPr>
                <w:rFonts w:cs="Calibri"/>
              </w:rPr>
            </w:pPr>
            <w:r w:rsidRPr="007D15C3">
              <w:rPr>
                <w:rFonts w:cs="Calibri"/>
              </w:rPr>
              <w:t>6867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2BC0D1" w14:textId="77777777">
            <w:pPr>
              <w:jc w:val="center"/>
              <w:rPr>
                <w:rFonts w:cs="Calibri"/>
              </w:rPr>
            </w:pPr>
            <w:r w:rsidRPr="007D15C3">
              <w:rPr>
                <w:rFonts w:cs="Calibri"/>
              </w:rPr>
              <w:t>WSAW-TV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90E94A" w14:textId="77777777">
            <w:pPr>
              <w:rPr>
                <w:rFonts w:cs="Calibri"/>
              </w:rPr>
            </w:pPr>
            <w:r w:rsidRPr="007D15C3">
              <w:rPr>
                <w:rFonts w:cs="Calibri"/>
              </w:rPr>
              <w:t xml:space="preserve">             652,442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52B425" w14:textId="77777777">
            <w:pPr>
              <w:rPr>
                <w:rFonts w:cs="Calibri"/>
              </w:rPr>
            </w:pPr>
            <w:r w:rsidRPr="007D15C3">
              <w:rPr>
                <w:rFonts w:cs="Calibri"/>
              </w:rPr>
              <w:t xml:space="preserve">               646,386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D5B75F" w14:textId="77777777">
            <w:pPr>
              <w:jc w:val="right"/>
              <w:rPr>
                <w:rFonts w:cs="Calibri"/>
              </w:rPr>
            </w:pPr>
            <w:r w:rsidRPr="007D15C3">
              <w:rPr>
                <w:rFonts w:cs="Calibri"/>
              </w:rPr>
              <w:t>$5,066</w:t>
            </w:r>
          </w:p>
        </w:tc>
      </w:tr>
      <w:tr w14:paraId="7036266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244E28A" w14:textId="77777777">
            <w:pPr>
              <w:jc w:val="center"/>
              <w:rPr>
                <w:rFonts w:cs="Calibri"/>
              </w:rPr>
            </w:pPr>
            <w:r w:rsidRPr="007D15C3">
              <w:rPr>
                <w:rFonts w:cs="Calibri"/>
              </w:rPr>
              <w:t>36912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B389B3" w14:textId="77777777">
            <w:pPr>
              <w:jc w:val="center"/>
              <w:rPr>
                <w:rFonts w:cs="Calibri"/>
              </w:rPr>
            </w:pPr>
            <w:r w:rsidRPr="007D15C3">
              <w:rPr>
                <w:rFonts w:cs="Calibri"/>
              </w:rPr>
              <w:t>WSAZ-TV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B64907" w14:textId="77777777">
            <w:pPr>
              <w:rPr>
                <w:rFonts w:cs="Calibri"/>
              </w:rPr>
            </w:pPr>
            <w:r w:rsidRPr="007D15C3">
              <w:rPr>
                <w:rFonts w:cs="Calibri"/>
              </w:rPr>
              <w:t xml:space="preserve">          1,184,629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1C89CE" w14:textId="77777777">
            <w:pPr>
              <w:rPr>
                <w:rFonts w:cs="Calibri"/>
              </w:rPr>
            </w:pPr>
            <w:r w:rsidRPr="007D15C3">
              <w:rPr>
                <w:rFonts w:cs="Calibri"/>
              </w:rPr>
              <w:t xml:space="preserve">            1,119,859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DF6BC5" w14:textId="77777777">
            <w:pPr>
              <w:jc w:val="right"/>
              <w:rPr>
                <w:rFonts w:cs="Calibri"/>
              </w:rPr>
            </w:pPr>
            <w:r w:rsidRPr="007D15C3">
              <w:rPr>
                <w:rFonts w:cs="Calibri"/>
              </w:rPr>
              <w:t>$8,776</w:t>
            </w:r>
          </w:p>
        </w:tc>
      </w:tr>
      <w:tr w14:paraId="332D1DB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6D16D6" w14:textId="77777777">
            <w:pPr>
              <w:jc w:val="center"/>
              <w:rPr>
                <w:rFonts w:cs="Calibri"/>
              </w:rPr>
            </w:pPr>
            <w:r w:rsidRPr="007D15C3">
              <w:rPr>
                <w:rFonts w:cs="Calibri"/>
              </w:rPr>
              <w:t>56092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11F7AB" w14:textId="77777777">
            <w:pPr>
              <w:jc w:val="center"/>
              <w:rPr>
                <w:rFonts w:cs="Calibri"/>
              </w:rPr>
            </w:pPr>
            <w:r w:rsidRPr="007D15C3">
              <w:rPr>
                <w:rFonts w:cs="Calibri"/>
              </w:rPr>
              <w:t>WSBE-TV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57327D" w14:textId="77777777">
            <w:pPr>
              <w:rPr>
                <w:rFonts w:cs="Calibri"/>
              </w:rPr>
            </w:pPr>
            <w:r w:rsidRPr="007D15C3">
              <w:rPr>
                <w:rFonts w:cs="Calibri"/>
              </w:rPr>
              <w:t xml:space="preserve">          4,627,829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38B74E" w14:textId="77777777">
            <w:pPr>
              <w:rPr>
                <w:rFonts w:cs="Calibri"/>
              </w:rPr>
            </w:pPr>
            <w:r w:rsidRPr="007D15C3">
              <w:rPr>
                <w:rFonts w:cs="Calibri"/>
              </w:rPr>
              <w:t xml:space="preserve">            4,531,067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DD19A1" w14:textId="77777777">
            <w:pPr>
              <w:jc w:val="right"/>
              <w:rPr>
                <w:rFonts w:cs="Calibri"/>
              </w:rPr>
            </w:pPr>
            <w:r w:rsidRPr="007D15C3">
              <w:rPr>
                <w:rFonts w:cs="Calibri"/>
              </w:rPr>
              <w:t>$35,510</w:t>
            </w:r>
          </w:p>
        </w:tc>
      </w:tr>
      <w:tr w14:paraId="4648281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D9C26E" w14:textId="77777777">
            <w:pPr>
              <w:jc w:val="center"/>
              <w:rPr>
                <w:rFonts w:cs="Calibri"/>
              </w:rPr>
            </w:pPr>
            <w:r w:rsidRPr="007D15C3">
              <w:rPr>
                <w:rFonts w:cs="Calibri"/>
              </w:rPr>
              <w:t>73982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104E4B5" w14:textId="77777777">
            <w:pPr>
              <w:jc w:val="center"/>
              <w:rPr>
                <w:rFonts w:cs="Calibri"/>
              </w:rPr>
            </w:pPr>
            <w:r w:rsidRPr="007D15C3">
              <w:rPr>
                <w:rFonts w:cs="Calibri"/>
              </w:rPr>
              <w:t>WSBK-TV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C6B911" w14:textId="77777777">
            <w:pPr>
              <w:rPr>
                <w:rFonts w:cs="Calibri"/>
              </w:rPr>
            </w:pPr>
            <w:r w:rsidRPr="007D15C3">
              <w:rPr>
                <w:rFonts w:cs="Calibri"/>
              </w:rPr>
              <w:t xml:space="preserve">          7,161,406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B67553" w14:textId="77777777">
            <w:pPr>
              <w:rPr>
                <w:rFonts w:cs="Calibri"/>
              </w:rPr>
            </w:pPr>
            <w:r w:rsidRPr="007D15C3">
              <w:rPr>
                <w:rFonts w:cs="Calibri"/>
              </w:rPr>
              <w:t xml:space="preserve">            7,095,363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BFDB2C" w14:textId="77777777">
            <w:pPr>
              <w:jc w:val="right"/>
              <w:rPr>
                <w:rFonts w:cs="Calibri"/>
              </w:rPr>
            </w:pPr>
            <w:r w:rsidRPr="007D15C3">
              <w:rPr>
                <w:rFonts w:cs="Calibri"/>
              </w:rPr>
              <w:t>$55,606</w:t>
            </w:r>
          </w:p>
        </w:tc>
      </w:tr>
      <w:tr w14:paraId="099EDDC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36AC8E" w14:textId="77777777">
            <w:pPr>
              <w:jc w:val="center"/>
              <w:rPr>
                <w:rFonts w:cs="Calibri"/>
              </w:rPr>
            </w:pPr>
            <w:r w:rsidRPr="007D15C3">
              <w:rPr>
                <w:rFonts w:cs="Calibri"/>
              </w:rPr>
              <w:t>72053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86B840" w14:textId="77777777">
            <w:pPr>
              <w:jc w:val="center"/>
              <w:rPr>
                <w:rFonts w:cs="Calibri"/>
              </w:rPr>
            </w:pPr>
            <w:r w:rsidRPr="007D15C3">
              <w:rPr>
                <w:rFonts w:cs="Calibri"/>
              </w:rPr>
              <w:t>WSBS-TV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5741F8" w14:textId="77777777">
            <w:pPr>
              <w:rPr>
                <w:rFonts w:cs="Calibri"/>
              </w:rPr>
            </w:pPr>
            <w:r w:rsidRPr="007D15C3">
              <w:rPr>
                <w:rFonts w:cs="Calibri"/>
              </w:rPr>
              <w:t xml:space="preserve">               42,952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8AB550" w14:textId="77777777">
            <w:pPr>
              <w:rPr>
                <w:rFonts w:cs="Calibri"/>
              </w:rPr>
            </w:pPr>
            <w:r w:rsidRPr="007D15C3">
              <w:rPr>
                <w:rFonts w:cs="Calibri"/>
              </w:rPr>
              <w:t xml:space="preserve">                 42,952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5A9F52" w14:textId="77777777">
            <w:pPr>
              <w:jc w:val="right"/>
              <w:rPr>
                <w:rFonts w:cs="Calibri"/>
              </w:rPr>
            </w:pPr>
            <w:r w:rsidRPr="007D15C3">
              <w:rPr>
                <w:rFonts w:cs="Calibri"/>
              </w:rPr>
              <w:t>$337</w:t>
            </w:r>
          </w:p>
        </w:tc>
      </w:tr>
      <w:tr w14:paraId="19CECBB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AF4F6C" w14:textId="77777777">
            <w:pPr>
              <w:jc w:val="center"/>
              <w:rPr>
                <w:rFonts w:cs="Calibri"/>
              </w:rPr>
            </w:pPr>
            <w:r w:rsidRPr="007D15C3">
              <w:rPr>
                <w:rFonts w:cs="Calibri"/>
              </w:rPr>
              <w:t>73983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86AF30" w14:textId="77777777">
            <w:pPr>
              <w:jc w:val="center"/>
              <w:rPr>
                <w:rFonts w:cs="Calibri"/>
              </w:rPr>
            </w:pPr>
            <w:r w:rsidRPr="007D15C3">
              <w:rPr>
                <w:rFonts w:cs="Calibri"/>
              </w:rPr>
              <w:t>WSBT-TV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FB8CD1" w14:textId="77777777">
            <w:pPr>
              <w:rPr>
                <w:rFonts w:cs="Calibri"/>
              </w:rPr>
            </w:pPr>
            <w:r w:rsidRPr="007D15C3">
              <w:rPr>
                <w:rFonts w:cs="Calibri"/>
              </w:rPr>
              <w:t xml:space="preserve">          1,691,194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56199A" w14:textId="77777777">
            <w:pPr>
              <w:rPr>
                <w:rFonts w:cs="Calibri"/>
              </w:rPr>
            </w:pPr>
            <w:r w:rsidRPr="007D15C3">
              <w:rPr>
                <w:rFonts w:cs="Calibri"/>
              </w:rPr>
              <w:t xml:space="preserve">            1,682,136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20DD19" w14:textId="77777777">
            <w:pPr>
              <w:jc w:val="right"/>
              <w:rPr>
                <w:rFonts w:cs="Calibri"/>
              </w:rPr>
            </w:pPr>
            <w:r w:rsidRPr="007D15C3">
              <w:rPr>
                <w:rFonts w:cs="Calibri"/>
              </w:rPr>
              <w:t>$13,183</w:t>
            </w:r>
          </w:p>
        </w:tc>
      </w:tr>
      <w:tr w14:paraId="68378A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6B12B0" w14:textId="77777777">
            <w:pPr>
              <w:jc w:val="center"/>
              <w:rPr>
                <w:rFonts w:cs="Calibri"/>
              </w:rPr>
            </w:pPr>
            <w:r w:rsidRPr="007D15C3">
              <w:rPr>
                <w:rFonts w:cs="Calibri"/>
              </w:rPr>
              <w:t>23960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B8BB88" w14:textId="77777777">
            <w:pPr>
              <w:jc w:val="center"/>
              <w:rPr>
                <w:rFonts w:cs="Calibri"/>
              </w:rPr>
            </w:pPr>
            <w:r w:rsidRPr="007D15C3">
              <w:rPr>
                <w:rFonts w:cs="Calibri"/>
              </w:rPr>
              <w:t>WSB-TV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FF4930" w14:textId="77777777">
            <w:pPr>
              <w:rPr>
                <w:rFonts w:cs="Calibri"/>
              </w:rPr>
            </w:pPr>
            <w:r w:rsidRPr="007D15C3">
              <w:rPr>
                <w:rFonts w:cs="Calibri"/>
              </w:rPr>
              <w:t xml:space="preserve">          5,893,810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A7AF26" w14:textId="77777777">
            <w:pPr>
              <w:rPr>
                <w:rFonts w:cs="Calibri"/>
              </w:rPr>
            </w:pPr>
            <w:r w:rsidRPr="007D15C3">
              <w:rPr>
                <w:rFonts w:cs="Calibri"/>
              </w:rPr>
              <w:t xml:space="preserve">            5,818,626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F71041" w14:textId="77777777">
            <w:pPr>
              <w:jc w:val="right"/>
              <w:rPr>
                <w:rFonts w:cs="Calibri"/>
              </w:rPr>
            </w:pPr>
            <w:r w:rsidRPr="007D15C3">
              <w:rPr>
                <w:rFonts w:cs="Calibri"/>
              </w:rPr>
              <w:t>$45,601</w:t>
            </w:r>
          </w:p>
        </w:tc>
      </w:tr>
      <w:tr w14:paraId="243570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5C70291" w14:textId="77777777">
            <w:pPr>
              <w:jc w:val="center"/>
              <w:rPr>
                <w:rFonts w:cs="Calibri"/>
              </w:rPr>
            </w:pPr>
            <w:r w:rsidRPr="007D15C3">
              <w:rPr>
                <w:rFonts w:cs="Calibri"/>
              </w:rPr>
              <w:t>69446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BA55A2" w14:textId="77777777">
            <w:pPr>
              <w:jc w:val="center"/>
              <w:rPr>
                <w:rFonts w:cs="Calibri"/>
              </w:rPr>
            </w:pPr>
            <w:r w:rsidRPr="007D15C3">
              <w:rPr>
                <w:rFonts w:cs="Calibri"/>
              </w:rPr>
              <w:t>WSCG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740357" w14:textId="77777777">
            <w:pPr>
              <w:rPr>
                <w:rFonts w:cs="Calibri"/>
              </w:rPr>
            </w:pPr>
            <w:r w:rsidRPr="007D15C3">
              <w:rPr>
                <w:rFonts w:cs="Calibri"/>
              </w:rPr>
              <w:t xml:space="preserve">             867,516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B0F221" w14:textId="77777777">
            <w:pPr>
              <w:rPr>
                <w:rFonts w:cs="Calibri"/>
              </w:rPr>
            </w:pPr>
            <w:r w:rsidRPr="007D15C3">
              <w:rPr>
                <w:rFonts w:cs="Calibri"/>
              </w:rPr>
              <w:t xml:space="preserve">               867,490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45A770" w14:textId="77777777">
            <w:pPr>
              <w:jc w:val="right"/>
              <w:rPr>
                <w:rFonts w:cs="Calibri"/>
              </w:rPr>
            </w:pPr>
            <w:r w:rsidRPr="007D15C3">
              <w:rPr>
                <w:rFonts w:cs="Calibri"/>
              </w:rPr>
              <w:t>$6,799</w:t>
            </w:r>
          </w:p>
        </w:tc>
      </w:tr>
      <w:tr w14:paraId="76CF585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2A6979" w14:textId="77777777">
            <w:pPr>
              <w:jc w:val="center"/>
              <w:rPr>
                <w:rFonts w:cs="Calibri"/>
              </w:rPr>
            </w:pPr>
            <w:r w:rsidRPr="007D15C3">
              <w:rPr>
                <w:rFonts w:cs="Calibri"/>
              </w:rPr>
              <w:t>64971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1D018D" w14:textId="77777777">
            <w:pPr>
              <w:jc w:val="center"/>
              <w:rPr>
                <w:rFonts w:cs="Calibri"/>
              </w:rPr>
            </w:pPr>
            <w:r w:rsidRPr="007D15C3">
              <w:rPr>
                <w:rFonts w:cs="Calibri"/>
              </w:rPr>
              <w:t>WSCV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D159B6" w14:textId="77777777">
            <w:pPr>
              <w:rPr>
                <w:rFonts w:cs="Calibri"/>
              </w:rPr>
            </w:pPr>
            <w:r w:rsidRPr="007D15C3">
              <w:rPr>
                <w:rFonts w:cs="Calibri"/>
              </w:rPr>
              <w:t xml:space="preserve">          5,465,435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6B6CA3" w14:textId="77777777">
            <w:pPr>
              <w:rPr>
                <w:rFonts w:cs="Calibri"/>
              </w:rPr>
            </w:pPr>
            <w:r w:rsidRPr="007D15C3">
              <w:rPr>
                <w:rFonts w:cs="Calibri"/>
              </w:rPr>
              <w:t xml:space="preserve">            5,465,435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339B08" w14:textId="77777777">
            <w:pPr>
              <w:jc w:val="right"/>
              <w:rPr>
                <w:rFonts w:cs="Calibri"/>
              </w:rPr>
            </w:pPr>
            <w:r w:rsidRPr="007D15C3">
              <w:rPr>
                <w:rFonts w:cs="Calibri"/>
              </w:rPr>
              <w:t>$42,833</w:t>
            </w:r>
          </w:p>
        </w:tc>
      </w:tr>
      <w:tr w14:paraId="048D7A7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7E25E2" w14:textId="77777777">
            <w:pPr>
              <w:jc w:val="center"/>
              <w:rPr>
                <w:rFonts w:cs="Calibri"/>
              </w:rPr>
            </w:pPr>
            <w:r w:rsidRPr="007D15C3">
              <w:rPr>
                <w:rFonts w:cs="Calibri"/>
              </w:rPr>
              <w:t>70536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7FFBD7" w14:textId="77777777">
            <w:pPr>
              <w:jc w:val="center"/>
              <w:rPr>
                <w:rFonts w:cs="Calibri"/>
              </w:rPr>
            </w:pPr>
            <w:r w:rsidRPr="007D15C3">
              <w:rPr>
                <w:rFonts w:cs="Calibri"/>
              </w:rPr>
              <w:t>WSEC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ED0514" w14:textId="77777777">
            <w:pPr>
              <w:rPr>
                <w:rFonts w:cs="Calibri"/>
              </w:rPr>
            </w:pPr>
            <w:r w:rsidRPr="007D15C3">
              <w:rPr>
                <w:rFonts w:cs="Calibri"/>
              </w:rPr>
              <w:t xml:space="preserve">             522,349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E89CEC" w14:textId="77777777">
            <w:pPr>
              <w:rPr>
                <w:rFonts w:cs="Calibri"/>
              </w:rPr>
            </w:pPr>
            <w:r w:rsidRPr="007D15C3">
              <w:rPr>
                <w:rFonts w:cs="Calibri"/>
              </w:rPr>
              <w:t xml:space="preserve">               521,730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D8C1BE" w14:textId="77777777">
            <w:pPr>
              <w:jc w:val="right"/>
              <w:rPr>
                <w:rFonts w:cs="Calibri"/>
              </w:rPr>
            </w:pPr>
            <w:r w:rsidRPr="007D15C3">
              <w:rPr>
                <w:rFonts w:cs="Calibri"/>
              </w:rPr>
              <w:t>$4,089</w:t>
            </w:r>
          </w:p>
        </w:tc>
      </w:tr>
      <w:tr w14:paraId="6E82DC22"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A000B2" w14:textId="77777777">
            <w:pPr>
              <w:jc w:val="center"/>
              <w:rPr>
                <w:rFonts w:cs="Calibri"/>
              </w:rPr>
            </w:pPr>
            <w:r w:rsidRPr="007D15C3">
              <w:rPr>
                <w:rFonts w:cs="Calibri"/>
              </w:rPr>
              <w:t>49711</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0F4781DC" w14:textId="77777777">
            <w:pPr>
              <w:jc w:val="center"/>
              <w:rPr>
                <w:rFonts w:cs="Calibri"/>
              </w:rPr>
            </w:pPr>
            <w:r w:rsidRPr="007D15C3">
              <w:rPr>
                <w:rFonts w:cs="Calibri"/>
              </w:rPr>
              <w:t>WSEE-TV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54D9C8E" w14:textId="77777777">
            <w:pPr>
              <w:rPr>
                <w:rFonts w:cs="Calibri"/>
              </w:rPr>
            </w:pPr>
            <w:r w:rsidRPr="007D15C3">
              <w:rPr>
                <w:rFonts w:cs="Calibri"/>
              </w:rPr>
              <w:t xml:space="preserve">             613,176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D7BBFF0" w14:textId="77777777">
            <w:pPr>
              <w:rPr>
                <w:rFonts w:cs="Calibri"/>
              </w:rPr>
            </w:pPr>
            <w:r w:rsidRPr="007D15C3">
              <w:rPr>
                <w:rFonts w:cs="Calibri"/>
              </w:rPr>
              <w:t xml:space="preserve">               595,476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F7F378D" w14:textId="77777777">
            <w:pPr>
              <w:jc w:val="right"/>
              <w:rPr>
                <w:rFonts w:cs="Calibri"/>
              </w:rPr>
            </w:pPr>
            <w:r w:rsidRPr="007D15C3">
              <w:rPr>
                <w:rFonts w:cs="Calibri"/>
              </w:rPr>
              <w:t>$4,667</w:t>
            </w:r>
          </w:p>
        </w:tc>
      </w:tr>
      <w:tr w14:paraId="1ACE5A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44023C" w14:textId="77777777">
            <w:pPr>
              <w:jc w:val="center"/>
              <w:rPr>
                <w:rFonts w:cs="Calibri"/>
              </w:rPr>
            </w:pPr>
            <w:r w:rsidRPr="007D15C3">
              <w:rPr>
                <w:rFonts w:cs="Calibri"/>
              </w:rPr>
              <w:t>21258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167145" w14:textId="77777777">
            <w:pPr>
              <w:jc w:val="center"/>
              <w:rPr>
                <w:rFonts w:cs="Calibri"/>
              </w:rPr>
            </w:pPr>
            <w:r w:rsidRPr="007D15C3">
              <w:rPr>
                <w:rFonts w:cs="Calibri"/>
              </w:rPr>
              <w:t>WSES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0423C1" w14:textId="77777777">
            <w:pPr>
              <w:rPr>
                <w:rFonts w:cs="Calibri"/>
              </w:rPr>
            </w:pPr>
            <w:r w:rsidRPr="007D15C3">
              <w:rPr>
                <w:rFonts w:cs="Calibri"/>
              </w:rPr>
              <w:t xml:space="preserve">          1,548,117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DC8C16" w14:textId="77777777">
            <w:pPr>
              <w:rPr>
                <w:rFonts w:cs="Calibri"/>
              </w:rPr>
            </w:pPr>
            <w:r w:rsidRPr="007D15C3">
              <w:rPr>
                <w:rFonts w:cs="Calibri"/>
              </w:rPr>
              <w:t xml:space="preserve">            1,513,982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F71430" w14:textId="77777777">
            <w:pPr>
              <w:jc w:val="right"/>
              <w:rPr>
                <w:rFonts w:cs="Calibri"/>
              </w:rPr>
            </w:pPr>
            <w:r w:rsidRPr="007D15C3">
              <w:rPr>
                <w:rFonts w:cs="Calibri"/>
              </w:rPr>
              <w:t>$11,865</w:t>
            </w:r>
          </w:p>
        </w:tc>
      </w:tr>
      <w:tr w14:paraId="47D747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6D9552" w14:textId="77777777">
            <w:pPr>
              <w:jc w:val="center"/>
              <w:rPr>
                <w:rFonts w:cs="Calibri"/>
              </w:rPr>
            </w:pPr>
            <w:r w:rsidRPr="007D15C3">
              <w:rPr>
                <w:rFonts w:cs="Calibri"/>
              </w:rPr>
              <w:t>73988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066E6F" w14:textId="77777777">
            <w:pPr>
              <w:jc w:val="center"/>
              <w:rPr>
                <w:rFonts w:cs="Calibri"/>
              </w:rPr>
            </w:pPr>
            <w:r w:rsidRPr="007D15C3">
              <w:rPr>
                <w:rFonts w:cs="Calibri"/>
              </w:rPr>
              <w:t>WSET-TV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C79E13" w14:textId="77777777">
            <w:pPr>
              <w:rPr>
                <w:rFonts w:cs="Calibri"/>
              </w:rPr>
            </w:pPr>
            <w:r w:rsidRPr="007D15C3">
              <w:rPr>
                <w:rFonts w:cs="Calibri"/>
              </w:rPr>
              <w:t xml:space="preserve">          1,569,722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07FB39" w14:textId="77777777">
            <w:pPr>
              <w:rPr>
                <w:rFonts w:cs="Calibri"/>
              </w:rPr>
            </w:pPr>
            <w:r w:rsidRPr="007D15C3">
              <w:rPr>
                <w:rFonts w:cs="Calibri"/>
              </w:rPr>
              <w:t xml:space="preserve">            1,323,180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3D75A6" w14:textId="77777777">
            <w:pPr>
              <w:jc w:val="right"/>
              <w:rPr>
                <w:rFonts w:cs="Calibri"/>
              </w:rPr>
            </w:pPr>
            <w:r w:rsidRPr="007D15C3">
              <w:rPr>
                <w:rFonts w:cs="Calibri"/>
              </w:rPr>
              <w:t>$10,370</w:t>
            </w:r>
          </w:p>
        </w:tc>
      </w:tr>
      <w:tr w14:paraId="3319D7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8D0B76C" w14:textId="77777777">
            <w:pPr>
              <w:jc w:val="center"/>
              <w:rPr>
                <w:rFonts w:cs="Calibri"/>
              </w:rPr>
            </w:pPr>
            <w:r w:rsidRPr="007D15C3">
              <w:rPr>
                <w:rFonts w:cs="Calibri"/>
              </w:rPr>
              <w:t>13993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197C6E" w14:textId="77777777">
            <w:pPr>
              <w:jc w:val="center"/>
              <w:rPr>
                <w:rFonts w:cs="Calibri"/>
              </w:rPr>
            </w:pPr>
            <w:r w:rsidRPr="007D15C3">
              <w:rPr>
                <w:rFonts w:cs="Calibri"/>
              </w:rPr>
              <w:t>WSFA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C76BC3" w14:textId="77777777">
            <w:pPr>
              <w:rPr>
                <w:rFonts w:cs="Calibri"/>
              </w:rPr>
            </w:pPr>
            <w:r w:rsidRPr="007D15C3">
              <w:rPr>
                <w:rFonts w:cs="Calibri"/>
              </w:rPr>
              <w:t xml:space="preserve">          1,168,636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7E15F1" w14:textId="77777777">
            <w:pPr>
              <w:rPr>
                <w:rFonts w:cs="Calibri"/>
              </w:rPr>
            </w:pPr>
            <w:r w:rsidRPr="007D15C3">
              <w:rPr>
                <w:rFonts w:cs="Calibri"/>
              </w:rPr>
              <w:t xml:space="preserve">            1,133,724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1CB35D" w14:textId="77777777">
            <w:pPr>
              <w:jc w:val="right"/>
              <w:rPr>
                <w:rFonts w:cs="Calibri"/>
              </w:rPr>
            </w:pPr>
            <w:r w:rsidRPr="007D15C3">
              <w:rPr>
                <w:rFonts w:cs="Calibri"/>
              </w:rPr>
              <w:t>$8,885</w:t>
            </w:r>
          </w:p>
        </w:tc>
      </w:tr>
      <w:tr w14:paraId="17CB293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6DCFE7" w14:textId="77777777">
            <w:pPr>
              <w:jc w:val="center"/>
              <w:rPr>
                <w:rFonts w:cs="Calibri"/>
              </w:rPr>
            </w:pPr>
            <w:r w:rsidRPr="007D15C3">
              <w:rPr>
                <w:rFonts w:cs="Calibri"/>
              </w:rPr>
              <w:t>11118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CD8870" w14:textId="77777777">
            <w:pPr>
              <w:jc w:val="center"/>
              <w:rPr>
                <w:rFonts w:cs="Calibri"/>
              </w:rPr>
            </w:pPr>
            <w:r w:rsidRPr="007D15C3">
              <w:rPr>
                <w:rFonts w:cs="Calibri"/>
              </w:rPr>
              <w:t>WSFJ-TV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F82162" w14:textId="77777777">
            <w:pPr>
              <w:rPr>
                <w:rFonts w:cs="Calibri"/>
              </w:rPr>
            </w:pPr>
            <w:r w:rsidRPr="007D15C3">
              <w:rPr>
                <w:rFonts w:cs="Calibri"/>
              </w:rPr>
              <w:t xml:space="preserve">          1,675,987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2572D0" w14:textId="77777777">
            <w:pPr>
              <w:rPr>
                <w:rFonts w:cs="Calibri"/>
              </w:rPr>
            </w:pPr>
            <w:r w:rsidRPr="007D15C3">
              <w:rPr>
                <w:rFonts w:cs="Calibri"/>
              </w:rPr>
              <w:t xml:space="preserve">            1,667,150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B2509C" w14:textId="77777777">
            <w:pPr>
              <w:jc w:val="right"/>
              <w:rPr>
                <w:rFonts w:cs="Calibri"/>
              </w:rPr>
            </w:pPr>
            <w:r w:rsidRPr="007D15C3">
              <w:rPr>
                <w:rFonts w:cs="Calibri"/>
              </w:rPr>
              <w:t>$13,065</w:t>
            </w:r>
          </w:p>
        </w:tc>
      </w:tr>
      <w:tr w14:paraId="79F9FC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FA1A2F" w14:textId="77777777">
            <w:pPr>
              <w:jc w:val="center"/>
              <w:rPr>
                <w:rFonts w:cs="Calibri"/>
              </w:rPr>
            </w:pPr>
            <w:r w:rsidRPr="007D15C3">
              <w:rPr>
                <w:rFonts w:cs="Calibri"/>
              </w:rPr>
              <w:t>10203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CB596D" w14:textId="77777777">
            <w:pPr>
              <w:jc w:val="center"/>
              <w:rPr>
                <w:rFonts w:cs="Calibri"/>
              </w:rPr>
            </w:pPr>
            <w:r w:rsidRPr="007D15C3">
              <w:rPr>
                <w:rFonts w:cs="Calibri"/>
              </w:rPr>
              <w:t>WSFL-TV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326C63" w14:textId="77777777">
            <w:pPr>
              <w:rPr>
                <w:rFonts w:cs="Calibri"/>
              </w:rPr>
            </w:pPr>
            <w:r w:rsidRPr="007D15C3">
              <w:rPr>
                <w:rFonts w:cs="Calibri"/>
              </w:rPr>
              <w:t xml:space="preserve">          5,344,129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74D7DF" w14:textId="77777777">
            <w:pPr>
              <w:rPr>
                <w:rFonts w:cs="Calibri"/>
              </w:rPr>
            </w:pPr>
            <w:r w:rsidRPr="007D15C3">
              <w:rPr>
                <w:rFonts w:cs="Calibri"/>
              </w:rPr>
              <w:t xml:space="preserve">            5,344,129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8A7D69" w14:textId="77777777">
            <w:pPr>
              <w:jc w:val="right"/>
              <w:rPr>
                <w:rFonts w:cs="Calibri"/>
              </w:rPr>
            </w:pPr>
            <w:r w:rsidRPr="007D15C3">
              <w:rPr>
                <w:rFonts w:cs="Calibri"/>
              </w:rPr>
              <w:t>$41,882</w:t>
            </w:r>
          </w:p>
        </w:tc>
      </w:tr>
      <w:tr w14:paraId="145259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675ED8" w14:textId="77777777">
            <w:pPr>
              <w:jc w:val="center"/>
              <w:rPr>
                <w:rFonts w:cs="Calibri"/>
              </w:rPr>
            </w:pPr>
            <w:r w:rsidRPr="007D15C3">
              <w:rPr>
                <w:rFonts w:cs="Calibri"/>
              </w:rPr>
              <w:t>72871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AE37F2" w14:textId="77777777">
            <w:pPr>
              <w:jc w:val="center"/>
              <w:rPr>
                <w:rFonts w:cs="Calibri"/>
              </w:rPr>
            </w:pPr>
            <w:r w:rsidRPr="007D15C3">
              <w:rPr>
                <w:rFonts w:cs="Calibri"/>
              </w:rPr>
              <w:t>WSFX-TV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A51097" w14:textId="77777777">
            <w:pPr>
              <w:rPr>
                <w:rFonts w:cs="Calibri"/>
              </w:rPr>
            </w:pPr>
            <w:r w:rsidRPr="007D15C3">
              <w:rPr>
                <w:rFonts w:cs="Calibri"/>
              </w:rPr>
              <w:t xml:space="preserve">             928,247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7A23E1" w14:textId="77777777">
            <w:pPr>
              <w:rPr>
                <w:rFonts w:cs="Calibri"/>
              </w:rPr>
            </w:pPr>
            <w:r w:rsidRPr="007D15C3">
              <w:rPr>
                <w:rFonts w:cs="Calibri"/>
              </w:rPr>
              <w:t xml:space="preserve">               928,247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BF6354" w14:textId="77777777">
            <w:pPr>
              <w:jc w:val="right"/>
              <w:rPr>
                <w:rFonts w:cs="Calibri"/>
              </w:rPr>
            </w:pPr>
            <w:r w:rsidRPr="007D15C3">
              <w:rPr>
                <w:rFonts w:cs="Calibri"/>
              </w:rPr>
              <w:t>$7,275</w:t>
            </w:r>
          </w:p>
        </w:tc>
      </w:tr>
      <w:tr w14:paraId="6EE2F31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637780B" w14:textId="77777777">
            <w:pPr>
              <w:jc w:val="center"/>
              <w:rPr>
                <w:rFonts w:cs="Calibri"/>
              </w:rPr>
            </w:pPr>
            <w:r w:rsidRPr="007D15C3">
              <w:rPr>
                <w:rFonts w:cs="Calibri"/>
              </w:rPr>
              <w:t>73999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051EE2" w14:textId="77777777">
            <w:pPr>
              <w:jc w:val="center"/>
              <w:rPr>
                <w:rFonts w:cs="Calibri"/>
              </w:rPr>
            </w:pPr>
            <w:r w:rsidRPr="007D15C3">
              <w:rPr>
                <w:rFonts w:cs="Calibri"/>
              </w:rPr>
              <w:t>WSIL-TV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7E7242" w14:textId="77777777">
            <w:pPr>
              <w:rPr>
                <w:rFonts w:cs="Calibri"/>
              </w:rPr>
            </w:pPr>
            <w:r w:rsidRPr="007D15C3">
              <w:rPr>
                <w:rFonts w:cs="Calibri"/>
              </w:rPr>
              <w:t xml:space="preserve">             672,560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F2239F" w14:textId="77777777">
            <w:pPr>
              <w:rPr>
                <w:rFonts w:cs="Calibri"/>
              </w:rPr>
            </w:pPr>
            <w:r w:rsidRPr="007D15C3">
              <w:rPr>
                <w:rFonts w:cs="Calibri"/>
              </w:rPr>
              <w:t xml:space="preserve">               669,176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4D55D7" w14:textId="77777777">
            <w:pPr>
              <w:jc w:val="right"/>
              <w:rPr>
                <w:rFonts w:cs="Calibri"/>
              </w:rPr>
            </w:pPr>
            <w:r w:rsidRPr="007D15C3">
              <w:rPr>
                <w:rFonts w:cs="Calibri"/>
              </w:rPr>
              <w:t>$5,244</w:t>
            </w:r>
          </w:p>
        </w:tc>
      </w:tr>
      <w:tr w14:paraId="6B44E22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94BF55" w14:textId="77777777">
            <w:pPr>
              <w:jc w:val="center"/>
              <w:rPr>
                <w:rFonts w:cs="Calibri"/>
              </w:rPr>
            </w:pPr>
            <w:r w:rsidRPr="007D15C3">
              <w:rPr>
                <w:rFonts w:cs="Calibri"/>
              </w:rPr>
              <w:t>4297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7CCAAA" w14:textId="77777777">
            <w:pPr>
              <w:jc w:val="center"/>
              <w:rPr>
                <w:rFonts w:cs="Calibri"/>
              </w:rPr>
            </w:pPr>
            <w:r w:rsidRPr="007D15C3">
              <w:rPr>
                <w:rFonts w:cs="Calibri"/>
              </w:rPr>
              <w:t>WSIU-TV*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77AABB" w14:textId="77777777">
            <w:pPr>
              <w:rPr>
                <w:rFonts w:cs="Calibri"/>
              </w:rPr>
            </w:pPr>
            <w:r w:rsidRPr="007D15C3">
              <w:rPr>
                <w:rFonts w:cs="Calibri"/>
              </w:rPr>
              <w:t xml:space="preserve">          1,019,939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DDB302" w14:textId="77777777">
            <w:pPr>
              <w:jc w:val="right"/>
              <w:rPr>
                <w:rFonts w:cs="Calibri"/>
              </w:rPr>
            </w:pPr>
            <w:r w:rsidRPr="007D15C3">
              <w:rPr>
                <w:rFonts w:cs="Calibri"/>
              </w:rPr>
              <w:t xml:space="preserve">            937,070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291CDB" w14:textId="77777777">
            <w:pPr>
              <w:jc w:val="right"/>
              <w:rPr>
                <w:rFonts w:cs="Calibri"/>
              </w:rPr>
            </w:pPr>
            <w:r w:rsidRPr="007D15C3">
              <w:rPr>
                <w:rFonts w:cs="Calibri"/>
              </w:rPr>
              <w:t>$7,344</w:t>
            </w:r>
          </w:p>
        </w:tc>
      </w:tr>
      <w:tr w14:paraId="0D7AB6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CA6231A" w14:textId="77777777">
            <w:pPr>
              <w:jc w:val="center"/>
              <w:rPr>
                <w:rFonts w:cs="Calibri"/>
              </w:rPr>
            </w:pPr>
            <w:r w:rsidRPr="007D15C3">
              <w:rPr>
                <w:rFonts w:cs="Calibri"/>
              </w:rPr>
              <w:t>74007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9D8A5E" w14:textId="77777777">
            <w:pPr>
              <w:jc w:val="center"/>
              <w:rPr>
                <w:rFonts w:cs="Calibri"/>
              </w:rPr>
            </w:pPr>
            <w:r w:rsidRPr="007D15C3">
              <w:rPr>
                <w:rFonts w:cs="Calibri"/>
              </w:rPr>
              <w:t>WSJV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D1FD88" w14:textId="77777777">
            <w:pPr>
              <w:rPr>
                <w:rFonts w:cs="Calibri"/>
              </w:rPr>
            </w:pPr>
            <w:r w:rsidRPr="007D15C3">
              <w:rPr>
                <w:rFonts w:cs="Calibri"/>
              </w:rPr>
              <w:t xml:space="preserve">          1,522,499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F82BE4" w14:textId="77777777">
            <w:pPr>
              <w:rPr>
                <w:rFonts w:cs="Calibri"/>
              </w:rPr>
            </w:pPr>
            <w:r w:rsidRPr="007D15C3">
              <w:rPr>
                <w:rFonts w:cs="Calibri"/>
              </w:rPr>
              <w:t xml:space="preserve">            1,522,499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B8895E" w14:textId="77777777">
            <w:pPr>
              <w:jc w:val="right"/>
              <w:rPr>
                <w:rFonts w:cs="Calibri"/>
              </w:rPr>
            </w:pPr>
            <w:r w:rsidRPr="007D15C3">
              <w:rPr>
                <w:rFonts w:cs="Calibri"/>
              </w:rPr>
              <w:t>$11,932</w:t>
            </w:r>
          </w:p>
        </w:tc>
      </w:tr>
      <w:tr w14:paraId="0499476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AC1D83" w14:textId="77777777">
            <w:pPr>
              <w:jc w:val="center"/>
              <w:rPr>
                <w:rFonts w:cs="Calibri"/>
              </w:rPr>
            </w:pPr>
            <w:r w:rsidRPr="007D15C3">
              <w:rPr>
                <w:rFonts w:cs="Calibri"/>
              </w:rPr>
              <w:t>78908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F50EC4" w14:textId="77777777">
            <w:pPr>
              <w:jc w:val="center"/>
              <w:rPr>
                <w:rFonts w:cs="Calibri"/>
              </w:rPr>
            </w:pPr>
            <w:r w:rsidRPr="007D15C3">
              <w:rPr>
                <w:rFonts w:cs="Calibri"/>
              </w:rPr>
              <w:t>WSKA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446FC9" w14:textId="77777777">
            <w:pPr>
              <w:rPr>
                <w:rFonts w:cs="Calibri"/>
              </w:rPr>
            </w:pPr>
            <w:r w:rsidRPr="007D15C3">
              <w:rPr>
                <w:rFonts w:cs="Calibri"/>
              </w:rPr>
              <w:t xml:space="preserve">             546,588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815227" w14:textId="77777777">
            <w:pPr>
              <w:rPr>
                <w:rFonts w:cs="Calibri"/>
              </w:rPr>
            </w:pPr>
            <w:r w:rsidRPr="007D15C3">
              <w:rPr>
                <w:rFonts w:cs="Calibri"/>
              </w:rPr>
              <w:t xml:space="preserve">               431,354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397DBB" w14:textId="77777777">
            <w:pPr>
              <w:jc w:val="right"/>
              <w:rPr>
                <w:rFonts w:cs="Calibri"/>
              </w:rPr>
            </w:pPr>
            <w:r w:rsidRPr="007D15C3">
              <w:rPr>
                <w:rFonts w:cs="Calibri"/>
              </w:rPr>
              <w:t>$3,381</w:t>
            </w:r>
          </w:p>
        </w:tc>
      </w:tr>
      <w:tr w14:paraId="195480C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55E7EF" w14:textId="77777777">
            <w:pPr>
              <w:jc w:val="center"/>
              <w:rPr>
                <w:rFonts w:cs="Calibri"/>
              </w:rPr>
            </w:pPr>
            <w:r w:rsidRPr="007D15C3">
              <w:rPr>
                <w:rFonts w:cs="Calibri"/>
              </w:rPr>
              <w:t>74034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AF6C4F" w14:textId="77777777">
            <w:pPr>
              <w:jc w:val="center"/>
              <w:rPr>
                <w:rFonts w:cs="Calibri"/>
              </w:rPr>
            </w:pPr>
            <w:r w:rsidRPr="007D15C3">
              <w:rPr>
                <w:rFonts w:cs="Calibri"/>
              </w:rPr>
              <w:t>WSKG-TV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DAB3D2" w14:textId="77777777">
            <w:pPr>
              <w:rPr>
                <w:rFonts w:cs="Calibri"/>
              </w:rPr>
            </w:pPr>
            <w:r w:rsidRPr="007D15C3">
              <w:rPr>
                <w:rFonts w:cs="Calibri"/>
              </w:rPr>
              <w:t xml:space="preserve">             892,439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313DB5" w14:textId="77777777">
            <w:pPr>
              <w:rPr>
                <w:rFonts w:cs="Calibri"/>
              </w:rPr>
            </w:pPr>
            <w:r w:rsidRPr="007D15C3">
              <w:rPr>
                <w:rFonts w:cs="Calibri"/>
              </w:rPr>
              <w:t xml:space="preserve">               624,282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1907FE" w14:textId="77777777">
            <w:pPr>
              <w:jc w:val="right"/>
              <w:rPr>
                <w:rFonts w:cs="Calibri"/>
              </w:rPr>
            </w:pPr>
            <w:r w:rsidRPr="007D15C3">
              <w:rPr>
                <w:rFonts w:cs="Calibri"/>
              </w:rPr>
              <w:t>$4,892</w:t>
            </w:r>
          </w:p>
        </w:tc>
      </w:tr>
      <w:tr w14:paraId="38F0202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DE1708" w14:textId="77777777">
            <w:pPr>
              <w:jc w:val="center"/>
              <w:rPr>
                <w:rFonts w:cs="Calibri"/>
              </w:rPr>
            </w:pPr>
            <w:r w:rsidRPr="007D15C3">
              <w:rPr>
                <w:rFonts w:cs="Calibri"/>
              </w:rPr>
              <w:t>76324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267096" w14:textId="77777777">
            <w:pPr>
              <w:jc w:val="center"/>
              <w:rPr>
                <w:rFonts w:cs="Calibri"/>
              </w:rPr>
            </w:pPr>
            <w:r w:rsidRPr="007D15C3">
              <w:rPr>
                <w:rFonts w:cs="Calibri"/>
              </w:rPr>
              <w:t>WSKY-TV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BA0CCD" w14:textId="77777777">
            <w:pPr>
              <w:rPr>
                <w:rFonts w:cs="Calibri"/>
              </w:rPr>
            </w:pPr>
            <w:r w:rsidRPr="007D15C3">
              <w:rPr>
                <w:rFonts w:cs="Calibri"/>
              </w:rPr>
              <w:t xml:space="preserve">          1,934,585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89D3F0" w14:textId="77777777">
            <w:pPr>
              <w:rPr>
                <w:rFonts w:cs="Calibri"/>
              </w:rPr>
            </w:pPr>
            <w:r w:rsidRPr="007D15C3">
              <w:rPr>
                <w:rFonts w:cs="Calibri"/>
              </w:rPr>
              <w:t xml:space="preserve">            1,934,519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947241" w14:textId="77777777">
            <w:pPr>
              <w:jc w:val="right"/>
              <w:rPr>
                <w:rFonts w:cs="Calibri"/>
              </w:rPr>
            </w:pPr>
            <w:r w:rsidRPr="007D15C3">
              <w:rPr>
                <w:rFonts w:cs="Calibri"/>
              </w:rPr>
              <w:t>$15,161</w:t>
            </w:r>
          </w:p>
        </w:tc>
      </w:tr>
      <w:tr w14:paraId="55576EC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0F1BDC" w14:textId="77777777">
            <w:pPr>
              <w:jc w:val="center"/>
              <w:rPr>
                <w:rFonts w:cs="Calibri"/>
              </w:rPr>
            </w:pPr>
            <w:r w:rsidRPr="007D15C3">
              <w:rPr>
                <w:rFonts w:cs="Calibri"/>
              </w:rPr>
              <w:t>57840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ACCBFF" w14:textId="77777777">
            <w:pPr>
              <w:jc w:val="center"/>
              <w:rPr>
                <w:rFonts w:cs="Calibri"/>
              </w:rPr>
            </w:pPr>
            <w:r w:rsidRPr="007D15C3">
              <w:rPr>
                <w:rFonts w:cs="Calibri"/>
              </w:rPr>
              <w:t>WSLS-TV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1ABFE4" w14:textId="77777777">
            <w:pPr>
              <w:rPr>
                <w:rFonts w:cs="Calibri"/>
              </w:rPr>
            </w:pPr>
            <w:r w:rsidRPr="007D15C3">
              <w:rPr>
                <w:rFonts w:cs="Calibri"/>
              </w:rPr>
              <w:t xml:space="preserve">          1,447,286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4067E5" w14:textId="77777777">
            <w:pPr>
              <w:rPr>
                <w:rFonts w:cs="Calibri"/>
              </w:rPr>
            </w:pPr>
            <w:r w:rsidRPr="007D15C3">
              <w:rPr>
                <w:rFonts w:cs="Calibri"/>
              </w:rPr>
              <w:t xml:space="preserve">            1,277,753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DE7C68" w14:textId="77777777">
            <w:pPr>
              <w:jc w:val="right"/>
              <w:rPr>
                <w:rFonts w:cs="Calibri"/>
              </w:rPr>
            </w:pPr>
            <w:r w:rsidRPr="007D15C3">
              <w:rPr>
                <w:rFonts w:cs="Calibri"/>
              </w:rPr>
              <w:t>$10,014</w:t>
            </w:r>
          </w:p>
        </w:tc>
      </w:tr>
      <w:tr w14:paraId="4C8DF0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42CA8D" w14:textId="77777777">
            <w:pPr>
              <w:jc w:val="center"/>
              <w:rPr>
                <w:rFonts w:cs="Calibri"/>
              </w:rPr>
            </w:pPr>
            <w:r w:rsidRPr="007D15C3">
              <w:rPr>
                <w:rFonts w:cs="Calibri"/>
              </w:rPr>
              <w:t>21737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61446A" w14:textId="77777777">
            <w:pPr>
              <w:jc w:val="center"/>
              <w:rPr>
                <w:rFonts w:cs="Calibri"/>
              </w:rPr>
            </w:pPr>
            <w:r w:rsidRPr="007D15C3">
              <w:rPr>
                <w:rFonts w:cs="Calibri"/>
              </w:rPr>
              <w:t>WSMH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8A4B07" w14:textId="77777777">
            <w:pPr>
              <w:rPr>
                <w:rFonts w:cs="Calibri"/>
              </w:rPr>
            </w:pPr>
            <w:r w:rsidRPr="007D15C3">
              <w:rPr>
                <w:rFonts w:cs="Calibri"/>
              </w:rPr>
              <w:t xml:space="preserve">          2,339,224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6D5869" w14:textId="77777777">
            <w:pPr>
              <w:rPr>
                <w:rFonts w:cs="Calibri"/>
              </w:rPr>
            </w:pPr>
            <w:r w:rsidRPr="007D15C3">
              <w:rPr>
                <w:rFonts w:cs="Calibri"/>
              </w:rPr>
              <w:t xml:space="preserve">            2,327,660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E57A34" w14:textId="77777777">
            <w:pPr>
              <w:jc w:val="right"/>
              <w:rPr>
                <w:rFonts w:cs="Calibri"/>
              </w:rPr>
            </w:pPr>
            <w:r w:rsidRPr="007D15C3">
              <w:rPr>
                <w:rFonts w:cs="Calibri"/>
              </w:rPr>
              <w:t>$18,242</w:t>
            </w:r>
          </w:p>
        </w:tc>
      </w:tr>
      <w:tr w14:paraId="536B436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4AE098" w14:textId="77777777">
            <w:pPr>
              <w:jc w:val="center"/>
              <w:rPr>
                <w:rFonts w:cs="Calibri"/>
              </w:rPr>
            </w:pPr>
            <w:r w:rsidRPr="007D15C3">
              <w:rPr>
                <w:rFonts w:cs="Calibri"/>
              </w:rPr>
              <w:t>41232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972BFD" w14:textId="77777777">
            <w:pPr>
              <w:jc w:val="center"/>
              <w:rPr>
                <w:rFonts w:cs="Calibri"/>
              </w:rPr>
            </w:pPr>
            <w:r w:rsidRPr="007D15C3">
              <w:rPr>
                <w:rFonts w:cs="Calibri"/>
              </w:rPr>
              <w:t>WSMV-TV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7F8404" w14:textId="77777777">
            <w:pPr>
              <w:rPr>
                <w:rFonts w:cs="Calibri"/>
              </w:rPr>
            </w:pPr>
            <w:r w:rsidRPr="007D15C3">
              <w:rPr>
                <w:rFonts w:cs="Calibri"/>
              </w:rPr>
              <w:t xml:space="preserve">          2,447,769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F87800" w14:textId="77777777">
            <w:pPr>
              <w:rPr>
                <w:rFonts w:cs="Calibri"/>
              </w:rPr>
            </w:pPr>
            <w:r w:rsidRPr="007D15C3">
              <w:rPr>
                <w:rFonts w:cs="Calibri"/>
              </w:rPr>
              <w:t xml:space="preserve">            2,404,766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207D15" w14:textId="77777777">
            <w:pPr>
              <w:jc w:val="right"/>
              <w:rPr>
                <w:rFonts w:cs="Calibri"/>
              </w:rPr>
            </w:pPr>
            <w:r w:rsidRPr="007D15C3">
              <w:rPr>
                <w:rFonts w:cs="Calibri"/>
              </w:rPr>
              <w:t>$18,846</w:t>
            </w:r>
          </w:p>
        </w:tc>
      </w:tr>
      <w:tr w14:paraId="7F6A2F8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04B548" w14:textId="77777777">
            <w:pPr>
              <w:jc w:val="center"/>
              <w:rPr>
                <w:rFonts w:cs="Calibri"/>
              </w:rPr>
            </w:pPr>
            <w:r w:rsidRPr="007D15C3">
              <w:rPr>
                <w:rFonts w:cs="Calibri"/>
              </w:rPr>
              <w:t>70119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AB6B37" w14:textId="77777777">
            <w:pPr>
              <w:jc w:val="center"/>
              <w:rPr>
                <w:rFonts w:cs="Calibri"/>
              </w:rPr>
            </w:pPr>
            <w:r w:rsidRPr="007D15C3">
              <w:rPr>
                <w:rFonts w:cs="Calibri"/>
              </w:rPr>
              <w:t>WSNS-TV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3CF193" w14:textId="77777777">
            <w:pPr>
              <w:rPr>
                <w:rFonts w:cs="Calibri"/>
              </w:rPr>
            </w:pPr>
            <w:r w:rsidRPr="007D15C3">
              <w:rPr>
                <w:rFonts w:cs="Calibri"/>
              </w:rPr>
              <w:t xml:space="preserve">          9,914,395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0C7104" w14:textId="77777777">
            <w:pPr>
              <w:rPr>
                <w:rFonts w:cs="Calibri"/>
              </w:rPr>
            </w:pPr>
            <w:r w:rsidRPr="007D15C3">
              <w:rPr>
                <w:rFonts w:cs="Calibri"/>
              </w:rPr>
              <w:t xml:space="preserve">            9,913,272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586D68" w14:textId="77777777">
            <w:pPr>
              <w:jc w:val="right"/>
              <w:rPr>
                <w:rFonts w:cs="Calibri"/>
              </w:rPr>
            </w:pPr>
            <w:r w:rsidRPr="007D15C3">
              <w:rPr>
                <w:rFonts w:cs="Calibri"/>
              </w:rPr>
              <w:t>$77,690</w:t>
            </w:r>
          </w:p>
        </w:tc>
      </w:tr>
      <w:tr w14:paraId="1148FD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AD6A77" w14:textId="77777777">
            <w:pPr>
              <w:jc w:val="center"/>
              <w:rPr>
                <w:rFonts w:cs="Calibri"/>
              </w:rPr>
            </w:pPr>
            <w:r w:rsidRPr="007D15C3">
              <w:rPr>
                <w:rFonts w:cs="Calibri"/>
              </w:rPr>
              <w:t>74070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DA21C9" w14:textId="77777777">
            <w:pPr>
              <w:jc w:val="center"/>
              <w:rPr>
                <w:rFonts w:cs="Calibri"/>
              </w:rPr>
            </w:pPr>
            <w:r w:rsidRPr="007D15C3">
              <w:rPr>
                <w:rFonts w:cs="Calibri"/>
              </w:rPr>
              <w:t>WSOC-TV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4EEB98" w14:textId="77777777">
            <w:pPr>
              <w:rPr>
                <w:rFonts w:cs="Calibri"/>
              </w:rPr>
            </w:pPr>
            <w:r w:rsidRPr="007D15C3">
              <w:rPr>
                <w:rFonts w:cs="Calibri"/>
              </w:rPr>
              <w:t xml:space="preserve">          3,706,808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B0FC4F" w14:textId="77777777">
            <w:pPr>
              <w:rPr>
                <w:rFonts w:cs="Calibri"/>
              </w:rPr>
            </w:pPr>
            <w:r w:rsidRPr="007D15C3">
              <w:rPr>
                <w:rFonts w:cs="Calibri"/>
              </w:rPr>
              <w:t xml:space="preserve">            3,638,832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CC5796" w14:textId="77777777">
            <w:pPr>
              <w:jc w:val="right"/>
              <w:rPr>
                <w:rFonts w:cs="Calibri"/>
              </w:rPr>
            </w:pPr>
            <w:r w:rsidRPr="007D15C3">
              <w:rPr>
                <w:rFonts w:cs="Calibri"/>
              </w:rPr>
              <w:t>$28,518</w:t>
            </w:r>
          </w:p>
        </w:tc>
      </w:tr>
      <w:tr w14:paraId="287A93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2349C1" w14:textId="77777777">
            <w:pPr>
              <w:jc w:val="center"/>
              <w:rPr>
                <w:rFonts w:cs="Calibri"/>
              </w:rPr>
            </w:pPr>
            <w:r w:rsidRPr="007D15C3">
              <w:rPr>
                <w:rFonts w:cs="Calibri"/>
              </w:rPr>
              <w:t>66391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D1537F" w14:textId="77777777">
            <w:pPr>
              <w:jc w:val="center"/>
              <w:rPr>
                <w:rFonts w:cs="Calibri"/>
              </w:rPr>
            </w:pPr>
            <w:r w:rsidRPr="007D15C3">
              <w:rPr>
                <w:rFonts w:cs="Calibri"/>
              </w:rPr>
              <w:t>WSPA-TV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7CF592" w14:textId="77777777">
            <w:pPr>
              <w:rPr>
                <w:rFonts w:cs="Calibri"/>
              </w:rPr>
            </w:pPr>
            <w:r w:rsidRPr="007D15C3">
              <w:rPr>
                <w:rFonts w:cs="Calibri"/>
              </w:rPr>
              <w:t xml:space="preserve">          3,393,072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E5B1FC" w14:textId="77777777">
            <w:pPr>
              <w:rPr>
                <w:rFonts w:cs="Calibri"/>
              </w:rPr>
            </w:pPr>
            <w:r w:rsidRPr="007D15C3">
              <w:rPr>
                <w:rFonts w:cs="Calibri"/>
              </w:rPr>
              <w:t xml:space="preserve">            3,237,713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EA097B" w14:textId="77777777">
            <w:pPr>
              <w:jc w:val="right"/>
              <w:rPr>
                <w:rFonts w:cs="Calibri"/>
              </w:rPr>
            </w:pPr>
            <w:r w:rsidRPr="007D15C3">
              <w:rPr>
                <w:rFonts w:cs="Calibri"/>
              </w:rPr>
              <w:t>$25,374</w:t>
            </w:r>
          </w:p>
        </w:tc>
      </w:tr>
      <w:tr w14:paraId="427390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8B543C" w14:textId="77777777">
            <w:pPr>
              <w:jc w:val="center"/>
              <w:rPr>
                <w:rFonts w:cs="Calibri"/>
              </w:rPr>
            </w:pPr>
            <w:r w:rsidRPr="007D15C3">
              <w:rPr>
                <w:rFonts w:cs="Calibri"/>
              </w:rPr>
              <w:t>64352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2B2BAE" w14:textId="77777777">
            <w:pPr>
              <w:jc w:val="center"/>
              <w:rPr>
                <w:rFonts w:cs="Calibri"/>
              </w:rPr>
            </w:pPr>
            <w:r w:rsidRPr="007D15C3">
              <w:rPr>
                <w:rFonts w:cs="Calibri"/>
              </w:rPr>
              <w:t>WSPX-TV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37A0A7" w14:textId="77777777">
            <w:pPr>
              <w:rPr>
                <w:rFonts w:cs="Calibri"/>
              </w:rPr>
            </w:pPr>
            <w:r w:rsidRPr="007D15C3">
              <w:rPr>
                <w:rFonts w:cs="Calibri"/>
              </w:rPr>
              <w:t xml:space="preserve">          1,298,295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1B284B" w14:textId="77777777">
            <w:pPr>
              <w:rPr>
                <w:rFonts w:cs="Calibri"/>
              </w:rPr>
            </w:pPr>
            <w:r w:rsidRPr="007D15C3">
              <w:rPr>
                <w:rFonts w:cs="Calibri"/>
              </w:rPr>
              <w:t xml:space="preserve">            1,174,763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E5A83A" w14:textId="77777777">
            <w:pPr>
              <w:jc w:val="right"/>
              <w:rPr>
                <w:rFonts w:cs="Calibri"/>
              </w:rPr>
            </w:pPr>
            <w:r w:rsidRPr="007D15C3">
              <w:rPr>
                <w:rFonts w:cs="Calibri"/>
              </w:rPr>
              <w:t>$9,207</w:t>
            </w:r>
          </w:p>
        </w:tc>
      </w:tr>
      <w:tr w14:paraId="14566CD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8A29CE" w14:textId="77777777">
            <w:pPr>
              <w:jc w:val="center"/>
              <w:rPr>
                <w:rFonts w:cs="Calibri"/>
              </w:rPr>
            </w:pPr>
            <w:r w:rsidRPr="007D15C3">
              <w:rPr>
                <w:rFonts w:cs="Calibri"/>
              </w:rPr>
              <w:t>17611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72BFC4" w14:textId="77777777">
            <w:pPr>
              <w:jc w:val="center"/>
              <w:rPr>
                <w:rFonts w:cs="Calibri"/>
              </w:rPr>
            </w:pPr>
            <w:r w:rsidRPr="007D15C3">
              <w:rPr>
                <w:rFonts w:cs="Calibri"/>
              </w:rPr>
              <w:t>WSRE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33ACAE" w14:textId="77777777">
            <w:pPr>
              <w:rPr>
                <w:rFonts w:cs="Calibri"/>
              </w:rPr>
            </w:pPr>
            <w:r w:rsidRPr="007D15C3">
              <w:rPr>
                <w:rFonts w:cs="Calibri"/>
              </w:rPr>
              <w:t xml:space="preserve">          1,355,168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7446F5" w14:textId="77777777">
            <w:pPr>
              <w:rPr>
                <w:rFonts w:cs="Calibri"/>
              </w:rPr>
            </w:pPr>
            <w:r w:rsidRPr="007D15C3">
              <w:rPr>
                <w:rFonts w:cs="Calibri"/>
              </w:rPr>
              <w:t xml:space="preserve">            1,354,307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D3043D" w14:textId="77777777">
            <w:pPr>
              <w:jc w:val="right"/>
              <w:rPr>
                <w:rFonts w:cs="Calibri"/>
              </w:rPr>
            </w:pPr>
            <w:r w:rsidRPr="007D15C3">
              <w:rPr>
                <w:rFonts w:cs="Calibri"/>
              </w:rPr>
              <w:t>$10,614</w:t>
            </w:r>
          </w:p>
        </w:tc>
      </w:tr>
      <w:tr w14:paraId="6092C9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299E498" w14:textId="77777777">
            <w:pPr>
              <w:jc w:val="center"/>
              <w:rPr>
                <w:rFonts w:cs="Calibri"/>
              </w:rPr>
            </w:pPr>
            <w:r w:rsidRPr="007D15C3">
              <w:rPr>
                <w:rFonts w:cs="Calibri"/>
              </w:rPr>
              <w:t>63867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E3846A" w14:textId="77777777">
            <w:pPr>
              <w:jc w:val="center"/>
              <w:rPr>
                <w:rFonts w:cs="Calibri"/>
              </w:rPr>
            </w:pPr>
            <w:r w:rsidRPr="007D15C3">
              <w:rPr>
                <w:rFonts w:cs="Calibri"/>
              </w:rPr>
              <w:t>WSST-TV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5BD79C" w14:textId="77777777">
            <w:pPr>
              <w:rPr>
                <w:rFonts w:cs="Calibri"/>
              </w:rPr>
            </w:pPr>
            <w:r w:rsidRPr="007D15C3">
              <w:rPr>
                <w:rFonts w:cs="Calibri"/>
              </w:rPr>
              <w:t xml:space="preserve">             331,907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6B544F" w14:textId="77777777">
            <w:pPr>
              <w:rPr>
                <w:rFonts w:cs="Calibri"/>
              </w:rPr>
            </w:pPr>
            <w:r w:rsidRPr="007D15C3">
              <w:rPr>
                <w:rFonts w:cs="Calibri"/>
              </w:rPr>
              <w:t xml:space="preserve">               331,601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8E5655" w14:textId="77777777">
            <w:pPr>
              <w:jc w:val="right"/>
              <w:rPr>
                <w:rFonts w:cs="Calibri"/>
              </w:rPr>
            </w:pPr>
            <w:r w:rsidRPr="007D15C3">
              <w:rPr>
                <w:rFonts w:cs="Calibri"/>
              </w:rPr>
              <w:t>$2,599</w:t>
            </w:r>
          </w:p>
        </w:tc>
      </w:tr>
      <w:tr w14:paraId="65E4878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4DFBA7" w14:textId="77777777">
            <w:pPr>
              <w:jc w:val="center"/>
              <w:rPr>
                <w:rFonts w:cs="Calibri"/>
              </w:rPr>
            </w:pPr>
            <w:r w:rsidRPr="007D15C3">
              <w:rPr>
                <w:rFonts w:cs="Calibri"/>
              </w:rPr>
              <w:t>60341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BC3187" w14:textId="77777777">
            <w:pPr>
              <w:jc w:val="center"/>
              <w:rPr>
                <w:rFonts w:cs="Calibri"/>
              </w:rPr>
            </w:pPr>
            <w:r w:rsidRPr="007D15C3">
              <w:rPr>
                <w:rFonts w:cs="Calibri"/>
              </w:rPr>
              <w:t>WSTE-DT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C4C542" w14:textId="77777777">
            <w:pPr>
              <w:rPr>
                <w:rFonts w:cs="Calibri"/>
              </w:rPr>
            </w:pPr>
            <w:r w:rsidRPr="007D15C3">
              <w:rPr>
                <w:rFonts w:cs="Calibri"/>
              </w:rPr>
              <w:t xml:space="preserve">          3,723,967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D05E2C" w14:textId="77777777">
            <w:pPr>
              <w:rPr>
                <w:rFonts w:cs="Calibri"/>
              </w:rPr>
            </w:pPr>
            <w:r w:rsidRPr="007D15C3">
              <w:rPr>
                <w:rFonts w:cs="Calibri"/>
              </w:rPr>
              <w:t xml:space="preserve">            3,631,985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B9BF15" w14:textId="77777777">
            <w:pPr>
              <w:jc w:val="right"/>
              <w:rPr>
                <w:rFonts w:cs="Calibri"/>
              </w:rPr>
            </w:pPr>
            <w:r w:rsidRPr="007D15C3">
              <w:rPr>
                <w:rFonts w:cs="Calibri"/>
              </w:rPr>
              <w:t>$23,653</w:t>
            </w:r>
          </w:p>
        </w:tc>
      </w:tr>
      <w:tr w14:paraId="73ACA2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B314767" w14:textId="77777777">
            <w:pPr>
              <w:jc w:val="center"/>
              <w:rPr>
                <w:rFonts w:cs="Calibri"/>
              </w:rPr>
            </w:pPr>
            <w:r w:rsidRPr="007D15C3">
              <w:rPr>
                <w:rFonts w:cs="Calibri"/>
              </w:rPr>
              <w:t>21252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8CF4B5" w14:textId="77777777">
            <w:pPr>
              <w:jc w:val="center"/>
              <w:rPr>
                <w:rFonts w:cs="Calibri"/>
              </w:rPr>
            </w:pPr>
            <w:r w:rsidRPr="007D15C3">
              <w:rPr>
                <w:rFonts w:cs="Calibri"/>
              </w:rPr>
              <w:t>WSTM-TV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94D018" w14:textId="77777777">
            <w:pPr>
              <w:rPr>
                <w:rFonts w:cs="Calibri"/>
              </w:rPr>
            </w:pPr>
            <w:r w:rsidRPr="007D15C3">
              <w:rPr>
                <w:rFonts w:cs="Calibri"/>
              </w:rPr>
              <w:t xml:space="preserve">          1,458,931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000ACD" w14:textId="77777777">
            <w:pPr>
              <w:rPr>
                <w:rFonts w:cs="Calibri"/>
              </w:rPr>
            </w:pPr>
            <w:r w:rsidRPr="007D15C3">
              <w:rPr>
                <w:rFonts w:cs="Calibri"/>
              </w:rPr>
              <w:t xml:space="preserve">            1,382,417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AB2B65" w14:textId="77777777">
            <w:pPr>
              <w:jc w:val="right"/>
              <w:rPr>
                <w:rFonts w:cs="Calibri"/>
              </w:rPr>
            </w:pPr>
            <w:r w:rsidRPr="007D15C3">
              <w:rPr>
                <w:rFonts w:cs="Calibri"/>
              </w:rPr>
              <w:t>$10,834</w:t>
            </w:r>
          </w:p>
        </w:tc>
      </w:tr>
      <w:tr w14:paraId="401874D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D476B3" w14:textId="77777777">
            <w:pPr>
              <w:jc w:val="center"/>
              <w:rPr>
                <w:rFonts w:cs="Calibri"/>
              </w:rPr>
            </w:pPr>
            <w:r w:rsidRPr="007D15C3">
              <w:rPr>
                <w:rFonts w:cs="Calibri"/>
              </w:rPr>
              <w:t>11204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DA792F" w14:textId="77777777">
            <w:pPr>
              <w:jc w:val="center"/>
              <w:rPr>
                <w:rFonts w:cs="Calibri"/>
              </w:rPr>
            </w:pPr>
            <w:r w:rsidRPr="007D15C3">
              <w:rPr>
                <w:rFonts w:cs="Calibri"/>
              </w:rPr>
              <w:t>WSTR-TV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67D6D8" w14:textId="77777777">
            <w:pPr>
              <w:rPr>
                <w:rFonts w:cs="Calibri"/>
              </w:rPr>
            </w:pPr>
            <w:r w:rsidRPr="007D15C3">
              <w:rPr>
                <w:rFonts w:cs="Calibri"/>
              </w:rPr>
              <w:t xml:space="preserve">          3,252,460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A9DCFC" w14:textId="77777777">
            <w:pPr>
              <w:rPr>
                <w:rFonts w:cs="Calibri"/>
              </w:rPr>
            </w:pPr>
            <w:r w:rsidRPr="007D15C3">
              <w:rPr>
                <w:rFonts w:cs="Calibri"/>
              </w:rPr>
              <w:t xml:space="preserve">            3,243,267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8F7215" w14:textId="77777777">
            <w:pPr>
              <w:jc w:val="right"/>
              <w:rPr>
                <w:rFonts w:cs="Calibri"/>
              </w:rPr>
            </w:pPr>
            <w:r w:rsidRPr="007D15C3">
              <w:rPr>
                <w:rFonts w:cs="Calibri"/>
              </w:rPr>
              <w:t>$25,417</w:t>
            </w:r>
          </w:p>
        </w:tc>
      </w:tr>
      <w:tr w14:paraId="4390EC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547DE9D" w14:textId="77777777">
            <w:pPr>
              <w:jc w:val="center"/>
              <w:rPr>
                <w:rFonts w:cs="Calibri"/>
              </w:rPr>
            </w:pPr>
            <w:r w:rsidRPr="007D15C3">
              <w:rPr>
                <w:rFonts w:cs="Calibri"/>
              </w:rPr>
              <w:t>19776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33D379" w14:textId="77777777">
            <w:pPr>
              <w:jc w:val="center"/>
              <w:rPr>
                <w:rFonts w:cs="Calibri"/>
                <w:vertAlign w:val="superscript"/>
              </w:rPr>
            </w:pPr>
            <w:r w:rsidRPr="007D15C3">
              <w:rPr>
                <w:rFonts w:cs="Calibri"/>
              </w:rPr>
              <w:t>WSUR-DT*</w:t>
            </w:r>
            <w:r w:rsidRPr="007D15C3">
              <w:rPr>
                <w:rFonts w:cs="Calibri"/>
                <w:vertAlign w:val="superscript"/>
              </w:rPr>
              <w:t>2</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44A9C4" w14:textId="77777777">
            <w:pPr>
              <w:rPr>
                <w:rFonts w:cs="Calibri"/>
              </w:rPr>
            </w:pPr>
            <w:r w:rsidRPr="007D15C3">
              <w:rPr>
                <w:rFonts w:cs="Calibri"/>
              </w:rPr>
              <w:t xml:space="preserve">          3,714,790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3191C1" w14:textId="77777777">
            <w:pPr>
              <w:rPr>
                <w:rFonts w:cs="Calibri"/>
              </w:rPr>
            </w:pPr>
            <w:r w:rsidRPr="007D15C3">
              <w:rPr>
                <w:rFonts w:cs="Calibri"/>
              </w:rPr>
              <w:t xml:space="preserve">            947,174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B172E1" w14:textId="77777777">
            <w:pPr>
              <w:jc w:val="right"/>
              <w:rPr>
                <w:rFonts w:cs="Calibri"/>
              </w:rPr>
            </w:pPr>
            <w:r w:rsidRPr="007D15C3">
              <w:rPr>
                <w:rFonts w:cs="Calibri"/>
              </w:rPr>
              <w:t>$7,423</w:t>
            </w:r>
          </w:p>
        </w:tc>
      </w:tr>
      <w:tr w14:paraId="191021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CB8890" w14:textId="77777777">
            <w:pPr>
              <w:jc w:val="center"/>
              <w:rPr>
                <w:rFonts w:cs="Calibri"/>
              </w:rPr>
            </w:pPr>
            <w:r w:rsidRPr="007D15C3">
              <w:rPr>
                <w:rFonts w:cs="Calibri"/>
              </w:rPr>
              <w:t>2370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42CA2B" w14:textId="77777777">
            <w:pPr>
              <w:jc w:val="center"/>
              <w:rPr>
                <w:rFonts w:cs="Calibri"/>
              </w:rPr>
            </w:pPr>
            <w:r w:rsidRPr="007D15C3">
              <w:rPr>
                <w:rFonts w:cs="Calibri"/>
              </w:rPr>
              <w:t>WSVI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527C89" w14:textId="77777777">
            <w:pPr>
              <w:rPr>
                <w:rFonts w:cs="Calibri"/>
              </w:rPr>
            </w:pPr>
            <w:r w:rsidRPr="007D15C3">
              <w:rPr>
                <w:rFonts w:cs="Calibri"/>
              </w:rPr>
              <w:t xml:space="preserve">               50,601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804DFF" w14:textId="77777777">
            <w:pPr>
              <w:rPr>
                <w:rFonts w:cs="Calibri"/>
              </w:rPr>
            </w:pPr>
            <w:r w:rsidRPr="007D15C3">
              <w:rPr>
                <w:rFonts w:cs="Calibri"/>
              </w:rPr>
              <w:t xml:space="preserve">                 50,601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3CD04E" w14:textId="77777777">
            <w:pPr>
              <w:jc w:val="right"/>
              <w:rPr>
                <w:rFonts w:cs="Calibri"/>
              </w:rPr>
            </w:pPr>
            <w:r w:rsidRPr="007D15C3">
              <w:rPr>
                <w:rFonts w:cs="Calibri"/>
              </w:rPr>
              <w:t>$397</w:t>
            </w:r>
          </w:p>
        </w:tc>
      </w:tr>
      <w:tr w14:paraId="024432C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E8808E" w14:textId="77777777">
            <w:pPr>
              <w:jc w:val="center"/>
              <w:rPr>
                <w:rFonts w:cs="Calibri"/>
              </w:rPr>
            </w:pPr>
            <w:r w:rsidRPr="007D15C3">
              <w:rPr>
                <w:rFonts w:cs="Calibri"/>
              </w:rPr>
              <w:t>63840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987C7C" w14:textId="77777777">
            <w:pPr>
              <w:jc w:val="center"/>
              <w:rPr>
                <w:rFonts w:cs="Calibri"/>
              </w:rPr>
            </w:pPr>
            <w:r w:rsidRPr="007D15C3">
              <w:rPr>
                <w:rFonts w:cs="Calibri"/>
              </w:rPr>
              <w:t>WSVN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EC8407" w14:textId="77777777">
            <w:pPr>
              <w:rPr>
                <w:rFonts w:cs="Calibri"/>
              </w:rPr>
            </w:pPr>
            <w:r w:rsidRPr="007D15C3">
              <w:rPr>
                <w:rFonts w:cs="Calibri"/>
              </w:rPr>
              <w:t xml:space="preserve">          5,588,748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91D85C" w14:textId="77777777">
            <w:pPr>
              <w:rPr>
                <w:rFonts w:cs="Calibri"/>
              </w:rPr>
            </w:pPr>
            <w:r w:rsidRPr="007D15C3">
              <w:rPr>
                <w:rFonts w:cs="Calibri"/>
              </w:rPr>
              <w:t xml:space="preserve">            5,588,748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2616C4" w14:textId="77777777">
            <w:pPr>
              <w:jc w:val="right"/>
              <w:rPr>
                <w:rFonts w:cs="Calibri"/>
              </w:rPr>
            </w:pPr>
            <w:r w:rsidRPr="007D15C3">
              <w:rPr>
                <w:rFonts w:cs="Calibri"/>
              </w:rPr>
              <w:t>$43,799</w:t>
            </w:r>
          </w:p>
        </w:tc>
      </w:tr>
      <w:tr w14:paraId="3AD1BD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5C9A0B" w14:textId="77777777">
            <w:pPr>
              <w:jc w:val="center"/>
              <w:rPr>
                <w:rFonts w:cs="Calibri"/>
              </w:rPr>
            </w:pPr>
            <w:r w:rsidRPr="007D15C3">
              <w:rPr>
                <w:rFonts w:cs="Calibri"/>
              </w:rPr>
              <w:t>73374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8E4FBF" w14:textId="77777777">
            <w:pPr>
              <w:jc w:val="center"/>
              <w:rPr>
                <w:rFonts w:cs="Calibri"/>
              </w:rPr>
            </w:pPr>
            <w:r w:rsidRPr="007D15C3">
              <w:rPr>
                <w:rFonts w:cs="Calibri"/>
              </w:rPr>
              <w:t>WSWB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962242" w14:textId="77777777">
            <w:pPr>
              <w:rPr>
                <w:rFonts w:cs="Calibri"/>
              </w:rPr>
            </w:pPr>
            <w:r w:rsidRPr="007D15C3">
              <w:rPr>
                <w:rFonts w:cs="Calibri"/>
              </w:rPr>
              <w:t xml:space="preserve">          1,530,002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AD2FF1" w14:textId="77777777">
            <w:pPr>
              <w:rPr>
                <w:rFonts w:cs="Calibri"/>
              </w:rPr>
            </w:pPr>
            <w:r w:rsidRPr="007D15C3">
              <w:rPr>
                <w:rFonts w:cs="Calibri"/>
              </w:rPr>
              <w:t xml:space="preserve">            1,102,316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1514F4" w14:textId="77777777">
            <w:pPr>
              <w:jc w:val="right"/>
              <w:rPr>
                <w:rFonts w:cs="Calibri"/>
              </w:rPr>
            </w:pPr>
            <w:r w:rsidRPr="007D15C3">
              <w:rPr>
                <w:rFonts w:cs="Calibri"/>
              </w:rPr>
              <w:t>$8,639</w:t>
            </w:r>
          </w:p>
        </w:tc>
      </w:tr>
      <w:tr w14:paraId="06812D3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69DBFA" w14:textId="77777777">
            <w:pPr>
              <w:jc w:val="center"/>
              <w:rPr>
                <w:rFonts w:cs="Calibri"/>
              </w:rPr>
            </w:pPr>
            <w:r w:rsidRPr="007D15C3">
              <w:rPr>
                <w:rFonts w:cs="Calibri"/>
              </w:rPr>
              <w:t>28155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28BC25" w14:textId="77777777">
            <w:pPr>
              <w:jc w:val="center"/>
              <w:rPr>
                <w:rFonts w:cs="Calibri"/>
              </w:rPr>
            </w:pPr>
            <w:r w:rsidRPr="007D15C3">
              <w:rPr>
                <w:rFonts w:cs="Calibri"/>
              </w:rPr>
              <w:t>WSWG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C6A55F" w14:textId="77777777">
            <w:pPr>
              <w:rPr>
                <w:rFonts w:cs="Calibri"/>
              </w:rPr>
            </w:pPr>
            <w:r w:rsidRPr="007D15C3">
              <w:rPr>
                <w:rFonts w:cs="Calibri"/>
              </w:rPr>
              <w:t xml:space="preserve">             381,004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C2DD64" w14:textId="77777777">
            <w:pPr>
              <w:rPr>
                <w:rFonts w:cs="Calibri"/>
              </w:rPr>
            </w:pPr>
            <w:r w:rsidRPr="007D15C3">
              <w:rPr>
                <w:rFonts w:cs="Calibri"/>
              </w:rPr>
              <w:t xml:space="preserve">               380,910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B421CA" w14:textId="77777777">
            <w:pPr>
              <w:jc w:val="right"/>
              <w:rPr>
                <w:rFonts w:cs="Calibri"/>
              </w:rPr>
            </w:pPr>
            <w:r w:rsidRPr="007D15C3">
              <w:rPr>
                <w:rFonts w:cs="Calibri"/>
              </w:rPr>
              <w:t>$2,985</w:t>
            </w:r>
          </w:p>
        </w:tc>
      </w:tr>
      <w:tr w14:paraId="6E607CD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B10B06" w14:textId="77777777">
            <w:pPr>
              <w:jc w:val="center"/>
              <w:rPr>
                <w:rFonts w:cs="Calibri"/>
              </w:rPr>
            </w:pPr>
            <w:r w:rsidRPr="007D15C3">
              <w:rPr>
                <w:rFonts w:cs="Calibri"/>
              </w:rPr>
              <w:t>71680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00AFCF" w14:textId="77777777">
            <w:pPr>
              <w:jc w:val="center"/>
              <w:rPr>
                <w:rFonts w:cs="Calibri"/>
              </w:rPr>
            </w:pPr>
            <w:r w:rsidRPr="007D15C3">
              <w:rPr>
                <w:rFonts w:cs="Calibri"/>
              </w:rPr>
              <w:t>WSWP-TV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656EBE" w14:textId="77777777">
            <w:pPr>
              <w:rPr>
                <w:rFonts w:cs="Calibri"/>
              </w:rPr>
            </w:pPr>
            <w:r w:rsidRPr="007D15C3">
              <w:rPr>
                <w:rFonts w:cs="Calibri"/>
              </w:rPr>
              <w:t xml:space="preserve">             858,726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5640FF" w14:textId="77777777">
            <w:pPr>
              <w:rPr>
                <w:rFonts w:cs="Calibri"/>
              </w:rPr>
            </w:pPr>
            <w:r w:rsidRPr="007D15C3">
              <w:rPr>
                <w:rFonts w:cs="Calibri"/>
              </w:rPr>
              <w:t xml:space="preserve">               659,416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08458A" w14:textId="77777777">
            <w:pPr>
              <w:jc w:val="right"/>
              <w:rPr>
                <w:rFonts w:cs="Calibri"/>
              </w:rPr>
            </w:pPr>
            <w:r w:rsidRPr="007D15C3">
              <w:rPr>
                <w:rFonts w:cs="Calibri"/>
              </w:rPr>
              <w:t>$5,168</w:t>
            </w:r>
          </w:p>
        </w:tc>
      </w:tr>
      <w:tr w14:paraId="1024A6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A36AA1" w14:textId="77777777">
            <w:pPr>
              <w:jc w:val="center"/>
              <w:rPr>
                <w:rFonts w:cs="Calibri"/>
              </w:rPr>
            </w:pPr>
            <w:r w:rsidRPr="007D15C3">
              <w:rPr>
                <w:rFonts w:cs="Calibri"/>
              </w:rPr>
              <w:t>74094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3E6074" w14:textId="77777777">
            <w:pPr>
              <w:jc w:val="center"/>
              <w:rPr>
                <w:rFonts w:cs="Calibri"/>
              </w:rPr>
            </w:pPr>
            <w:r w:rsidRPr="007D15C3">
              <w:rPr>
                <w:rFonts w:cs="Calibri"/>
              </w:rPr>
              <w:t>WSYM-TV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07244C" w14:textId="77777777">
            <w:pPr>
              <w:rPr>
                <w:rFonts w:cs="Calibri"/>
              </w:rPr>
            </w:pPr>
            <w:r w:rsidRPr="007D15C3">
              <w:rPr>
                <w:rFonts w:cs="Calibri"/>
              </w:rPr>
              <w:t xml:space="preserve">          1,516,677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084F80" w14:textId="77777777">
            <w:pPr>
              <w:rPr>
                <w:rFonts w:cs="Calibri"/>
              </w:rPr>
            </w:pPr>
            <w:r w:rsidRPr="007D15C3">
              <w:rPr>
                <w:rFonts w:cs="Calibri"/>
              </w:rPr>
              <w:t xml:space="preserve">            1,516,390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DEBDD0" w14:textId="77777777">
            <w:pPr>
              <w:jc w:val="right"/>
              <w:rPr>
                <w:rFonts w:cs="Calibri"/>
              </w:rPr>
            </w:pPr>
            <w:r w:rsidRPr="007D15C3">
              <w:rPr>
                <w:rFonts w:cs="Calibri"/>
              </w:rPr>
              <w:t>$11,884</w:t>
            </w:r>
          </w:p>
        </w:tc>
      </w:tr>
      <w:tr w14:paraId="638D8E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9018592" w14:textId="77777777">
            <w:pPr>
              <w:jc w:val="center"/>
              <w:rPr>
                <w:rFonts w:cs="Calibri"/>
              </w:rPr>
            </w:pPr>
            <w:r w:rsidRPr="007D15C3">
              <w:rPr>
                <w:rFonts w:cs="Calibri"/>
              </w:rPr>
              <w:t>73113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A6E32FD" w14:textId="77777777">
            <w:pPr>
              <w:jc w:val="center"/>
              <w:rPr>
                <w:rFonts w:cs="Calibri"/>
              </w:rPr>
            </w:pPr>
            <w:r w:rsidRPr="007D15C3">
              <w:rPr>
                <w:rFonts w:cs="Calibri"/>
              </w:rPr>
              <w:t>WSYR-TV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A704E6" w14:textId="77777777">
            <w:pPr>
              <w:rPr>
                <w:rFonts w:cs="Calibri"/>
              </w:rPr>
            </w:pPr>
            <w:r w:rsidRPr="007D15C3">
              <w:rPr>
                <w:rFonts w:cs="Calibri"/>
              </w:rPr>
              <w:t xml:space="preserve">          1,329,933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73E876" w14:textId="77777777">
            <w:pPr>
              <w:rPr>
                <w:rFonts w:cs="Calibri"/>
              </w:rPr>
            </w:pPr>
            <w:r w:rsidRPr="007D15C3">
              <w:rPr>
                <w:rFonts w:cs="Calibri"/>
              </w:rPr>
              <w:t xml:space="preserve">            1,243,035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A9C8EA" w14:textId="77777777">
            <w:pPr>
              <w:jc w:val="right"/>
              <w:rPr>
                <w:rFonts w:cs="Calibri"/>
              </w:rPr>
            </w:pPr>
            <w:r w:rsidRPr="007D15C3">
              <w:rPr>
                <w:rFonts w:cs="Calibri"/>
              </w:rPr>
              <w:t>$9,742</w:t>
            </w:r>
          </w:p>
        </w:tc>
      </w:tr>
      <w:tr w14:paraId="15AE512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AF075C" w14:textId="77777777">
            <w:pPr>
              <w:jc w:val="center"/>
              <w:rPr>
                <w:rFonts w:cs="Calibri"/>
              </w:rPr>
            </w:pPr>
            <w:r w:rsidRPr="007D15C3">
              <w:rPr>
                <w:rFonts w:cs="Calibri"/>
              </w:rPr>
              <w:t>40758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BA220B" w14:textId="77777777">
            <w:pPr>
              <w:jc w:val="center"/>
              <w:rPr>
                <w:rFonts w:cs="Calibri"/>
              </w:rPr>
            </w:pPr>
            <w:r w:rsidRPr="007D15C3">
              <w:rPr>
                <w:rFonts w:cs="Calibri"/>
              </w:rPr>
              <w:t>WSYT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B90717" w14:textId="77777777">
            <w:pPr>
              <w:rPr>
                <w:rFonts w:cs="Calibri"/>
              </w:rPr>
            </w:pPr>
            <w:r w:rsidRPr="007D15C3">
              <w:rPr>
                <w:rFonts w:cs="Calibri"/>
              </w:rPr>
              <w:t xml:space="preserve">          1,878,638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51EA61" w14:textId="77777777">
            <w:pPr>
              <w:rPr>
                <w:rFonts w:cs="Calibri"/>
              </w:rPr>
            </w:pPr>
            <w:r w:rsidRPr="007D15C3">
              <w:rPr>
                <w:rFonts w:cs="Calibri"/>
              </w:rPr>
              <w:t xml:space="preserve">            1,640,666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9949BA" w14:textId="77777777">
            <w:pPr>
              <w:jc w:val="right"/>
              <w:rPr>
                <w:rFonts w:cs="Calibri"/>
              </w:rPr>
            </w:pPr>
            <w:r w:rsidRPr="007D15C3">
              <w:rPr>
                <w:rFonts w:cs="Calibri"/>
              </w:rPr>
              <w:t>$12,858</w:t>
            </w:r>
          </w:p>
        </w:tc>
      </w:tr>
      <w:tr w14:paraId="275FF6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6BB37C" w14:textId="77777777">
            <w:pPr>
              <w:jc w:val="center"/>
              <w:rPr>
                <w:rFonts w:cs="Calibri"/>
              </w:rPr>
            </w:pPr>
            <w:r w:rsidRPr="007D15C3">
              <w:rPr>
                <w:rFonts w:cs="Calibri"/>
              </w:rPr>
              <w:t>56549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D17AFB" w14:textId="77777777">
            <w:pPr>
              <w:jc w:val="center"/>
              <w:rPr>
                <w:rFonts w:cs="Calibri"/>
              </w:rPr>
            </w:pPr>
            <w:r w:rsidRPr="007D15C3">
              <w:rPr>
                <w:rFonts w:cs="Calibri"/>
              </w:rPr>
              <w:t>WSYX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67CE57" w14:textId="77777777">
            <w:pPr>
              <w:rPr>
                <w:rFonts w:cs="Calibri"/>
              </w:rPr>
            </w:pPr>
            <w:r w:rsidRPr="007D15C3">
              <w:rPr>
                <w:rFonts w:cs="Calibri"/>
              </w:rPr>
              <w:t xml:space="preserve">          2,635,937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63D3AB" w14:textId="77777777">
            <w:pPr>
              <w:rPr>
                <w:rFonts w:cs="Calibri"/>
              </w:rPr>
            </w:pPr>
            <w:r w:rsidRPr="007D15C3">
              <w:rPr>
                <w:rFonts w:cs="Calibri"/>
              </w:rPr>
              <w:t xml:space="preserve">            2,584,043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BC2EE6" w14:textId="77777777">
            <w:pPr>
              <w:jc w:val="right"/>
              <w:rPr>
                <w:rFonts w:cs="Calibri"/>
              </w:rPr>
            </w:pPr>
            <w:r w:rsidRPr="007D15C3">
              <w:rPr>
                <w:rFonts w:cs="Calibri"/>
              </w:rPr>
              <w:t>$20,251</w:t>
            </w:r>
          </w:p>
        </w:tc>
      </w:tr>
      <w:tr w14:paraId="12EE6F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92FBB0" w14:textId="77777777">
            <w:pPr>
              <w:jc w:val="center"/>
              <w:rPr>
                <w:rFonts w:cs="Calibri"/>
              </w:rPr>
            </w:pPr>
            <w:r w:rsidRPr="007D15C3">
              <w:rPr>
                <w:rFonts w:cs="Calibri"/>
              </w:rPr>
              <w:t>65681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CE561E" w14:textId="77777777">
            <w:pPr>
              <w:jc w:val="center"/>
              <w:rPr>
                <w:rFonts w:cs="Calibri"/>
              </w:rPr>
            </w:pPr>
            <w:r w:rsidRPr="007D15C3">
              <w:rPr>
                <w:rFonts w:cs="Calibri"/>
              </w:rPr>
              <w:t>WTAE-TV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CAAC2B" w14:textId="77777777">
            <w:pPr>
              <w:rPr>
                <w:rFonts w:cs="Calibri"/>
              </w:rPr>
            </w:pPr>
            <w:r w:rsidRPr="007D15C3">
              <w:rPr>
                <w:rFonts w:cs="Calibri"/>
              </w:rPr>
              <w:t xml:space="preserve">          2,995,755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3BBD58" w14:textId="77777777">
            <w:pPr>
              <w:rPr>
                <w:rFonts w:cs="Calibri"/>
              </w:rPr>
            </w:pPr>
            <w:r w:rsidRPr="007D15C3">
              <w:rPr>
                <w:rFonts w:cs="Calibri"/>
              </w:rPr>
              <w:t xml:space="preserve">            2,860,979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DBBD00" w14:textId="77777777">
            <w:pPr>
              <w:jc w:val="right"/>
              <w:rPr>
                <w:rFonts w:cs="Calibri"/>
              </w:rPr>
            </w:pPr>
            <w:r w:rsidRPr="007D15C3">
              <w:rPr>
                <w:rFonts w:cs="Calibri"/>
              </w:rPr>
              <w:t>$22,421</w:t>
            </w:r>
          </w:p>
        </w:tc>
      </w:tr>
      <w:tr w14:paraId="20F796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0300588" w14:textId="77777777">
            <w:pPr>
              <w:jc w:val="center"/>
              <w:rPr>
                <w:rFonts w:cs="Calibri"/>
              </w:rPr>
            </w:pPr>
            <w:r w:rsidRPr="007D15C3">
              <w:rPr>
                <w:rFonts w:cs="Calibri"/>
              </w:rPr>
              <w:t>23341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D510D39" w14:textId="77777777">
            <w:pPr>
              <w:jc w:val="center"/>
              <w:rPr>
                <w:rFonts w:cs="Calibri"/>
              </w:rPr>
            </w:pPr>
            <w:r w:rsidRPr="007D15C3">
              <w:rPr>
                <w:rFonts w:cs="Calibri"/>
              </w:rPr>
              <w:t>WTAJ-TV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74FCE1" w14:textId="77777777">
            <w:pPr>
              <w:rPr>
                <w:rFonts w:cs="Calibri"/>
              </w:rPr>
            </w:pPr>
            <w:r w:rsidRPr="007D15C3">
              <w:rPr>
                <w:rFonts w:cs="Calibri"/>
              </w:rPr>
              <w:t xml:space="preserve">          1,187,718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160DEB" w14:textId="77777777">
            <w:pPr>
              <w:rPr>
                <w:rFonts w:cs="Calibri"/>
              </w:rPr>
            </w:pPr>
            <w:r w:rsidRPr="007D15C3">
              <w:rPr>
                <w:rFonts w:cs="Calibri"/>
              </w:rPr>
              <w:t xml:space="preserve">               948,598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20C378" w14:textId="77777777">
            <w:pPr>
              <w:jc w:val="right"/>
              <w:rPr>
                <w:rFonts w:cs="Calibri"/>
              </w:rPr>
            </w:pPr>
            <w:r w:rsidRPr="007D15C3">
              <w:rPr>
                <w:rFonts w:cs="Calibri"/>
              </w:rPr>
              <w:t>$7,434</w:t>
            </w:r>
          </w:p>
        </w:tc>
      </w:tr>
      <w:tr w14:paraId="2D84A2D5"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565F51D" w14:textId="77777777">
            <w:pPr>
              <w:jc w:val="center"/>
              <w:rPr>
                <w:rFonts w:cs="Calibri"/>
              </w:rPr>
            </w:pPr>
            <w:r w:rsidRPr="007D15C3">
              <w:rPr>
                <w:rFonts w:cs="Calibri"/>
              </w:rPr>
              <w:t>4685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43792C68" w14:textId="77777777">
            <w:pPr>
              <w:jc w:val="center"/>
              <w:rPr>
                <w:rFonts w:cs="Calibri"/>
              </w:rPr>
            </w:pPr>
            <w:r w:rsidRPr="007D15C3">
              <w:rPr>
                <w:rFonts w:cs="Calibri"/>
              </w:rPr>
              <w:t>WTAP-TV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AA96794" w14:textId="77777777">
            <w:pPr>
              <w:rPr>
                <w:rFonts w:cs="Calibri"/>
              </w:rPr>
            </w:pPr>
            <w:r w:rsidRPr="007D15C3">
              <w:rPr>
                <w:rFonts w:cs="Calibri"/>
              </w:rPr>
              <w:t xml:space="preserve">             472,761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6FF74B6A" w14:textId="77777777">
            <w:pPr>
              <w:rPr>
                <w:rFonts w:cs="Calibri"/>
              </w:rPr>
            </w:pPr>
            <w:r w:rsidRPr="007D15C3">
              <w:rPr>
                <w:rFonts w:cs="Calibri"/>
              </w:rPr>
              <w:t xml:space="preserve">               451,414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D15199D" w14:textId="77777777">
            <w:pPr>
              <w:jc w:val="right"/>
              <w:rPr>
                <w:rFonts w:cs="Calibri"/>
              </w:rPr>
            </w:pPr>
            <w:r w:rsidRPr="007D15C3">
              <w:rPr>
                <w:rFonts w:cs="Calibri"/>
              </w:rPr>
              <w:t>$3,538</w:t>
            </w:r>
          </w:p>
        </w:tc>
      </w:tr>
      <w:tr w14:paraId="3BF12AB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679686" w14:textId="77777777">
            <w:pPr>
              <w:jc w:val="center"/>
              <w:rPr>
                <w:rFonts w:cs="Calibri"/>
              </w:rPr>
            </w:pPr>
            <w:r w:rsidRPr="007D15C3">
              <w:rPr>
                <w:rFonts w:cs="Calibri"/>
              </w:rPr>
              <w:t>416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068805" w14:textId="77777777">
            <w:pPr>
              <w:jc w:val="center"/>
              <w:rPr>
                <w:rFonts w:cs="Calibri"/>
              </w:rPr>
            </w:pPr>
            <w:r w:rsidRPr="007D15C3">
              <w:rPr>
                <w:rFonts w:cs="Calibri"/>
              </w:rPr>
              <w:t>WTAT-TV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9CEC88" w14:textId="77777777">
            <w:pPr>
              <w:rPr>
                <w:rFonts w:cs="Calibri"/>
              </w:rPr>
            </w:pPr>
            <w:r w:rsidRPr="007D15C3">
              <w:rPr>
                <w:rFonts w:cs="Calibri"/>
              </w:rPr>
              <w:t xml:space="preserve">          1,153,279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2AC02C" w14:textId="77777777">
            <w:pPr>
              <w:rPr>
                <w:rFonts w:cs="Calibri"/>
              </w:rPr>
            </w:pPr>
            <w:r w:rsidRPr="007D15C3">
              <w:rPr>
                <w:rFonts w:cs="Calibri"/>
              </w:rPr>
              <w:t xml:space="preserve">            1,153,279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1B3C9C" w14:textId="77777777">
            <w:pPr>
              <w:jc w:val="right"/>
              <w:rPr>
                <w:rFonts w:cs="Calibri"/>
              </w:rPr>
            </w:pPr>
            <w:r w:rsidRPr="007D15C3">
              <w:rPr>
                <w:rFonts w:cs="Calibri"/>
              </w:rPr>
              <w:t>$9,038</w:t>
            </w:r>
          </w:p>
        </w:tc>
      </w:tr>
      <w:tr w14:paraId="6AA92B8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0002F3" w14:textId="77777777">
            <w:pPr>
              <w:jc w:val="center"/>
              <w:rPr>
                <w:rFonts w:cs="Calibri"/>
              </w:rPr>
            </w:pPr>
            <w:r w:rsidRPr="007D15C3">
              <w:rPr>
                <w:rFonts w:cs="Calibri"/>
              </w:rPr>
              <w:t>67993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17DE9A9" w14:textId="77777777">
            <w:pPr>
              <w:jc w:val="center"/>
              <w:rPr>
                <w:rFonts w:cs="Calibri"/>
              </w:rPr>
            </w:pPr>
            <w:r w:rsidRPr="007D15C3">
              <w:rPr>
                <w:rFonts w:cs="Calibri"/>
              </w:rPr>
              <w:t>WTBY-TV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79D9E0" w14:textId="77777777">
            <w:pPr>
              <w:rPr>
                <w:rFonts w:cs="Calibri"/>
              </w:rPr>
            </w:pPr>
            <w:r w:rsidRPr="007D15C3">
              <w:rPr>
                <w:rFonts w:cs="Calibri"/>
              </w:rPr>
              <w:t xml:space="preserve">        15,858,470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A84C46" w14:textId="77777777">
            <w:pPr>
              <w:rPr>
                <w:rFonts w:cs="Calibri"/>
              </w:rPr>
            </w:pPr>
            <w:r w:rsidRPr="007D15C3">
              <w:rPr>
                <w:rFonts w:cs="Calibri"/>
              </w:rPr>
              <w:t xml:space="preserve">          15,766,438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831AD5" w14:textId="77777777">
            <w:pPr>
              <w:jc w:val="right"/>
              <w:rPr>
                <w:rFonts w:cs="Calibri"/>
              </w:rPr>
            </w:pPr>
            <w:r w:rsidRPr="007D15C3">
              <w:rPr>
                <w:rFonts w:cs="Calibri"/>
              </w:rPr>
              <w:t>$123,562</w:t>
            </w:r>
          </w:p>
        </w:tc>
      </w:tr>
      <w:tr w14:paraId="65F624D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F7C530" w14:textId="77777777">
            <w:pPr>
              <w:jc w:val="center"/>
              <w:rPr>
                <w:rFonts w:cs="Calibri"/>
              </w:rPr>
            </w:pPr>
            <w:r w:rsidRPr="007D15C3">
              <w:rPr>
                <w:rFonts w:cs="Calibri"/>
              </w:rPr>
              <w:t>29715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54B8E7" w14:textId="77777777">
            <w:pPr>
              <w:jc w:val="center"/>
              <w:rPr>
                <w:rFonts w:cs="Calibri"/>
              </w:rPr>
            </w:pPr>
            <w:r w:rsidRPr="007D15C3">
              <w:rPr>
                <w:rFonts w:cs="Calibri"/>
              </w:rPr>
              <w:t>WTCE-TV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463023" w14:textId="77777777">
            <w:pPr>
              <w:rPr>
                <w:rFonts w:cs="Calibri"/>
              </w:rPr>
            </w:pPr>
            <w:r w:rsidRPr="007D15C3">
              <w:rPr>
                <w:rFonts w:cs="Calibri"/>
              </w:rPr>
              <w:t xml:space="preserve">          2,620,599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B18DBA" w14:textId="77777777">
            <w:pPr>
              <w:rPr>
                <w:rFonts w:cs="Calibri"/>
              </w:rPr>
            </w:pPr>
            <w:r w:rsidRPr="007D15C3">
              <w:rPr>
                <w:rFonts w:cs="Calibri"/>
              </w:rPr>
              <w:t xml:space="preserve">            2,620,599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96D855" w14:textId="77777777">
            <w:pPr>
              <w:jc w:val="right"/>
              <w:rPr>
                <w:rFonts w:cs="Calibri"/>
              </w:rPr>
            </w:pPr>
            <w:r w:rsidRPr="007D15C3">
              <w:rPr>
                <w:rFonts w:cs="Calibri"/>
              </w:rPr>
              <w:t>$20,538</w:t>
            </w:r>
          </w:p>
        </w:tc>
      </w:tr>
      <w:tr w14:paraId="4259E5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EF8B72" w14:textId="77777777">
            <w:pPr>
              <w:jc w:val="center"/>
              <w:rPr>
                <w:rFonts w:cs="Calibri"/>
              </w:rPr>
            </w:pPr>
            <w:r w:rsidRPr="007D15C3">
              <w:rPr>
                <w:rFonts w:cs="Calibri"/>
              </w:rPr>
              <w:t>65667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6C55142" w14:textId="77777777">
            <w:pPr>
              <w:jc w:val="center"/>
              <w:rPr>
                <w:rFonts w:cs="Calibri"/>
              </w:rPr>
            </w:pPr>
            <w:r w:rsidRPr="007D15C3">
              <w:rPr>
                <w:rFonts w:cs="Calibri"/>
              </w:rPr>
              <w:t>WTCI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CB1755" w14:textId="77777777">
            <w:pPr>
              <w:rPr>
                <w:rFonts w:cs="Calibri"/>
              </w:rPr>
            </w:pPr>
            <w:r w:rsidRPr="007D15C3">
              <w:rPr>
                <w:rFonts w:cs="Calibri"/>
              </w:rPr>
              <w:t xml:space="preserve">          1,204,613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C4B0738" w14:textId="77777777">
            <w:pPr>
              <w:rPr>
                <w:rFonts w:cs="Calibri"/>
              </w:rPr>
            </w:pPr>
            <w:r w:rsidRPr="007D15C3">
              <w:rPr>
                <w:rFonts w:cs="Calibri"/>
              </w:rPr>
              <w:t xml:space="preserve">            1,099,395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60EC67" w14:textId="77777777">
            <w:pPr>
              <w:jc w:val="right"/>
              <w:rPr>
                <w:rFonts w:cs="Calibri"/>
              </w:rPr>
            </w:pPr>
            <w:r w:rsidRPr="007D15C3">
              <w:rPr>
                <w:rFonts w:cs="Calibri"/>
              </w:rPr>
              <w:t>$8,616</w:t>
            </w:r>
          </w:p>
        </w:tc>
      </w:tr>
      <w:tr w14:paraId="6152694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B47E43" w14:textId="77777777">
            <w:pPr>
              <w:jc w:val="center"/>
              <w:rPr>
                <w:rFonts w:cs="Calibri"/>
              </w:rPr>
            </w:pPr>
            <w:r w:rsidRPr="007D15C3">
              <w:rPr>
                <w:rFonts w:cs="Calibri"/>
              </w:rPr>
              <w:t>67786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05C8AB5" w14:textId="77777777">
            <w:pPr>
              <w:jc w:val="center"/>
              <w:rPr>
                <w:rFonts w:cs="Calibri"/>
              </w:rPr>
            </w:pPr>
            <w:r w:rsidRPr="007D15C3">
              <w:rPr>
                <w:rFonts w:cs="Calibri"/>
              </w:rPr>
              <w:t>WTCT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422EB3" w14:textId="77777777">
            <w:pPr>
              <w:rPr>
                <w:rFonts w:cs="Calibri"/>
              </w:rPr>
            </w:pPr>
            <w:r w:rsidRPr="007D15C3">
              <w:rPr>
                <w:rFonts w:cs="Calibri"/>
              </w:rPr>
              <w:t xml:space="preserve">             584,661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0666E9" w14:textId="77777777">
            <w:pPr>
              <w:rPr>
                <w:rFonts w:cs="Calibri"/>
              </w:rPr>
            </w:pPr>
            <w:r w:rsidRPr="007D15C3">
              <w:rPr>
                <w:rFonts w:cs="Calibri"/>
              </w:rPr>
              <w:t xml:space="preserve">               584,006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A6E957" w14:textId="77777777">
            <w:pPr>
              <w:jc w:val="right"/>
              <w:rPr>
                <w:rFonts w:cs="Calibri"/>
              </w:rPr>
            </w:pPr>
            <w:r w:rsidRPr="007D15C3">
              <w:rPr>
                <w:rFonts w:cs="Calibri"/>
              </w:rPr>
              <w:t>$4,577</w:t>
            </w:r>
          </w:p>
        </w:tc>
      </w:tr>
      <w:tr w14:paraId="78B333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19D84E3" w14:textId="77777777">
            <w:pPr>
              <w:jc w:val="center"/>
              <w:rPr>
                <w:rFonts w:cs="Calibri"/>
              </w:rPr>
            </w:pPr>
            <w:r w:rsidRPr="007D15C3">
              <w:rPr>
                <w:rFonts w:cs="Calibri"/>
              </w:rPr>
              <w:t>28954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2FFC5DF" w14:textId="77777777">
            <w:pPr>
              <w:jc w:val="center"/>
              <w:rPr>
                <w:rFonts w:cs="Calibri"/>
              </w:rPr>
            </w:pPr>
            <w:r w:rsidRPr="007D15C3">
              <w:rPr>
                <w:rFonts w:cs="Calibri"/>
              </w:rPr>
              <w:t>WTCV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56A17A" w14:textId="77777777">
            <w:pPr>
              <w:rPr>
                <w:rFonts w:cs="Calibri"/>
              </w:rPr>
            </w:pPr>
            <w:r w:rsidRPr="007D15C3">
              <w:rPr>
                <w:rFonts w:cs="Calibri"/>
              </w:rPr>
              <w:t xml:space="preserve">          3,254,481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7D9844" w14:textId="77777777">
            <w:pPr>
              <w:rPr>
                <w:rFonts w:cs="Calibri"/>
              </w:rPr>
            </w:pPr>
            <w:r w:rsidRPr="007D15C3">
              <w:rPr>
                <w:rFonts w:cs="Calibri"/>
              </w:rPr>
              <w:t xml:space="preserve">            3,008,658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475C78" w14:textId="77777777">
            <w:pPr>
              <w:jc w:val="right"/>
              <w:rPr>
                <w:rFonts w:cs="Calibri"/>
              </w:rPr>
            </w:pPr>
            <w:r w:rsidRPr="007D15C3">
              <w:rPr>
                <w:rFonts w:cs="Calibri"/>
              </w:rPr>
              <w:t>$19,594</w:t>
            </w:r>
          </w:p>
        </w:tc>
      </w:tr>
      <w:tr w14:paraId="2018DF3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CB690E" w14:textId="77777777">
            <w:pPr>
              <w:jc w:val="center"/>
              <w:rPr>
                <w:rFonts w:cs="Calibri"/>
              </w:rPr>
            </w:pPr>
            <w:r w:rsidRPr="007D15C3">
              <w:rPr>
                <w:rFonts w:cs="Calibri"/>
              </w:rPr>
              <w:t>74422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89F05D" w14:textId="77777777">
            <w:pPr>
              <w:jc w:val="center"/>
              <w:rPr>
                <w:rFonts w:cs="Calibri"/>
              </w:rPr>
            </w:pPr>
            <w:r w:rsidRPr="007D15C3">
              <w:rPr>
                <w:rFonts w:cs="Calibri"/>
              </w:rPr>
              <w:t>WTEN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D6F50D" w14:textId="77777777">
            <w:pPr>
              <w:rPr>
                <w:rFonts w:cs="Calibri"/>
              </w:rPr>
            </w:pPr>
            <w:r w:rsidRPr="007D15C3">
              <w:rPr>
                <w:rFonts w:cs="Calibri"/>
              </w:rPr>
              <w:t xml:space="preserve">          1,902,431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83E8B0" w14:textId="77777777">
            <w:pPr>
              <w:rPr>
                <w:rFonts w:cs="Calibri"/>
              </w:rPr>
            </w:pPr>
            <w:r w:rsidRPr="007D15C3">
              <w:rPr>
                <w:rFonts w:cs="Calibri"/>
              </w:rPr>
              <w:t xml:space="preserve">            1,613,747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82703E" w14:textId="77777777">
            <w:pPr>
              <w:jc w:val="right"/>
              <w:rPr>
                <w:rFonts w:cs="Calibri"/>
              </w:rPr>
            </w:pPr>
            <w:r w:rsidRPr="007D15C3">
              <w:rPr>
                <w:rFonts w:cs="Calibri"/>
              </w:rPr>
              <w:t>$12,647</w:t>
            </w:r>
          </w:p>
        </w:tc>
      </w:tr>
      <w:tr w14:paraId="2875CC2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3892B4" w14:textId="77777777">
            <w:pPr>
              <w:jc w:val="center"/>
              <w:rPr>
                <w:rFonts w:cs="Calibri"/>
              </w:rPr>
            </w:pPr>
            <w:r w:rsidRPr="007D15C3">
              <w:rPr>
                <w:rFonts w:cs="Calibri"/>
              </w:rPr>
              <w:t>9881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60ED0B" w14:textId="77777777">
            <w:pPr>
              <w:jc w:val="center"/>
              <w:rPr>
                <w:rFonts w:cs="Calibri"/>
              </w:rPr>
            </w:pPr>
            <w:r w:rsidRPr="007D15C3">
              <w:rPr>
                <w:rFonts w:cs="Calibri"/>
              </w:rPr>
              <w:t>WTGL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7276F8" w14:textId="77777777">
            <w:pPr>
              <w:rPr>
                <w:rFonts w:cs="Calibri"/>
              </w:rPr>
            </w:pPr>
            <w:r w:rsidRPr="007D15C3">
              <w:rPr>
                <w:rFonts w:cs="Calibri"/>
              </w:rPr>
              <w:t xml:space="preserve">          3,772,425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4AD5E0" w14:textId="77777777">
            <w:pPr>
              <w:rPr>
                <w:rFonts w:cs="Calibri"/>
              </w:rPr>
            </w:pPr>
            <w:r w:rsidRPr="007D15C3">
              <w:rPr>
                <w:rFonts w:cs="Calibri"/>
              </w:rPr>
              <w:t xml:space="preserve">            3,772,425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FB9452" w14:textId="77777777">
            <w:pPr>
              <w:jc w:val="right"/>
              <w:rPr>
                <w:rFonts w:cs="Calibri"/>
              </w:rPr>
            </w:pPr>
            <w:r w:rsidRPr="007D15C3">
              <w:rPr>
                <w:rFonts w:cs="Calibri"/>
              </w:rPr>
              <w:t>$29,564</w:t>
            </w:r>
          </w:p>
        </w:tc>
      </w:tr>
      <w:tr w14:paraId="1B6EFE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24EC9F" w14:textId="77777777">
            <w:pPr>
              <w:jc w:val="center"/>
              <w:rPr>
                <w:rFonts w:cs="Calibri"/>
              </w:rPr>
            </w:pPr>
            <w:r w:rsidRPr="007D15C3">
              <w:rPr>
                <w:rFonts w:cs="Calibri"/>
              </w:rPr>
              <w:t>27245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596796A" w14:textId="77777777">
            <w:pPr>
              <w:jc w:val="center"/>
              <w:rPr>
                <w:rFonts w:cs="Calibri"/>
              </w:rPr>
            </w:pPr>
            <w:r w:rsidRPr="007D15C3">
              <w:rPr>
                <w:rFonts w:cs="Calibri"/>
              </w:rPr>
              <w:t>WTGS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BC8F54" w14:textId="77777777">
            <w:pPr>
              <w:rPr>
                <w:rFonts w:cs="Calibri"/>
              </w:rPr>
            </w:pPr>
            <w:r w:rsidRPr="007D15C3">
              <w:rPr>
                <w:rFonts w:cs="Calibri"/>
              </w:rPr>
              <w:t xml:space="preserve">             967,792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D36FB7" w14:textId="77777777">
            <w:pPr>
              <w:rPr>
                <w:rFonts w:cs="Calibri"/>
              </w:rPr>
            </w:pPr>
            <w:r w:rsidRPr="007D15C3">
              <w:rPr>
                <w:rFonts w:cs="Calibri"/>
              </w:rPr>
              <w:t xml:space="preserve">               967,630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71B664" w14:textId="77777777">
            <w:pPr>
              <w:jc w:val="right"/>
              <w:rPr>
                <w:rFonts w:cs="Calibri"/>
              </w:rPr>
            </w:pPr>
            <w:r w:rsidRPr="007D15C3">
              <w:rPr>
                <w:rFonts w:cs="Calibri"/>
              </w:rPr>
              <w:t>$7,583</w:t>
            </w:r>
          </w:p>
        </w:tc>
      </w:tr>
      <w:tr w14:paraId="49CF36B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20D5C8" w14:textId="77777777">
            <w:pPr>
              <w:jc w:val="center"/>
              <w:rPr>
                <w:rFonts w:cs="Calibri"/>
              </w:rPr>
            </w:pPr>
            <w:r w:rsidRPr="007D15C3">
              <w:rPr>
                <w:rFonts w:cs="Calibri"/>
              </w:rPr>
              <w:t>70655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2B622A2" w14:textId="77777777">
            <w:pPr>
              <w:jc w:val="center"/>
              <w:rPr>
                <w:rFonts w:cs="Calibri"/>
              </w:rPr>
            </w:pPr>
            <w:r w:rsidRPr="007D15C3">
              <w:rPr>
                <w:rFonts w:cs="Calibri"/>
              </w:rPr>
              <w:t>WTHI-TV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5B9DE9" w14:textId="77777777">
            <w:pPr>
              <w:rPr>
                <w:rFonts w:cs="Calibri"/>
              </w:rPr>
            </w:pPr>
            <w:r w:rsidRPr="007D15C3">
              <w:rPr>
                <w:rFonts w:cs="Calibri"/>
              </w:rPr>
              <w:t xml:space="preserve">             928,934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5C5AD30" w14:textId="77777777">
            <w:pPr>
              <w:rPr>
                <w:rFonts w:cs="Calibri"/>
              </w:rPr>
            </w:pPr>
            <w:r w:rsidRPr="007D15C3">
              <w:rPr>
                <w:rFonts w:cs="Calibri"/>
              </w:rPr>
              <w:t xml:space="preserve">               886,846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91F776" w14:textId="77777777">
            <w:pPr>
              <w:jc w:val="right"/>
              <w:rPr>
                <w:rFonts w:cs="Calibri"/>
              </w:rPr>
            </w:pPr>
            <w:r w:rsidRPr="007D15C3">
              <w:rPr>
                <w:rFonts w:cs="Calibri"/>
              </w:rPr>
              <w:t>$6,950</w:t>
            </w:r>
          </w:p>
        </w:tc>
      </w:tr>
      <w:tr w14:paraId="0416DA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D73FECD" w14:textId="77777777">
            <w:pPr>
              <w:jc w:val="center"/>
              <w:rPr>
                <w:rFonts w:cs="Calibri"/>
              </w:rPr>
            </w:pPr>
            <w:r w:rsidRPr="007D15C3">
              <w:rPr>
                <w:rFonts w:cs="Calibri"/>
              </w:rPr>
              <w:t>70162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602C7E7" w14:textId="77777777">
            <w:pPr>
              <w:jc w:val="center"/>
              <w:rPr>
                <w:rFonts w:cs="Calibri"/>
              </w:rPr>
            </w:pPr>
            <w:r w:rsidRPr="007D15C3">
              <w:rPr>
                <w:rFonts w:cs="Calibri"/>
              </w:rPr>
              <w:t>WTHR*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BBC30F" w14:textId="77777777">
            <w:pPr>
              <w:rPr>
                <w:rFonts w:cs="Calibri"/>
              </w:rPr>
            </w:pPr>
            <w:r w:rsidRPr="007D15C3">
              <w:rPr>
                <w:rFonts w:cs="Calibri"/>
              </w:rPr>
              <w:t xml:space="preserve">          2,949,339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36DDA2" w14:textId="77777777">
            <w:pPr>
              <w:rPr>
                <w:rFonts w:cs="Calibri"/>
              </w:rPr>
            </w:pPr>
            <w:r w:rsidRPr="007D15C3">
              <w:rPr>
                <w:rFonts w:cs="Calibri"/>
              </w:rPr>
              <w:t xml:space="preserve">            2,901,633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E158C1" w14:textId="77777777">
            <w:pPr>
              <w:jc w:val="right"/>
              <w:rPr>
                <w:rFonts w:cs="Calibri"/>
              </w:rPr>
            </w:pPr>
            <w:r w:rsidRPr="007D15C3">
              <w:rPr>
                <w:rFonts w:cs="Calibri"/>
              </w:rPr>
              <w:t>$22,740</w:t>
            </w:r>
          </w:p>
        </w:tc>
      </w:tr>
      <w:tr w14:paraId="744D6F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BBDBA8E" w14:textId="77777777">
            <w:pPr>
              <w:jc w:val="center"/>
              <w:rPr>
                <w:rFonts w:cs="Calibri"/>
              </w:rPr>
            </w:pPr>
            <w:r w:rsidRPr="007D15C3">
              <w:rPr>
                <w:rFonts w:cs="Calibri"/>
              </w:rPr>
              <w:t>147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AAC63C" w14:textId="77777777">
            <w:pPr>
              <w:jc w:val="center"/>
              <w:rPr>
                <w:rFonts w:cs="Calibri"/>
              </w:rPr>
            </w:pPr>
            <w:r w:rsidRPr="007D15C3">
              <w:rPr>
                <w:rFonts w:cs="Calibri"/>
              </w:rPr>
              <w:t>WTIC-TV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83ADF6" w14:textId="77777777">
            <w:pPr>
              <w:rPr>
                <w:rFonts w:cs="Calibri"/>
              </w:rPr>
            </w:pPr>
            <w:r w:rsidRPr="007D15C3">
              <w:rPr>
                <w:rFonts w:cs="Calibri"/>
              </w:rPr>
              <w:t xml:space="preserve">          5,318,753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B578C0" w14:textId="77777777">
            <w:pPr>
              <w:rPr>
                <w:rFonts w:cs="Calibri"/>
              </w:rPr>
            </w:pPr>
            <w:r w:rsidRPr="007D15C3">
              <w:rPr>
                <w:rFonts w:cs="Calibri"/>
              </w:rPr>
              <w:t xml:space="preserve">            4,707,697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E65B67" w14:textId="77777777">
            <w:pPr>
              <w:jc w:val="right"/>
              <w:rPr>
                <w:rFonts w:cs="Calibri"/>
              </w:rPr>
            </w:pPr>
            <w:r w:rsidRPr="007D15C3">
              <w:rPr>
                <w:rFonts w:cs="Calibri"/>
              </w:rPr>
              <w:t>$36,894</w:t>
            </w:r>
          </w:p>
        </w:tc>
      </w:tr>
      <w:tr w14:paraId="48D3F7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C6450A" w14:textId="77777777">
            <w:pPr>
              <w:jc w:val="center"/>
              <w:rPr>
                <w:rFonts w:cs="Calibri"/>
              </w:rPr>
            </w:pPr>
            <w:r w:rsidRPr="007D15C3">
              <w:rPr>
                <w:rFonts w:cs="Calibri"/>
              </w:rPr>
              <w:t>26681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53745D" w14:textId="77777777">
            <w:pPr>
              <w:jc w:val="center"/>
              <w:rPr>
                <w:rFonts w:cs="Calibri"/>
              </w:rPr>
            </w:pPr>
            <w:r w:rsidRPr="007D15C3">
              <w:rPr>
                <w:rFonts w:cs="Calibri"/>
              </w:rPr>
              <w:t>WTIN-TV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A3E48E" w14:textId="77777777">
            <w:pPr>
              <w:rPr>
                <w:rFonts w:cs="Calibri"/>
              </w:rPr>
            </w:pPr>
            <w:r w:rsidRPr="007D15C3">
              <w:rPr>
                <w:rFonts w:cs="Calibri"/>
              </w:rPr>
              <w:t xml:space="preserve">          3,714,547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841472" w14:textId="77777777">
            <w:pPr>
              <w:rPr>
                <w:rFonts w:cs="Calibri"/>
              </w:rPr>
            </w:pPr>
            <w:r w:rsidRPr="007D15C3">
              <w:rPr>
                <w:rFonts w:cs="Calibri"/>
              </w:rPr>
              <w:t xml:space="preserve">            3,487,634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1132BA" w14:textId="77777777">
            <w:pPr>
              <w:jc w:val="right"/>
              <w:rPr>
                <w:rFonts w:cs="Calibri"/>
              </w:rPr>
            </w:pPr>
            <w:r w:rsidRPr="007D15C3">
              <w:rPr>
                <w:rFonts w:cs="Calibri"/>
              </w:rPr>
              <w:t>$</w:t>
            </w:r>
            <w:r>
              <w:rPr>
                <w:rFonts w:cs="Calibri"/>
              </w:rPr>
              <w:t>1,199</w:t>
            </w:r>
          </w:p>
        </w:tc>
      </w:tr>
      <w:tr w14:paraId="303CB64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BEE2AE" w14:textId="77777777">
            <w:pPr>
              <w:jc w:val="center"/>
              <w:rPr>
                <w:rFonts w:cs="Calibri"/>
              </w:rPr>
            </w:pPr>
            <w:r w:rsidRPr="007D15C3">
              <w:rPr>
                <w:rFonts w:cs="Calibri"/>
              </w:rPr>
              <w:t>66536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40AD273" w14:textId="77777777">
            <w:pPr>
              <w:jc w:val="center"/>
              <w:rPr>
                <w:rFonts w:cs="Calibri"/>
              </w:rPr>
            </w:pPr>
            <w:r w:rsidRPr="007D15C3">
              <w:rPr>
                <w:rFonts w:cs="Calibri"/>
              </w:rPr>
              <w:t>WTIU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386A2F" w14:textId="77777777">
            <w:pPr>
              <w:rPr>
                <w:rFonts w:cs="Calibri"/>
              </w:rPr>
            </w:pPr>
            <w:r w:rsidRPr="007D15C3">
              <w:rPr>
                <w:rFonts w:cs="Calibri"/>
              </w:rPr>
              <w:t xml:space="preserve">          1,131,685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4E4FD6" w14:textId="77777777">
            <w:pPr>
              <w:rPr>
                <w:rFonts w:cs="Calibri"/>
              </w:rPr>
            </w:pPr>
            <w:r w:rsidRPr="007D15C3">
              <w:rPr>
                <w:rFonts w:cs="Calibri"/>
              </w:rPr>
              <w:t xml:space="preserve">            1,131,161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599883" w14:textId="77777777">
            <w:pPr>
              <w:jc w:val="right"/>
              <w:rPr>
                <w:rFonts w:cs="Calibri"/>
              </w:rPr>
            </w:pPr>
            <w:r w:rsidRPr="007D15C3">
              <w:rPr>
                <w:rFonts w:cs="Calibri"/>
              </w:rPr>
              <w:t>$8,865</w:t>
            </w:r>
          </w:p>
        </w:tc>
      </w:tr>
      <w:tr w14:paraId="58C473D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298FB8" w14:textId="77777777">
            <w:pPr>
              <w:jc w:val="center"/>
              <w:rPr>
                <w:rFonts w:cs="Calibri"/>
              </w:rPr>
            </w:pPr>
            <w:r w:rsidRPr="007D15C3">
              <w:rPr>
                <w:rFonts w:cs="Calibri"/>
              </w:rPr>
              <w:t>1002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7B5C16" w14:textId="77777777">
            <w:pPr>
              <w:jc w:val="center"/>
              <w:rPr>
                <w:rFonts w:cs="Calibri"/>
              </w:rPr>
            </w:pPr>
            <w:r w:rsidRPr="007D15C3">
              <w:rPr>
                <w:rFonts w:cs="Calibri"/>
              </w:rPr>
              <w:t>WTJP-TV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889474" w14:textId="77777777">
            <w:pPr>
              <w:rPr>
                <w:rFonts w:cs="Calibri"/>
              </w:rPr>
            </w:pPr>
            <w:r w:rsidRPr="007D15C3">
              <w:rPr>
                <w:rFonts w:cs="Calibri"/>
              </w:rPr>
              <w:t xml:space="preserve">          1,947,743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B40586" w14:textId="77777777">
            <w:pPr>
              <w:rPr>
                <w:rFonts w:cs="Calibri"/>
              </w:rPr>
            </w:pPr>
            <w:r w:rsidRPr="007D15C3">
              <w:rPr>
                <w:rFonts w:cs="Calibri"/>
              </w:rPr>
              <w:t xml:space="preserve">            1,907,300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44C849" w14:textId="77777777">
            <w:pPr>
              <w:jc w:val="right"/>
              <w:rPr>
                <w:rFonts w:cs="Calibri"/>
              </w:rPr>
            </w:pPr>
            <w:r w:rsidRPr="007D15C3">
              <w:rPr>
                <w:rFonts w:cs="Calibri"/>
              </w:rPr>
              <w:t>$14,948</w:t>
            </w:r>
          </w:p>
        </w:tc>
      </w:tr>
      <w:tr w14:paraId="4B57F65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9D8283" w14:textId="77777777">
            <w:pPr>
              <w:jc w:val="center"/>
              <w:rPr>
                <w:rFonts w:cs="Calibri"/>
              </w:rPr>
            </w:pPr>
            <w:r w:rsidRPr="007D15C3">
              <w:rPr>
                <w:rFonts w:cs="Calibri"/>
              </w:rPr>
              <w:t>4593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A488EC" w14:textId="77777777">
            <w:pPr>
              <w:jc w:val="center"/>
              <w:rPr>
                <w:rFonts w:cs="Calibri"/>
              </w:rPr>
            </w:pPr>
            <w:r w:rsidRPr="007D15C3">
              <w:rPr>
                <w:rFonts w:cs="Calibri"/>
              </w:rPr>
              <w:t>WTJR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259B73" w14:textId="77777777">
            <w:pPr>
              <w:rPr>
                <w:rFonts w:cs="Calibri"/>
              </w:rPr>
            </w:pPr>
            <w:r w:rsidRPr="007D15C3">
              <w:rPr>
                <w:rFonts w:cs="Calibri"/>
              </w:rPr>
              <w:t xml:space="preserve">             334,527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C98330" w14:textId="77777777">
            <w:pPr>
              <w:rPr>
                <w:rFonts w:cs="Calibri"/>
              </w:rPr>
            </w:pPr>
            <w:r w:rsidRPr="007D15C3">
              <w:rPr>
                <w:rFonts w:cs="Calibri"/>
              </w:rPr>
              <w:t xml:space="preserve">               334,221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BA9E4F" w14:textId="77777777">
            <w:pPr>
              <w:jc w:val="right"/>
              <w:rPr>
                <w:rFonts w:cs="Calibri"/>
              </w:rPr>
            </w:pPr>
            <w:r w:rsidRPr="007D15C3">
              <w:rPr>
                <w:rFonts w:cs="Calibri"/>
              </w:rPr>
              <w:t>$2,619</w:t>
            </w:r>
          </w:p>
        </w:tc>
      </w:tr>
      <w:tr w14:paraId="0A94994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91756B" w14:textId="77777777">
            <w:pPr>
              <w:jc w:val="center"/>
              <w:rPr>
                <w:rFonts w:cs="Calibri"/>
              </w:rPr>
            </w:pPr>
            <w:r w:rsidRPr="007D15C3">
              <w:rPr>
                <w:rFonts w:cs="Calibri"/>
              </w:rPr>
              <w:t>70287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52443D" w14:textId="77777777">
            <w:pPr>
              <w:jc w:val="center"/>
              <w:rPr>
                <w:rFonts w:cs="Calibri"/>
              </w:rPr>
            </w:pPr>
            <w:r w:rsidRPr="007D15C3">
              <w:rPr>
                <w:rFonts w:cs="Calibri"/>
              </w:rPr>
              <w:t>WTJX-TV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10C51C" w14:textId="77777777">
            <w:pPr>
              <w:rPr>
                <w:rFonts w:cs="Calibri"/>
              </w:rPr>
            </w:pPr>
            <w:r w:rsidRPr="007D15C3">
              <w:rPr>
                <w:rFonts w:cs="Calibri"/>
              </w:rPr>
              <w:t xml:space="preserve">             135,017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667AB1" w14:textId="77777777">
            <w:pPr>
              <w:rPr>
                <w:rFonts w:cs="Calibri"/>
              </w:rPr>
            </w:pPr>
            <w:r w:rsidRPr="007D15C3">
              <w:rPr>
                <w:rFonts w:cs="Calibri"/>
              </w:rPr>
              <w:t xml:space="preserve">               121,498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7DC8FF" w14:textId="77777777">
            <w:pPr>
              <w:jc w:val="right"/>
              <w:rPr>
                <w:rFonts w:cs="Calibri"/>
              </w:rPr>
            </w:pPr>
            <w:r w:rsidRPr="007D15C3">
              <w:rPr>
                <w:rFonts w:cs="Calibri"/>
              </w:rPr>
              <w:t>$952</w:t>
            </w:r>
          </w:p>
        </w:tc>
      </w:tr>
      <w:tr w14:paraId="5656E85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1CA27CC" w14:textId="77777777">
            <w:pPr>
              <w:jc w:val="center"/>
              <w:rPr>
                <w:rFonts w:cs="Calibri"/>
              </w:rPr>
            </w:pPr>
            <w:r w:rsidRPr="007D15C3">
              <w:rPr>
                <w:rFonts w:cs="Calibri"/>
              </w:rPr>
              <w:t>47401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656426" w14:textId="77777777">
            <w:pPr>
              <w:jc w:val="center"/>
              <w:rPr>
                <w:rFonts w:cs="Calibri"/>
              </w:rPr>
            </w:pPr>
            <w:r w:rsidRPr="007D15C3">
              <w:rPr>
                <w:rFonts w:cs="Calibri"/>
              </w:rPr>
              <w:t>WTKR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BFD1A3" w14:textId="77777777">
            <w:pPr>
              <w:rPr>
                <w:rFonts w:cs="Calibri"/>
              </w:rPr>
            </w:pPr>
            <w:r w:rsidRPr="007D15C3">
              <w:rPr>
                <w:rFonts w:cs="Calibri"/>
              </w:rPr>
              <w:t xml:space="preserve">          2,142,272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DA1DCE" w14:textId="77777777">
            <w:pPr>
              <w:rPr>
                <w:rFonts w:cs="Calibri"/>
              </w:rPr>
            </w:pPr>
            <w:r w:rsidRPr="007D15C3">
              <w:rPr>
                <w:rFonts w:cs="Calibri"/>
              </w:rPr>
              <w:t xml:space="preserve">            2,142,084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B6152C" w14:textId="77777777">
            <w:pPr>
              <w:jc w:val="right"/>
              <w:rPr>
                <w:rFonts w:cs="Calibri"/>
              </w:rPr>
            </w:pPr>
            <w:r w:rsidRPr="007D15C3">
              <w:rPr>
                <w:rFonts w:cs="Calibri"/>
              </w:rPr>
              <w:t>$16,788</w:t>
            </w:r>
          </w:p>
        </w:tc>
      </w:tr>
      <w:tr w14:paraId="2A48B74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1C23A6" w14:textId="77777777">
            <w:pPr>
              <w:jc w:val="center"/>
              <w:rPr>
                <w:rFonts w:cs="Calibri"/>
              </w:rPr>
            </w:pPr>
            <w:r w:rsidRPr="007D15C3">
              <w:rPr>
                <w:rFonts w:cs="Calibri"/>
              </w:rPr>
              <w:t>82735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909389" w14:textId="77777777">
            <w:pPr>
              <w:jc w:val="center"/>
              <w:rPr>
                <w:rFonts w:cs="Calibri"/>
              </w:rPr>
            </w:pPr>
            <w:r w:rsidRPr="007D15C3">
              <w:rPr>
                <w:rFonts w:cs="Calibri"/>
              </w:rPr>
              <w:t>WTLF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78CEC1" w14:textId="77777777">
            <w:pPr>
              <w:rPr>
                <w:rFonts w:cs="Calibri"/>
              </w:rPr>
            </w:pPr>
            <w:r w:rsidRPr="007D15C3">
              <w:rPr>
                <w:rFonts w:cs="Calibri"/>
              </w:rPr>
              <w:t xml:space="preserve">             349,696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A08FBE" w14:textId="77777777">
            <w:pPr>
              <w:rPr>
                <w:rFonts w:cs="Calibri"/>
              </w:rPr>
            </w:pPr>
            <w:r w:rsidRPr="007D15C3">
              <w:rPr>
                <w:rFonts w:cs="Calibri"/>
              </w:rPr>
              <w:t xml:space="preserve">               349,691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B72665" w14:textId="77777777">
            <w:pPr>
              <w:jc w:val="right"/>
              <w:rPr>
                <w:rFonts w:cs="Calibri"/>
              </w:rPr>
            </w:pPr>
            <w:r w:rsidRPr="007D15C3">
              <w:rPr>
                <w:rFonts w:cs="Calibri"/>
              </w:rPr>
              <w:t>$2,741</w:t>
            </w:r>
          </w:p>
        </w:tc>
      </w:tr>
      <w:tr w14:paraId="7A5067D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ABD651" w14:textId="77777777">
            <w:pPr>
              <w:jc w:val="center"/>
              <w:rPr>
                <w:rFonts w:cs="Calibri"/>
              </w:rPr>
            </w:pPr>
            <w:r w:rsidRPr="007D15C3">
              <w:rPr>
                <w:rFonts w:cs="Calibri"/>
              </w:rPr>
              <w:t>23486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49ABC1" w14:textId="77777777">
            <w:pPr>
              <w:jc w:val="center"/>
              <w:rPr>
                <w:rFonts w:cs="Calibri"/>
              </w:rPr>
            </w:pPr>
            <w:r w:rsidRPr="007D15C3">
              <w:rPr>
                <w:rFonts w:cs="Calibri"/>
              </w:rPr>
              <w:t>WTLH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4EEC26" w14:textId="77777777">
            <w:pPr>
              <w:rPr>
                <w:rFonts w:cs="Calibri"/>
              </w:rPr>
            </w:pPr>
            <w:r w:rsidRPr="007D15C3">
              <w:rPr>
                <w:rFonts w:cs="Calibri"/>
              </w:rPr>
              <w:t xml:space="preserve">          1,038,086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C629E6" w14:textId="77777777">
            <w:pPr>
              <w:rPr>
                <w:rFonts w:cs="Calibri"/>
              </w:rPr>
            </w:pPr>
            <w:r w:rsidRPr="007D15C3">
              <w:rPr>
                <w:rFonts w:cs="Calibri"/>
              </w:rPr>
              <w:t xml:space="preserve">            1,038,086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4229F4" w14:textId="77777777">
            <w:pPr>
              <w:jc w:val="right"/>
              <w:rPr>
                <w:rFonts w:cs="Calibri"/>
              </w:rPr>
            </w:pPr>
            <w:r w:rsidRPr="007D15C3">
              <w:rPr>
                <w:rFonts w:cs="Calibri"/>
              </w:rPr>
              <w:t>$8,135</w:t>
            </w:r>
          </w:p>
        </w:tc>
      </w:tr>
      <w:tr w14:paraId="787094C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AC2952" w14:textId="77777777">
            <w:pPr>
              <w:jc w:val="center"/>
              <w:rPr>
                <w:rFonts w:cs="Calibri"/>
              </w:rPr>
            </w:pPr>
            <w:r w:rsidRPr="007D15C3">
              <w:rPr>
                <w:rFonts w:cs="Calibri"/>
              </w:rPr>
              <w:t>67781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BA31FD" w14:textId="77777777">
            <w:pPr>
              <w:jc w:val="center"/>
              <w:rPr>
                <w:rFonts w:cs="Calibri"/>
              </w:rPr>
            </w:pPr>
            <w:r w:rsidRPr="007D15C3">
              <w:rPr>
                <w:rFonts w:cs="Calibri"/>
              </w:rPr>
              <w:t>WTLJ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1C92D8" w14:textId="77777777">
            <w:pPr>
              <w:rPr>
                <w:rFonts w:cs="Calibri"/>
              </w:rPr>
            </w:pPr>
            <w:r w:rsidRPr="007D15C3">
              <w:rPr>
                <w:rFonts w:cs="Calibri"/>
              </w:rPr>
              <w:t xml:space="preserve">          1,622,365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3A63CD" w14:textId="77777777">
            <w:pPr>
              <w:rPr>
                <w:rFonts w:cs="Calibri"/>
              </w:rPr>
            </w:pPr>
            <w:r w:rsidRPr="007D15C3">
              <w:rPr>
                <w:rFonts w:cs="Calibri"/>
              </w:rPr>
              <w:t xml:space="preserve">            1,621,227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1388B7" w14:textId="77777777">
            <w:pPr>
              <w:jc w:val="right"/>
              <w:rPr>
                <w:rFonts w:cs="Calibri"/>
              </w:rPr>
            </w:pPr>
            <w:r w:rsidRPr="007D15C3">
              <w:rPr>
                <w:rFonts w:cs="Calibri"/>
              </w:rPr>
              <w:t>$12,706</w:t>
            </w:r>
          </w:p>
        </w:tc>
      </w:tr>
      <w:tr w14:paraId="790D90F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081D90" w14:textId="77777777">
            <w:pPr>
              <w:jc w:val="center"/>
              <w:rPr>
                <w:rFonts w:cs="Calibri"/>
              </w:rPr>
            </w:pPr>
            <w:r w:rsidRPr="007D15C3">
              <w:rPr>
                <w:rFonts w:cs="Calibri"/>
              </w:rPr>
              <w:t>65046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62E89D" w14:textId="77777777">
            <w:pPr>
              <w:jc w:val="center"/>
              <w:rPr>
                <w:rFonts w:cs="Calibri"/>
              </w:rPr>
            </w:pPr>
            <w:r w:rsidRPr="007D15C3">
              <w:rPr>
                <w:rFonts w:cs="Calibri"/>
              </w:rPr>
              <w:t>WTLV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82BDEE" w14:textId="77777777">
            <w:pPr>
              <w:rPr>
                <w:rFonts w:cs="Calibri"/>
              </w:rPr>
            </w:pPr>
            <w:r w:rsidRPr="007D15C3">
              <w:rPr>
                <w:rFonts w:cs="Calibri"/>
              </w:rPr>
              <w:t xml:space="preserve">          1,757,600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BD26B6" w14:textId="77777777">
            <w:pPr>
              <w:rPr>
                <w:rFonts w:cs="Calibri"/>
              </w:rPr>
            </w:pPr>
            <w:r w:rsidRPr="007D15C3">
              <w:rPr>
                <w:rFonts w:cs="Calibri"/>
              </w:rPr>
              <w:t xml:space="preserve">            1,739,021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82C006" w14:textId="77777777">
            <w:pPr>
              <w:jc w:val="right"/>
              <w:rPr>
                <w:rFonts w:cs="Calibri"/>
              </w:rPr>
            </w:pPr>
            <w:r w:rsidRPr="007D15C3">
              <w:rPr>
                <w:rFonts w:cs="Calibri"/>
              </w:rPr>
              <w:t>$13,629</w:t>
            </w:r>
          </w:p>
        </w:tc>
      </w:tr>
      <w:tr w14:paraId="6C1A55E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87EB457" w14:textId="77777777">
            <w:pPr>
              <w:jc w:val="center"/>
              <w:rPr>
                <w:rFonts w:cs="Calibri"/>
              </w:rPr>
            </w:pPr>
            <w:r w:rsidRPr="007D15C3">
              <w:rPr>
                <w:rFonts w:cs="Calibri"/>
              </w:rPr>
              <w:t>1222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D91D09" w14:textId="77777777">
            <w:pPr>
              <w:jc w:val="center"/>
              <w:rPr>
                <w:rFonts w:cs="Calibri"/>
              </w:rPr>
            </w:pPr>
            <w:r w:rsidRPr="007D15C3">
              <w:rPr>
                <w:rFonts w:cs="Calibri"/>
              </w:rPr>
              <w:t>WTLW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3BBB49" w14:textId="77777777">
            <w:pPr>
              <w:rPr>
                <w:rFonts w:cs="Calibri"/>
              </w:rPr>
            </w:pPr>
            <w:r w:rsidRPr="007D15C3">
              <w:rPr>
                <w:rFonts w:cs="Calibri"/>
              </w:rPr>
              <w:t xml:space="preserve">          1,646,714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CB145" w14:textId="77777777">
            <w:pPr>
              <w:rPr>
                <w:rFonts w:cs="Calibri"/>
              </w:rPr>
            </w:pPr>
            <w:r w:rsidRPr="007D15C3">
              <w:rPr>
                <w:rFonts w:cs="Calibri"/>
              </w:rPr>
              <w:t xml:space="preserve">            1,644,206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795E10" w14:textId="77777777">
            <w:pPr>
              <w:jc w:val="right"/>
              <w:rPr>
                <w:rFonts w:cs="Calibri"/>
              </w:rPr>
            </w:pPr>
            <w:r w:rsidRPr="007D15C3">
              <w:rPr>
                <w:rFonts w:cs="Calibri"/>
              </w:rPr>
              <w:t>$12,886</w:t>
            </w:r>
          </w:p>
        </w:tc>
      </w:tr>
      <w:tr w14:paraId="19BEE4F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5EE47F" w14:textId="77777777">
            <w:pPr>
              <w:jc w:val="center"/>
              <w:rPr>
                <w:rFonts w:cs="Calibri"/>
              </w:rPr>
            </w:pPr>
            <w:r w:rsidRPr="007D15C3">
              <w:rPr>
                <w:rFonts w:cs="Calibri"/>
              </w:rPr>
              <w:t>74098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70CAF4" w14:textId="77777777">
            <w:pPr>
              <w:jc w:val="center"/>
              <w:rPr>
                <w:rFonts w:cs="Calibri"/>
              </w:rPr>
            </w:pPr>
            <w:r w:rsidRPr="007D15C3">
              <w:rPr>
                <w:rFonts w:cs="Calibri"/>
              </w:rPr>
              <w:t>WTMJ-TV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26E547" w14:textId="77777777">
            <w:pPr>
              <w:rPr>
                <w:rFonts w:cs="Calibri"/>
              </w:rPr>
            </w:pPr>
            <w:r w:rsidRPr="007D15C3">
              <w:rPr>
                <w:rFonts w:cs="Calibri"/>
              </w:rPr>
              <w:t xml:space="preserve">          3,010,678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36D18D" w14:textId="77777777">
            <w:pPr>
              <w:rPr>
                <w:rFonts w:cs="Calibri"/>
              </w:rPr>
            </w:pPr>
            <w:r w:rsidRPr="007D15C3">
              <w:rPr>
                <w:rFonts w:cs="Calibri"/>
              </w:rPr>
              <w:t xml:space="preserve">            2,995,959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11D254" w14:textId="77777777">
            <w:pPr>
              <w:jc w:val="right"/>
              <w:rPr>
                <w:rFonts w:cs="Calibri"/>
              </w:rPr>
            </w:pPr>
            <w:r w:rsidRPr="007D15C3">
              <w:rPr>
                <w:rFonts w:cs="Calibri"/>
              </w:rPr>
              <w:t>$23,479</w:t>
            </w:r>
          </w:p>
        </w:tc>
      </w:tr>
      <w:tr w14:paraId="0D4343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B639D25" w14:textId="77777777">
            <w:pPr>
              <w:jc w:val="center"/>
              <w:rPr>
                <w:rFonts w:cs="Calibri"/>
              </w:rPr>
            </w:pPr>
            <w:r w:rsidRPr="007D15C3">
              <w:rPr>
                <w:rFonts w:cs="Calibri"/>
              </w:rPr>
              <w:t>74109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90691C" w14:textId="77777777">
            <w:pPr>
              <w:jc w:val="center"/>
              <w:rPr>
                <w:rFonts w:cs="Calibri"/>
              </w:rPr>
            </w:pPr>
            <w:r w:rsidRPr="007D15C3">
              <w:rPr>
                <w:rFonts w:cs="Calibri"/>
              </w:rPr>
              <w:t>WTNH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1D3AC1" w14:textId="77777777">
            <w:pPr>
              <w:rPr>
                <w:rFonts w:cs="Calibri"/>
              </w:rPr>
            </w:pPr>
            <w:r w:rsidRPr="007D15C3">
              <w:rPr>
                <w:rFonts w:cs="Calibri"/>
              </w:rPr>
              <w:t xml:space="preserve">          7,845,782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63C0F4" w14:textId="77777777">
            <w:pPr>
              <w:rPr>
                <w:rFonts w:cs="Calibri"/>
              </w:rPr>
            </w:pPr>
            <w:r w:rsidRPr="007D15C3">
              <w:rPr>
                <w:rFonts w:cs="Calibri"/>
              </w:rPr>
              <w:t xml:space="preserve">            7,332,431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EE0503" w14:textId="77777777">
            <w:pPr>
              <w:jc w:val="right"/>
              <w:rPr>
                <w:rFonts w:cs="Calibri"/>
              </w:rPr>
            </w:pPr>
            <w:r w:rsidRPr="007D15C3">
              <w:rPr>
                <w:rFonts w:cs="Calibri"/>
              </w:rPr>
              <w:t>$57,464</w:t>
            </w:r>
          </w:p>
        </w:tc>
      </w:tr>
      <w:tr w14:paraId="43FDA2F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6EE544" w14:textId="77777777">
            <w:pPr>
              <w:jc w:val="center"/>
              <w:rPr>
                <w:rFonts w:cs="Calibri"/>
              </w:rPr>
            </w:pPr>
            <w:r w:rsidRPr="007D15C3">
              <w:rPr>
                <w:rFonts w:cs="Calibri"/>
              </w:rPr>
              <w:t>19200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5E425D" w14:textId="77777777">
            <w:pPr>
              <w:jc w:val="center"/>
              <w:rPr>
                <w:rFonts w:cs="Calibri"/>
              </w:rPr>
            </w:pPr>
            <w:r w:rsidRPr="007D15C3">
              <w:rPr>
                <w:rFonts w:cs="Calibri"/>
              </w:rPr>
              <w:t>WTNZ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24A967" w14:textId="77777777">
            <w:pPr>
              <w:rPr>
                <w:rFonts w:cs="Calibri"/>
              </w:rPr>
            </w:pPr>
            <w:r w:rsidRPr="007D15C3">
              <w:rPr>
                <w:rFonts w:cs="Calibri"/>
              </w:rPr>
              <w:t xml:space="preserve">          1,699,427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839010" w14:textId="77777777">
            <w:pPr>
              <w:rPr>
                <w:rFonts w:cs="Calibri"/>
              </w:rPr>
            </w:pPr>
            <w:r w:rsidRPr="007D15C3">
              <w:rPr>
                <w:rFonts w:cs="Calibri"/>
              </w:rPr>
              <w:t xml:space="preserve">            1,513,754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3A8B45" w14:textId="77777777">
            <w:pPr>
              <w:jc w:val="right"/>
              <w:rPr>
                <w:rFonts w:cs="Calibri"/>
              </w:rPr>
            </w:pPr>
            <w:r w:rsidRPr="007D15C3">
              <w:rPr>
                <w:rFonts w:cs="Calibri"/>
              </w:rPr>
              <w:t>$11,863</w:t>
            </w:r>
          </w:p>
        </w:tc>
      </w:tr>
      <w:tr w14:paraId="050D9AE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60DF53" w14:textId="77777777">
            <w:pPr>
              <w:jc w:val="center"/>
              <w:rPr>
                <w:rFonts w:cs="Calibri"/>
              </w:rPr>
            </w:pPr>
            <w:r w:rsidRPr="007D15C3">
              <w:rPr>
                <w:rFonts w:cs="Calibri"/>
              </w:rPr>
              <w:t>590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6462F2" w14:textId="77777777">
            <w:pPr>
              <w:jc w:val="center"/>
              <w:rPr>
                <w:rFonts w:cs="Calibri"/>
              </w:rPr>
            </w:pPr>
            <w:r w:rsidRPr="007D15C3">
              <w:rPr>
                <w:rFonts w:cs="Calibri"/>
              </w:rPr>
              <w:t>WTOC-TV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34B80D" w14:textId="77777777">
            <w:pPr>
              <w:rPr>
                <w:rFonts w:cs="Calibri"/>
              </w:rPr>
            </w:pPr>
            <w:r w:rsidRPr="007D15C3">
              <w:rPr>
                <w:rFonts w:cs="Calibri"/>
              </w:rPr>
              <w:t xml:space="preserve">             993,098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85B844" w14:textId="77777777">
            <w:pPr>
              <w:rPr>
                <w:rFonts w:cs="Calibri"/>
              </w:rPr>
            </w:pPr>
            <w:r w:rsidRPr="007D15C3">
              <w:rPr>
                <w:rFonts w:cs="Calibri"/>
              </w:rPr>
              <w:t xml:space="preserve">               992,658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FAF820" w14:textId="77777777">
            <w:pPr>
              <w:jc w:val="right"/>
              <w:rPr>
                <w:rFonts w:cs="Calibri"/>
              </w:rPr>
            </w:pPr>
            <w:r w:rsidRPr="007D15C3">
              <w:rPr>
                <w:rFonts w:cs="Calibri"/>
              </w:rPr>
              <w:t>$7,779</w:t>
            </w:r>
          </w:p>
        </w:tc>
      </w:tr>
      <w:tr w14:paraId="7295F1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FD2B85" w14:textId="77777777">
            <w:pPr>
              <w:jc w:val="center"/>
              <w:rPr>
                <w:rFonts w:cs="Calibri"/>
              </w:rPr>
            </w:pPr>
            <w:r w:rsidRPr="007D15C3">
              <w:rPr>
                <w:rFonts w:cs="Calibri"/>
              </w:rPr>
              <w:t>74112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7B7AB7" w14:textId="77777777">
            <w:pPr>
              <w:jc w:val="center"/>
              <w:rPr>
                <w:rFonts w:cs="Calibri"/>
              </w:rPr>
            </w:pPr>
            <w:r w:rsidRPr="007D15C3">
              <w:rPr>
                <w:rFonts w:cs="Calibri"/>
              </w:rPr>
              <w:t>WTOG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1F7972" w14:textId="77777777">
            <w:pPr>
              <w:rPr>
                <w:rFonts w:cs="Calibri"/>
              </w:rPr>
            </w:pPr>
            <w:r w:rsidRPr="007D15C3">
              <w:rPr>
                <w:rFonts w:cs="Calibri"/>
              </w:rPr>
              <w:t xml:space="preserve">          4,796,964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8308BE" w14:textId="77777777">
            <w:pPr>
              <w:rPr>
                <w:rFonts w:cs="Calibri"/>
              </w:rPr>
            </w:pPr>
            <w:r w:rsidRPr="007D15C3">
              <w:rPr>
                <w:rFonts w:cs="Calibri"/>
              </w:rPr>
              <w:t xml:space="preserve">            4,796,188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F34474" w14:textId="77777777">
            <w:pPr>
              <w:jc w:val="right"/>
              <w:rPr>
                <w:rFonts w:cs="Calibri"/>
              </w:rPr>
            </w:pPr>
            <w:r w:rsidRPr="007D15C3">
              <w:rPr>
                <w:rFonts w:cs="Calibri"/>
              </w:rPr>
              <w:t>$37,588</w:t>
            </w:r>
          </w:p>
        </w:tc>
      </w:tr>
      <w:tr w14:paraId="0D51D25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5ADF65" w14:textId="77777777">
            <w:pPr>
              <w:jc w:val="center"/>
              <w:rPr>
                <w:rFonts w:cs="Calibri"/>
              </w:rPr>
            </w:pPr>
            <w:r w:rsidRPr="007D15C3">
              <w:rPr>
                <w:rFonts w:cs="Calibri"/>
              </w:rPr>
              <w:t>4686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3923F3" w14:textId="77777777">
            <w:pPr>
              <w:jc w:val="center"/>
              <w:rPr>
                <w:rFonts w:cs="Calibri"/>
              </w:rPr>
            </w:pPr>
            <w:r w:rsidRPr="007D15C3">
              <w:rPr>
                <w:rFonts w:cs="Calibri"/>
              </w:rPr>
              <w:t>WTOK-TV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24D74E" w14:textId="77777777">
            <w:pPr>
              <w:rPr>
                <w:rFonts w:cs="Calibri"/>
              </w:rPr>
            </w:pPr>
            <w:r w:rsidRPr="007D15C3">
              <w:rPr>
                <w:rFonts w:cs="Calibri"/>
              </w:rPr>
              <w:t xml:space="preserve">             410,134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647D63" w14:textId="77777777">
            <w:pPr>
              <w:rPr>
                <w:rFonts w:cs="Calibri"/>
              </w:rPr>
            </w:pPr>
            <w:r w:rsidRPr="007D15C3">
              <w:rPr>
                <w:rFonts w:cs="Calibri"/>
              </w:rPr>
              <w:t xml:space="preserve">               404,555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2B25B1" w14:textId="77777777">
            <w:pPr>
              <w:jc w:val="right"/>
              <w:rPr>
                <w:rFonts w:cs="Calibri"/>
              </w:rPr>
            </w:pPr>
            <w:r w:rsidRPr="007D15C3">
              <w:rPr>
                <w:rFonts w:cs="Calibri"/>
              </w:rPr>
              <w:t>$3,170</w:t>
            </w:r>
          </w:p>
        </w:tc>
      </w:tr>
      <w:tr w14:paraId="7BBDB76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FF21AF" w14:textId="77777777">
            <w:pPr>
              <w:jc w:val="center"/>
              <w:rPr>
                <w:rFonts w:cs="Calibri"/>
              </w:rPr>
            </w:pPr>
            <w:r w:rsidRPr="007D15C3">
              <w:rPr>
                <w:rFonts w:cs="Calibri"/>
              </w:rPr>
              <w:t>13992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BBF464" w14:textId="77777777">
            <w:pPr>
              <w:jc w:val="center"/>
              <w:rPr>
                <w:rFonts w:cs="Calibri"/>
              </w:rPr>
            </w:pPr>
            <w:r w:rsidRPr="007D15C3">
              <w:rPr>
                <w:rFonts w:cs="Calibri"/>
              </w:rPr>
              <w:t>WTOL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9B748C" w14:textId="77777777">
            <w:pPr>
              <w:rPr>
                <w:rFonts w:cs="Calibri"/>
              </w:rPr>
            </w:pPr>
            <w:r w:rsidRPr="007D15C3">
              <w:rPr>
                <w:rFonts w:cs="Calibri"/>
              </w:rPr>
              <w:t xml:space="preserve">          4,184,020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D2FEFD" w14:textId="77777777">
            <w:pPr>
              <w:rPr>
                <w:rFonts w:cs="Calibri"/>
              </w:rPr>
            </w:pPr>
            <w:r w:rsidRPr="007D15C3">
              <w:rPr>
                <w:rFonts w:cs="Calibri"/>
              </w:rPr>
              <w:t xml:space="preserve">            4,174,198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8D31D7" w14:textId="77777777">
            <w:pPr>
              <w:jc w:val="right"/>
              <w:rPr>
                <w:rFonts w:cs="Calibri"/>
              </w:rPr>
            </w:pPr>
            <w:r w:rsidRPr="007D15C3">
              <w:rPr>
                <w:rFonts w:cs="Calibri"/>
              </w:rPr>
              <w:t>$32,713</w:t>
            </w:r>
          </w:p>
        </w:tc>
      </w:tr>
      <w:tr w14:paraId="64B1CB1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30FFDF" w14:textId="77777777">
            <w:pPr>
              <w:jc w:val="center"/>
              <w:rPr>
                <w:rFonts w:cs="Calibri"/>
              </w:rPr>
            </w:pPr>
            <w:r w:rsidRPr="007D15C3">
              <w:rPr>
                <w:rFonts w:cs="Calibri"/>
              </w:rPr>
              <w:t>21254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D4DCC3" w14:textId="77777777">
            <w:pPr>
              <w:jc w:val="center"/>
              <w:rPr>
                <w:rFonts w:cs="Calibri"/>
              </w:rPr>
            </w:pPr>
            <w:r w:rsidRPr="007D15C3">
              <w:rPr>
                <w:rFonts w:cs="Calibri"/>
              </w:rPr>
              <w:t>WTOM-TV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25FB01" w14:textId="77777777">
            <w:pPr>
              <w:rPr>
                <w:rFonts w:cs="Calibri"/>
              </w:rPr>
            </w:pPr>
            <w:r w:rsidRPr="007D15C3">
              <w:rPr>
                <w:rFonts w:cs="Calibri"/>
              </w:rPr>
              <w:t xml:space="preserve">               83,379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1B5138" w14:textId="77777777">
            <w:pPr>
              <w:rPr>
                <w:rFonts w:cs="Calibri"/>
              </w:rPr>
            </w:pPr>
            <w:r w:rsidRPr="007D15C3">
              <w:rPr>
                <w:rFonts w:cs="Calibri"/>
              </w:rPr>
              <w:t xml:space="preserve">                 81,092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7B4DA" w14:textId="77777777">
            <w:pPr>
              <w:jc w:val="right"/>
              <w:rPr>
                <w:rFonts w:cs="Calibri"/>
              </w:rPr>
            </w:pPr>
            <w:r w:rsidRPr="007D15C3">
              <w:rPr>
                <w:rFonts w:cs="Calibri"/>
              </w:rPr>
              <w:t>$636</w:t>
            </w:r>
          </w:p>
        </w:tc>
      </w:tr>
      <w:tr w14:paraId="7BCADC5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C803AD" w14:textId="77777777">
            <w:pPr>
              <w:jc w:val="center"/>
              <w:rPr>
                <w:rFonts w:cs="Calibri"/>
              </w:rPr>
            </w:pPr>
            <w:r w:rsidRPr="007D15C3">
              <w:rPr>
                <w:rFonts w:cs="Calibri"/>
              </w:rPr>
              <w:t>74122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41B5AC" w14:textId="77777777">
            <w:pPr>
              <w:jc w:val="center"/>
              <w:rPr>
                <w:rFonts w:cs="Calibri"/>
              </w:rPr>
            </w:pPr>
            <w:r w:rsidRPr="007D15C3">
              <w:rPr>
                <w:rFonts w:cs="Calibri"/>
              </w:rPr>
              <w:t>WTOV-TV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E37FAC" w14:textId="77777777">
            <w:pPr>
              <w:rPr>
                <w:rFonts w:cs="Calibri"/>
              </w:rPr>
            </w:pPr>
            <w:r w:rsidRPr="007D15C3">
              <w:rPr>
                <w:rFonts w:cs="Calibri"/>
              </w:rPr>
              <w:t xml:space="preserve">          3,892,886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A5AA73" w14:textId="77777777">
            <w:pPr>
              <w:rPr>
                <w:rFonts w:cs="Calibri"/>
              </w:rPr>
            </w:pPr>
            <w:r w:rsidRPr="007D15C3">
              <w:rPr>
                <w:rFonts w:cs="Calibri"/>
              </w:rPr>
              <w:t xml:space="preserve">            3,619,899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88C3C3" w14:textId="77777777">
            <w:pPr>
              <w:jc w:val="right"/>
              <w:rPr>
                <w:rFonts w:cs="Calibri"/>
              </w:rPr>
            </w:pPr>
            <w:r w:rsidRPr="007D15C3">
              <w:rPr>
                <w:rFonts w:cs="Calibri"/>
              </w:rPr>
              <w:t>$28,369</w:t>
            </w:r>
          </w:p>
        </w:tc>
      </w:tr>
      <w:tr w14:paraId="1B799EB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073E0E7" w14:textId="77777777">
            <w:pPr>
              <w:jc w:val="center"/>
              <w:rPr>
                <w:rFonts w:cs="Calibri"/>
              </w:rPr>
            </w:pPr>
            <w:r w:rsidRPr="007D15C3">
              <w:rPr>
                <w:rFonts w:cs="Calibri"/>
              </w:rPr>
              <w:t>82574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87DBF3" w14:textId="77777777">
            <w:pPr>
              <w:jc w:val="center"/>
              <w:rPr>
                <w:rFonts w:cs="Calibri"/>
              </w:rPr>
            </w:pPr>
            <w:r w:rsidRPr="007D15C3">
              <w:rPr>
                <w:rFonts w:cs="Calibri"/>
              </w:rPr>
              <w:t>WTPC-TV*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0DF7E8" w14:textId="77777777">
            <w:pPr>
              <w:rPr>
                <w:rFonts w:cs="Calibri"/>
              </w:rPr>
            </w:pPr>
            <w:r w:rsidRPr="007D15C3">
              <w:rPr>
                <w:rFonts w:cs="Calibri"/>
              </w:rPr>
              <w:t xml:space="preserve">          2,049,246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EC5813" w14:textId="77777777">
            <w:pPr>
              <w:rPr>
                <w:rFonts w:cs="Calibri"/>
              </w:rPr>
            </w:pPr>
            <w:r w:rsidRPr="007D15C3">
              <w:rPr>
                <w:rFonts w:cs="Calibri"/>
              </w:rPr>
              <w:t xml:space="preserve">            2,042,851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FB8DBF" w14:textId="77777777">
            <w:pPr>
              <w:jc w:val="right"/>
              <w:rPr>
                <w:rFonts w:cs="Calibri"/>
              </w:rPr>
            </w:pPr>
            <w:r w:rsidRPr="007D15C3">
              <w:rPr>
                <w:rFonts w:cs="Calibri"/>
              </w:rPr>
              <w:t>$16,010</w:t>
            </w:r>
          </w:p>
        </w:tc>
      </w:tr>
      <w:tr w14:paraId="0A9367C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CBCE5E" w14:textId="77777777">
            <w:pPr>
              <w:jc w:val="center"/>
              <w:rPr>
                <w:rFonts w:cs="Calibri"/>
              </w:rPr>
            </w:pPr>
            <w:r w:rsidRPr="007D15C3">
              <w:rPr>
                <w:rFonts w:cs="Calibri"/>
              </w:rPr>
              <w:t>86496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B8C2D7" w14:textId="77777777">
            <w:pPr>
              <w:jc w:val="center"/>
              <w:rPr>
                <w:rFonts w:cs="Calibri"/>
              </w:rPr>
            </w:pPr>
            <w:r w:rsidRPr="007D15C3">
              <w:rPr>
                <w:rFonts w:cs="Calibri"/>
              </w:rPr>
              <w:t>WTPX-TV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179204" w14:textId="77777777">
            <w:pPr>
              <w:rPr>
                <w:rFonts w:cs="Calibri"/>
              </w:rPr>
            </w:pPr>
            <w:r w:rsidRPr="007D15C3">
              <w:rPr>
                <w:rFonts w:cs="Calibri"/>
              </w:rPr>
              <w:t xml:space="preserve">             255,972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496A1D" w14:textId="77777777">
            <w:pPr>
              <w:rPr>
                <w:rFonts w:cs="Calibri"/>
              </w:rPr>
            </w:pPr>
            <w:r w:rsidRPr="007D15C3">
              <w:rPr>
                <w:rFonts w:cs="Calibri"/>
              </w:rPr>
              <w:t xml:space="preserve">               255,791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789908" w14:textId="77777777">
            <w:pPr>
              <w:jc w:val="right"/>
              <w:rPr>
                <w:rFonts w:cs="Calibri"/>
              </w:rPr>
            </w:pPr>
            <w:r w:rsidRPr="007D15C3">
              <w:rPr>
                <w:rFonts w:cs="Calibri"/>
              </w:rPr>
              <w:t>$2,005</w:t>
            </w:r>
          </w:p>
        </w:tc>
      </w:tr>
      <w:tr w14:paraId="7E3E57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001228" w14:textId="77777777">
            <w:pPr>
              <w:jc w:val="center"/>
              <w:rPr>
                <w:rFonts w:cs="Calibri"/>
              </w:rPr>
            </w:pPr>
            <w:r w:rsidRPr="007D15C3">
              <w:rPr>
                <w:rFonts w:cs="Calibri"/>
              </w:rPr>
              <w:t>6869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C572F8" w14:textId="77777777">
            <w:pPr>
              <w:jc w:val="center"/>
              <w:rPr>
                <w:rFonts w:cs="Calibri"/>
              </w:rPr>
            </w:pPr>
            <w:r w:rsidRPr="007D15C3">
              <w:rPr>
                <w:rFonts w:cs="Calibri"/>
              </w:rPr>
              <w:t>WTRF-TV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D85B94" w14:textId="77777777">
            <w:pPr>
              <w:rPr>
                <w:rFonts w:cs="Calibri"/>
              </w:rPr>
            </w:pPr>
            <w:r w:rsidRPr="007D15C3">
              <w:rPr>
                <w:rFonts w:cs="Calibri"/>
              </w:rPr>
              <w:t xml:space="preserve">          2,941,511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3DFB2E" w14:textId="77777777">
            <w:pPr>
              <w:rPr>
                <w:rFonts w:cs="Calibri"/>
              </w:rPr>
            </w:pPr>
            <w:r w:rsidRPr="007D15C3">
              <w:rPr>
                <w:rFonts w:cs="Calibri"/>
              </w:rPr>
              <w:t xml:space="preserve">            2,565,375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D9F951" w14:textId="77777777">
            <w:pPr>
              <w:jc w:val="right"/>
              <w:rPr>
                <w:rFonts w:cs="Calibri"/>
              </w:rPr>
            </w:pPr>
            <w:r w:rsidRPr="007D15C3">
              <w:rPr>
                <w:rFonts w:cs="Calibri"/>
              </w:rPr>
              <w:t>$20,105</w:t>
            </w:r>
          </w:p>
        </w:tc>
      </w:tr>
      <w:tr w14:paraId="2E7DE8A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B31A6A" w14:textId="77777777">
            <w:pPr>
              <w:jc w:val="center"/>
              <w:rPr>
                <w:rFonts w:cs="Calibri"/>
              </w:rPr>
            </w:pPr>
            <w:r w:rsidRPr="007D15C3">
              <w:rPr>
                <w:rFonts w:cs="Calibri"/>
              </w:rPr>
              <w:t>67798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093757" w14:textId="77777777">
            <w:pPr>
              <w:jc w:val="center"/>
              <w:rPr>
                <w:rFonts w:cs="Calibri"/>
              </w:rPr>
            </w:pPr>
            <w:r w:rsidRPr="007D15C3">
              <w:rPr>
                <w:rFonts w:cs="Calibri"/>
              </w:rPr>
              <w:t>WTSF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9CCE7C" w14:textId="77777777">
            <w:pPr>
              <w:rPr>
                <w:rFonts w:cs="Calibri"/>
              </w:rPr>
            </w:pPr>
            <w:r w:rsidRPr="007D15C3">
              <w:rPr>
                <w:rFonts w:cs="Calibri"/>
              </w:rPr>
              <w:t xml:space="preserve">             593,934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AA48A2" w14:textId="77777777">
            <w:pPr>
              <w:rPr>
                <w:rFonts w:cs="Calibri"/>
              </w:rPr>
            </w:pPr>
            <w:r w:rsidRPr="007D15C3">
              <w:rPr>
                <w:rFonts w:cs="Calibri"/>
              </w:rPr>
              <w:t xml:space="preserve">               552,040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B143AB" w14:textId="77777777">
            <w:pPr>
              <w:jc w:val="right"/>
              <w:rPr>
                <w:rFonts w:cs="Calibri"/>
              </w:rPr>
            </w:pPr>
            <w:r w:rsidRPr="007D15C3">
              <w:rPr>
                <w:rFonts w:cs="Calibri"/>
              </w:rPr>
              <w:t>$4,326</w:t>
            </w:r>
          </w:p>
        </w:tc>
      </w:tr>
      <w:tr w14:paraId="754F8113"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52962C" w14:textId="77777777">
            <w:pPr>
              <w:jc w:val="center"/>
              <w:rPr>
                <w:rFonts w:cs="Calibri"/>
              </w:rPr>
            </w:pPr>
            <w:r w:rsidRPr="007D15C3">
              <w:rPr>
                <w:rFonts w:cs="Calibri"/>
              </w:rPr>
              <w:t>11290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0E57F17A" w14:textId="77777777">
            <w:pPr>
              <w:jc w:val="center"/>
              <w:rPr>
                <w:rFonts w:cs="Calibri"/>
              </w:rPr>
            </w:pPr>
            <w:r w:rsidRPr="007D15C3">
              <w:rPr>
                <w:rFonts w:cs="Calibri"/>
              </w:rPr>
              <w:t>WTSP*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ED7807A" w14:textId="77777777">
            <w:pPr>
              <w:rPr>
                <w:rFonts w:cs="Calibri"/>
              </w:rPr>
            </w:pPr>
            <w:r w:rsidRPr="007D15C3">
              <w:rPr>
                <w:rFonts w:cs="Calibri"/>
              </w:rPr>
              <w:t xml:space="preserve">          5,511,840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0C68BA24" w14:textId="77777777">
            <w:pPr>
              <w:rPr>
                <w:rFonts w:cs="Calibri"/>
              </w:rPr>
            </w:pPr>
            <w:r w:rsidRPr="007D15C3">
              <w:rPr>
                <w:rFonts w:cs="Calibri"/>
              </w:rPr>
              <w:t xml:space="preserve">            5,494,925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8B9A72F" w14:textId="77777777">
            <w:pPr>
              <w:jc w:val="right"/>
              <w:rPr>
                <w:rFonts w:cs="Calibri"/>
              </w:rPr>
            </w:pPr>
            <w:r w:rsidRPr="007D15C3">
              <w:rPr>
                <w:rFonts w:cs="Calibri"/>
              </w:rPr>
              <w:t>$43,064</w:t>
            </w:r>
          </w:p>
        </w:tc>
      </w:tr>
      <w:tr w14:paraId="500B978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17AF4A" w14:textId="77777777">
            <w:pPr>
              <w:jc w:val="center"/>
              <w:rPr>
                <w:rFonts w:cs="Calibri"/>
              </w:rPr>
            </w:pPr>
            <w:r w:rsidRPr="007D15C3">
              <w:rPr>
                <w:rFonts w:cs="Calibri"/>
              </w:rPr>
              <w:t>4108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AC6740" w14:textId="77777777">
            <w:pPr>
              <w:jc w:val="center"/>
              <w:rPr>
                <w:rFonts w:cs="Calibri"/>
              </w:rPr>
            </w:pPr>
            <w:r w:rsidRPr="007D15C3">
              <w:rPr>
                <w:rFonts w:cs="Calibri"/>
              </w:rPr>
              <w:t>WTTA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01D306" w14:textId="77777777">
            <w:pPr>
              <w:rPr>
                <w:rFonts w:cs="Calibri"/>
              </w:rPr>
            </w:pPr>
            <w:r w:rsidRPr="007D15C3">
              <w:rPr>
                <w:rFonts w:cs="Calibri"/>
              </w:rPr>
              <w:t xml:space="preserve">          5,450,070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095FAD" w14:textId="77777777">
            <w:pPr>
              <w:rPr>
                <w:rFonts w:cs="Calibri"/>
              </w:rPr>
            </w:pPr>
            <w:r w:rsidRPr="007D15C3">
              <w:rPr>
                <w:rFonts w:cs="Calibri"/>
              </w:rPr>
              <w:t xml:space="preserve">            5,446,811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A8492A" w14:textId="77777777">
            <w:pPr>
              <w:jc w:val="right"/>
              <w:rPr>
                <w:rFonts w:cs="Calibri"/>
              </w:rPr>
            </w:pPr>
            <w:r w:rsidRPr="007D15C3">
              <w:rPr>
                <w:rFonts w:cs="Calibri"/>
              </w:rPr>
              <w:t>$42,687</w:t>
            </w:r>
          </w:p>
        </w:tc>
      </w:tr>
      <w:tr w14:paraId="060DCE6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7C072D3" w14:textId="77777777">
            <w:pPr>
              <w:jc w:val="center"/>
              <w:rPr>
                <w:rFonts w:cs="Calibri"/>
              </w:rPr>
            </w:pPr>
            <w:r w:rsidRPr="007D15C3">
              <w:rPr>
                <w:rFonts w:cs="Calibri"/>
              </w:rPr>
              <w:t>74137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D01FA9E" w14:textId="77777777">
            <w:pPr>
              <w:jc w:val="center"/>
              <w:rPr>
                <w:rFonts w:cs="Calibri"/>
              </w:rPr>
            </w:pPr>
            <w:r w:rsidRPr="007D15C3">
              <w:rPr>
                <w:rFonts w:cs="Calibri"/>
              </w:rPr>
              <w:t>WTTE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F863CE" w14:textId="77777777">
            <w:pPr>
              <w:rPr>
                <w:rFonts w:cs="Calibri"/>
              </w:rPr>
            </w:pPr>
            <w:r w:rsidRPr="007D15C3">
              <w:rPr>
                <w:rFonts w:cs="Calibri"/>
              </w:rPr>
              <w:t xml:space="preserve">          2,636,341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199898" w14:textId="77777777">
            <w:pPr>
              <w:rPr>
                <w:rFonts w:cs="Calibri"/>
              </w:rPr>
            </w:pPr>
            <w:r w:rsidRPr="007D15C3">
              <w:rPr>
                <w:rFonts w:cs="Calibri"/>
              </w:rPr>
              <w:t xml:space="preserve">            2,591,715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FFF95A" w14:textId="77777777">
            <w:pPr>
              <w:jc w:val="right"/>
              <w:rPr>
                <w:rFonts w:cs="Calibri"/>
              </w:rPr>
            </w:pPr>
            <w:r w:rsidRPr="007D15C3">
              <w:rPr>
                <w:rFonts w:cs="Calibri"/>
              </w:rPr>
              <w:t>$20,311</w:t>
            </w:r>
          </w:p>
        </w:tc>
      </w:tr>
      <w:tr w14:paraId="27CCBE7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B35387" w14:textId="77777777">
            <w:pPr>
              <w:jc w:val="center"/>
              <w:rPr>
                <w:rFonts w:cs="Calibri"/>
              </w:rPr>
            </w:pPr>
            <w:r w:rsidRPr="007D15C3">
              <w:rPr>
                <w:rFonts w:cs="Calibri"/>
              </w:rPr>
              <w:t>22207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983849" w14:textId="77777777">
            <w:pPr>
              <w:jc w:val="center"/>
              <w:rPr>
                <w:rFonts w:cs="Calibri"/>
              </w:rPr>
            </w:pPr>
            <w:r w:rsidRPr="007D15C3">
              <w:rPr>
                <w:rFonts w:cs="Calibri"/>
              </w:rPr>
              <w:t>WTTG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B424FB" w14:textId="77777777">
            <w:pPr>
              <w:rPr>
                <w:rFonts w:cs="Calibri"/>
              </w:rPr>
            </w:pPr>
            <w:r w:rsidRPr="007D15C3">
              <w:rPr>
                <w:rFonts w:cs="Calibri"/>
              </w:rPr>
              <w:t xml:space="preserve">          8,070,491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FB9092" w14:textId="77777777">
            <w:pPr>
              <w:rPr>
                <w:rFonts w:cs="Calibri"/>
              </w:rPr>
            </w:pPr>
            <w:r w:rsidRPr="007D15C3">
              <w:rPr>
                <w:rFonts w:cs="Calibri"/>
              </w:rPr>
              <w:t xml:space="preserve">            8,015,328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E5ED47" w14:textId="77777777">
            <w:pPr>
              <w:jc w:val="right"/>
              <w:rPr>
                <w:rFonts w:cs="Calibri"/>
              </w:rPr>
            </w:pPr>
            <w:r w:rsidRPr="007D15C3">
              <w:rPr>
                <w:rFonts w:cs="Calibri"/>
              </w:rPr>
              <w:t>$62,816</w:t>
            </w:r>
          </w:p>
        </w:tc>
      </w:tr>
      <w:tr w14:paraId="397F53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4B4D1CB" w14:textId="77777777">
            <w:pPr>
              <w:jc w:val="center"/>
              <w:rPr>
                <w:rFonts w:cs="Calibri"/>
              </w:rPr>
            </w:pPr>
            <w:r w:rsidRPr="007D15C3">
              <w:rPr>
                <w:rFonts w:cs="Calibri"/>
              </w:rPr>
              <w:t>56526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E159C6" w14:textId="77777777">
            <w:pPr>
              <w:jc w:val="center"/>
              <w:rPr>
                <w:rFonts w:cs="Calibri"/>
              </w:rPr>
            </w:pPr>
            <w:r w:rsidRPr="007D15C3">
              <w:rPr>
                <w:rFonts w:cs="Calibri"/>
              </w:rPr>
              <w:t>WTTK</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3DD2AC" w14:textId="77777777">
            <w:pPr>
              <w:rPr>
                <w:rFonts w:cs="Calibri"/>
              </w:rPr>
            </w:pPr>
            <w:r w:rsidRPr="007D15C3">
              <w:rPr>
                <w:rFonts w:cs="Calibri"/>
              </w:rPr>
              <w:t xml:space="preserve">          2,817,698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C81735" w14:textId="77777777">
            <w:pPr>
              <w:rPr>
                <w:rFonts w:cs="Calibri"/>
              </w:rPr>
            </w:pPr>
            <w:r w:rsidRPr="007D15C3">
              <w:rPr>
                <w:rFonts w:cs="Calibri"/>
              </w:rPr>
              <w:t xml:space="preserve">            2,794,018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2F1682" w14:textId="77777777">
            <w:pPr>
              <w:jc w:val="right"/>
              <w:rPr>
                <w:rFonts w:cs="Calibri"/>
              </w:rPr>
            </w:pPr>
            <w:r w:rsidRPr="007D15C3">
              <w:rPr>
                <w:rFonts w:cs="Calibri"/>
              </w:rPr>
              <w:t>$21,897</w:t>
            </w:r>
          </w:p>
        </w:tc>
      </w:tr>
      <w:tr w14:paraId="61D3355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4AB2475" w14:textId="77777777">
            <w:pPr>
              <w:jc w:val="center"/>
              <w:rPr>
                <w:rFonts w:cs="Calibri"/>
              </w:rPr>
            </w:pPr>
            <w:r w:rsidRPr="007D15C3">
              <w:rPr>
                <w:rFonts w:cs="Calibri"/>
              </w:rPr>
              <w:t>74138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A28FE5" w14:textId="77777777">
            <w:pPr>
              <w:jc w:val="center"/>
              <w:rPr>
                <w:rFonts w:cs="Calibri"/>
              </w:rPr>
            </w:pPr>
            <w:r w:rsidRPr="007D15C3">
              <w:rPr>
                <w:rFonts w:cs="Calibri"/>
              </w:rPr>
              <w:t>WTTO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77138B" w14:textId="77777777">
            <w:pPr>
              <w:rPr>
                <w:rFonts w:cs="Calibri"/>
              </w:rPr>
            </w:pPr>
            <w:r w:rsidRPr="007D15C3">
              <w:rPr>
                <w:rFonts w:cs="Calibri"/>
              </w:rPr>
              <w:t xml:space="preserve">          1,817,151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357CAF" w14:textId="77777777">
            <w:pPr>
              <w:rPr>
                <w:rFonts w:cs="Calibri"/>
              </w:rPr>
            </w:pPr>
            <w:r w:rsidRPr="007D15C3">
              <w:rPr>
                <w:rFonts w:cs="Calibri"/>
              </w:rPr>
              <w:t xml:space="preserve">            1,786,516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FD2077" w14:textId="77777777">
            <w:pPr>
              <w:jc w:val="right"/>
              <w:rPr>
                <w:rFonts w:cs="Calibri"/>
              </w:rPr>
            </w:pPr>
            <w:r w:rsidRPr="007D15C3">
              <w:rPr>
                <w:rFonts w:cs="Calibri"/>
              </w:rPr>
              <w:t>$14,001</w:t>
            </w:r>
          </w:p>
        </w:tc>
      </w:tr>
      <w:tr w14:paraId="73DF4C2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B34391" w14:textId="77777777">
            <w:pPr>
              <w:jc w:val="center"/>
              <w:rPr>
                <w:rFonts w:cs="Calibri"/>
              </w:rPr>
            </w:pPr>
            <w:r w:rsidRPr="007D15C3">
              <w:rPr>
                <w:rFonts w:cs="Calibri"/>
              </w:rPr>
              <w:t>56523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E340B82" w14:textId="77777777">
            <w:pPr>
              <w:jc w:val="center"/>
              <w:rPr>
                <w:rFonts w:cs="Calibri"/>
              </w:rPr>
            </w:pPr>
            <w:r w:rsidRPr="007D15C3">
              <w:rPr>
                <w:rFonts w:cs="Calibri"/>
              </w:rPr>
              <w:t>WTTV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AA618D" w14:textId="77777777">
            <w:pPr>
              <w:rPr>
                <w:rFonts w:cs="Calibri"/>
              </w:rPr>
            </w:pPr>
            <w:r w:rsidRPr="007D15C3">
              <w:rPr>
                <w:rFonts w:cs="Calibri"/>
              </w:rPr>
              <w:t xml:space="preserve">          2,362,145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C6D4A92" w14:textId="77777777">
            <w:pPr>
              <w:rPr>
                <w:rFonts w:cs="Calibri"/>
              </w:rPr>
            </w:pPr>
            <w:r w:rsidRPr="007D15C3">
              <w:rPr>
                <w:rFonts w:cs="Calibri"/>
              </w:rPr>
              <w:t xml:space="preserve">            2,359,408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D28FB1" w14:textId="77777777">
            <w:pPr>
              <w:jc w:val="right"/>
              <w:rPr>
                <w:rFonts w:cs="Calibri"/>
              </w:rPr>
            </w:pPr>
            <w:r w:rsidRPr="007D15C3">
              <w:rPr>
                <w:rFonts w:cs="Calibri"/>
              </w:rPr>
              <w:t>$18,491</w:t>
            </w:r>
          </w:p>
        </w:tc>
      </w:tr>
      <w:tr w14:paraId="21FA6FE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7A09C7" w14:textId="77777777">
            <w:pPr>
              <w:jc w:val="center"/>
              <w:rPr>
                <w:rFonts w:cs="Calibri"/>
              </w:rPr>
            </w:pPr>
            <w:r w:rsidRPr="007D15C3">
              <w:rPr>
                <w:rFonts w:cs="Calibri"/>
              </w:rPr>
              <w:t>10802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D5F062" w14:textId="77777777">
            <w:pPr>
              <w:jc w:val="center"/>
              <w:rPr>
                <w:rFonts w:cs="Calibri"/>
              </w:rPr>
            </w:pPr>
            <w:r w:rsidRPr="007D15C3">
              <w:rPr>
                <w:rFonts w:cs="Calibri"/>
              </w:rPr>
              <w:t>WTTW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73B852" w14:textId="77777777">
            <w:pPr>
              <w:rPr>
                <w:rFonts w:cs="Calibri"/>
              </w:rPr>
            </w:pPr>
            <w:r w:rsidRPr="007D15C3">
              <w:rPr>
                <w:rFonts w:cs="Calibri"/>
              </w:rPr>
              <w:t xml:space="preserve">          9,729,982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72D7A9" w14:textId="77777777">
            <w:pPr>
              <w:rPr>
                <w:rFonts w:cs="Calibri"/>
              </w:rPr>
            </w:pPr>
            <w:r w:rsidRPr="007D15C3">
              <w:rPr>
                <w:rFonts w:cs="Calibri"/>
              </w:rPr>
              <w:t xml:space="preserve">            9,729,634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C85F3E" w14:textId="77777777">
            <w:pPr>
              <w:jc w:val="right"/>
              <w:rPr>
                <w:rFonts w:cs="Calibri"/>
              </w:rPr>
            </w:pPr>
            <w:r w:rsidRPr="007D15C3">
              <w:rPr>
                <w:rFonts w:cs="Calibri"/>
              </w:rPr>
              <w:t>$76,251</w:t>
            </w:r>
          </w:p>
        </w:tc>
      </w:tr>
      <w:tr w14:paraId="1D32D61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A44C29" w14:textId="77777777">
            <w:pPr>
              <w:jc w:val="center"/>
              <w:rPr>
                <w:rFonts w:cs="Calibri"/>
              </w:rPr>
            </w:pPr>
            <w:r w:rsidRPr="007D15C3">
              <w:rPr>
                <w:rFonts w:cs="Calibri"/>
              </w:rPr>
              <w:t>74148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0A924D" w14:textId="77777777">
            <w:pPr>
              <w:jc w:val="center"/>
              <w:rPr>
                <w:rFonts w:cs="Calibri"/>
              </w:rPr>
            </w:pPr>
            <w:r w:rsidRPr="007D15C3">
              <w:rPr>
                <w:rFonts w:cs="Calibri"/>
              </w:rPr>
              <w:t>WTVA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9B8E85" w14:textId="77777777">
            <w:pPr>
              <w:rPr>
                <w:rFonts w:cs="Calibri"/>
              </w:rPr>
            </w:pPr>
            <w:r w:rsidRPr="007D15C3">
              <w:rPr>
                <w:rFonts w:cs="Calibri"/>
              </w:rPr>
              <w:t xml:space="preserve">             717,035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B74DD1" w14:textId="77777777">
            <w:pPr>
              <w:rPr>
                <w:rFonts w:cs="Calibri"/>
              </w:rPr>
            </w:pPr>
            <w:r w:rsidRPr="007D15C3">
              <w:rPr>
                <w:rFonts w:cs="Calibri"/>
              </w:rPr>
              <w:t xml:space="preserve">               709,726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315266" w14:textId="77777777">
            <w:pPr>
              <w:jc w:val="right"/>
              <w:rPr>
                <w:rFonts w:cs="Calibri"/>
              </w:rPr>
            </w:pPr>
            <w:r w:rsidRPr="007D15C3">
              <w:rPr>
                <w:rFonts w:cs="Calibri"/>
              </w:rPr>
              <w:t>$5,562</w:t>
            </w:r>
          </w:p>
        </w:tc>
      </w:tr>
      <w:tr w14:paraId="4C9B0BA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4D062E" w14:textId="77777777">
            <w:pPr>
              <w:jc w:val="center"/>
              <w:rPr>
                <w:rFonts w:cs="Calibri"/>
              </w:rPr>
            </w:pPr>
            <w:r w:rsidRPr="007D15C3">
              <w:rPr>
                <w:rFonts w:cs="Calibri"/>
              </w:rPr>
              <w:t>22590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F2DEEA" w14:textId="77777777">
            <w:pPr>
              <w:jc w:val="center"/>
              <w:rPr>
                <w:rFonts w:cs="Calibri"/>
              </w:rPr>
            </w:pPr>
            <w:r w:rsidRPr="007D15C3">
              <w:rPr>
                <w:rFonts w:cs="Calibri"/>
              </w:rPr>
              <w:t>WTVC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5E866F" w14:textId="77777777">
            <w:pPr>
              <w:rPr>
                <w:rFonts w:cs="Calibri"/>
              </w:rPr>
            </w:pPr>
            <w:r w:rsidRPr="007D15C3">
              <w:rPr>
                <w:rFonts w:cs="Calibri"/>
              </w:rPr>
              <w:t xml:space="preserve">          1,579,628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58187C" w14:textId="77777777">
            <w:pPr>
              <w:rPr>
                <w:rFonts w:cs="Calibri"/>
              </w:rPr>
            </w:pPr>
            <w:r w:rsidRPr="007D15C3">
              <w:rPr>
                <w:rFonts w:cs="Calibri"/>
              </w:rPr>
              <w:t xml:space="preserve">            1,366,976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AFFD73" w14:textId="77777777">
            <w:pPr>
              <w:jc w:val="right"/>
              <w:rPr>
                <w:rFonts w:cs="Calibri"/>
              </w:rPr>
            </w:pPr>
            <w:r w:rsidRPr="007D15C3">
              <w:rPr>
                <w:rFonts w:cs="Calibri"/>
              </w:rPr>
              <w:t>$10,713</w:t>
            </w:r>
          </w:p>
        </w:tc>
      </w:tr>
      <w:tr w14:paraId="24B38D8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31AEEA4" w14:textId="77777777">
            <w:pPr>
              <w:jc w:val="center"/>
              <w:rPr>
                <w:rFonts w:cs="Calibri"/>
              </w:rPr>
            </w:pPr>
            <w:r w:rsidRPr="007D15C3">
              <w:rPr>
                <w:rFonts w:cs="Calibri"/>
              </w:rPr>
              <w:t>8617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41F5C6" w14:textId="77777777">
            <w:pPr>
              <w:jc w:val="center"/>
              <w:rPr>
                <w:rFonts w:cs="Calibri"/>
              </w:rPr>
            </w:pPr>
            <w:r w:rsidRPr="007D15C3">
              <w:rPr>
                <w:rFonts w:cs="Calibri"/>
              </w:rPr>
              <w:t>WTVD*</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7E91DB" w14:textId="77777777">
            <w:pPr>
              <w:rPr>
                <w:rFonts w:cs="Calibri"/>
              </w:rPr>
            </w:pPr>
            <w:r w:rsidRPr="007D15C3">
              <w:rPr>
                <w:rFonts w:cs="Calibri"/>
              </w:rPr>
              <w:t xml:space="preserve">          3,793,909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AE722B" w14:textId="77777777">
            <w:pPr>
              <w:rPr>
                <w:rFonts w:cs="Calibri"/>
              </w:rPr>
            </w:pPr>
            <w:r w:rsidRPr="007D15C3">
              <w:rPr>
                <w:rFonts w:cs="Calibri"/>
              </w:rPr>
              <w:t xml:space="preserve">            3,778,802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5EE63E" w14:textId="77777777">
            <w:pPr>
              <w:jc w:val="right"/>
              <w:rPr>
                <w:rFonts w:cs="Calibri"/>
              </w:rPr>
            </w:pPr>
            <w:r w:rsidRPr="007D15C3">
              <w:rPr>
                <w:rFonts w:cs="Calibri"/>
              </w:rPr>
              <w:t>$29,614</w:t>
            </w:r>
          </w:p>
        </w:tc>
      </w:tr>
      <w:tr w14:paraId="7CBD97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482B17" w14:textId="77777777">
            <w:pPr>
              <w:jc w:val="center"/>
              <w:rPr>
                <w:rFonts w:cs="Calibri"/>
              </w:rPr>
            </w:pPr>
            <w:r w:rsidRPr="007D15C3">
              <w:rPr>
                <w:rFonts w:cs="Calibri"/>
              </w:rPr>
              <w:t>55305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A9BEB0" w14:textId="77777777">
            <w:pPr>
              <w:jc w:val="center"/>
              <w:rPr>
                <w:rFonts w:cs="Calibri"/>
              </w:rPr>
            </w:pPr>
            <w:r w:rsidRPr="007D15C3">
              <w:rPr>
                <w:rFonts w:cs="Calibri"/>
              </w:rPr>
              <w:t>WTVE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053BA7" w14:textId="77777777">
            <w:pPr>
              <w:rPr>
                <w:rFonts w:cs="Calibri"/>
              </w:rPr>
            </w:pPr>
            <w:r w:rsidRPr="007D15C3">
              <w:rPr>
                <w:rFonts w:cs="Calibri"/>
              </w:rPr>
              <w:t xml:space="preserve">          5,156,905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CE6E14" w14:textId="77777777">
            <w:pPr>
              <w:rPr>
                <w:rFonts w:cs="Calibri"/>
              </w:rPr>
            </w:pPr>
            <w:r w:rsidRPr="007D15C3">
              <w:rPr>
                <w:rFonts w:cs="Calibri"/>
              </w:rPr>
              <w:t xml:space="preserve">            5,152,997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61CB36" w14:textId="77777777">
            <w:pPr>
              <w:jc w:val="right"/>
              <w:rPr>
                <w:rFonts w:cs="Calibri"/>
              </w:rPr>
            </w:pPr>
            <w:r w:rsidRPr="007D15C3">
              <w:rPr>
                <w:rFonts w:cs="Calibri"/>
              </w:rPr>
              <w:t>$40,384</w:t>
            </w:r>
          </w:p>
        </w:tc>
      </w:tr>
      <w:tr w14:paraId="4F12A5E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05E95C4" w14:textId="77777777">
            <w:pPr>
              <w:jc w:val="center"/>
              <w:rPr>
                <w:rFonts w:cs="Calibri"/>
              </w:rPr>
            </w:pPr>
            <w:r w:rsidRPr="007D15C3">
              <w:rPr>
                <w:rFonts w:cs="Calibri"/>
              </w:rPr>
              <w:t>36504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A42B97" w14:textId="77777777">
            <w:pPr>
              <w:jc w:val="center"/>
              <w:rPr>
                <w:rFonts w:cs="Calibri"/>
              </w:rPr>
            </w:pPr>
            <w:r w:rsidRPr="007D15C3">
              <w:rPr>
                <w:rFonts w:cs="Calibri"/>
              </w:rPr>
              <w:t>WTVF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28F9DA" w14:textId="77777777">
            <w:pPr>
              <w:rPr>
                <w:rFonts w:cs="Calibri"/>
              </w:rPr>
            </w:pPr>
            <w:r w:rsidRPr="007D15C3">
              <w:rPr>
                <w:rFonts w:cs="Calibri"/>
              </w:rPr>
              <w:t xml:space="preserve">          2,416,110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05EA4D" w14:textId="77777777">
            <w:pPr>
              <w:rPr>
                <w:rFonts w:cs="Calibri"/>
              </w:rPr>
            </w:pPr>
            <w:r w:rsidRPr="007D15C3">
              <w:rPr>
                <w:rFonts w:cs="Calibri"/>
              </w:rPr>
              <w:t xml:space="preserve">            2,397,634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FA5819" w14:textId="77777777">
            <w:pPr>
              <w:jc w:val="right"/>
              <w:rPr>
                <w:rFonts w:cs="Calibri"/>
              </w:rPr>
            </w:pPr>
            <w:r w:rsidRPr="007D15C3">
              <w:rPr>
                <w:rFonts w:cs="Calibri"/>
              </w:rPr>
              <w:t>$18,790</w:t>
            </w:r>
          </w:p>
        </w:tc>
      </w:tr>
      <w:tr w14:paraId="2A60A7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735B46" w14:textId="77777777">
            <w:pPr>
              <w:jc w:val="center"/>
              <w:rPr>
                <w:rFonts w:cs="Calibri"/>
              </w:rPr>
            </w:pPr>
            <w:r w:rsidRPr="007D15C3">
              <w:rPr>
                <w:rFonts w:cs="Calibri"/>
              </w:rPr>
              <w:t>74150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981436D" w14:textId="77777777">
            <w:pPr>
              <w:jc w:val="center"/>
              <w:rPr>
                <w:rFonts w:cs="Calibri"/>
              </w:rPr>
            </w:pPr>
            <w:r w:rsidRPr="007D15C3">
              <w:rPr>
                <w:rFonts w:cs="Calibri"/>
              </w:rPr>
              <w:t>WTVG</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0492DF" w14:textId="77777777">
            <w:pPr>
              <w:rPr>
                <w:rFonts w:cs="Calibri"/>
              </w:rPr>
            </w:pPr>
            <w:r w:rsidRPr="007D15C3">
              <w:rPr>
                <w:rFonts w:cs="Calibri"/>
              </w:rPr>
              <w:t xml:space="preserve">          4,274,274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8372F8" w14:textId="77777777">
            <w:pPr>
              <w:rPr>
                <w:rFonts w:cs="Calibri"/>
              </w:rPr>
            </w:pPr>
            <w:r w:rsidRPr="007D15C3">
              <w:rPr>
                <w:rFonts w:cs="Calibri"/>
              </w:rPr>
              <w:t xml:space="preserve">            4,263,894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DE549B" w14:textId="77777777">
            <w:pPr>
              <w:jc w:val="right"/>
              <w:rPr>
                <w:rFonts w:cs="Calibri"/>
              </w:rPr>
            </w:pPr>
            <w:r w:rsidRPr="007D15C3">
              <w:rPr>
                <w:rFonts w:cs="Calibri"/>
              </w:rPr>
              <w:t>$33,416</w:t>
            </w:r>
          </w:p>
        </w:tc>
      </w:tr>
      <w:tr w14:paraId="41E9A3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8FB817B" w14:textId="77777777">
            <w:pPr>
              <w:jc w:val="center"/>
              <w:rPr>
                <w:rFonts w:cs="Calibri"/>
              </w:rPr>
            </w:pPr>
            <w:r w:rsidRPr="007D15C3">
              <w:rPr>
                <w:rFonts w:cs="Calibri"/>
              </w:rPr>
              <w:t>74151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A334BC" w14:textId="77777777">
            <w:pPr>
              <w:jc w:val="center"/>
              <w:rPr>
                <w:rFonts w:cs="Calibri"/>
              </w:rPr>
            </w:pPr>
            <w:r w:rsidRPr="007D15C3">
              <w:rPr>
                <w:rFonts w:cs="Calibri"/>
              </w:rPr>
              <w:t>WTVH</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2ADD19" w14:textId="77777777">
            <w:pPr>
              <w:rPr>
                <w:rFonts w:cs="Calibri"/>
              </w:rPr>
            </w:pPr>
            <w:r w:rsidRPr="007D15C3">
              <w:rPr>
                <w:rFonts w:cs="Calibri"/>
              </w:rPr>
              <w:t xml:space="preserve">          1,350,223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70E8E3" w14:textId="77777777">
            <w:pPr>
              <w:rPr>
                <w:rFonts w:cs="Calibri"/>
              </w:rPr>
            </w:pPr>
            <w:r w:rsidRPr="007D15C3">
              <w:rPr>
                <w:rFonts w:cs="Calibri"/>
              </w:rPr>
              <w:t xml:space="preserve">            1,275,171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A34060" w14:textId="77777777">
            <w:pPr>
              <w:jc w:val="right"/>
              <w:rPr>
                <w:rFonts w:cs="Calibri"/>
              </w:rPr>
            </w:pPr>
            <w:r w:rsidRPr="007D15C3">
              <w:rPr>
                <w:rFonts w:cs="Calibri"/>
              </w:rPr>
              <w:t>$9,994</w:t>
            </w:r>
          </w:p>
        </w:tc>
      </w:tr>
      <w:tr w14:paraId="61EE78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B220803" w14:textId="77777777">
            <w:pPr>
              <w:jc w:val="center"/>
              <w:rPr>
                <w:rFonts w:cs="Calibri"/>
              </w:rPr>
            </w:pPr>
            <w:r w:rsidRPr="007D15C3">
              <w:rPr>
                <w:rFonts w:cs="Calibri"/>
              </w:rPr>
              <w:t>10645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39A3B73" w14:textId="77777777">
            <w:pPr>
              <w:jc w:val="center"/>
              <w:rPr>
                <w:rFonts w:cs="Calibri"/>
              </w:rPr>
            </w:pPr>
            <w:r w:rsidRPr="007D15C3">
              <w:rPr>
                <w:rFonts w:cs="Calibri"/>
              </w:rPr>
              <w:t>WTVI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E774E1" w14:textId="77777777">
            <w:pPr>
              <w:rPr>
                <w:rFonts w:cs="Calibri"/>
              </w:rPr>
            </w:pPr>
            <w:r w:rsidRPr="007D15C3">
              <w:rPr>
                <w:rFonts w:cs="Calibri"/>
              </w:rPr>
              <w:t xml:space="preserve">          2,853,540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7BCE3B" w14:textId="77777777">
            <w:pPr>
              <w:rPr>
                <w:rFonts w:cs="Calibri"/>
              </w:rPr>
            </w:pPr>
            <w:r w:rsidRPr="007D15C3">
              <w:rPr>
                <w:rFonts w:cs="Calibri"/>
              </w:rPr>
              <w:t xml:space="preserve">            2,824,869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A375E3" w14:textId="77777777">
            <w:pPr>
              <w:jc w:val="right"/>
              <w:rPr>
                <w:rFonts w:cs="Calibri"/>
              </w:rPr>
            </w:pPr>
            <w:r w:rsidRPr="007D15C3">
              <w:rPr>
                <w:rFonts w:cs="Calibri"/>
              </w:rPr>
              <w:t>$22,138</w:t>
            </w:r>
          </w:p>
        </w:tc>
      </w:tr>
      <w:tr w14:paraId="272D73D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827A34" w14:textId="77777777">
            <w:pPr>
              <w:jc w:val="center"/>
              <w:rPr>
                <w:rFonts w:cs="Calibri"/>
              </w:rPr>
            </w:pPr>
            <w:r w:rsidRPr="007D15C3">
              <w:rPr>
                <w:rFonts w:cs="Calibri"/>
              </w:rPr>
              <w:t>63154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96E0EC" w14:textId="77777777">
            <w:pPr>
              <w:jc w:val="center"/>
              <w:rPr>
                <w:rFonts w:cs="Calibri"/>
              </w:rPr>
            </w:pPr>
            <w:r w:rsidRPr="007D15C3">
              <w:rPr>
                <w:rFonts w:cs="Calibri"/>
              </w:rPr>
              <w:t>WTVJ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3FBB3D" w14:textId="77777777">
            <w:pPr>
              <w:rPr>
                <w:rFonts w:cs="Calibri"/>
              </w:rPr>
            </w:pPr>
            <w:r w:rsidRPr="007D15C3">
              <w:rPr>
                <w:rFonts w:cs="Calibri"/>
              </w:rPr>
              <w:t xml:space="preserve">          5,458,451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FEF696" w14:textId="77777777">
            <w:pPr>
              <w:rPr>
                <w:rFonts w:cs="Calibri"/>
              </w:rPr>
            </w:pPr>
            <w:r w:rsidRPr="007D15C3">
              <w:rPr>
                <w:rFonts w:cs="Calibri"/>
              </w:rPr>
              <w:t xml:space="preserve">            5,458,451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46DA31" w14:textId="77777777">
            <w:pPr>
              <w:jc w:val="right"/>
              <w:rPr>
                <w:rFonts w:cs="Calibri"/>
              </w:rPr>
            </w:pPr>
            <w:r w:rsidRPr="007D15C3">
              <w:rPr>
                <w:rFonts w:cs="Calibri"/>
              </w:rPr>
              <w:t>$42,778</w:t>
            </w:r>
          </w:p>
        </w:tc>
      </w:tr>
      <w:tr w14:paraId="2DED24A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C14052" w14:textId="77777777">
            <w:pPr>
              <w:jc w:val="center"/>
              <w:rPr>
                <w:rFonts w:cs="Calibri"/>
              </w:rPr>
            </w:pPr>
            <w:r w:rsidRPr="007D15C3">
              <w:rPr>
                <w:rFonts w:cs="Calibri"/>
              </w:rPr>
              <w:t>595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CD3506" w14:textId="77777777">
            <w:pPr>
              <w:jc w:val="center"/>
              <w:rPr>
                <w:rFonts w:cs="Calibri"/>
              </w:rPr>
            </w:pPr>
            <w:r w:rsidRPr="007D15C3">
              <w:rPr>
                <w:rFonts w:cs="Calibri"/>
              </w:rPr>
              <w:t>WTVM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77F99A" w14:textId="77777777">
            <w:pPr>
              <w:rPr>
                <w:rFonts w:cs="Calibri"/>
              </w:rPr>
            </w:pPr>
            <w:r w:rsidRPr="007D15C3">
              <w:rPr>
                <w:rFonts w:cs="Calibri"/>
              </w:rPr>
              <w:t xml:space="preserve">          1,498,667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AF5B4B" w14:textId="77777777">
            <w:pPr>
              <w:rPr>
                <w:rFonts w:cs="Calibri"/>
              </w:rPr>
            </w:pPr>
            <w:r w:rsidRPr="007D15C3">
              <w:rPr>
                <w:rFonts w:cs="Calibri"/>
              </w:rPr>
              <w:t xml:space="preserve">            1,405,957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4E179F" w14:textId="77777777">
            <w:pPr>
              <w:jc w:val="right"/>
              <w:rPr>
                <w:rFonts w:cs="Calibri"/>
              </w:rPr>
            </w:pPr>
            <w:r w:rsidRPr="007D15C3">
              <w:rPr>
                <w:rFonts w:cs="Calibri"/>
              </w:rPr>
              <w:t>$11,018</w:t>
            </w:r>
          </w:p>
        </w:tc>
      </w:tr>
      <w:tr w14:paraId="75F845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A2DD52" w14:textId="77777777">
            <w:pPr>
              <w:jc w:val="center"/>
              <w:rPr>
                <w:rFonts w:cs="Calibri"/>
              </w:rPr>
            </w:pPr>
            <w:r w:rsidRPr="007D15C3">
              <w:rPr>
                <w:rFonts w:cs="Calibri"/>
              </w:rPr>
              <w:t>72945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1192C4" w14:textId="77777777">
            <w:pPr>
              <w:jc w:val="center"/>
              <w:rPr>
                <w:rFonts w:cs="Calibri"/>
              </w:rPr>
            </w:pPr>
            <w:r w:rsidRPr="007D15C3">
              <w:rPr>
                <w:rFonts w:cs="Calibri"/>
              </w:rPr>
              <w:t>WTVO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384C55" w14:textId="77777777">
            <w:pPr>
              <w:rPr>
                <w:rFonts w:cs="Calibri"/>
              </w:rPr>
            </w:pPr>
            <w:r w:rsidRPr="007D15C3">
              <w:rPr>
                <w:rFonts w:cs="Calibri"/>
              </w:rPr>
              <w:t xml:space="preserve">          1,409,708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D53EB4" w14:textId="77777777">
            <w:pPr>
              <w:rPr>
                <w:rFonts w:cs="Calibri"/>
              </w:rPr>
            </w:pPr>
            <w:r w:rsidRPr="007D15C3">
              <w:rPr>
                <w:rFonts w:cs="Calibri"/>
              </w:rPr>
              <w:t xml:space="preserve">            1,398,825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D379E6" w14:textId="77777777">
            <w:pPr>
              <w:jc w:val="right"/>
              <w:rPr>
                <w:rFonts w:cs="Calibri"/>
              </w:rPr>
            </w:pPr>
            <w:r w:rsidRPr="007D15C3">
              <w:rPr>
                <w:rFonts w:cs="Calibri"/>
              </w:rPr>
              <w:t>$10,963</w:t>
            </w:r>
          </w:p>
        </w:tc>
      </w:tr>
      <w:tr w14:paraId="2D58A59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9A6366" w14:textId="77777777">
            <w:pPr>
              <w:jc w:val="center"/>
              <w:rPr>
                <w:rFonts w:cs="Calibri"/>
              </w:rPr>
            </w:pPr>
            <w:r w:rsidRPr="007D15C3">
              <w:rPr>
                <w:rFonts w:cs="Calibri"/>
              </w:rPr>
              <w:t>28311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E41433" w14:textId="77777777">
            <w:pPr>
              <w:jc w:val="center"/>
              <w:rPr>
                <w:rFonts w:cs="Calibri"/>
              </w:rPr>
            </w:pPr>
            <w:r w:rsidRPr="007D15C3">
              <w:rPr>
                <w:rFonts w:cs="Calibri"/>
              </w:rPr>
              <w:t>WTVP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E7C1B1" w14:textId="77777777">
            <w:pPr>
              <w:rPr>
                <w:rFonts w:cs="Calibri"/>
              </w:rPr>
            </w:pPr>
            <w:r w:rsidRPr="007D15C3">
              <w:rPr>
                <w:rFonts w:cs="Calibri"/>
              </w:rPr>
              <w:t xml:space="preserve">             679,017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FE82FB" w14:textId="77777777">
            <w:pPr>
              <w:rPr>
                <w:rFonts w:cs="Calibri"/>
              </w:rPr>
            </w:pPr>
            <w:r w:rsidRPr="007D15C3">
              <w:rPr>
                <w:rFonts w:cs="Calibri"/>
              </w:rPr>
              <w:t xml:space="preserve">               678,672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8F3D5AA" w14:textId="77777777">
            <w:pPr>
              <w:jc w:val="right"/>
              <w:rPr>
                <w:rFonts w:cs="Calibri"/>
              </w:rPr>
            </w:pPr>
            <w:r w:rsidRPr="007D15C3">
              <w:rPr>
                <w:rFonts w:cs="Calibri"/>
              </w:rPr>
              <w:t>$5,319</w:t>
            </w:r>
          </w:p>
        </w:tc>
      </w:tr>
      <w:tr w14:paraId="46F254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CD63D1F" w14:textId="77777777">
            <w:pPr>
              <w:jc w:val="center"/>
              <w:rPr>
                <w:rFonts w:cs="Calibri"/>
              </w:rPr>
            </w:pPr>
            <w:r w:rsidRPr="007D15C3">
              <w:rPr>
                <w:rFonts w:cs="Calibri"/>
              </w:rPr>
              <w:t>51597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F393E0" w14:textId="77777777">
            <w:pPr>
              <w:jc w:val="center"/>
              <w:rPr>
                <w:rFonts w:cs="Calibri"/>
              </w:rPr>
            </w:pPr>
            <w:r w:rsidRPr="007D15C3">
              <w:rPr>
                <w:rFonts w:cs="Calibri"/>
              </w:rPr>
              <w:t>WTVQ-DT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7CA208" w14:textId="77777777">
            <w:pPr>
              <w:rPr>
                <w:rFonts w:cs="Calibri"/>
              </w:rPr>
            </w:pPr>
            <w:r w:rsidRPr="007D15C3">
              <w:rPr>
                <w:rFonts w:cs="Calibri"/>
              </w:rPr>
              <w:t xml:space="preserve">             989,180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610CCF" w14:textId="77777777">
            <w:pPr>
              <w:rPr>
                <w:rFonts w:cs="Calibri"/>
              </w:rPr>
            </w:pPr>
            <w:r w:rsidRPr="007D15C3">
              <w:rPr>
                <w:rFonts w:cs="Calibri"/>
              </w:rPr>
              <w:t xml:space="preserve">               982,298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35545E" w14:textId="77777777">
            <w:pPr>
              <w:jc w:val="right"/>
              <w:rPr>
                <w:rFonts w:cs="Calibri"/>
              </w:rPr>
            </w:pPr>
            <w:r w:rsidRPr="007D15C3">
              <w:rPr>
                <w:rFonts w:cs="Calibri"/>
              </w:rPr>
              <w:t>$7,698</w:t>
            </w:r>
          </w:p>
        </w:tc>
      </w:tr>
      <w:tr w14:paraId="03386B5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A418C5" w14:textId="77777777">
            <w:pPr>
              <w:jc w:val="center"/>
              <w:rPr>
                <w:rFonts w:cs="Calibri"/>
              </w:rPr>
            </w:pPr>
            <w:r w:rsidRPr="007D15C3">
              <w:rPr>
                <w:rFonts w:cs="Calibri"/>
              </w:rPr>
              <w:t>57832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7571756" w14:textId="77777777">
            <w:pPr>
              <w:jc w:val="center"/>
              <w:rPr>
                <w:rFonts w:cs="Calibri"/>
              </w:rPr>
            </w:pPr>
            <w:r w:rsidRPr="007D15C3">
              <w:rPr>
                <w:rFonts w:cs="Calibri"/>
              </w:rPr>
              <w:t>WTVR-TV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26E295" w14:textId="77777777">
            <w:pPr>
              <w:rPr>
                <w:rFonts w:cs="Calibri"/>
              </w:rPr>
            </w:pPr>
            <w:r w:rsidRPr="007D15C3">
              <w:rPr>
                <w:rFonts w:cs="Calibri"/>
              </w:rPr>
              <w:t xml:space="preserve">          1,808,516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CF4BA3" w14:textId="77777777">
            <w:pPr>
              <w:rPr>
                <w:rFonts w:cs="Calibri"/>
              </w:rPr>
            </w:pPr>
            <w:r w:rsidRPr="007D15C3">
              <w:rPr>
                <w:rFonts w:cs="Calibri"/>
              </w:rPr>
              <w:t xml:space="preserve">            1,802,164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95A06E" w14:textId="77777777">
            <w:pPr>
              <w:jc w:val="right"/>
              <w:rPr>
                <w:rFonts w:cs="Calibri"/>
              </w:rPr>
            </w:pPr>
            <w:r w:rsidRPr="007D15C3">
              <w:rPr>
                <w:rFonts w:cs="Calibri"/>
              </w:rPr>
              <w:t>$14,124</w:t>
            </w:r>
          </w:p>
        </w:tc>
      </w:tr>
      <w:tr w14:paraId="10B931E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6799D41" w14:textId="77777777">
            <w:pPr>
              <w:jc w:val="center"/>
              <w:rPr>
                <w:rFonts w:cs="Calibri"/>
              </w:rPr>
            </w:pPr>
            <w:r w:rsidRPr="007D15C3">
              <w:rPr>
                <w:rFonts w:cs="Calibri"/>
              </w:rPr>
              <w:t>16817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927B24" w14:textId="77777777">
            <w:pPr>
              <w:jc w:val="center"/>
              <w:rPr>
                <w:rFonts w:cs="Calibri"/>
              </w:rPr>
            </w:pPr>
            <w:r w:rsidRPr="007D15C3">
              <w:rPr>
                <w:rFonts w:cs="Calibri"/>
              </w:rPr>
              <w:t>WTVS</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8AEB38" w14:textId="77777777">
            <w:pPr>
              <w:rPr>
                <w:rFonts w:cs="Calibri"/>
              </w:rPr>
            </w:pPr>
            <w:r w:rsidRPr="007D15C3">
              <w:rPr>
                <w:rFonts w:cs="Calibri"/>
              </w:rPr>
              <w:t xml:space="preserve">          5,511,639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6EA6B3" w14:textId="77777777">
            <w:pPr>
              <w:rPr>
                <w:rFonts w:cs="Calibri"/>
              </w:rPr>
            </w:pPr>
            <w:r w:rsidRPr="007D15C3">
              <w:rPr>
                <w:rFonts w:cs="Calibri"/>
              </w:rPr>
              <w:t xml:space="preserve">            5,511,255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FDF553" w14:textId="77777777">
            <w:pPr>
              <w:jc w:val="right"/>
              <w:rPr>
                <w:rFonts w:cs="Calibri"/>
              </w:rPr>
            </w:pPr>
            <w:r w:rsidRPr="007D15C3">
              <w:rPr>
                <w:rFonts w:cs="Calibri"/>
              </w:rPr>
              <w:t>$43,192</w:t>
            </w:r>
          </w:p>
        </w:tc>
      </w:tr>
      <w:tr w14:paraId="28A8474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BBCF45" w14:textId="77777777">
            <w:pPr>
              <w:jc w:val="center"/>
              <w:rPr>
                <w:rFonts w:cs="Calibri"/>
              </w:rPr>
            </w:pPr>
            <w:r w:rsidRPr="007D15C3">
              <w:rPr>
                <w:rFonts w:cs="Calibri"/>
              </w:rPr>
              <w:t>68569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0B62EE" w14:textId="77777777">
            <w:pPr>
              <w:jc w:val="center"/>
              <w:rPr>
                <w:rFonts w:cs="Calibri"/>
              </w:rPr>
            </w:pPr>
            <w:r w:rsidRPr="007D15C3">
              <w:rPr>
                <w:rFonts w:cs="Calibri"/>
              </w:rPr>
              <w:t>WTVT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DF2EA2" w14:textId="77777777">
            <w:pPr>
              <w:rPr>
                <w:rFonts w:cs="Calibri"/>
              </w:rPr>
            </w:pPr>
            <w:r w:rsidRPr="007D15C3">
              <w:rPr>
                <w:rFonts w:cs="Calibri"/>
              </w:rPr>
              <w:t xml:space="preserve">          5,475,385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0CE573" w14:textId="77777777">
            <w:pPr>
              <w:rPr>
                <w:rFonts w:cs="Calibri"/>
              </w:rPr>
            </w:pPr>
            <w:r w:rsidRPr="007D15C3">
              <w:rPr>
                <w:rFonts w:cs="Calibri"/>
              </w:rPr>
              <w:t xml:space="preserve">            5,462,416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CB5C7F" w14:textId="77777777">
            <w:pPr>
              <w:jc w:val="right"/>
              <w:rPr>
                <w:rFonts w:cs="Calibri"/>
              </w:rPr>
            </w:pPr>
            <w:r w:rsidRPr="007D15C3">
              <w:rPr>
                <w:rFonts w:cs="Calibri"/>
              </w:rPr>
              <w:t>$42,809</w:t>
            </w:r>
          </w:p>
        </w:tc>
      </w:tr>
      <w:tr w14:paraId="544EB7A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C46D00" w14:textId="77777777">
            <w:pPr>
              <w:jc w:val="center"/>
              <w:rPr>
                <w:rFonts w:cs="Calibri"/>
              </w:rPr>
            </w:pPr>
            <w:r w:rsidRPr="007D15C3">
              <w:rPr>
                <w:rFonts w:cs="Calibri"/>
              </w:rPr>
              <w:t>3661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9687E5" w14:textId="77777777">
            <w:pPr>
              <w:jc w:val="center"/>
              <w:rPr>
                <w:rFonts w:cs="Calibri"/>
              </w:rPr>
            </w:pPr>
            <w:r w:rsidRPr="007D15C3">
              <w:rPr>
                <w:rFonts w:cs="Calibri"/>
              </w:rPr>
              <w:t>WTVW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E82F6F" w14:textId="77777777">
            <w:pPr>
              <w:rPr>
                <w:rFonts w:cs="Calibri"/>
              </w:rPr>
            </w:pPr>
            <w:r w:rsidRPr="007D15C3">
              <w:rPr>
                <w:rFonts w:cs="Calibri"/>
              </w:rPr>
              <w:t xml:space="preserve">             791,430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70ADF5" w14:textId="77777777">
            <w:pPr>
              <w:rPr>
                <w:rFonts w:cs="Calibri"/>
              </w:rPr>
            </w:pPr>
            <w:r w:rsidRPr="007D15C3">
              <w:rPr>
                <w:rFonts w:cs="Calibri"/>
              </w:rPr>
              <w:t xml:space="preserve">               789,720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CE7AED" w14:textId="77777777">
            <w:pPr>
              <w:jc w:val="right"/>
              <w:rPr>
                <w:rFonts w:cs="Calibri"/>
              </w:rPr>
            </w:pPr>
            <w:r w:rsidRPr="007D15C3">
              <w:rPr>
                <w:rFonts w:cs="Calibri"/>
              </w:rPr>
              <w:t>$6,189</w:t>
            </w:r>
          </w:p>
        </w:tc>
      </w:tr>
      <w:tr w14:paraId="71C4F0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E86E89" w14:textId="77777777">
            <w:pPr>
              <w:jc w:val="center"/>
              <w:rPr>
                <w:rFonts w:cs="Calibri"/>
              </w:rPr>
            </w:pPr>
            <w:r w:rsidRPr="007D15C3">
              <w:rPr>
                <w:rFonts w:cs="Calibri"/>
              </w:rPr>
              <w:t>35575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1E57B0C" w14:textId="77777777">
            <w:pPr>
              <w:jc w:val="center"/>
              <w:rPr>
                <w:rFonts w:cs="Calibri"/>
              </w:rPr>
            </w:pPr>
            <w:r w:rsidRPr="007D15C3">
              <w:rPr>
                <w:rFonts w:cs="Calibri"/>
              </w:rPr>
              <w:t>WTVX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AE702D" w14:textId="77777777">
            <w:pPr>
              <w:rPr>
                <w:rFonts w:cs="Calibri"/>
              </w:rPr>
            </w:pPr>
            <w:r w:rsidRPr="007D15C3">
              <w:rPr>
                <w:rFonts w:cs="Calibri"/>
              </w:rPr>
              <w:t xml:space="preserve">          3,157,609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1228B8" w14:textId="77777777">
            <w:pPr>
              <w:rPr>
                <w:rFonts w:cs="Calibri"/>
              </w:rPr>
            </w:pPr>
            <w:r w:rsidRPr="007D15C3">
              <w:rPr>
                <w:rFonts w:cs="Calibri"/>
              </w:rPr>
              <w:t xml:space="preserve">            3,157,609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B0E16D" w14:textId="77777777">
            <w:pPr>
              <w:jc w:val="right"/>
              <w:rPr>
                <w:rFonts w:cs="Calibri"/>
              </w:rPr>
            </w:pPr>
            <w:r w:rsidRPr="007D15C3">
              <w:rPr>
                <w:rFonts w:cs="Calibri"/>
              </w:rPr>
              <w:t>$24,746</w:t>
            </w:r>
          </w:p>
        </w:tc>
      </w:tr>
      <w:tr w14:paraId="54B9A78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4A8F61" w14:textId="77777777">
            <w:pPr>
              <w:jc w:val="center"/>
              <w:rPr>
                <w:rFonts w:cs="Calibri"/>
              </w:rPr>
            </w:pPr>
            <w:r w:rsidRPr="007D15C3">
              <w:rPr>
                <w:rFonts w:cs="Calibri"/>
              </w:rPr>
              <w:t>4152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6B36E8" w14:textId="77777777">
            <w:pPr>
              <w:jc w:val="center"/>
              <w:rPr>
                <w:rFonts w:cs="Calibri"/>
              </w:rPr>
            </w:pPr>
            <w:r w:rsidRPr="007D15C3">
              <w:rPr>
                <w:rFonts w:cs="Calibri"/>
              </w:rPr>
              <w:t>WTVY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A2644BD" w14:textId="77777777">
            <w:pPr>
              <w:rPr>
                <w:rFonts w:cs="Calibri"/>
              </w:rPr>
            </w:pPr>
            <w:r w:rsidRPr="007D15C3">
              <w:rPr>
                <w:rFonts w:cs="Calibri"/>
              </w:rPr>
              <w:t xml:space="preserve">             974,532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27D40F" w14:textId="77777777">
            <w:pPr>
              <w:rPr>
                <w:rFonts w:cs="Calibri"/>
              </w:rPr>
            </w:pPr>
            <w:r w:rsidRPr="007D15C3">
              <w:rPr>
                <w:rFonts w:cs="Calibri"/>
              </w:rPr>
              <w:t xml:space="preserve">               971,173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FF35A4" w14:textId="77777777">
            <w:pPr>
              <w:jc w:val="right"/>
              <w:rPr>
                <w:rFonts w:cs="Calibri"/>
              </w:rPr>
            </w:pPr>
            <w:r w:rsidRPr="007D15C3">
              <w:rPr>
                <w:rFonts w:cs="Calibri"/>
              </w:rPr>
              <w:t>$7,611</w:t>
            </w:r>
          </w:p>
        </w:tc>
      </w:tr>
      <w:tr w14:paraId="791A42A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5C9C70" w14:textId="77777777">
            <w:pPr>
              <w:jc w:val="center"/>
              <w:rPr>
                <w:rFonts w:cs="Calibri"/>
              </w:rPr>
            </w:pPr>
            <w:r w:rsidRPr="007D15C3">
              <w:rPr>
                <w:rFonts w:cs="Calibri"/>
              </w:rPr>
              <w:t>40759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EA6FF3" w14:textId="77777777">
            <w:pPr>
              <w:jc w:val="center"/>
              <w:rPr>
                <w:rFonts w:cs="Calibri"/>
              </w:rPr>
            </w:pPr>
            <w:r w:rsidRPr="007D15C3">
              <w:rPr>
                <w:rFonts w:cs="Calibri"/>
              </w:rPr>
              <w:t>WTVZ-TV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D5691D" w14:textId="77777777">
            <w:pPr>
              <w:rPr>
                <w:rFonts w:cs="Calibri"/>
              </w:rPr>
            </w:pPr>
            <w:r w:rsidRPr="007D15C3">
              <w:rPr>
                <w:rFonts w:cs="Calibri"/>
              </w:rPr>
              <w:t xml:space="preserve">          2,156,534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2E3AFA" w14:textId="77777777">
            <w:pPr>
              <w:rPr>
                <w:rFonts w:cs="Calibri"/>
              </w:rPr>
            </w:pPr>
            <w:r w:rsidRPr="007D15C3">
              <w:rPr>
                <w:rFonts w:cs="Calibri"/>
              </w:rPr>
              <w:t xml:space="preserve">            2,156,346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996090" w14:textId="77777777">
            <w:pPr>
              <w:jc w:val="right"/>
              <w:rPr>
                <w:rFonts w:cs="Calibri"/>
              </w:rPr>
            </w:pPr>
            <w:r w:rsidRPr="007D15C3">
              <w:rPr>
                <w:rFonts w:cs="Calibri"/>
              </w:rPr>
              <w:t>$16,899</w:t>
            </w:r>
          </w:p>
        </w:tc>
      </w:tr>
      <w:tr w14:paraId="0966B82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7D33A0" w14:textId="77777777">
            <w:pPr>
              <w:jc w:val="center"/>
              <w:rPr>
                <w:rFonts w:cs="Calibri"/>
              </w:rPr>
            </w:pPr>
            <w:r w:rsidRPr="007D15C3">
              <w:rPr>
                <w:rFonts w:cs="Calibri"/>
              </w:rPr>
              <w:t>66908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1326B4D" w14:textId="77777777">
            <w:pPr>
              <w:jc w:val="center"/>
              <w:rPr>
                <w:rFonts w:cs="Calibri"/>
              </w:rPr>
            </w:pPr>
            <w:r w:rsidRPr="007D15C3">
              <w:rPr>
                <w:rFonts w:cs="Calibri"/>
              </w:rPr>
              <w:t>WTWC-TV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4B2B4A" w14:textId="77777777">
            <w:pPr>
              <w:rPr>
                <w:rFonts w:cs="Calibri"/>
              </w:rPr>
            </w:pPr>
            <w:r w:rsidRPr="007D15C3">
              <w:rPr>
                <w:rFonts w:cs="Calibri"/>
              </w:rPr>
              <w:t xml:space="preserve">          1,032,942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C85FD9" w14:textId="77777777">
            <w:pPr>
              <w:rPr>
                <w:rFonts w:cs="Calibri"/>
              </w:rPr>
            </w:pPr>
            <w:r w:rsidRPr="007D15C3">
              <w:rPr>
                <w:rFonts w:cs="Calibri"/>
              </w:rPr>
              <w:t xml:space="preserve">            1,032,942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11BC03" w14:textId="77777777">
            <w:pPr>
              <w:jc w:val="right"/>
              <w:rPr>
                <w:rFonts w:cs="Calibri"/>
              </w:rPr>
            </w:pPr>
            <w:r w:rsidRPr="007D15C3">
              <w:rPr>
                <w:rFonts w:cs="Calibri"/>
              </w:rPr>
              <w:t>$8,095</w:t>
            </w:r>
          </w:p>
        </w:tc>
      </w:tr>
      <w:tr w14:paraId="0746FB7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B3A654" w14:textId="77777777">
            <w:pPr>
              <w:jc w:val="center"/>
              <w:rPr>
                <w:rFonts w:cs="Calibri"/>
              </w:rPr>
            </w:pPr>
            <w:r w:rsidRPr="007D15C3">
              <w:rPr>
                <w:rFonts w:cs="Calibri"/>
              </w:rPr>
              <w:t>20426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00CF84" w14:textId="77777777">
            <w:pPr>
              <w:jc w:val="center"/>
              <w:rPr>
                <w:rFonts w:cs="Calibri"/>
              </w:rPr>
            </w:pPr>
            <w:r w:rsidRPr="007D15C3">
              <w:rPr>
                <w:rFonts w:cs="Calibri"/>
              </w:rPr>
              <w:t>WTWO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25BD1E" w14:textId="77777777">
            <w:pPr>
              <w:rPr>
                <w:rFonts w:cs="Calibri"/>
              </w:rPr>
            </w:pPr>
            <w:r w:rsidRPr="007D15C3">
              <w:rPr>
                <w:rFonts w:cs="Calibri"/>
              </w:rPr>
              <w:t xml:space="preserve">             737,757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D4EA49" w14:textId="77777777">
            <w:pPr>
              <w:rPr>
                <w:rFonts w:cs="Calibri"/>
              </w:rPr>
            </w:pPr>
            <w:r w:rsidRPr="007D15C3">
              <w:rPr>
                <w:rFonts w:cs="Calibri"/>
              </w:rPr>
              <w:t xml:space="preserve">               731,769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2CC9D0" w14:textId="77777777">
            <w:pPr>
              <w:jc w:val="right"/>
              <w:rPr>
                <w:rFonts w:cs="Calibri"/>
              </w:rPr>
            </w:pPr>
            <w:r w:rsidRPr="007D15C3">
              <w:rPr>
                <w:rFonts w:cs="Calibri"/>
              </w:rPr>
              <w:t>$5,735</w:t>
            </w:r>
          </w:p>
        </w:tc>
      </w:tr>
      <w:tr w14:paraId="68985D9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92ADCD3" w14:textId="77777777">
            <w:pPr>
              <w:jc w:val="center"/>
              <w:rPr>
                <w:rFonts w:cs="Calibri"/>
              </w:rPr>
            </w:pPr>
            <w:r w:rsidRPr="007D15C3">
              <w:rPr>
                <w:rFonts w:cs="Calibri"/>
              </w:rPr>
              <w:t>81692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667282" w14:textId="77777777">
            <w:pPr>
              <w:jc w:val="center"/>
              <w:rPr>
                <w:rFonts w:cs="Calibri"/>
              </w:rPr>
            </w:pPr>
            <w:r w:rsidRPr="007D15C3">
              <w:rPr>
                <w:rFonts w:cs="Calibri"/>
              </w:rPr>
              <w:t>WTWV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438F43" w14:textId="77777777">
            <w:pPr>
              <w:rPr>
                <w:rFonts w:cs="Calibri"/>
              </w:rPr>
            </w:pPr>
            <w:r w:rsidRPr="007D15C3">
              <w:rPr>
                <w:rFonts w:cs="Calibri"/>
              </w:rPr>
              <w:t xml:space="preserve">          1,527,511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DBD35C" w14:textId="77777777">
            <w:pPr>
              <w:rPr>
                <w:rFonts w:cs="Calibri"/>
              </w:rPr>
            </w:pPr>
            <w:r w:rsidRPr="007D15C3">
              <w:rPr>
                <w:rFonts w:cs="Calibri"/>
              </w:rPr>
              <w:t xml:space="preserve">            1,526,625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4837FB" w14:textId="77777777">
            <w:pPr>
              <w:jc w:val="right"/>
              <w:rPr>
                <w:rFonts w:cs="Calibri"/>
              </w:rPr>
            </w:pPr>
            <w:r w:rsidRPr="007D15C3">
              <w:rPr>
                <w:rFonts w:cs="Calibri"/>
              </w:rPr>
              <w:t>$11,964</w:t>
            </w:r>
          </w:p>
        </w:tc>
      </w:tr>
      <w:tr w14:paraId="035820A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4A6529" w14:textId="77777777">
            <w:pPr>
              <w:jc w:val="center"/>
              <w:rPr>
                <w:rFonts w:cs="Calibri"/>
              </w:rPr>
            </w:pPr>
            <w:r w:rsidRPr="007D15C3">
              <w:rPr>
                <w:rFonts w:cs="Calibri"/>
              </w:rPr>
              <w:t>51568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9179570" w14:textId="77777777">
            <w:pPr>
              <w:jc w:val="center"/>
              <w:rPr>
                <w:rFonts w:cs="Calibri"/>
              </w:rPr>
            </w:pPr>
            <w:r w:rsidRPr="007D15C3">
              <w:rPr>
                <w:rFonts w:cs="Calibri"/>
              </w:rPr>
              <w:t>WTXF-TV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CC9E5D" w14:textId="77777777">
            <w:pPr>
              <w:rPr>
                <w:rFonts w:cs="Calibri"/>
              </w:rPr>
            </w:pPr>
            <w:r w:rsidRPr="007D15C3">
              <w:rPr>
                <w:rFonts w:cs="Calibri"/>
              </w:rPr>
              <w:t xml:space="preserve">        10,784,256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E423DD" w14:textId="77777777">
            <w:pPr>
              <w:rPr>
                <w:rFonts w:cs="Calibri"/>
              </w:rPr>
            </w:pPr>
            <w:r w:rsidRPr="007D15C3">
              <w:rPr>
                <w:rFonts w:cs="Calibri"/>
              </w:rPr>
              <w:t xml:space="preserve">          10,492,549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409319" w14:textId="77777777">
            <w:pPr>
              <w:jc w:val="right"/>
              <w:rPr>
                <w:rFonts w:cs="Calibri"/>
              </w:rPr>
            </w:pPr>
            <w:r w:rsidRPr="007D15C3">
              <w:rPr>
                <w:rFonts w:cs="Calibri"/>
              </w:rPr>
              <w:t>$82,230</w:t>
            </w:r>
          </w:p>
        </w:tc>
      </w:tr>
      <w:tr w14:paraId="1F62C9C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E9F9E4" w14:textId="77777777">
            <w:pPr>
              <w:jc w:val="center"/>
              <w:rPr>
                <w:rFonts w:cs="Calibri"/>
              </w:rPr>
            </w:pPr>
            <w:r w:rsidRPr="007D15C3">
              <w:rPr>
                <w:rFonts w:cs="Calibri"/>
              </w:rPr>
              <w:t>41065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9247B64" w14:textId="77777777">
            <w:pPr>
              <w:jc w:val="center"/>
              <w:rPr>
                <w:rFonts w:cs="Calibri"/>
              </w:rPr>
            </w:pPr>
            <w:r w:rsidRPr="007D15C3">
              <w:rPr>
                <w:rFonts w:cs="Calibri"/>
              </w:rPr>
              <w:t>WTXL-TV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79E83D1" w14:textId="77777777">
            <w:pPr>
              <w:rPr>
                <w:rFonts w:cs="Calibri"/>
              </w:rPr>
            </w:pPr>
            <w:r w:rsidRPr="007D15C3">
              <w:rPr>
                <w:rFonts w:cs="Calibri"/>
              </w:rPr>
              <w:t xml:space="preserve">          1,054,514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33D69F" w14:textId="77777777">
            <w:pPr>
              <w:rPr>
                <w:rFonts w:cs="Calibri"/>
              </w:rPr>
            </w:pPr>
            <w:r w:rsidRPr="007D15C3">
              <w:rPr>
                <w:rFonts w:cs="Calibri"/>
              </w:rPr>
              <w:t xml:space="preserve">            1,054,322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BD689B" w14:textId="77777777">
            <w:pPr>
              <w:jc w:val="right"/>
              <w:rPr>
                <w:rFonts w:cs="Calibri"/>
              </w:rPr>
            </w:pPr>
            <w:r w:rsidRPr="007D15C3">
              <w:rPr>
                <w:rFonts w:cs="Calibri"/>
              </w:rPr>
              <w:t>$8,263</w:t>
            </w:r>
          </w:p>
        </w:tc>
      </w:tr>
      <w:tr w14:paraId="5A81EC0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BE42F2A" w14:textId="77777777">
            <w:pPr>
              <w:jc w:val="center"/>
              <w:rPr>
                <w:rFonts w:cs="Calibri"/>
              </w:rPr>
            </w:pPr>
            <w:r w:rsidRPr="007D15C3">
              <w:rPr>
                <w:rFonts w:cs="Calibri"/>
              </w:rPr>
              <w:t>8532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BF21D7F" w14:textId="77777777">
            <w:pPr>
              <w:jc w:val="center"/>
              <w:rPr>
                <w:rFonts w:cs="Calibri"/>
              </w:rPr>
            </w:pPr>
            <w:r w:rsidRPr="007D15C3">
              <w:rPr>
                <w:rFonts w:cs="Calibri"/>
              </w:rPr>
              <w:t>WUAB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6276AA" w14:textId="77777777">
            <w:pPr>
              <w:rPr>
                <w:rFonts w:cs="Calibri"/>
              </w:rPr>
            </w:pPr>
            <w:r w:rsidRPr="007D15C3">
              <w:rPr>
                <w:rFonts w:cs="Calibri"/>
              </w:rPr>
              <w:t xml:space="preserve">          3,821,233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66F3664" w14:textId="77777777">
            <w:pPr>
              <w:rPr>
                <w:rFonts w:cs="Calibri"/>
              </w:rPr>
            </w:pPr>
            <w:r w:rsidRPr="007D15C3">
              <w:rPr>
                <w:rFonts w:cs="Calibri"/>
              </w:rPr>
              <w:t xml:space="preserve">            3,745,335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8683FB" w14:textId="77777777">
            <w:pPr>
              <w:jc w:val="right"/>
              <w:rPr>
                <w:rFonts w:cs="Calibri"/>
              </w:rPr>
            </w:pPr>
            <w:r w:rsidRPr="007D15C3">
              <w:rPr>
                <w:rFonts w:cs="Calibri"/>
              </w:rPr>
              <w:t>$29,352</w:t>
            </w:r>
          </w:p>
        </w:tc>
      </w:tr>
      <w:tr w14:paraId="54C9547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47C891" w14:textId="77777777">
            <w:pPr>
              <w:jc w:val="center"/>
              <w:rPr>
                <w:rFonts w:cs="Calibri"/>
              </w:rPr>
            </w:pPr>
            <w:r w:rsidRPr="007D15C3">
              <w:rPr>
                <w:rFonts w:cs="Calibri"/>
              </w:rPr>
              <w:t>12855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DE63339" w14:textId="77777777">
            <w:pPr>
              <w:jc w:val="center"/>
              <w:rPr>
                <w:rFonts w:cs="Calibri"/>
              </w:rPr>
            </w:pPr>
            <w:r w:rsidRPr="007D15C3">
              <w:rPr>
                <w:rFonts w:cs="Calibri"/>
              </w:rPr>
              <w:t>WUCF-TV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47F5AA" w14:textId="77777777">
            <w:pPr>
              <w:rPr>
                <w:rFonts w:cs="Calibri"/>
              </w:rPr>
            </w:pPr>
            <w:r w:rsidRPr="007D15C3">
              <w:rPr>
                <w:rFonts w:cs="Calibri"/>
              </w:rPr>
              <w:t xml:space="preserve">          3,772,425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A83A38" w14:textId="77777777">
            <w:pPr>
              <w:rPr>
                <w:rFonts w:cs="Calibri"/>
              </w:rPr>
            </w:pPr>
            <w:r w:rsidRPr="007D15C3">
              <w:rPr>
                <w:rFonts w:cs="Calibri"/>
              </w:rPr>
              <w:t xml:space="preserve">            3,772,425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CE70C7" w14:textId="77777777">
            <w:pPr>
              <w:jc w:val="right"/>
              <w:rPr>
                <w:rFonts w:cs="Calibri"/>
              </w:rPr>
            </w:pPr>
            <w:r w:rsidRPr="007D15C3">
              <w:rPr>
                <w:rFonts w:cs="Calibri"/>
              </w:rPr>
              <w:t>$29,564</w:t>
            </w:r>
          </w:p>
        </w:tc>
      </w:tr>
      <w:tr w14:paraId="79BE17C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BB2337" w14:textId="77777777">
            <w:pPr>
              <w:jc w:val="center"/>
              <w:rPr>
                <w:rFonts w:cs="Calibri"/>
              </w:rPr>
            </w:pPr>
            <w:r w:rsidRPr="007D15C3">
              <w:rPr>
                <w:rFonts w:cs="Calibri"/>
              </w:rPr>
              <w:t>36395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42CCBA" w14:textId="77777777">
            <w:pPr>
              <w:jc w:val="center"/>
              <w:rPr>
                <w:rFonts w:cs="Calibri"/>
              </w:rPr>
            </w:pPr>
            <w:r w:rsidRPr="007D15C3">
              <w:rPr>
                <w:rFonts w:cs="Calibri"/>
              </w:rPr>
              <w:t>WUCW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B4A396" w14:textId="77777777">
            <w:pPr>
              <w:rPr>
                <w:rFonts w:cs="Calibri"/>
              </w:rPr>
            </w:pPr>
            <w:r w:rsidRPr="007D15C3">
              <w:rPr>
                <w:rFonts w:cs="Calibri"/>
              </w:rPr>
              <w:t xml:space="preserve">          3,664,480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F464D1" w14:textId="77777777">
            <w:pPr>
              <w:rPr>
                <w:rFonts w:cs="Calibri"/>
              </w:rPr>
            </w:pPr>
            <w:r w:rsidRPr="007D15C3">
              <w:rPr>
                <w:rFonts w:cs="Calibri"/>
              </w:rPr>
              <w:t xml:space="preserve">            3,657,236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CC9007" w14:textId="77777777">
            <w:pPr>
              <w:jc w:val="right"/>
              <w:rPr>
                <w:rFonts w:cs="Calibri"/>
              </w:rPr>
            </w:pPr>
            <w:r w:rsidRPr="007D15C3">
              <w:rPr>
                <w:rFonts w:cs="Calibri"/>
              </w:rPr>
              <w:t>$28,662</w:t>
            </w:r>
          </w:p>
        </w:tc>
      </w:tr>
      <w:tr w14:paraId="58B247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A4540B" w14:textId="77777777">
            <w:pPr>
              <w:jc w:val="center"/>
              <w:rPr>
                <w:rFonts w:cs="Calibri"/>
              </w:rPr>
            </w:pPr>
            <w:r w:rsidRPr="007D15C3">
              <w:rPr>
                <w:rFonts w:cs="Calibri"/>
              </w:rPr>
              <w:t>69440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38D695" w14:textId="77777777">
            <w:pPr>
              <w:jc w:val="center"/>
              <w:rPr>
                <w:rFonts w:cs="Calibri"/>
              </w:rPr>
            </w:pPr>
            <w:r w:rsidRPr="007D15C3">
              <w:rPr>
                <w:rFonts w:cs="Calibri"/>
              </w:rPr>
              <w:t>WUFT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8CC886" w14:textId="77777777">
            <w:pPr>
              <w:rPr>
                <w:rFonts w:cs="Calibri"/>
              </w:rPr>
            </w:pPr>
            <w:r w:rsidRPr="007D15C3">
              <w:rPr>
                <w:rFonts w:cs="Calibri"/>
              </w:rPr>
              <w:t xml:space="preserve">          1,372,142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5F5B7F1" w14:textId="77777777">
            <w:pPr>
              <w:rPr>
                <w:rFonts w:cs="Calibri"/>
              </w:rPr>
            </w:pPr>
            <w:r w:rsidRPr="007D15C3">
              <w:rPr>
                <w:rFonts w:cs="Calibri"/>
              </w:rPr>
              <w:t xml:space="preserve">            1,372,142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9E4462" w14:textId="77777777">
            <w:pPr>
              <w:jc w:val="right"/>
              <w:rPr>
                <w:rFonts w:cs="Calibri"/>
              </w:rPr>
            </w:pPr>
            <w:r w:rsidRPr="007D15C3">
              <w:rPr>
                <w:rFonts w:cs="Calibri"/>
              </w:rPr>
              <w:t>$10,753</w:t>
            </w:r>
          </w:p>
        </w:tc>
      </w:tr>
      <w:tr w14:paraId="10A3ACD4"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6A3886" w14:textId="77777777">
            <w:pPr>
              <w:jc w:val="center"/>
              <w:rPr>
                <w:rFonts w:cs="Calibri"/>
              </w:rPr>
            </w:pPr>
            <w:r w:rsidRPr="007D15C3">
              <w:rPr>
                <w:rFonts w:cs="Calibri"/>
              </w:rPr>
              <w:t>413</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68073B0D" w14:textId="77777777">
            <w:pPr>
              <w:jc w:val="center"/>
              <w:rPr>
                <w:rFonts w:cs="Calibri"/>
              </w:rPr>
            </w:pPr>
            <w:r w:rsidRPr="007D15C3">
              <w:rPr>
                <w:rFonts w:cs="Calibri"/>
              </w:rPr>
              <w:t>WUHF</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87161C6" w14:textId="77777777">
            <w:pPr>
              <w:rPr>
                <w:rFonts w:cs="Calibri"/>
              </w:rPr>
            </w:pPr>
            <w:r w:rsidRPr="007D15C3">
              <w:rPr>
                <w:rFonts w:cs="Calibri"/>
              </w:rPr>
              <w:t xml:space="preserve">          1,152,580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30C0D308" w14:textId="77777777">
            <w:pPr>
              <w:rPr>
                <w:rFonts w:cs="Calibri"/>
              </w:rPr>
            </w:pPr>
            <w:r w:rsidRPr="007D15C3">
              <w:rPr>
                <w:rFonts w:cs="Calibri"/>
              </w:rPr>
              <w:t xml:space="preserve">            1,147,972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706C952C" w14:textId="77777777">
            <w:pPr>
              <w:jc w:val="right"/>
              <w:rPr>
                <w:rFonts w:cs="Calibri"/>
              </w:rPr>
            </w:pPr>
            <w:r w:rsidRPr="007D15C3">
              <w:rPr>
                <w:rFonts w:cs="Calibri"/>
              </w:rPr>
              <w:t>$8,997</w:t>
            </w:r>
          </w:p>
        </w:tc>
      </w:tr>
      <w:tr w14:paraId="0B3C6AA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229ED98" w14:textId="77777777">
            <w:pPr>
              <w:jc w:val="center"/>
              <w:rPr>
                <w:rFonts w:cs="Calibri"/>
              </w:rPr>
            </w:pPr>
            <w:r w:rsidRPr="007D15C3">
              <w:rPr>
                <w:rFonts w:cs="Calibri"/>
              </w:rPr>
              <w:t>8156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8CE358" w14:textId="77777777">
            <w:pPr>
              <w:jc w:val="center"/>
              <w:rPr>
                <w:rFonts w:cs="Calibri"/>
              </w:rPr>
            </w:pPr>
            <w:r w:rsidRPr="007D15C3">
              <w:rPr>
                <w:rFonts w:cs="Calibri"/>
              </w:rPr>
              <w:t>WUJA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FA7C03" w14:textId="77777777">
            <w:pPr>
              <w:rPr>
                <w:rFonts w:cs="Calibri"/>
              </w:rPr>
            </w:pPr>
            <w:r w:rsidRPr="007D15C3">
              <w:rPr>
                <w:rFonts w:cs="Calibri"/>
              </w:rPr>
              <w:t xml:space="preserve">          2,638,361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745F27" w14:textId="77777777">
            <w:pPr>
              <w:rPr>
                <w:rFonts w:cs="Calibri"/>
              </w:rPr>
            </w:pPr>
            <w:r w:rsidRPr="007D15C3">
              <w:rPr>
                <w:rFonts w:cs="Calibri"/>
              </w:rPr>
              <w:t xml:space="preserve">            2,379,555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730966" w14:textId="77777777">
            <w:pPr>
              <w:jc w:val="right"/>
              <w:rPr>
                <w:rFonts w:cs="Calibri"/>
              </w:rPr>
            </w:pPr>
            <w:r w:rsidRPr="007D15C3">
              <w:rPr>
                <w:rFonts w:cs="Calibri"/>
              </w:rPr>
              <w:t>$15,497</w:t>
            </w:r>
          </w:p>
        </w:tc>
      </w:tr>
      <w:tr w14:paraId="191C03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D4E914" w14:textId="77777777">
            <w:pPr>
              <w:jc w:val="center"/>
              <w:rPr>
                <w:rFonts w:cs="Calibri"/>
              </w:rPr>
            </w:pPr>
            <w:r w:rsidRPr="007D15C3">
              <w:rPr>
                <w:rFonts w:cs="Calibri"/>
              </w:rPr>
              <w:t>69080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DFE7EA1" w14:textId="77777777">
            <w:pPr>
              <w:jc w:val="center"/>
              <w:rPr>
                <w:rFonts w:cs="Calibri"/>
              </w:rPr>
            </w:pPr>
            <w:r w:rsidRPr="007D15C3">
              <w:rPr>
                <w:rFonts w:cs="Calibri"/>
              </w:rPr>
              <w:t>WUNC-TV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4CC294" w14:textId="77777777">
            <w:pPr>
              <w:rPr>
                <w:rFonts w:cs="Calibri"/>
              </w:rPr>
            </w:pPr>
            <w:r w:rsidRPr="007D15C3">
              <w:rPr>
                <w:rFonts w:cs="Calibri"/>
              </w:rPr>
              <w:t xml:space="preserve">          4,021,948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D1644E" w14:textId="77777777">
            <w:pPr>
              <w:rPr>
                <w:rFonts w:cs="Calibri"/>
              </w:rPr>
            </w:pPr>
            <w:r w:rsidRPr="007D15C3">
              <w:rPr>
                <w:rFonts w:cs="Calibri"/>
              </w:rPr>
              <w:t xml:space="preserve">            4,004,902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01FB8C" w14:textId="77777777">
            <w:pPr>
              <w:jc w:val="right"/>
              <w:rPr>
                <w:rFonts w:cs="Calibri"/>
              </w:rPr>
            </w:pPr>
            <w:r w:rsidRPr="007D15C3">
              <w:rPr>
                <w:rFonts w:cs="Calibri"/>
              </w:rPr>
              <w:t>$31,386</w:t>
            </w:r>
          </w:p>
        </w:tc>
      </w:tr>
      <w:tr w14:paraId="063CD41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BB3C37" w14:textId="77777777">
            <w:pPr>
              <w:jc w:val="center"/>
              <w:rPr>
                <w:rFonts w:cs="Calibri"/>
              </w:rPr>
            </w:pPr>
            <w:r w:rsidRPr="007D15C3">
              <w:rPr>
                <w:rFonts w:cs="Calibri"/>
              </w:rPr>
              <w:t>69292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01F3DB" w14:textId="77777777">
            <w:pPr>
              <w:jc w:val="center"/>
              <w:rPr>
                <w:rFonts w:cs="Calibri"/>
              </w:rPr>
            </w:pPr>
            <w:r w:rsidRPr="007D15C3">
              <w:rPr>
                <w:rFonts w:cs="Calibri"/>
              </w:rPr>
              <w:t>WUND-TV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F4E54A" w14:textId="77777777">
            <w:pPr>
              <w:rPr>
                <w:rFonts w:cs="Calibri"/>
              </w:rPr>
            </w:pPr>
            <w:r w:rsidRPr="007D15C3">
              <w:rPr>
                <w:rFonts w:cs="Calibri"/>
              </w:rPr>
              <w:t xml:space="preserve">          1,506,640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0CFB5B" w14:textId="77777777">
            <w:pPr>
              <w:rPr>
                <w:rFonts w:cs="Calibri"/>
              </w:rPr>
            </w:pPr>
            <w:r w:rsidRPr="007D15C3">
              <w:rPr>
                <w:rFonts w:cs="Calibri"/>
              </w:rPr>
              <w:t xml:space="preserve">            1,506,640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13CA19" w14:textId="77777777">
            <w:pPr>
              <w:jc w:val="right"/>
              <w:rPr>
                <w:rFonts w:cs="Calibri"/>
              </w:rPr>
            </w:pPr>
            <w:r w:rsidRPr="007D15C3">
              <w:rPr>
                <w:rFonts w:cs="Calibri"/>
              </w:rPr>
              <w:t>$11,808</w:t>
            </w:r>
          </w:p>
        </w:tc>
      </w:tr>
      <w:tr w14:paraId="10D34D1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A20465" w14:textId="77777777">
            <w:pPr>
              <w:jc w:val="center"/>
              <w:rPr>
                <w:rFonts w:cs="Calibri"/>
              </w:rPr>
            </w:pPr>
            <w:r w:rsidRPr="007D15C3">
              <w:rPr>
                <w:rFonts w:cs="Calibri"/>
              </w:rPr>
              <w:t>69114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8F88CE" w14:textId="77777777">
            <w:pPr>
              <w:jc w:val="center"/>
              <w:rPr>
                <w:rFonts w:cs="Calibri"/>
              </w:rPr>
            </w:pPr>
            <w:r w:rsidRPr="007D15C3">
              <w:rPr>
                <w:rFonts w:cs="Calibri"/>
              </w:rPr>
              <w:t>WUNE-TV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80392D" w14:textId="77777777">
            <w:pPr>
              <w:rPr>
                <w:rFonts w:cs="Calibri"/>
              </w:rPr>
            </w:pPr>
            <w:r w:rsidRPr="007D15C3">
              <w:rPr>
                <w:rFonts w:cs="Calibri"/>
              </w:rPr>
              <w:t xml:space="preserve">          1,931,274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1E5461" w14:textId="77777777">
            <w:pPr>
              <w:rPr>
                <w:rFonts w:cs="Calibri"/>
              </w:rPr>
            </w:pPr>
            <w:r w:rsidRPr="007D15C3">
              <w:rPr>
                <w:rFonts w:cs="Calibri"/>
              </w:rPr>
              <w:t xml:space="preserve">            1,527,025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97EFB1" w14:textId="77777777">
            <w:pPr>
              <w:jc w:val="right"/>
              <w:rPr>
                <w:rFonts w:cs="Calibri"/>
              </w:rPr>
            </w:pPr>
            <w:r w:rsidRPr="007D15C3">
              <w:rPr>
                <w:rFonts w:cs="Calibri"/>
              </w:rPr>
              <w:t>$11,967</w:t>
            </w:r>
          </w:p>
        </w:tc>
      </w:tr>
      <w:tr w14:paraId="05C2DC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5405102" w14:textId="77777777">
            <w:pPr>
              <w:jc w:val="center"/>
              <w:rPr>
                <w:rFonts w:cs="Calibri"/>
              </w:rPr>
            </w:pPr>
            <w:r w:rsidRPr="007D15C3">
              <w:rPr>
                <w:rFonts w:cs="Calibri"/>
              </w:rPr>
              <w:t>69300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F70664F" w14:textId="77777777">
            <w:pPr>
              <w:jc w:val="center"/>
              <w:rPr>
                <w:rFonts w:cs="Calibri"/>
              </w:rPr>
            </w:pPr>
            <w:r w:rsidRPr="007D15C3">
              <w:rPr>
                <w:rFonts w:cs="Calibri"/>
              </w:rPr>
              <w:t>WUNF-TV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11C175" w14:textId="77777777">
            <w:pPr>
              <w:rPr>
                <w:rFonts w:cs="Calibri"/>
              </w:rPr>
            </w:pPr>
            <w:r w:rsidRPr="007D15C3">
              <w:rPr>
                <w:rFonts w:cs="Calibri"/>
              </w:rPr>
              <w:t xml:space="preserve">          2,447,306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37A0C3" w14:textId="77777777">
            <w:pPr>
              <w:rPr>
                <w:rFonts w:cs="Calibri"/>
              </w:rPr>
            </w:pPr>
            <w:r w:rsidRPr="007D15C3">
              <w:rPr>
                <w:rFonts w:cs="Calibri"/>
              </w:rPr>
              <w:t xml:space="preserve">            2,066,422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1F2B09" w14:textId="77777777">
            <w:pPr>
              <w:jc w:val="right"/>
              <w:rPr>
                <w:rFonts w:cs="Calibri"/>
              </w:rPr>
            </w:pPr>
            <w:r w:rsidRPr="007D15C3">
              <w:rPr>
                <w:rFonts w:cs="Calibri"/>
              </w:rPr>
              <w:t>$16,195</w:t>
            </w:r>
          </w:p>
        </w:tc>
      </w:tr>
      <w:tr w14:paraId="70E421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819CA5" w14:textId="77777777">
            <w:pPr>
              <w:jc w:val="center"/>
              <w:rPr>
                <w:rFonts w:cs="Calibri"/>
              </w:rPr>
            </w:pPr>
            <w:r w:rsidRPr="007D15C3">
              <w:rPr>
                <w:rFonts w:cs="Calibri"/>
              </w:rPr>
              <w:t>69124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A633451" w14:textId="77777777">
            <w:pPr>
              <w:jc w:val="center"/>
              <w:rPr>
                <w:rFonts w:cs="Calibri"/>
              </w:rPr>
            </w:pPr>
            <w:r w:rsidRPr="007D15C3">
              <w:rPr>
                <w:rFonts w:cs="Calibri"/>
              </w:rPr>
              <w:t>WUNG-TV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DAE11D" w14:textId="77777777">
            <w:pPr>
              <w:rPr>
                <w:rFonts w:cs="Calibri"/>
              </w:rPr>
            </w:pPr>
            <w:r w:rsidRPr="007D15C3">
              <w:rPr>
                <w:rFonts w:cs="Calibri"/>
              </w:rPr>
              <w:t xml:space="preserve">          3,267,425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FAFFA3" w14:textId="77777777">
            <w:pPr>
              <w:rPr>
                <w:rFonts w:cs="Calibri"/>
              </w:rPr>
            </w:pPr>
            <w:r w:rsidRPr="007D15C3">
              <w:rPr>
                <w:rFonts w:cs="Calibri"/>
              </w:rPr>
              <w:t xml:space="preserve">            3,253,352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2DCB7C" w14:textId="77777777">
            <w:pPr>
              <w:jc w:val="right"/>
              <w:rPr>
                <w:rFonts w:cs="Calibri"/>
              </w:rPr>
            </w:pPr>
            <w:r w:rsidRPr="007D15C3">
              <w:rPr>
                <w:rFonts w:cs="Calibri"/>
              </w:rPr>
              <w:t>$25,497</w:t>
            </w:r>
          </w:p>
        </w:tc>
      </w:tr>
      <w:tr w14:paraId="07E0418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E6E479" w14:textId="77777777">
            <w:pPr>
              <w:jc w:val="center"/>
              <w:rPr>
                <w:rFonts w:cs="Calibri"/>
              </w:rPr>
            </w:pPr>
            <w:r w:rsidRPr="007D15C3">
              <w:rPr>
                <w:rFonts w:cs="Calibri"/>
              </w:rPr>
              <w:t>60551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6D7EB39" w14:textId="77777777">
            <w:pPr>
              <w:jc w:val="center"/>
              <w:rPr>
                <w:rFonts w:cs="Calibri"/>
              </w:rPr>
            </w:pPr>
            <w:r w:rsidRPr="007D15C3">
              <w:rPr>
                <w:rFonts w:cs="Calibri"/>
              </w:rPr>
              <w:t>WUNI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67A786" w14:textId="77777777">
            <w:pPr>
              <w:rPr>
                <w:rFonts w:cs="Calibri"/>
              </w:rPr>
            </w:pPr>
            <w:r w:rsidRPr="007D15C3">
              <w:rPr>
                <w:rFonts w:cs="Calibri"/>
              </w:rPr>
              <w:t xml:space="preserve">          7,209,571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9293E6" w14:textId="77777777">
            <w:pPr>
              <w:rPr>
                <w:rFonts w:cs="Calibri"/>
              </w:rPr>
            </w:pPr>
            <w:r w:rsidRPr="007D15C3">
              <w:rPr>
                <w:rFonts w:cs="Calibri"/>
              </w:rPr>
              <w:t xml:space="preserve">            7,084,349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D40BEB1" w14:textId="77777777">
            <w:pPr>
              <w:jc w:val="right"/>
              <w:rPr>
                <w:rFonts w:cs="Calibri"/>
              </w:rPr>
            </w:pPr>
            <w:r w:rsidRPr="007D15C3">
              <w:rPr>
                <w:rFonts w:cs="Calibri"/>
              </w:rPr>
              <w:t>$55,520</w:t>
            </w:r>
          </w:p>
        </w:tc>
      </w:tr>
      <w:tr w14:paraId="5811A0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13DA3FE" w14:textId="77777777">
            <w:pPr>
              <w:jc w:val="center"/>
              <w:rPr>
                <w:rFonts w:cs="Calibri"/>
              </w:rPr>
            </w:pPr>
            <w:r w:rsidRPr="007D15C3">
              <w:rPr>
                <w:rFonts w:cs="Calibri"/>
              </w:rPr>
              <w:t>69332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C90E9A" w14:textId="77777777">
            <w:pPr>
              <w:jc w:val="center"/>
              <w:rPr>
                <w:rFonts w:cs="Calibri"/>
              </w:rPr>
            </w:pPr>
            <w:r w:rsidRPr="007D15C3">
              <w:rPr>
                <w:rFonts w:cs="Calibri"/>
              </w:rPr>
              <w:t>WUNJ-TV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422726" w14:textId="77777777">
            <w:pPr>
              <w:rPr>
                <w:rFonts w:cs="Calibri"/>
              </w:rPr>
            </w:pPr>
            <w:r w:rsidRPr="007D15C3">
              <w:rPr>
                <w:rFonts w:cs="Calibri"/>
              </w:rPr>
              <w:t xml:space="preserve">          1,081,274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E4CAB9" w14:textId="77777777">
            <w:pPr>
              <w:rPr>
                <w:rFonts w:cs="Calibri"/>
              </w:rPr>
            </w:pPr>
            <w:r w:rsidRPr="007D15C3">
              <w:rPr>
                <w:rFonts w:cs="Calibri"/>
              </w:rPr>
              <w:t xml:space="preserve">            1,081,274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4206F4" w14:textId="77777777">
            <w:pPr>
              <w:jc w:val="right"/>
              <w:rPr>
                <w:rFonts w:cs="Calibri"/>
              </w:rPr>
            </w:pPr>
            <w:r w:rsidRPr="007D15C3">
              <w:rPr>
                <w:rFonts w:cs="Calibri"/>
              </w:rPr>
              <w:t>$8,474</w:t>
            </w:r>
          </w:p>
        </w:tc>
      </w:tr>
      <w:tr w14:paraId="579A6C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738AB2A" w14:textId="77777777">
            <w:pPr>
              <w:jc w:val="center"/>
              <w:rPr>
                <w:rFonts w:cs="Calibri"/>
              </w:rPr>
            </w:pPr>
            <w:r w:rsidRPr="007D15C3">
              <w:rPr>
                <w:rFonts w:cs="Calibri"/>
              </w:rPr>
              <w:t>69149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0B454C" w14:textId="77777777">
            <w:pPr>
              <w:jc w:val="center"/>
              <w:rPr>
                <w:rFonts w:cs="Calibri"/>
              </w:rPr>
            </w:pPr>
            <w:r w:rsidRPr="007D15C3">
              <w:rPr>
                <w:rFonts w:cs="Calibri"/>
              </w:rPr>
              <w:t>WUNK-TV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6E42B0" w14:textId="77777777">
            <w:pPr>
              <w:rPr>
                <w:rFonts w:cs="Calibri"/>
              </w:rPr>
            </w:pPr>
            <w:r w:rsidRPr="007D15C3">
              <w:rPr>
                <w:rFonts w:cs="Calibri"/>
              </w:rPr>
              <w:t xml:space="preserve">          2,018,916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0117C2" w14:textId="77777777">
            <w:pPr>
              <w:rPr>
                <w:rFonts w:cs="Calibri"/>
              </w:rPr>
            </w:pPr>
            <w:r w:rsidRPr="007D15C3">
              <w:rPr>
                <w:rFonts w:cs="Calibri"/>
              </w:rPr>
              <w:t xml:space="preserve">            2,013,516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F91B56" w14:textId="77777777">
            <w:pPr>
              <w:jc w:val="right"/>
              <w:rPr>
                <w:rFonts w:cs="Calibri"/>
              </w:rPr>
            </w:pPr>
            <w:r w:rsidRPr="007D15C3">
              <w:rPr>
                <w:rFonts w:cs="Calibri"/>
              </w:rPr>
              <w:t>$15,780</w:t>
            </w:r>
          </w:p>
        </w:tc>
      </w:tr>
      <w:tr w14:paraId="07F3843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A2E8AA7" w14:textId="77777777">
            <w:pPr>
              <w:jc w:val="center"/>
              <w:rPr>
                <w:rFonts w:cs="Calibri"/>
              </w:rPr>
            </w:pPr>
            <w:r w:rsidRPr="007D15C3">
              <w:rPr>
                <w:rFonts w:cs="Calibri"/>
              </w:rPr>
              <w:t>69360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68A0129" w14:textId="77777777">
            <w:pPr>
              <w:jc w:val="center"/>
              <w:rPr>
                <w:rFonts w:cs="Calibri"/>
              </w:rPr>
            </w:pPr>
            <w:r w:rsidRPr="007D15C3">
              <w:rPr>
                <w:rFonts w:cs="Calibri"/>
              </w:rPr>
              <w:t>WUNL-TV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5B493A" w14:textId="77777777">
            <w:pPr>
              <w:rPr>
                <w:rFonts w:cs="Calibri"/>
              </w:rPr>
            </w:pPr>
            <w:r w:rsidRPr="007D15C3">
              <w:rPr>
                <w:rFonts w:cs="Calibri"/>
              </w:rPr>
              <w:t xml:space="preserve">          2,614,031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150CEA" w14:textId="77777777">
            <w:pPr>
              <w:rPr>
                <w:rFonts w:cs="Calibri"/>
              </w:rPr>
            </w:pPr>
            <w:r w:rsidRPr="007D15C3">
              <w:rPr>
                <w:rFonts w:cs="Calibri"/>
              </w:rPr>
              <w:t xml:space="preserve">            2,545,330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9D347D" w14:textId="77777777">
            <w:pPr>
              <w:jc w:val="right"/>
              <w:rPr>
                <w:rFonts w:cs="Calibri"/>
              </w:rPr>
            </w:pPr>
            <w:r w:rsidRPr="007D15C3">
              <w:rPr>
                <w:rFonts w:cs="Calibri"/>
              </w:rPr>
              <w:t>$19,948</w:t>
            </w:r>
          </w:p>
        </w:tc>
      </w:tr>
      <w:tr w14:paraId="2BE302B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230B1E" w14:textId="77777777">
            <w:pPr>
              <w:jc w:val="center"/>
              <w:rPr>
                <w:rFonts w:cs="Calibri"/>
              </w:rPr>
            </w:pPr>
            <w:r w:rsidRPr="007D15C3">
              <w:rPr>
                <w:rFonts w:cs="Calibri"/>
              </w:rPr>
              <w:t>69444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F6E4407" w14:textId="77777777">
            <w:pPr>
              <w:jc w:val="center"/>
              <w:rPr>
                <w:rFonts w:cs="Calibri"/>
              </w:rPr>
            </w:pPr>
            <w:r w:rsidRPr="007D15C3">
              <w:rPr>
                <w:rFonts w:cs="Calibri"/>
              </w:rPr>
              <w:t>WUNM-TV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34C158" w14:textId="77777777">
            <w:pPr>
              <w:rPr>
                <w:rFonts w:cs="Calibri"/>
              </w:rPr>
            </w:pPr>
            <w:r w:rsidRPr="007D15C3">
              <w:rPr>
                <w:rFonts w:cs="Calibri"/>
              </w:rPr>
              <w:t xml:space="preserve">          1,029,109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EA301A" w14:textId="77777777">
            <w:pPr>
              <w:rPr>
                <w:rFonts w:cs="Calibri"/>
              </w:rPr>
            </w:pPr>
            <w:r w:rsidRPr="007D15C3">
              <w:rPr>
                <w:rFonts w:cs="Calibri"/>
              </w:rPr>
              <w:t xml:space="preserve">            1,029,109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14414EA" w14:textId="77777777">
            <w:pPr>
              <w:jc w:val="right"/>
              <w:rPr>
                <w:rFonts w:cs="Calibri"/>
              </w:rPr>
            </w:pPr>
            <w:r w:rsidRPr="007D15C3">
              <w:rPr>
                <w:rFonts w:cs="Calibri"/>
              </w:rPr>
              <w:t>$8,065</w:t>
            </w:r>
          </w:p>
        </w:tc>
      </w:tr>
      <w:tr w14:paraId="33699F4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EBF8AE" w14:textId="77777777">
            <w:pPr>
              <w:jc w:val="center"/>
              <w:rPr>
                <w:rFonts w:cs="Calibri"/>
              </w:rPr>
            </w:pPr>
            <w:r w:rsidRPr="007D15C3">
              <w:rPr>
                <w:rFonts w:cs="Calibri"/>
              </w:rPr>
              <w:t>69397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DAFF426" w14:textId="77777777">
            <w:pPr>
              <w:jc w:val="center"/>
              <w:rPr>
                <w:rFonts w:cs="Calibri"/>
              </w:rPr>
            </w:pPr>
            <w:r w:rsidRPr="007D15C3">
              <w:rPr>
                <w:rFonts w:cs="Calibri"/>
              </w:rPr>
              <w:t>WUNP-TV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2366285" w14:textId="77777777">
            <w:pPr>
              <w:rPr>
                <w:rFonts w:cs="Calibri"/>
              </w:rPr>
            </w:pPr>
            <w:r w:rsidRPr="007D15C3">
              <w:rPr>
                <w:rFonts w:cs="Calibri"/>
              </w:rPr>
              <w:t xml:space="preserve">          1,018,414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6E66F3" w14:textId="77777777">
            <w:pPr>
              <w:rPr>
                <w:rFonts w:cs="Calibri"/>
              </w:rPr>
            </w:pPr>
            <w:r w:rsidRPr="007D15C3">
              <w:rPr>
                <w:rFonts w:cs="Calibri"/>
              </w:rPr>
              <w:t xml:space="preserve">            1,009,833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7061ED" w14:textId="77777777">
            <w:pPr>
              <w:jc w:val="right"/>
              <w:rPr>
                <w:rFonts w:cs="Calibri"/>
              </w:rPr>
            </w:pPr>
            <w:r w:rsidRPr="007D15C3">
              <w:rPr>
                <w:rFonts w:cs="Calibri"/>
              </w:rPr>
              <w:t>$7,914</w:t>
            </w:r>
          </w:p>
        </w:tc>
      </w:tr>
      <w:tr w14:paraId="11FC6CE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610735B" w14:textId="77777777">
            <w:pPr>
              <w:jc w:val="center"/>
              <w:rPr>
                <w:rFonts w:cs="Calibri"/>
              </w:rPr>
            </w:pPr>
            <w:r w:rsidRPr="007D15C3">
              <w:rPr>
                <w:rFonts w:cs="Calibri"/>
              </w:rPr>
              <w:t>69416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2660F8" w14:textId="77777777">
            <w:pPr>
              <w:jc w:val="center"/>
              <w:rPr>
                <w:rFonts w:cs="Calibri"/>
              </w:rPr>
            </w:pPr>
            <w:r w:rsidRPr="007D15C3">
              <w:rPr>
                <w:rFonts w:cs="Calibri"/>
              </w:rPr>
              <w:t>WUNU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62EE20" w14:textId="77777777">
            <w:pPr>
              <w:rPr>
                <w:rFonts w:cs="Calibri"/>
              </w:rPr>
            </w:pPr>
            <w:r w:rsidRPr="007D15C3">
              <w:rPr>
                <w:rFonts w:cs="Calibri"/>
              </w:rPr>
              <w:t xml:space="preserve">          1,120,792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5607FB" w14:textId="77777777">
            <w:pPr>
              <w:rPr>
                <w:rFonts w:cs="Calibri"/>
              </w:rPr>
            </w:pPr>
            <w:r w:rsidRPr="007D15C3">
              <w:rPr>
                <w:rFonts w:cs="Calibri"/>
              </w:rPr>
              <w:t xml:space="preserve">            1,117,140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7D1788" w14:textId="77777777">
            <w:pPr>
              <w:jc w:val="right"/>
              <w:rPr>
                <w:rFonts w:cs="Calibri"/>
              </w:rPr>
            </w:pPr>
            <w:r w:rsidRPr="007D15C3">
              <w:rPr>
                <w:rFonts w:cs="Calibri"/>
              </w:rPr>
              <w:t>$8,755</w:t>
            </w:r>
          </w:p>
        </w:tc>
      </w:tr>
      <w:tr w14:paraId="058D8F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EA07F3" w14:textId="77777777">
            <w:pPr>
              <w:jc w:val="center"/>
              <w:rPr>
                <w:rFonts w:cs="Calibri"/>
              </w:rPr>
            </w:pPr>
            <w:r w:rsidRPr="007D15C3">
              <w:rPr>
                <w:rFonts w:cs="Calibri"/>
              </w:rPr>
              <w:t>83822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3FB3B0" w14:textId="77777777">
            <w:pPr>
              <w:jc w:val="center"/>
              <w:rPr>
                <w:rFonts w:cs="Calibri"/>
              </w:rPr>
            </w:pPr>
            <w:r w:rsidRPr="007D15C3">
              <w:rPr>
                <w:rFonts w:cs="Calibri"/>
              </w:rPr>
              <w:t>WUNW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DD72E8" w14:textId="77777777">
            <w:pPr>
              <w:rPr>
                <w:rFonts w:cs="Calibri"/>
              </w:rPr>
            </w:pPr>
            <w:r w:rsidRPr="007D15C3">
              <w:rPr>
                <w:rFonts w:cs="Calibri"/>
              </w:rPr>
              <w:t xml:space="preserve">          1,109,237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8DED71" w14:textId="77777777">
            <w:pPr>
              <w:rPr>
                <w:rFonts w:cs="Calibri"/>
              </w:rPr>
            </w:pPr>
            <w:r w:rsidRPr="007D15C3">
              <w:rPr>
                <w:rFonts w:cs="Calibri"/>
              </w:rPr>
              <w:t xml:space="preserve">               570,072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DB0CFA" w14:textId="77777777">
            <w:pPr>
              <w:jc w:val="right"/>
              <w:rPr>
                <w:rFonts w:cs="Calibri"/>
              </w:rPr>
            </w:pPr>
            <w:r w:rsidRPr="007D15C3">
              <w:rPr>
                <w:rFonts w:cs="Calibri"/>
              </w:rPr>
              <w:t>$4,468</w:t>
            </w:r>
          </w:p>
        </w:tc>
      </w:tr>
      <w:tr w14:paraId="3AF8F83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2BED3C4" w14:textId="77777777">
            <w:pPr>
              <w:jc w:val="center"/>
              <w:rPr>
                <w:rFonts w:cs="Calibri"/>
              </w:rPr>
            </w:pPr>
            <w:r w:rsidRPr="007D15C3">
              <w:rPr>
                <w:rFonts w:cs="Calibri"/>
              </w:rPr>
              <w:t>6900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CEBD6E" w14:textId="77777777">
            <w:pPr>
              <w:jc w:val="center"/>
              <w:rPr>
                <w:rFonts w:cs="Calibri"/>
              </w:rPr>
            </w:pPr>
            <w:r w:rsidRPr="007D15C3">
              <w:rPr>
                <w:rFonts w:cs="Calibri"/>
              </w:rPr>
              <w:t>WUPA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45D36A" w14:textId="77777777">
            <w:pPr>
              <w:rPr>
                <w:rFonts w:cs="Calibri"/>
              </w:rPr>
            </w:pPr>
            <w:r w:rsidRPr="007D15C3">
              <w:rPr>
                <w:rFonts w:cs="Calibri"/>
              </w:rPr>
              <w:t xml:space="preserve">          5,946,477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CC7B06" w14:textId="77777777">
            <w:pPr>
              <w:rPr>
                <w:rFonts w:cs="Calibri"/>
              </w:rPr>
            </w:pPr>
            <w:r w:rsidRPr="007D15C3">
              <w:rPr>
                <w:rFonts w:cs="Calibri"/>
              </w:rPr>
              <w:t xml:space="preserve">            5,865,122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987622" w14:textId="77777777">
            <w:pPr>
              <w:jc w:val="right"/>
              <w:rPr>
                <w:rFonts w:cs="Calibri"/>
              </w:rPr>
            </w:pPr>
            <w:r w:rsidRPr="007D15C3">
              <w:rPr>
                <w:rFonts w:cs="Calibri"/>
              </w:rPr>
              <w:t>$45,965</w:t>
            </w:r>
          </w:p>
        </w:tc>
      </w:tr>
      <w:tr w14:paraId="526B427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C56B47C" w14:textId="77777777">
            <w:pPr>
              <w:jc w:val="center"/>
              <w:rPr>
                <w:rFonts w:cs="Calibri"/>
              </w:rPr>
            </w:pPr>
            <w:r w:rsidRPr="007D15C3">
              <w:rPr>
                <w:rFonts w:cs="Calibri"/>
              </w:rPr>
              <w:t>13938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556F1D5" w14:textId="77777777">
            <w:pPr>
              <w:jc w:val="center"/>
              <w:rPr>
                <w:rFonts w:cs="Calibri"/>
              </w:rPr>
            </w:pPr>
            <w:r w:rsidRPr="007D15C3">
              <w:rPr>
                <w:rFonts w:cs="Calibri"/>
              </w:rPr>
              <w:t>WUPL</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884ABA" w14:textId="77777777">
            <w:pPr>
              <w:rPr>
                <w:rFonts w:cs="Calibri"/>
              </w:rPr>
            </w:pPr>
            <w:r w:rsidRPr="007D15C3">
              <w:rPr>
                <w:rFonts w:cs="Calibri"/>
              </w:rPr>
              <w:t xml:space="preserve">          1,632,100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A78CF2" w14:textId="77777777">
            <w:pPr>
              <w:rPr>
                <w:rFonts w:cs="Calibri"/>
              </w:rPr>
            </w:pPr>
            <w:r w:rsidRPr="007D15C3">
              <w:rPr>
                <w:rFonts w:cs="Calibri"/>
              </w:rPr>
              <w:t xml:space="preserve">            1,632,100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D715C7" w14:textId="77777777">
            <w:pPr>
              <w:jc w:val="right"/>
              <w:rPr>
                <w:rFonts w:cs="Calibri"/>
              </w:rPr>
            </w:pPr>
            <w:r w:rsidRPr="007D15C3">
              <w:rPr>
                <w:rFonts w:cs="Calibri"/>
              </w:rPr>
              <w:t>$12,791</w:t>
            </w:r>
          </w:p>
        </w:tc>
      </w:tr>
      <w:tr w14:paraId="4F6CEAD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7E2B562" w14:textId="77777777">
            <w:pPr>
              <w:jc w:val="center"/>
              <w:rPr>
                <w:rFonts w:cs="Calibri"/>
              </w:rPr>
            </w:pPr>
            <w:r w:rsidRPr="007D15C3">
              <w:rPr>
                <w:rFonts w:cs="Calibri"/>
              </w:rPr>
              <w:t>10897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557A18" w14:textId="77777777">
            <w:pPr>
              <w:jc w:val="center"/>
              <w:rPr>
                <w:rFonts w:cs="Calibri"/>
              </w:rPr>
            </w:pPr>
            <w:r w:rsidRPr="007D15C3">
              <w:rPr>
                <w:rFonts w:cs="Calibri"/>
              </w:rPr>
              <w:t>WUPV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39D08C" w14:textId="77777777">
            <w:pPr>
              <w:rPr>
                <w:rFonts w:cs="Calibri"/>
              </w:rPr>
            </w:pPr>
            <w:r w:rsidRPr="007D15C3">
              <w:rPr>
                <w:rFonts w:cs="Calibri"/>
              </w:rPr>
              <w:t xml:space="preserve">          1,933,664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025EEE" w14:textId="77777777">
            <w:pPr>
              <w:rPr>
                <w:rFonts w:cs="Calibri"/>
              </w:rPr>
            </w:pPr>
            <w:r w:rsidRPr="007D15C3">
              <w:rPr>
                <w:rFonts w:cs="Calibri"/>
              </w:rPr>
              <w:t xml:space="preserve">            1,914,643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00A2A8" w14:textId="77777777">
            <w:pPr>
              <w:jc w:val="right"/>
              <w:rPr>
                <w:rFonts w:cs="Calibri"/>
              </w:rPr>
            </w:pPr>
            <w:r w:rsidRPr="007D15C3">
              <w:rPr>
                <w:rFonts w:cs="Calibri"/>
              </w:rPr>
              <w:t>$15,005</w:t>
            </w:r>
          </w:p>
        </w:tc>
      </w:tr>
      <w:tr w14:paraId="5FF4E9B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079EB7C" w14:textId="77777777">
            <w:pPr>
              <w:jc w:val="center"/>
              <w:rPr>
                <w:rFonts w:cs="Calibri"/>
              </w:rPr>
            </w:pPr>
            <w:r w:rsidRPr="007D15C3">
              <w:rPr>
                <w:rFonts w:cs="Calibri"/>
              </w:rPr>
              <w:t>19190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04BC26D" w14:textId="77777777">
            <w:pPr>
              <w:jc w:val="center"/>
              <w:rPr>
                <w:rFonts w:cs="Calibri"/>
              </w:rPr>
            </w:pPr>
            <w:r w:rsidRPr="007D15C3">
              <w:rPr>
                <w:rFonts w:cs="Calibri"/>
              </w:rPr>
              <w:t>WUPW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6E82EC" w14:textId="77777777">
            <w:pPr>
              <w:rPr>
                <w:rFonts w:cs="Calibri"/>
              </w:rPr>
            </w:pPr>
            <w:r w:rsidRPr="007D15C3">
              <w:rPr>
                <w:rFonts w:cs="Calibri"/>
              </w:rPr>
              <w:t xml:space="preserve">          2,074,890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A181D6" w14:textId="77777777">
            <w:pPr>
              <w:rPr>
                <w:rFonts w:cs="Calibri"/>
              </w:rPr>
            </w:pPr>
            <w:r w:rsidRPr="007D15C3">
              <w:rPr>
                <w:rFonts w:cs="Calibri"/>
              </w:rPr>
              <w:t xml:space="preserve">            2,073,548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FEB865" w14:textId="77777777">
            <w:pPr>
              <w:jc w:val="right"/>
              <w:rPr>
                <w:rFonts w:cs="Calibri"/>
              </w:rPr>
            </w:pPr>
            <w:r w:rsidRPr="007D15C3">
              <w:rPr>
                <w:rFonts w:cs="Calibri"/>
              </w:rPr>
              <w:t>$16,250</w:t>
            </w:r>
          </w:p>
        </w:tc>
      </w:tr>
      <w:tr w14:paraId="62CF3B0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1B7B2A1" w14:textId="77777777">
            <w:pPr>
              <w:jc w:val="center"/>
              <w:rPr>
                <w:rFonts w:cs="Calibri"/>
              </w:rPr>
            </w:pPr>
            <w:r w:rsidRPr="007D15C3">
              <w:rPr>
                <w:rFonts w:cs="Calibri"/>
              </w:rPr>
              <w:t>23128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4CA275" w14:textId="77777777">
            <w:pPr>
              <w:jc w:val="center"/>
              <w:rPr>
                <w:rFonts w:cs="Calibri"/>
              </w:rPr>
            </w:pPr>
            <w:r w:rsidRPr="007D15C3">
              <w:rPr>
                <w:rFonts w:cs="Calibri"/>
              </w:rPr>
              <w:t>WUPX-TV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11F6D" w14:textId="77777777">
            <w:pPr>
              <w:rPr>
                <w:rFonts w:cs="Calibri"/>
              </w:rPr>
            </w:pPr>
            <w:r w:rsidRPr="007D15C3">
              <w:rPr>
                <w:rFonts w:cs="Calibri"/>
              </w:rPr>
              <w:t xml:space="preserve">          1,102,435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1F3F8F" w14:textId="77777777">
            <w:pPr>
              <w:rPr>
                <w:rFonts w:cs="Calibri"/>
              </w:rPr>
            </w:pPr>
            <w:r w:rsidRPr="007D15C3">
              <w:rPr>
                <w:rFonts w:cs="Calibri"/>
              </w:rPr>
              <w:t xml:space="preserve">            1,089,118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D63C2D" w14:textId="77777777">
            <w:pPr>
              <w:jc w:val="right"/>
              <w:rPr>
                <w:rFonts w:cs="Calibri"/>
              </w:rPr>
            </w:pPr>
            <w:r w:rsidRPr="007D15C3">
              <w:rPr>
                <w:rFonts w:cs="Calibri"/>
              </w:rPr>
              <w:t>$8,535</w:t>
            </w:r>
          </w:p>
        </w:tc>
      </w:tr>
      <w:tr w14:paraId="2CEABC2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193E1C" w14:textId="77777777">
            <w:pPr>
              <w:jc w:val="center"/>
              <w:rPr>
                <w:rFonts w:cs="Calibri"/>
              </w:rPr>
            </w:pPr>
            <w:r w:rsidRPr="007D15C3">
              <w:rPr>
                <w:rFonts w:cs="Calibri"/>
              </w:rPr>
              <w:t>65593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709097" w14:textId="77777777">
            <w:pPr>
              <w:jc w:val="center"/>
              <w:rPr>
                <w:rFonts w:cs="Calibri"/>
              </w:rPr>
            </w:pPr>
            <w:r w:rsidRPr="007D15C3">
              <w:rPr>
                <w:rFonts w:cs="Calibri"/>
              </w:rPr>
              <w:t>WUSA*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67B139" w14:textId="77777777">
            <w:pPr>
              <w:rPr>
                <w:rFonts w:cs="Calibri"/>
              </w:rPr>
            </w:pPr>
            <w:r w:rsidRPr="007D15C3">
              <w:rPr>
                <w:rFonts w:cs="Calibri"/>
              </w:rPr>
              <w:t xml:space="preserve">          8,750,706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068C4F" w14:textId="77777777">
            <w:pPr>
              <w:rPr>
                <w:rFonts w:cs="Calibri"/>
              </w:rPr>
            </w:pPr>
            <w:r w:rsidRPr="007D15C3">
              <w:rPr>
                <w:rFonts w:cs="Calibri"/>
              </w:rPr>
              <w:t xml:space="preserve">            8,446,074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4179CF" w14:textId="77777777">
            <w:pPr>
              <w:jc w:val="right"/>
              <w:rPr>
                <w:rFonts w:cs="Calibri"/>
              </w:rPr>
            </w:pPr>
            <w:r w:rsidRPr="007D15C3">
              <w:rPr>
                <w:rFonts w:cs="Calibri"/>
              </w:rPr>
              <w:t>$66,192</w:t>
            </w:r>
          </w:p>
        </w:tc>
      </w:tr>
      <w:tr w14:paraId="0BA6D5D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4405E8F" w14:textId="77777777">
            <w:pPr>
              <w:jc w:val="center"/>
              <w:rPr>
                <w:rFonts w:cs="Calibri"/>
              </w:rPr>
            </w:pPr>
            <w:r w:rsidRPr="007D15C3">
              <w:rPr>
                <w:rFonts w:cs="Calibri"/>
              </w:rPr>
              <w:t>4301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78779A" w14:textId="77777777">
            <w:pPr>
              <w:jc w:val="center"/>
              <w:rPr>
                <w:rFonts w:cs="Calibri"/>
              </w:rPr>
            </w:pPr>
            <w:r w:rsidRPr="007D15C3">
              <w:rPr>
                <w:rFonts w:cs="Calibri"/>
              </w:rPr>
              <w:t>WUSI-TV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913F1D" w14:textId="77777777">
            <w:pPr>
              <w:rPr>
                <w:rFonts w:cs="Calibri"/>
              </w:rPr>
            </w:pPr>
            <w:r w:rsidRPr="007D15C3">
              <w:rPr>
                <w:rFonts w:cs="Calibri"/>
              </w:rPr>
              <w:t xml:space="preserve">             304,747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2F1239" w14:textId="77777777">
            <w:pPr>
              <w:rPr>
                <w:rFonts w:cs="Calibri"/>
              </w:rPr>
            </w:pPr>
            <w:r w:rsidRPr="007D15C3">
              <w:rPr>
                <w:rFonts w:cs="Calibri"/>
              </w:rPr>
              <w:t xml:space="preserve">               304,747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DB1AFA" w14:textId="77777777">
            <w:pPr>
              <w:jc w:val="right"/>
              <w:rPr>
                <w:rFonts w:cs="Calibri"/>
              </w:rPr>
            </w:pPr>
            <w:r w:rsidRPr="007D15C3">
              <w:rPr>
                <w:rFonts w:cs="Calibri"/>
              </w:rPr>
              <w:t>$2,388</w:t>
            </w:r>
          </w:p>
        </w:tc>
      </w:tr>
      <w:tr w14:paraId="2FD2994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A667DF6" w14:textId="77777777">
            <w:pPr>
              <w:jc w:val="center"/>
              <w:rPr>
                <w:rFonts w:cs="Calibri"/>
              </w:rPr>
            </w:pPr>
            <w:r w:rsidRPr="007D15C3">
              <w:rPr>
                <w:rFonts w:cs="Calibri"/>
              </w:rPr>
              <w:t>60552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8FB0C93" w14:textId="77777777">
            <w:pPr>
              <w:jc w:val="center"/>
              <w:rPr>
                <w:rFonts w:cs="Calibri"/>
              </w:rPr>
            </w:pPr>
            <w:r w:rsidRPr="007D15C3">
              <w:rPr>
                <w:rFonts w:cs="Calibri"/>
              </w:rPr>
              <w:t>WUTB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1E44D0" w14:textId="77777777">
            <w:pPr>
              <w:rPr>
                <w:rFonts w:cs="Calibri"/>
              </w:rPr>
            </w:pPr>
            <w:r w:rsidRPr="007D15C3">
              <w:rPr>
                <w:rFonts w:cs="Calibri"/>
              </w:rPr>
              <w:t xml:space="preserve">          8,509,757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429822" w14:textId="77777777">
            <w:pPr>
              <w:rPr>
                <w:rFonts w:cs="Calibri"/>
              </w:rPr>
            </w:pPr>
            <w:r w:rsidRPr="007D15C3">
              <w:rPr>
                <w:rFonts w:cs="Calibri"/>
              </w:rPr>
              <w:t xml:space="preserve">            8,339,882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D32F83" w14:textId="77777777">
            <w:pPr>
              <w:jc w:val="right"/>
              <w:rPr>
                <w:rFonts w:cs="Calibri"/>
              </w:rPr>
            </w:pPr>
            <w:r w:rsidRPr="007D15C3">
              <w:rPr>
                <w:rFonts w:cs="Calibri"/>
              </w:rPr>
              <w:t>$65,360</w:t>
            </w:r>
          </w:p>
        </w:tc>
      </w:tr>
      <w:tr w14:paraId="4903277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4FB0E2" w14:textId="77777777">
            <w:pPr>
              <w:jc w:val="center"/>
              <w:rPr>
                <w:rFonts w:cs="Calibri"/>
              </w:rPr>
            </w:pPr>
            <w:r w:rsidRPr="007D15C3">
              <w:rPr>
                <w:rFonts w:cs="Calibri"/>
              </w:rPr>
              <w:t>30577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419163" w14:textId="77777777">
            <w:pPr>
              <w:jc w:val="center"/>
              <w:rPr>
                <w:rFonts w:cs="Calibri"/>
              </w:rPr>
            </w:pPr>
            <w:r w:rsidRPr="007D15C3">
              <w:rPr>
                <w:rFonts w:cs="Calibri"/>
              </w:rPr>
              <w:t>WUTF-TV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736127" w14:textId="77777777">
            <w:pPr>
              <w:rPr>
                <w:rFonts w:cs="Calibri"/>
              </w:rPr>
            </w:pPr>
            <w:r w:rsidRPr="007D15C3">
              <w:rPr>
                <w:rFonts w:cs="Calibri"/>
              </w:rPr>
              <w:t xml:space="preserve">          8,557,497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62D501" w14:textId="77777777">
            <w:pPr>
              <w:rPr>
                <w:rFonts w:cs="Calibri"/>
              </w:rPr>
            </w:pPr>
            <w:r w:rsidRPr="007D15C3">
              <w:rPr>
                <w:rFonts w:cs="Calibri"/>
              </w:rPr>
              <w:t xml:space="preserve">            8,242,833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927E47" w14:textId="77777777">
            <w:pPr>
              <w:jc w:val="right"/>
              <w:rPr>
                <w:rFonts w:cs="Calibri"/>
              </w:rPr>
            </w:pPr>
            <w:r w:rsidRPr="007D15C3">
              <w:rPr>
                <w:rFonts w:cs="Calibri"/>
              </w:rPr>
              <w:t>$64,599</w:t>
            </w:r>
          </w:p>
        </w:tc>
      </w:tr>
      <w:tr w14:paraId="5BAA4F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0DA028" w14:textId="77777777">
            <w:pPr>
              <w:jc w:val="center"/>
              <w:rPr>
                <w:rFonts w:cs="Calibri"/>
              </w:rPr>
            </w:pPr>
            <w:r w:rsidRPr="007D15C3">
              <w:rPr>
                <w:rFonts w:cs="Calibri"/>
              </w:rPr>
              <w:t>57837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C5D12F" w14:textId="77777777">
            <w:pPr>
              <w:jc w:val="center"/>
              <w:rPr>
                <w:rFonts w:cs="Calibri"/>
              </w:rPr>
            </w:pPr>
            <w:r w:rsidRPr="007D15C3">
              <w:rPr>
                <w:rFonts w:cs="Calibri"/>
              </w:rPr>
              <w:t>WUTR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F6C9D2" w14:textId="77777777">
            <w:pPr>
              <w:rPr>
                <w:rFonts w:cs="Calibri"/>
              </w:rPr>
            </w:pPr>
            <w:r w:rsidRPr="007D15C3">
              <w:rPr>
                <w:rFonts w:cs="Calibri"/>
              </w:rPr>
              <w:t xml:space="preserve">             526,114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A95DA7" w14:textId="77777777">
            <w:pPr>
              <w:rPr>
                <w:rFonts w:cs="Calibri"/>
              </w:rPr>
            </w:pPr>
            <w:r w:rsidRPr="007D15C3">
              <w:rPr>
                <w:rFonts w:cs="Calibri"/>
              </w:rPr>
              <w:t xml:space="preserve">               481,957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7A7369" w14:textId="77777777">
            <w:pPr>
              <w:jc w:val="right"/>
              <w:rPr>
                <w:rFonts w:cs="Calibri"/>
              </w:rPr>
            </w:pPr>
            <w:r w:rsidRPr="007D15C3">
              <w:rPr>
                <w:rFonts w:cs="Calibri"/>
              </w:rPr>
              <w:t>$3,777</w:t>
            </w:r>
          </w:p>
        </w:tc>
      </w:tr>
      <w:tr w14:paraId="2E1980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FAFF8E3" w14:textId="77777777">
            <w:pPr>
              <w:jc w:val="center"/>
              <w:rPr>
                <w:rFonts w:cs="Calibri"/>
              </w:rPr>
            </w:pPr>
            <w:r w:rsidRPr="007D15C3">
              <w:rPr>
                <w:rFonts w:cs="Calibri"/>
              </w:rPr>
              <w:t>415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CEBE8BF" w14:textId="77777777">
            <w:pPr>
              <w:jc w:val="center"/>
              <w:rPr>
                <w:rFonts w:cs="Calibri"/>
              </w:rPr>
            </w:pPr>
            <w:r w:rsidRPr="007D15C3">
              <w:rPr>
                <w:rFonts w:cs="Calibri"/>
              </w:rPr>
              <w:t>WUTV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4C976A" w14:textId="77777777">
            <w:pPr>
              <w:rPr>
                <w:rFonts w:cs="Calibri"/>
              </w:rPr>
            </w:pPr>
            <w:r w:rsidRPr="007D15C3">
              <w:rPr>
                <w:rFonts w:cs="Calibri"/>
              </w:rPr>
              <w:t xml:space="preserve">          1,405,230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59A7E9" w14:textId="77777777">
            <w:pPr>
              <w:rPr>
                <w:rFonts w:cs="Calibri"/>
              </w:rPr>
            </w:pPr>
            <w:r w:rsidRPr="007D15C3">
              <w:rPr>
                <w:rFonts w:cs="Calibri"/>
              </w:rPr>
              <w:t xml:space="preserve">            1,380,902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8B466C" w14:textId="77777777">
            <w:pPr>
              <w:jc w:val="right"/>
              <w:rPr>
                <w:rFonts w:cs="Calibri"/>
              </w:rPr>
            </w:pPr>
            <w:r w:rsidRPr="007D15C3">
              <w:rPr>
                <w:rFonts w:cs="Calibri"/>
              </w:rPr>
              <w:t>$10,822</w:t>
            </w:r>
          </w:p>
        </w:tc>
      </w:tr>
      <w:tr w14:paraId="3FDBA8F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670C28" w14:textId="77777777">
            <w:pPr>
              <w:jc w:val="center"/>
              <w:rPr>
                <w:rFonts w:cs="Calibri"/>
              </w:rPr>
            </w:pPr>
            <w:r w:rsidRPr="007D15C3">
              <w:rPr>
                <w:rFonts w:cs="Calibri"/>
              </w:rPr>
              <w:t>16517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4A1234" w14:textId="77777777">
            <w:pPr>
              <w:jc w:val="center"/>
              <w:rPr>
                <w:rFonts w:cs="Calibri"/>
              </w:rPr>
            </w:pPr>
            <w:r w:rsidRPr="007D15C3">
              <w:rPr>
                <w:rFonts w:cs="Calibri"/>
              </w:rPr>
              <w:t>WUVC-DT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A92D29" w14:textId="77777777">
            <w:pPr>
              <w:rPr>
                <w:rFonts w:cs="Calibri"/>
              </w:rPr>
            </w:pPr>
            <w:r w:rsidRPr="007D15C3">
              <w:rPr>
                <w:rFonts w:cs="Calibri"/>
              </w:rPr>
              <w:t xml:space="preserve">          3,768,817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363052" w14:textId="77777777">
            <w:pPr>
              <w:rPr>
                <w:rFonts w:cs="Calibri"/>
              </w:rPr>
            </w:pPr>
            <w:r w:rsidRPr="007D15C3">
              <w:rPr>
                <w:rFonts w:cs="Calibri"/>
              </w:rPr>
              <w:t xml:space="preserve">            3,748,841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E89CFE" w14:textId="77777777">
            <w:pPr>
              <w:jc w:val="right"/>
              <w:rPr>
                <w:rFonts w:cs="Calibri"/>
              </w:rPr>
            </w:pPr>
            <w:r w:rsidRPr="007D15C3">
              <w:rPr>
                <w:rFonts w:cs="Calibri"/>
              </w:rPr>
              <w:t>$29,380</w:t>
            </w:r>
          </w:p>
        </w:tc>
      </w:tr>
      <w:tr w14:paraId="13BD47E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8EF079D" w14:textId="77777777">
            <w:pPr>
              <w:jc w:val="center"/>
              <w:rPr>
                <w:rFonts w:cs="Calibri"/>
              </w:rPr>
            </w:pPr>
            <w:r w:rsidRPr="007D15C3">
              <w:rPr>
                <w:rFonts w:cs="Calibri"/>
              </w:rPr>
              <w:t>48813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040F17" w14:textId="77777777">
            <w:pPr>
              <w:jc w:val="center"/>
              <w:rPr>
                <w:rFonts w:cs="Calibri"/>
              </w:rPr>
            </w:pPr>
            <w:r w:rsidRPr="007D15C3">
              <w:rPr>
                <w:rFonts w:cs="Calibri"/>
              </w:rPr>
              <w:t>WUVG-DT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C3C543" w14:textId="77777777">
            <w:pPr>
              <w:rPr>
                <w:rFonts w:cs="Calibri"/>
              </w:rPr>
            </w:pPr>
            <w:r w:rsidRPr="007D15C3">
              <w:rPr>
                <w:rFonts w:cs="Calibri"/>
              </w:rPr>
              <w:t xml:space="preserve">          6,029,495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73885D" w14:textId="77777777">
            <w:pPr>
              <w:rPr>
                <w:rFonts w:cs="Calibri"/>
              </w:rPr>
            </w:pPr>
            <w:r w:rsidRPr="007D15C3">
              <w:rPr>
                <w:rFonts w:cs="Calibri"/>
              </w:rPr>
              <w:t xml:space="preserve">            5,965,975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431659" w14:textId="77777777">
            <w:pPr>
              <w:jc w:val="right"/>
              <w:rPr>
                <w:rFonts w:cs="Calibri"/>
              </w:rPr>
            </w:pPr>
            <w:r w:rsidRPr="007D15C3">
              <w:rPr>
                <w:rFonts w:cs="Calibri"/>
              </w:rPr>
              <w:t>$46,755</w:t>
            </w:r>
          </w:p>
        </w:tc>
      </w:tr>
      <w:tr w14:paraId="4479BF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F7B134C" w14:textId="77777777">
            <w:pPr>
              <w:jc w:val="center"/>
              <w:rPr>
                <w:rFonts w:cs="Calibri"/>
              </w:rPr>
            </w:pPr>
            <w:r w:rsidRPr="007D15C3">
              <w:rPr>
                <w:rFonts w:cs="Calibri"/>
              </w:rPr>
              <w:t>3072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FA029EC" w14:textId="77777777">
            <w:pPr>
              <w:jc w:val="center"/>
              <w:rPr>
                <w:rFonts w:cs="Calibri"/>
              </w:rPr>
            </w:pPr>
            <w:r w:rsidRPr="007D15C3">
              <w:rPr>
                <w:rFonts w:cs="Calibri"/>
              </w:rPr>
              <w:t>WUVN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74F803" w14:textId="77777777">
            <w:pPr>
              <w:rPr>
                <w:rFonts w:cs="Calibri"/>
              </w:rPr>
            </w:pPr>
            <w:r w:rsidRPr="007D15C3">
              <w:rPr>
                <w:rFonts w:cs="Calibri"/>
              </w:rPr>
              <w:t xml:space="preserve">          1,233,568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5B4430" w14:textId="77777777">
            <w:pPr>
              <w:rPr>
                <w:rFonts w:cs="Calibri"/>
              </w:rPr>
            </w:pPr>
            <w:r w:rsidRPr="007D15C3">
              <w:rPr>
                <w:rFonts w:cs="Calibri"/>
              </w:rPr>
              <w:t xml:space="preserve">            1,157,140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53A8A7" w14:textId="77777777">
            <w:pPr>
              <w:jc w:val="right"/>
              <w:rPr>
                <w:rFonts w:cs="Calibri"/>
              </w:rPr>
            </w:pPr>
            <w:r w:rsidRPr="007D15C3">
              <w:rPr>
                <w:rFonts w:cs="Calibri"/>
              </w:rPr>
              <w:t>$9,069</w:t>
            </w:r>
          </w:p>
        </w:tc>
      </w:tr>
      <w:tr w14:paraId="3D1E325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B53BA5" w14:textId="77777777">
            <w:pPr>
              <w:jc w:val="center"/>
              <w:rPr>
                <w:rFonts w:cs="Calibri"/>
              </w:rPr>
            </w:pPr>
            <w:r w:rsidRPr="007D15C3">
              <w:rPr>
                <w:rFonts w:cs="Calibri"/>
              </w:rPr>
              <w:t>60560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BDD2BF" w14:textId="77777777">
            <w:pPr>
              <w:jc w:val="center"/>
              <w:rPr>
                <w:rFonts w:cs="Calibri"/>
              </w:rPr>
            </w:pPr>
            <w:r w:rsidRPr="007D15C3">
              <w:rPr>
                <w:rFonts w:cs="Calibri"/>
              </w:rPr>
              <w:t>WUVP-DT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4AF73B" w14:textId="77777777">
            <w:pPr>
              <w:rPr>
                <w:rFonts w:cs="Calibri"/>
              </w:rPr>
            </w:pPr>
            <w:r w:rsidRPr="007D15C3">
              <w:rPr>
                <w:rFonts w:cs="Calibri"/>
              </w:rPr>
              <w:t xml:space="preserve">        10,421,216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BFB4010" w14:textId="77777777">
            <w:pPr>
              <w:rPr>
                <w:rFonts w:cs="Calibri"/>
              </w:rPr>
            </w:pPr>
            <w:r w:rsidRPr="007D15C3">
              <w:rPr>
                <w:rFonts w:cs="Calibri"/>
              </w:rPr>
              <w:t xml:space="preserve">          10,246,856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D59768" w14:textId="77777777">
            <w:pPr>
              <w:jc w:val="right"/>
              <w:rPr>
                <w:rFonts w:cs="Calibri"/>
              </w:rPr>
            </w:pPr>
            <w:r w:rsidRPr="007D15C3">
              <w:rPr>
                <w:rFonts w:cs="Calibri"/>
              </w:rPr>
              <w:t>$80,305</w:t>
            </w:r>
          </w:p>
        </w:tc>
      </w:tr>
      <w:tr w14:paraId="72C42F9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A7E3156" w14:textId="77777777">
            <w:pPr>
              <w:jc w:val="center"/>
              <w:rPr>
                <w:rFonts w:cs="Calibri"/>
              </w:rPr>
            </w:pPr>
            <w:r w:rsidRPr="007D15C3">
              <w:rPr>
                <w:rFonts w:cs="Calibri"/>
              </w:rPr>
              <w:t>9971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6378223" w14:textId="77777777">
            <w:pPr>
              <w:jc w:val="center"/>
              <w:rPr>
                <w:rFonts w:cs="Calibri"/>
              </w:rPr>
            </w:pPr>
            <w:r w:rsidRPr="007D15C3">
              <w:rPr>
                <w:rFonts w:cs="Calibri"/>
              </w:rPr>
              <w:t>WUXP-TV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886702" w14:textId="77777777">
            <w:pPr>
              <w:rPr>
                <w:rFonts w:cs="Calibri"/>
              </w:rPr>
            </w:pPr>
            <w:r w:rsidRPr="007D15C3">
              <w:rPr>
                <w:rFonts w:cs="Calibri"/>
              </w:rPr>
              <w:t xml:space="preserve">          2,316,872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E49FF3" w14:textId="77777777">
            <w:pPr>
              <w:rPr>
                <w:rFonts w:cs="Calibri"/>
              </w:rPr>
            </w:pPr>
            <w:r w:rsidRPr="007D15C3">
              <w:rPr>
                <w:rFonts w:cs="Calibri"/>
              </w:rPr>
              <w:t xml:space="preserve">            2,305,293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D92098" w14:textId="77777777">
            <w:pPr>
              <w:jc w:val="right"/>
              <w:rPr>
                <w:rFonts w:cs="Calibri"/>
              </w:rPr>
            </w:pPr>
            <w:r w:rsidRPr="007D15C3">
              <w:rPr>
                <w:rFonts w:cs="Calibri"/>
              </w:rPr>
              <w:t>$18,067</w:t>
            </w:r>
          </w:p>
        </w:tc>
      </w:tr>
      <w:tr w14:paraId="1AAED64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62EC40" w14:textId="77777777">
            <w:pPr>
              <w:jc w:val="center"/>
              <w:rPr>
                <w:rFonts w:cs="Calibri"/>
              </w:rPr>
            </w:pPr>
            <w:r w:rsidRPr="007D15C3">
              <w:rPr>
                <w:rFonts w:cs="Calibri"/>
              </w:rPr>
              <w:t>417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D0E5433" w14:textId="77777777">
            <w:pPr>
              <w:jc w:val="center"/>
              <w:rPr>
                <w:rFonts w:cs="Calibri"/>
              </w:rPr>
            </w:pPr>
            <w:r w:rsidRPr="007D15C3">
              <w:rPr>
                <w:rFonts w:cs="Calibri"/>
              </w:rPr>
              <w:t>WVAH-TV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9C11998" w14:textId="77777777">
            <w:pPr>
              <w:rPr>
                <w:rFonts w:cs="Calibri"/>
              </w:rPr>
            </w:pPr>
            <w:r w:rsidRPr="007D15C3">
              <w:rPr>
                <w:rFonts w:cs="Calibri"/>
              </w:rPr>
              <w:t xml:space="preserve">          1,373,707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FFFB9BB" w14:textId="77777777">
            <w:pPr>
              <w:rPr>
                <w:rFonts w:cs="Calibri"/>
              </w:rPr>
            </w:pPr>
            <w:r w:rsidRPr="007D15C3">
              <w:rPr>
                <w:rFonts w:cs="Calibri"/>
              </w:rPr>
              <w:t xml:space="preserve">            1,300,402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08508C9" w14:textId="77777777">
            <w:pPr>
              <w:jc w:val="right"/>
              <w:rPr>
                <w:rFonts w:cs="Calibri"/>
              </w:rPr>
            </w:pPr>
            <w:r w:rsidRPr="007D15C3">
              <w:rPr>
                <w:rFonts w:cs="Calibri"/>
              </w:rPr>
              <w:t>$10,191</w:t>
            </w:r>
          </w:p>
        </w:tc>
      </w:tr>
      <w:tr w14:paraId="3577E7F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5FDBD4" w14:textId="77777777">
            <w:pPr>
              <w:jc w:val="center"/>
              <w:rPr>
                <w:rFonts w:cs="Calibri"/>
              </w:rPr>
            </w:pPr>
            <w:r w:rsidRPr="007D15C3">
              <w:rPr>
                <w:rFonts w:cs="Calibri"/>
              </w:rPr>
              <w:t>23947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813307" w14:textId="77777777">
            <w:pPr>
              <w:jc w:val="center"/>
              <w:rPr>
                <w:rFonts w:cs="Calibri"/>
              </w:rPr>
            </w:pPr>
            <w:r w:rsidRPr="007D15C3">
              <w:rPr>
                <w:rFonts w:cs="Calibri"/>
              </w:rPr>
              <w:t>WVAN-TV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8F534E" w14:textId="77777777">
            <w:pPr>
              <w:rPr>
                <w:rFonts w:cs="Calibri"/>
              </w:rPr>
            </w:pPr>
            <w:r w:rsidRPr="007D15C3">
              <w:rPr>
                <w:rFonts w:cs="Calibri"/>
              </w:rPr>
              <w:t xml:space="preserve">             979,764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7BC747" w14:textId="77777777">
            <w:pPr>
              <w:rPr>
                <w:rFonts w:cs="Calibri"/>
              </w:rPr>
            </w:pPr>
            <w:r w:rsidRPr="007D15C3">
              <w:rPr>
                <w:rFonts w:cs="Calibri"/>
              </w:rPr>
              <w:t xml:space="preserve">               978,920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98D6DE" w14:textId="77777777">
            <w:pPr>
              <w:jc w:val="right"/>
              <w:rPr>
                <w:rFonts w:cs="Calibri"/>
              </w:rPr>
            </w:pPr>
            <w:r w:rsidRPr="007D15C3">
              <w:rPr>
                <w:rFonts w:cs="Calibri"/>
              </w:rPr>
              <w:t>$7,672</w:t>
            </w:r>
          </w:p>
        </w:tc>
      </w:tr>
      <w:tr w14:paraId="0004F8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0A454B" w14:textId="77777777">
            <w:pPr>
              <w:jc w:val="center"/>
              <w:rPr>
                <w:rFonts w:cs="Calibri"/>
              </w:rPr>
            </w:pPr>
            <w:r w:rsidRPr="007D15C3">
              <w:rPr>
                <w:rFonts w:cs="Calibri"/>
              </w:rPr>
              <w:t>65387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9113D4B" w14:textId="77777777">
            <w:pPr>
              <w:jc w:val="center"/>
              <w:rPr>
                <w:rFonts w:cs="Calibri"/>
              </w:rPr>
            </w:pPr>
            <w:r w:rsidRPr="007D15C3">
              <w:rPr>
                <w:rFonts w:cs="Calibri"/>
              </w:rPr>
              <w:t>WVBT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692111" w14:textId="77777777">
            <w:pPr>
              <w:rPr>
                <w:rFonts w:cs="Calibri"/>
              </w:rPr>
            </w:pPr>
            <w:r w:rsidRPr="007D15C3">
              <w:rPr>
                <w:rFonts w:cs="Calibri"/>
              </w:rPr>
              <w:t xml:space="preserve">          1,848,277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265334" w14:textId="77777777">
            <w:pPr>
              <w:rPr>
                <w:rFonts w:cs="Calibri"/>
              </w:rPr>
            </w:pPr>
            <w:r w:rsidRPr="007D15C3">
              <w:rPr>
                <w:rFonts w:cs="Calibri"/>
              </w:rPr>
              <w:t xml:space="preserve">            1,848,277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52DD6A" w14:textId="77777777">
            <w:pPr>
              <w:jc w:val="right"/>
              <w:rPr>
                <w:rFonts w:cs="Calibri"/>
              </w:rPr>
            </w:pPr>
            <w:r w:rsidRPr="007D15C3">
              <w:rPr>
                <w:rFonts w:cs="Calibri"/>
              </w:rPr>
              <w:t>$14,485</w:t>
            </w:r>
          </w:p>
        </w:tc>
      </w:tr>
      <w:tr w14:paraId="260E222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B10FC4" w14:textId="77777777">
            <w:pPr>
              <w:jc w:val="center"/>
              <w:rPr>
                <w:rFonts w:cs="Calibri"/>
              </w:rPr>
            </w:pPr>
            <w:r w:rsidRPr="007D15C3">
              <w:rPr>
                <w:rFonts w:cs="Calibri"/>
              </w:rPr>
              <w:t>72342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B6A7FF" w14:textId="77777777">
            <w:pPr>
              <w:jc w:val="center"/>
              <w:rPr>
                <w:rFonts w:cs="Calibri"/>
              </w:rPr>
            </w:pPr>
            <w:r w:rsidRPr="007D15C3">
              <w:rPr>
                <w:rFonts w:cs="Calibri"/>
              </w:rPr>
              <w:t>WVCY-TV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57C884" w14:textId="77777777">
            <w:pPr>
              <w:rPr>
                <w:rFonts w:cs="Calibri"/>
              </w:rPr>
            </w:pPr>
            <w:r w:rsidRPr="007D15C3">
              <w:rPr>
                <w:rFonts w:cs="Calibri"/>
              </w:rPr>
              <w:t xml:space="preserve">          2,543,642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B43290" w14:textId="77777777">
            <w:pPr>
              <w:rPr>
                <w:rFonts w:cs="Calibri"/>
              </w:rPr>
            </w:pPr>
            <w:r w:rsidRPr="007D15C3">
              <w:rPr>
                <w:rFonts w:cs="Calibri"/>
              </w:rPr>
              <w:t xml:space="preserve">            2,542,235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04AA82" w14:textId="77777777">
            <w:pPr>
              <w:jc w:val="right"/>
              <w:rPr>
                <w:rFonts w:cs="Calibri"/>
              </w:rPr>
            </w:pPr>
            <w:r w:rsidRPr="007D15C3">
              <w:rPr>
                <w:rFonts w:cs="Calibri"/>
              </w:rPr>
              <w:t>$19,923</w:t>
            </w:r>
          </w:p>
        </w:tc>
      </w:tr>
      <w:tr w14:paraId="05C52F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74125B6" w14:textId="77777777">
            <w:pPr>
              <w:jc w:val="center"/>
              <w:rPr>
                <w:rFonts w:cs="Calibri"/>
              </w:rPr>
            </w:pPr>
            <w:r w:rsidRPr="007D15C3">
              <w:rPr>
                <w:rFonts w:cs="Calibri"/>
              </w:rPr>
              <w:t>60559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506E0A" w14:textId="77777777">
            <w:pPr>
              <w:jc w:val="center"/>
              <w:rPr>
                <w:rFonts w:cs="Calibri"/>
              </w:rPr>
            </w:pPr>
            <w:r w:rsidRPr="007D15C3">
              <w:rPr>
                <w:rFonts w:cs="Calibri"/>
              </w:rPr>
              <w:t>WVEA-TV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9A54F1" w14:textId="77777777">
            <w:pPr>
              <w:rPr>
                <w:rFonts w:cs="Calibri"/>
              </w:rPr>
            </w:pPr>
            <w:r w:rsidRPr="007D15C3">
              <w:rPr>
                <w:rFonts w:cs="Calibri"/>
              </w:rPr>
              <w:t xml:space="preserve">          4,283,915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B97D30" w14:textId="77777777">
            <w:pPr>
              <w:rPr>
                <w:rFonts w:cs="Calibri"/>
              </w:rPr>
            </w:pPr>
            <w:r w:rsidRPr="007D15C3">
              <w:rPr>
                <w:rFonts w:cs="Calibri"/>
              </w:rPr>
              <w:t xml:space="preserve">            4,283,854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B0479E5" w14:textId="77777777">
            <w:pPr>
              <w:jc w:val="right"/>
              <w:rPr>
                <w:rFonts w:cs="Calibri"/>
              </w:rPr>
            </w:pPr>
            <w:r w:rsidRPr="007D15C3">
              <w:rPr>
                <w:rFonts w:cs="Calibri"/>
              </w:rPr>
              <w:t>$33,573</w:t>
            </w:r>
          </w:p>
        </w:tc>
      </w:tr>
      <w:tr w14:paraId="6499596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8C6496B" w14:textId="77777777">
            <w:pPr>
              <w:jc w:val="center"/>
              <w:rPr>
                <w:rFonts w:cs="Calibri"/>
              </w:rPr>
            </w:pPr>
            <w:r w:rsidRPr="007D15C3">
              <w:rPr>
                <w:rFonts w:cs="Calibri"/>
              </w:rPr>
              <w:t>74167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FB7831" w14:textId="77777777">
            <w:pPr>
              <w:jc w:val="center"/>
              <w:rPr>
                <w:rFonts w:cs="Calibri"/>
              </w:rPr>
            </w:pPr>
            <w:r w:rsidRPr="007D15C3">
              <w:rPr>
                <w:rFonts w:cs="Calibri"/>
              </w:rPr>
              <w:t>WVEC*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3EE669" w14:textId="77777777">
            <w:pPr>
              <w:rPr>
                <w:rFonts w:cs="Calibri"/>
              </w:rPr>
            </w:pPr>
            <w:r w:rsidRPr="007D15C3">
              <w:rPr>
                <w:rFonts w:cs="Calibri"/>
              </w:rPr>
              <w:t xml:space="preserve">          2,096,709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1A3896" w14:textId="77777777">
            <w:pPr>
              <w:rPr>
                <w:rFonts w:cs="Calibri"/>
              </w:rPr>
            </w:pPr>
            <w:r w:rsidRPr="007D15C3">
              <w:rPr>
                <w:rFonts w:cs="Calibri"/>
              </w:rPr>
              <w:t xml:space="preserve">            2,090,875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F9C8CF" w14:textId="77777777">
            <w:pPr>
              <w:jc w:val="right"/>
              <w:rPr>
                <w:rFonts w:cs="Calibri"/>
              </w:rPr>
            </w:pPr>
            <w:r w:rsidRPr="007D15C3">
              <w:rPr>
                <w:rFonts w:cs="Calibri"/>
              </w:rPr>
              <w:t>$16,386</w:t>
            </w:r>
          </w:p>
        </w:tc>
      </w:tr>
      <w:tr w14:paraId="105E3A29"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A07CB10" w14:textId="77777777">
            <w:pPr>
              <w:jc w:val="center"/>
              <w:rPr>
                <w:rFonts w:cs="Calibri"/>
              </w:rPr>
            </w:pPr>
            <w:r w:rsidRPr="007D15C3">
              <w:rPr>
                <w:rFonts w:cs="Calibri"/>
              </w:rPr>
              <w:t>5802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48060E50" w14:textId="77777777">
            <w:pPr>
              <w:jc w:val="center"/>
              <w:rPr>
                <w:rFonts w:cs="Calibri"/>
              </w:rPr>
            </w:pPr>
            <w:r w:rsidRPr="007D15C3">
              <w:rPr>
                <w:rFonts w:cs="Calibri"/>
              </w:rPr>
              <w:t>WVEN-TV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2B5FE350" w14:textId="77777777">
            <w:pPr>
              <w:rPr>
                <w:rFonts w:cs="Calibri"/>
              </w:rPr>
            </w:pPr>
            <w:r w:rsidRPr="007D15C3">
              <w:rPr>
                <w:rFonts w:cs="Calibri"/>
              </w:rPr>
              <w:t xml:space="preserve">          3,607,540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8A03C25" w14:textId="77777777">
            <w:pPr>
              <w:rPr>
                <w:rFonts w:cs="Calibri"/>
              </w:rPr>
            </w:pPr>
            <w:r w:rsidRPr="007D15C3">
              <w:rPr>
                <w:rFonts w:cs="Calibri"/>
              </w:rPr>
              <w:t xml:space="preserve">            3,607,540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630273D" w14:textId="77777777">
            <w:pPr>
              <w:jc w:val="right"/>
              <w:rPr>
                <w:rFonts w:cs="Calibri"/>
              </w:rPr>
            </w:pPr>
            <w:r w:rsidRPr="007D15C3">
              <w:rPr>
                <w:rFonts w:cs="Calibri"/>
              </w:rPr>
              <w:t>$28,272</w:t>
            </w:r>
          </w:p>
        </w:tc>
      </w:tr>
      <w:tr w14:paraId="1B2E367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E9F90F" w14:textId="77777777">
            <w:pPr>
              <w:jc w:val="center"/>
              <w:rPr>
                <w:rFonts w:cs="Calibri"/>
              </w:rPr>
            </w:pPr>
            <w:r w:rsidRPr="007D15C3">
              <w:rPr>
                <w:rFonts w:cs="Calibri"/>
              </w:rPr>
              <w:t>61573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00476D5" w14:textId="77777777">
            <w:pPr>
              <w:jc w:val="center"/>
              <w:rPr>
                <w:rFonts w:cs="Calibri"/>
              </w:rPr>
            </w:pPr>
            <w:r w:rsidRPr="007D15C3">
              <w:rPr>
                <w:rFonts w:cs="Calibri"/>
              </w:rPr>
              <w:t>WVEO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4FC708" w14:textId="77777777">
            <w:pPr>
              <w:rPr>
                <w:rFonts w:cs="Calibri"/>
              </w:rPr>
            </w:pPr>
            <w:r w:rsidRPr="007D15C3">
              <w:rPr>
                <w:rFonts w:cs="Calibri"/>
              </w:rPr>
              <w:t xml:space="preserve">          1,153,382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936F45" w14:textId="77777777">
            <w:pPr>
              <w:rPr>
                <w:rFonts w:cs="Calibri"/>
              </w:rPr>
            </w:pPr>
            <w:r w:rsidRPr="007D15C3">
              <w:rPr>
                <w:rFonts w:cs="Calibri"/>
              </w:rPr>
              <w:t xml:space="preserve">               916,310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20A386" w14:textId="77777777">
            <w:pPr>
              <w:jc w:val="right"/>
              <w:rPr>
                <w:rFonts w:cs="Calibri"/>
              </w:rPr>
            </w:pPr>
            <w:r w:rsidRPr="007D15C3">
              <w:rPr>
                <w:rFonts w:cs="Calibri"/>
              </w:rPr>
              <w:t>$</w:t>
            </w:r>
            <w:r>
              <w:rPr>
                <w:rFonts w:cs="Calibri"/>
              </w:rPr>
              <w:t>2</w:t>
            </w:r>
            <w:r w:rsidRPr="007D15C3">
              <w:rPr>
                <w:rFonts w:cs="Calibri"/>
              </w:rPr>
              <w:t>,</w:t>
            </w:r>
            <w:r>
              <w:rPr>
                <w:rFonts w:cs="Calibri"/>
              </w:rPr>
              <w:t>353</w:t>
            </w:r>
          </w:p>
        </w:tc>
      </w:tr>
      <w:tr w14:paraId="743E450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6EBD3C2" w14:textId="77777777">
            <w:pPr>
              <w:jc w:val="center"/>
              <w:rPr>
                <w:rFonts w:cs="Calibri"/>
              </w:rPr>
            </w:pPr>
            <w:r w:rsidRPr="007D15C3">
              <w:rPr>
                <w:rFonts w:cs="Calibri"/>
              </w:rPr>
              <w:t>69946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27AE97" w14:textId="77777777">
            <w:pPr>
              <w:jc w:val="center"/>
              <w:rPr>
                <w:rFonts w:cs="Calibri"/>
              </w:rPr>
            </w:pPr>
            <w:r w:rsidRPr="007D15C3">
              <w:rPr>
                <w:rFonts w:cs="Calibri"/>
              </w:rPr>
              <w:t>WVER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61AD05" w14:textId="77777777">
            <w:pPr>
              <w:rPr>
                <w:rFonts w:cs="Calibri"/>
              </w:rPr>
            </w:pPr>
            <w:r w:rsidRPr="007D15C3">
              <w:rPr>
                <w:rFonts w:cs="Calibri"/>
              </w:rPr>
              <w:t xml:space="preserve">             760,072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3794AD" w14:textId="77777777">
            <w:pPr>
              <w:rPr>
                <w:rFonts w:cs="Calibri"/>
              </w:rPr>
            </w:pPr>
            <w:r w:rsidRPr="007D15C3">
              <w:rPr>
                <w:rFonts w:cs="Calibri"/>
              </w:rPr>
              <w:t xml:space="preserve">               579,703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4F6E11" w14:textId="77777777">
            <w:pPr>
              <w:jc w:val="right"/>
              <w:rPr>
                <w:rFonts w:cs="Calibri"/>
              </w:rPr>
            </w:pPr>
            <w:r w:rsidRPr="007D15C3">
              <w:rPr>
                <w:rFonts w:cs="Calibri"/>
              </w:rPr>
              <w:t>$4,543</w:t>
            </w:r>
          </w:p>
        </w:tc>
      </w:tr>
      <w:tr w14:paraId="1B7FAC9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3EA5ED5" w14:textId="77777777">
            <w:pPr>
              <w:jc w:val="center"/>
              <w:rPr>
                <w:rFonts w:cs="Calibri"/>
              </w:rPr>
            </w:pPr>
            <w:r w:rsidRPr="007D15C3">
              <w:rPr>
                <w:rFonts w:cs="Calibri"/>
              </w:rPr>
              <w:t>10976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144C3A8" w14:textId="77777777">
            <w:pPr>
              <w:jc w:val="center"/>
              <w:rPr>
                <w:rFonts w:cs="Calibri"/>
              </w:rPr>
            </w:pPr>
            <w:r w:rsidRPr="007D15C3">
              <w:rPr>
                <w:rFonts w:cs="Calibri"/>
              </w:rPr>
              <w:t>WVFX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12D94C" w14:textId="77777777">
            <w:pPr>
              <w:rPr>
                <w:rFonts w:cs="Calibri"/>
              </w:rPr>
            </w:pPr>
            <w:r w:rsidRPr="007D15C3">
              <w:rPr>
                <w:rFonts w:cs="Calibri"/>
              </w:rPr>
              <w:t xml:space="preserve">             731,193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272D92" w14:textId="77777777">
            <w:pPr>
              <w:rPr>
                <w:rFonts w:cs="Calibri"/>
              </w:rPr>
            </w:pPr>
            <w:r w:rsidRPr="007D15C3">
              <w:rPr>
                <w:rFonts w:cs="Calibri"/>
              </w:rPr>
              <w:t xml:space="preserve">               609,763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0C28A3" w14:textId="77777777">
            <w:pPr>
              <w:jc w:val="right"/>
              <w:rPr>
                <w:rFonts w:cs="Calibri"/>
              </w:rPr>
            </w:pPr>
            <w:r w:rsidRPr="007D15C3">
              <w:rPr>
                <w:rFonts w:cs="Calibri"/>
              </w:rPr>
              <w:t>$4,779</w:t>
            </w:r>
          </w:p>
        </w:tc>
      </w:tr>
      <w:tr w14:paraId="4486599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0CD940" w14:textId="77777777">
            <w:pPr>
              <w:jc w:val="center"/>
              <w:rPr>
                <w:rFonts w:cs="Calibri"/>
              </w:rPr>
            </w:pPr>
            <w:r w:rsidRPr="007D15C3">
              <w:rPr>
                <w:rFonts w:cs="Calibri"/>
              </w:rPr>
              <w:t>47929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F72F29" w14:textId="77777777">
            <w:pPr>
              <w:jc w:val="center"/>
              <w:rPr>
                <w:rFonts w:cs="Calibri"/>
              </w:rPr>
            </w:pPr>
            <w:r w:rsidRPr="007D15C3">
              <w:rPr>
                <w:rFonts w:cs="Calibri"/>
              </w:rPr>
              <w:t>WVIA-TV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D9199A" w14:textId="77777777">
            <w:pPr>
              <w:rPr>
                <w:rFonts w:cs="Calibri"/>
              </w:rPr>
            </w:pPr>
            <w:r w:rsidRPr="007D15C3">
              <w:rPr>
                <w:rFonts w:cs="Calibri"/>
              </w:rPr>
              <w:t xml:space="preserve">          3,131,848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B7FD64" w14:textId="77777777">
            <w:pPr>
              <w:rPr>
                <w:rFonts w:cs="Calibri"/>
              </w:rPr>
            </w:pPr>
            <w:r w:rsidRPr="007D15C3">
              <w:rPr>
                <w:rFonts w:cs="Calibri"/>
              </w:rPr>
              <w:t xml:space="preserve">            2,484,949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80B400" w14:textId="77777777">
            <w:pPr>
              <w:jc w:val="right"/>
              <w:rPr>
                <w:rFonts w:cs="Calibri"/>
              </w:rPr>
            </w:pPr>
            <w:r w:rsidRPr="007D15C3">
              <w:rPr>
                <w:rFonts w:cs="Calibri"/>
              </w:rPr>
              <w:t>$19,475</w:t>
            </w:r>
          </w:p>
        </w:tc>
      </w:tr>
      <w:tr w14:paraId="397135A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126C2ED" w14:textId="77777777">
            <w:pPr>
              <w:jc w:val="center"/>
              <w:rPr>
                <w:rFonts w:cs="Calibri"/>
              </w:rPr>
            </w:pPr>
            <w:r w:rsidRPr="007D15C3">
              <w:rPr>
                <w:rFonts w:cs="Calibri"/>
              </w:rPr>
              <w:t>3667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10E13A" w14:textId="77777777">
            <w:pPr>
              <w:jc w:val="center"/>
              <w:rPr>
                <w:rFonts w:cs="Calibri"/>
              </w:rPr>
            </w:pPr>
            <w:r w:rsidRPr="007D15C3">
              <w:rPr>
                <w:rFonts w:cs="Calibri"/>
              </w:rPr>
              <w:t>WVII-TV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9D53E5" w14:textId="77777777">
            <w:pPr>
              <w:rPr>
                <w:rFonts w:cs="Calibri"/>
              </w:rPr>
            </w:pPr>
            <w:r w:rsidRPr="007D15C3">
              <w:rPr>
                <w:rFonts w:cs="Calibri"/>
              </w:rPr>
              <w:t xml:space="preserve">             368,022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A872B2" w14:textId="77777777">
            <w:pPr>
              <w:rPr>
                <w:rFonts w:cs="Calibri"/>
              </w:rPr>
            </w:pPr>
            <w:r w:rsidRPr="007D15C3">
              <w:rPr>
                <w:rFonts w:cs="Calibri"/>
              </w:rPr>
              <w:t xml:space="preserve">               346,874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451632" w14:textId="77777777">
            <w:pPr>
              <w:jc w:val="right"/>
              <w:rPr>
                <w:rFonts w:cs="Calibri"/>
              </w:rPr>
            </w:pPr>
            <w:r w:rsidRPr="007D15C3">
              <w:rPr>
                <w:rFonts w:cs="Calibri"/>
              </w:rPr>
              <w:t>$2,718</w:t>
            </w:r>
          </w:p>
        </w:tc>
      </w:tr>
      <w:tr w14:paraId="2545FB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236DE7" w14:textId="77777777">
            <w:pPr>
              <w:jc w:val="center"/>
              <w:rPr>
                <w:rFonts w:cs="Calibri"/>
              </w:rPr>
            </w:pPr>
            <w:r w:rsidRPr="007D15C3">
              <w:rPr>
                <w:rFonts w:cs="Calibri"/>
              </w:rPr>
              <w:t>70309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53C1FE5" w14:textId="77777777">
            <w:pPr>
              <w:jc w:val="center"/>
              <w:rPr>
                <w:rFonts w:cs="Calibri"/>
              </w:rPr>
            </w:pPr>
            <w:r w:rsidRPr="007D15C3">
              <w:rPr>
                <w:rFonts w:cs="Calibri"/>
              </w:rPr>
              <w:t>WVIR-TV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A05A06" w14:textId="77777777">
            <w:pPr>
              <w:rPr>
                <w:rFonts w:cs="Calibri"/>
              </w:rPr>
            </w:pPr>
            <w:r w:rsidRPr="007D15C3">
              <w:rPr>
                <w:rFonts w:cs="Calibri"/>
              </w:rPr>
              <w:t xml:space="preserve">          1,944,353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AA7D1C" w14:textId="77777777">
            <w:pPr>
              <w:rPr>
                <w:rFonts w:cs="Calibri"/>
              </w:rPr>
            </w:pPr>
            <w:r w:rsidRPr="007D15C3">
              <w:rPr>
                <w:rFonts w:cs="Calibri"/>
              </w:rPr>
              <w:t xml:space="preserve">            1,801,429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8E6859" w14:textId="77777777">
            <w:pPr>
              <w:jc w:val="right"/>
              <w:rPr>
                <w:rFonts w:cs="Calibri"/>
              </w:rPr>
            </w:pPr>
            <w:r w:rsidRPr="007D15C3">
              <w:rPr>
                <w:rFonts w:cs="Calibri"/>
              </w:rPr>
              <w:t>$14,118</w:t>
            </w:r>
          </w:p>
        </w:tc>
      </w:tr>
      <w:tr w14:paraId="45E56B8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D2BBB6" w14:textId="77777777">
            <w:pPr>
              <w:jc w:val="center"/>
              <w:rPr>
                <w:rFonts w:cs="Calibri"/>
              </w:rPr>
            </w:pPr>
            <w:r w:rsidRPr="007D15C3">
              <w:rPr>
                <w:rFonts w:cs="Calibri"/>
              </w:rPr>
              <w:t>74170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77EA65" w14:textId="77777777">
            <w:pPr>
              <w:jc w:val="center"/>
              <w:rPr>
                <w:rFonts w:cs="Calibri"/>
              </w:rPr>
            </w:pPr>
            <w:r w:rsidRPr="007D15C3">
              <w:rPr>
                <w:rFonts w:cs="Calibri"/>
              </w:rPr>
              <w:t>WVIT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67DDC9" w14:textId="77777777">
            <w:pPr>
              <w:rPr>
                <w:rFonts w:cs="Calibri"/>
              </w:rPr>
            </w:pPr>
            <w:r w:rsidRPr="007D15C3">
              <w:rPr>
                <w:rFonts w:cs="Calibri"/>
              </w:rPr>
              <w:t xml:space="preserve">          5,846,093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B45198" w14:textId="77777777">
            <w:pPr>
              <w:rPr>
                <w:rFonts w:cs="Calibri"/>
              </w:rPr>
            </w:pPr>
            <w:r w:rsidRPr="007D15C3">
              <w:rPr>
                <w:rFonts w:cs="Calibri"/>
              </w:rPr>
              <w:t xml:space="preserve">            5,357,639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AB0B83" w14:textId="77777777">
            <w:pPr>
              <w:jc w:val="right"/>
              <w:rPr>
                <w:rFonts w:cs="Calibri"/>
              </w:rPr>
            </w:pPr>
            <w:r w:rsidRPr="007D15C3">
              <w:rPr>
                <w:rFonts w:cs="Calibri"/>
              </w:rPr>
              <w:t>$41,988</w:t>
            </w:r>
          </w:p>
        </w:tc>
      </w:tr>
      <w:tr w14:paraId="08B9FE4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D5A995F" w14:textId="77777777">
            <w:pPr>
              <w:jc w:val="center"/>
              <w:rPr>
                <w:rFonts w:cs="Calibri"/>
              </w:rPr>
            </w:pPr>
            <w:r w:rsidRPr="007D15C3">
              <w:rPr>
                <w:rFonts w:cs="Calibri"/>
              </w:rPr>
              <w:t>18753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BA92FF" w14:textId="77777777">
            <w:pPr>
              <w:jc w:val="center"/>
              <w:rPr>
                <w:rFonts w:cs="Calibri"/>
              </w:rPr>
            </w:pPr>
            <w:r w:rsidRPr="007D15C3">
              <w:rPr>
                <w:rFonts w:cs="Calibri"/>
              </w:rPr>
              <w:t>WVIZ</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A63765" w14:textId="77777777">
            <w:pPr>
              <w:rPr>
                <w:rFonts w:cs="Calibri"/>
              </w:rPr>
            </w:pPr>
            <w:r w:rsidRPr="007D15C3">
              <w:rPr>
                <w:rFonts w:cs="Calibri"/>
              </w:rPr>
              <w:t xml:space="preserve">          3,695,223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A81A13" w14:textId="77777777">
            <w:pPr>
              <w:rPr>
                <w:rFonts w:cs="Calibri"/>
              </w:rPr>
            </w:pPr>
            <w:r w:rsidRPr="007D15C3">
              <w:rPr>
                <w:rFonts w:cs="Calibri"/>
              </w:rPr>
              <w:t xml:space="preserve">            3,689,173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FD1275" w14:textId="77777777">
            <w:pPr>
              <w:jc w:val="right"/>
              <w:rPr>
                <w:rFonts w:cs="Calibri"/>
              </w:rPr>
            </w:pPr>
            <w:r w:rsidRPr="007D15C3">
              <w:rPr>
                <w:rFonts w:cs="Calibri"/>
              </w:rPr>
              <w:t>$28,912</w:t>
            </w:r>
          </w:p>
        </w:tc>
      </w:tr>
      <w:tr w14:paraId="672CF17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5BBEE1" w14:textId="77777777">
            <w:pPr>
              <w:jc w:val="center"/>
              <w:rPr>
                <w:rFonts w:cs="Calibri"/>
              </w:rPr>
            </w:pPr>
            <w:r w:rsidRPr="007D15C3">
              <w:rPr>
                <w:rFonts w:cs="Calibri"/>
              </w:rPr>
              <w:t>70021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B6B193" w14:textId="77777777">
            <w:pPr>
              <w:jc w:val="center"/>
              <w:rPr>
                <w:rFonts w:cs="Calibri"/>
              </w:rPr>
            </w:pPr>
            <w:r w:rsidRPr="007D15C3">
              <w:rPr>
                <w:rFonts w:cs="Calibri"/>
              </w:rPr>
              <w:t>WVLA-TV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FC74D90" w14:textId="77777777">
            <w:pPr>
              <w:rPr>
                <w:rFonts w:cs="Calibri"/>
              </w:rPr>
            </w:pPr>
            <w:r w:rsidRPr="007D15C3">
              <w:rPr>
                <w:rFonts w:cs="Calibri"/>
              </w:rPr>
              <w:t xml:space="preserve">          1,897,179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F75C36" w14:textId="77777777">
            <w:pPr>
              <w:rPr>
                <w:rFonts w:cs="Calibri"/>
              </w:rPr>
            </w:pPr>
            <w:r w:rsidRPr="007D15C3">
              <w:rPr>
                <w:rFonts w:cs="Calibri"/>
              </w:rPr>
              <w:t xml:space="preserve">            1,897,007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9967B9" w14:textId="77777777">
            <w:pPr>
              <w:jc w:val="right"/>
              <w:rPr>
                <w:rFonts w:cs="Calibri"/>
              </w:rPr>
            </w:pPr>
            <w:r w:rsidRPr="007D15C3">
              <w:rPr>
                <w:rFonts w:cs="Calibri"/>
              </w:rPr>
              <w:t>$14,867</w:t>
            </w:r>
          </w:p>
        </w:tc>
      </w:tr>
      <w:tr w14:paraId="143F7D7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237F9C2" w14:textId="77777777">
            <w:pPr>
              <w:jc w:val="center"/>
              <w:rPr>
                <w:rFonts w:cs="Calibri"/>
              </w:rPr>
            </w:pPr>
            <w:r w:rsidRPr="007D15C3">
              <w:rPr>
                <w:rFonts w:cs="Calibri"/>
              </w:rPr>
              <w:t>81750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87562A9" w14:textId="77777777">
            <w:pPr>
              <w:jc w:val="center"/>
              <w:rPr>
                <w:rFonts w:cs="Calibri"/>
              </w:rPr>
            </w:pPr>
            <w:r w:rsidRPr="007D15C3">
              <w:rPr>
                <w:rFonts w:cs="Calibri"/>
              </w:rPr>
              <w:t>WVLR</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A56EFC5" w14:textId="77777777">
            <w:pPr>
              <w:rPr>
                <w:rFonts w:cs="Calibri"/>
              </w:rPr>
            </w:pPr>
            <w:r w:rsidRPr="007D15C3">
              <w:rPr>
                <w:rFonts w:cs="Calibri"/>
              </w:rPr>
              <w:t xml:space="preserve">          1,412,728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393482" w14:textId="77777777">
            <w:pPr>
              <w:rPr>
                <w:rFonts w:cs="Calibri"/>
              </w:rPr>
            </w:pPr>
            <w:r w:rsidRPr="007D15C3">
              <w:rPr>
                <w:rFonts w:cs="Calibri"/>
              </w:rPr>
              <w:t xml:space="preserve">            1,292,471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A00DD6" w14:textId="77777777">
            <w:pPr>
              <w:jc w:val="right"/>
              <w:rPr>
                <w:rFonts w:cs="Calibri"/>
              </w:rPr>
            </w:pPr>
            <w:r w:rsidRPr="007D15C3">
              <w:rPr>
                <w:rFonts w:cs="Calibri"/>
              </w:rPr>
              <w:t>$10,129</w:t>
            </w:r>
          </w:p>
        </w:tc>
      </w:tr>
      <w:tr w14:paraId="20DC5A2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BD3D4F" w14:textId="77777777">
            <w:pPr>
              <w:jc w:val="center"/>
              <w:rPr>
                <w:rFonts w:cs="Calibri"/>
              </w:rPr>
            </w:pPr>
            <w:r w:rsidRPr="007D15C3">
              <w:rPr>
                <w:rFonts w:cs="Calibri"/>
              </w:rPr>
              <w:t>35908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0E5DBF0" w14:textId="77777777">
            <w:pPr>
              <w:jc w:val="center"/>
              <w:rPr>
                <w:rFonts w:cs="Calibri"/>
              </w:rPr>
            </w:pPr>
            <w:r w:rsidRPr="007D15C3">
              <w:rPr>
                <w:rFonts w:cs="Calibri"/>
              </w:rPr>
              <w:t>WVLT-TV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3350AA" w14:textId="77777777">
            <w:pPr>
              <w:rPr>
                <w:rFonts w:cs="Calibri"/>
              </w:rPr>
            </w:pPr>
            <w:r w:rsidRPr="007D15C3">
              <w:rPr>
                <w:rFonts w:cs="Calibri"/>
              </w:rPr>
              <w:t xml:space="preserve">          1,888,607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AA78BB" w14:textId="77777777">
            <w:pPr>
              <w:rPr>
                <w:rFonts w:cs="Calibri"/>
              </w:rPr>
            </w:pPr>
            <w:r w:rsidRPr="007D15C3">
              <w:rPr>
                <w:rFonts w:cs="Calibri"/>
              </w:rPr>
              <w:t xml:space="preserve">            1,633,633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AE651C8" w14:textId="77777777">
            <w:pPr>
              <w:jc w:val="right"/>
              <w:rPr>
                <w:rFonts w:cs="Calibri"/>
              </w:rPr>
            </w:pPr>
            <w:r w:rsidRPr="007D15C3">
              <w:rPr>
                <w:rFonts w:cs="Calibri"/>
              </w:rPr>
              <w:t>$12,803</w:t>
            </w:r>
          </w:p>
        </w:tc>
      </w:tr>
      <w:tr w14:paraId="656F4F6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7C0ED8" w14:textId="77777777">
            <w:pPr>
              <w:jc w:val="center"/>
              <w:rPr>
                <w:rFonts w:cs="Calibri"/>
              </w:rPr>
            </w:pPr>
            <w:r w:rsidRPr="007D15C3">
              <w:rPr>
                <w:rFonts w:cs="Calibri"/>
              </w:rPr>
              <w:t>74169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2524B88" w14:textId="77777777">
            <w:pPr>
              <w:jc w:val="center"/>
              <w:rPr>
                <w:rFonts w:cs="Calibri"/>
              </w:rPr>
            </w:pPr>
            <w:r w:rsidRPr="007D15C3">
              <w:rPr>
                <w:rFonts w:cs="Calibri"/>
              </w:rPr>
              <w:t>WVNS-TV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28A328" w14:textId="77777777">
            <w:pPr>
              <w:rPr>
                <w:rFonts w:cs="Calibri"/>
              </w:rPr>
            </w:pPr>
            <w:r w:rsidRPr="007D15C3">
              <w:rPr>
                <w:rFonts w:cs="Calibri"/>
              </w:rPr>
              <w:t xml:space="preserve">             911,630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080E05" w14:textId="77777777">
            <w:pPr>
              <w:rPr>
                <w:rFonts w:cs="Calibri"/>
              </w:rPr>
            </w:pPr>
            <w:r w:rsidRPr="007D15C3">
              <w:rPr>
                <w:rFonts w:cs="Calibri"/>
              </w:rPr>
              <w:t xml:space="preserve">               606,820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0EC383" w14:textId="77777777">
            <w:pPr>
              <w:jc w:val="right"/>
              <w:rPr>
                <w:rFonts w:cs="Calibri"/>
              </w:rPr>
            </w:pPr>
            <w:r w:rsidRPr="007D15C3">
              <w:rPr>
                <w:rFonts w:cs="Calibri"/>
              </w:rPr>
              <w:t>$4,756</w:t>
            </w:r>
          </w:p>
        </w:tc>
      </w:tr>
      <w:tr w14:paraId="49DFBF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471CCD" w14:textId="77777777">
            <w:pPr>
              <w:jc w:val="center"/>
              <w:rPr>
                <w:rFonts w:cs="Calibri"/>
              </w:rPr>
            </w:pPr>
            <w:r w:rsidRPr="007D15C3">
              <w:rPr>
                <w:rFonts w:cs="Calibri"/>
              </w:rPr>
              <w:t>11259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528EF9E" w14:textId="77777777">
            <w:pPr>
              <w:jc w:val="center"/>
              <w:rPr>
                <w:rFonts w:cs="Calibri"/>
              </w:rPr>
            </w:pPr>
            <w:r w:rsidRPr="007D15C3">
              <w:rPr>
                <w:rFonts w:cs="Calibri"/>
              </w:rPr>
              <w:t>WVNY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7D3FB6" w14:textId="77777777">
            <w:pPr>
              <w:rPr>
                <w:rFonts w:cs="Calibri"/>
              </w:rPr>
            </w:pPr>
            <w:r w:rsidRPr="007D15C3">
              <w:rPr>
                <w:rFonts w:cs="Calibri"/>
              </w:rPr>
              <w:t xml:space="preserve">             721,176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602159E" w14:textId="77777777">
            <w:pPr>
              <w:rPr>
                <w:rFonts w:cs="Calibri"/>
              </w:rPr>
            </w:pPr>
            <w:r w:rsidRPr="007D15C3">
              <w:rPr>
                <w:rFonts w:cs="Calibri"/>
              </w:rPr>
              <w:t xml:space="preserve">               620,257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04027A" w14:textId="77777777">
            <w:pPr>
              <w:jc w:val="right"/>
              <w:rPr>
                <w:rFonts w:cs="Calibri"/>
              </w:rPr>
            </w:pPr>
            <w:r w:rsidRPr="007D15C3">
              <w:rPr>
                <w:rFonts w:cs="Calibri"/>
              </w:rPr>
              <w:t>$4,861</w:t>
            </w:r>
          </w:p>
        </w:tc>
      </w:tr>
      <w:tr w14:paraId="4C55DC2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7AFB4E0" w14:textId="77777777">
            <w:pPr>
              <w:jc w:val="center"/>
              <w:rPr>
                <w:rFonts w:cs="Calibri"/>
              </w:rPr>
            </w:pPr>
            <w:r w:rsidRPr="007D15C3">
              <w:rPr>
                <w:rFonts w:cs="Calibri"/>
              </w:rPr>
              <w:t>29000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BAC69A" w14:textId="77777777">
            <w:pPr>
              <w:jc w:val="center"/>
              <w:rPr>
                <w:rFonts w:cs="Calibri"/>
              </w:rPr>
            </w:pPr>
            <w:r w:rsidRPr="007D15C3">
              <w:rPr>
                <w:rFonts w:cs="Calibri"/>
              </w:rPr>
              <w:t>WVOZ-TV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1B187" w14:textId="77777777">
            <w:pPr>
              <w:rPr>
                <w:rFonts w:cs="Calibri"/>
              </w:rPr>
            </w:pPr>
            <w:r w:rsidRPr="007D15C3">
              <w:rPr>
                <w:rFonts w:cs="Calibri"/>
              </w:rPr>
              <w:t xml:space="preserve">          1,132,932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E448A1" w14:textId="77777777">
            <w:pPr>
              <w:rPr>
                <w:rFonts w:cs="Calibri"/>
              </w:rPr>
            </w:pPr>
            <w:r w:rsidRPr="007D15C3">
              <w:rPr>
                <w:rFonts w:cs="Calibri"/>
              </w:rPr>
              <w:t xml:space="preserve">               879,902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C3385C" w14:textId="77777777">
            <w:pPr>
              <w:jc w:val="right"/>
              <w:rPr>
                <w:rFonts w:cs="Calibri"/>
              </w:rPr>
            </w:pPr>
            <w:r w:rsidRPr="007D15C3">
              <w:rPr>
                <w:rFonts w:cs="Calibri"/>
              </w:rPr>
              <w:t>$</w:t>
            </w:r>
            <w:r>
              <w:rPr>
                <w:rFonts w:cs="Calibri"/>
              </w:rPr>
              <w:t>2</w:t>
            </w:r>
            <w:r w:rsidRPr="007D15C3">
              <w:rPr>
                <w:rFonts w:cs="Calibri"/>
              </w:rPr>
              <w:t>,</w:t>
            </w:r>
            <w:r>
              <w:rPr>
                <w:rFonts w:cs="Calibri"/>
              </w:rPr>
              <w:t>353</w:t>
            </w:r>
          </w:p>
        </w:tc>
      </w:tr>
      <w:tr w14:paraId="638A81B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4EC20AF" w14:textId="77777777">
            <w:pPr>
              <w:jc w:val="center"/>
              <w:rPr>
                <w:rFonts w:cs="Calibri"/>
              </w:rPr>
            </w:pPr>
            <w:r w:rsidRPr="007D15C3">
              <w:rPr>
                <w:rFonts w:cs="Calibri"/>
              </w:rPr>
              <w:t>71657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1AEA2DB" w14:textId="77777777">
            <w:pPr>
              <w:jc w:val="center"/>
              <w:rPr>
                <w:rFonts w:cs="Calibri"/>
              </w:rPr>
            </w:pPr>
            <w:r w:rsidRPr="007D15C3">
              <w:rPr>
                <w:rFonts w:cs="Calibri"/>
              </w:rPr>
              <w:t>WVPB-TV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AA77C2" w14:textId="77777777">
            <w:pPr>
              <w:rPr>
                <w:rFonts w:cs="Calibri"/>
              </w:rPr>
            </w:pPr>
            <w:r w:rsidRPr="007D15C3">
              <w:rPr>
                <w:rFonts w:cs="Calibri"/>
              </w:rPr>
              <w:t xml:space="preserve">             780,268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C14344" w14:textId="77777777">
            <w:pPr>
              <w:rPr>
                <w:rFonts w:cs="Calibri"/>
              </w:rPr>
            </w:pPr>
            <w:r w:rsidRPr="007D15C3">
              <w:rPr>
                <w:rFonts w:cs="Calibri"/>
              </w:rPr>
              <w:t xml:space="preserve">               752,747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3E4FDD" w14:textId="77777777">
            <w:pPr>
              <w:jc w:val="right"/>
              <w:rPr>
                <w:rFonts w:cs="Calibri"/>
              </w:rPr>
            </w:pPr>
            <w:r w:rsidRPr="007D15C3">
              <w:rPr>
                <w:rFonts w:cs="Calibri"/>
              </w:rPr>
              <w:t>$5,899</w:t>
            </w:r>
          </w:p>
        </w:tc>
      </w:tr>
      <w:tr w14:paraId="057B12D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39E23D0" w14:textId="77777777">
            <w:pPr>
              <w:jc w:val="center"/>
              <w:rPr>
                <w:rFonts w:cs="Calibri"/>
              </w:rPr>
            </w:pPr>
            <w:r w:rsidRPr="007D15C3">
              <w:rPr>
                <w:rFonts w:cs="Calibri"/>
              </w:rPr>
              <w:t>60111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4D0CB76" w14:textId="77777777">
            <w:pPr>
              <w:jc w:val="center"/>
              <w:rPr>
                <w:rFonts w:cs="Calibri"/>
              </w:rPr>
            </w:pPr>
            <w:r w:rsidRPr="007D15C3">
              <w:rPr>
                <w:rFonts w:cs="Calibri"/>
              </w:rPr>
              <w:t>WVPT*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1A5319" w14:textId="77777777">
            <w:pPr>
              <w:rPr>
                <w:rFonts w:cs="Calibri"/>
              </w:rPr>
            </w:pPr>
            <w:r w:rsidRPr="007D15C3">
              <w:rPr>
                <w:rFonts w:cs="Calibri"/>
              </w:rPr>
              <w:t xml:space="preserve">             756,714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F2A8D8" w14:textId="77777777">
            <w:pPr>
              <w:rPr>
                <w:rFonts w:cs="Calibri"/>
              </w:rPr>
            </w:pPr>
            <w:r w:rsidRPr="007D15C3">
              <w:rPr>
                <w:rFonts w:cs="Calibri"/>
              </w:rPr>
              <w:t xml:space="preserve">               632,580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43A3D" w14:textId="77777777">
            <w:pPr>
              <w:jc w:val="right"/>
              <w:rPr>
                <w:rFonts w:cs="Calibri"/>
              </w:rPr>
            </w:pPr>
            <w:r w:rsidRPr="007D15C3">
              <w:rPr>
                <w:rFonts w:cs="Calibri"/>
              </w:rPr>
              <w:t>$4,958</w:t>
            </w:r>
          </w:p>
        </w:tc>
      </w:tr>
      <w:tr w14:paraId="46EC1E1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8EDCC2" w14:textId="77777777">
            <w:pPr>
              <w:jc w:val="center"/>
              <w:rPr>
                <w:rFonts w:cs="Calibri"/>
              </w:rPr>
            </w:pPr>
            <w:r w:rsidRPr="007D15C3">
              <w:rPr>
                <w:rFonts w:cs="Calibri"/>
              </w:rPr>
              <w:t>70491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CB7D4B8" w14:textId="77777777">
            <w:pPr>
              <w:jc w:val="center"/>
              <w:rPr>
                <w:rFonts w:cs="Calibri"/>
              </w:rPr>
            </w:pPr>
            <w:r w:rsidRPr="007D15C3">
              <w:rPr>
                <w:rFonts w:cs="Calibri"/>
              </w:rPr>
              <w:t>WVPX-TV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68734E" w14:textId="77777777">
            <w:pPr>
              <w:rPr>
                <w:rFonts w:cs="Calibri"/>
              </w:rPr>
            </w:pPr>
            <w:r w:rsidRPr="007D15C3">
              <w:rPr>
                <w:rFonts w:cs="Calibri"/>
              </w:rPr>
              <w:t xml:space="preserve">          4,147,298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1C56B9" w14:textId="77777777">
            <w:pPr>
              <w:rPr>
                <w:rFonts w:cs="Calibri"/>
              </w:rPr>
            </w:pPr>
            <w:r w:rsidRPr="007D15C3">
              <w:rPr>
                <w:rFonts w:cs="Calibri"/>
              </w:rPr>
              <w:t xml:space="preserve">            4,114,920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37B372" w14:textId="77777777">
            <w:pPr>
              <w:jc w:val="right"/>
              <w:rPr>
                <w:rFonts w:cs="Calibri"/>
              </w:rPr>
            </w:pPr>
            <w:r w:rsidRPr="007D15C3">
              <w:rPr>
                <w:rFonts w:cs="Calibri"/>
              </w:rPr>
              <w:t>$32,249</w:t>
            </w:r>
          </w:p>
        </w:tc>
      </w:tr>
      <w:tr w14:paraId="22D61A1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4C288E" w14:textId="77777777">
            <w:pPr>
              <w:jc w:val="center"/>
              <w:rPr>
                <w:rFonts w:cs="Calibri"/>
              </w:rPr>
            </w:pPr>
            <w:r w:rsidRPr="007D15C3">
              <w:rPr>
                <w:rFonts w:cs="Calibri"/>
              </w:rPr>
              <w:t>66378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3BCD09C" w14:textId="77777777">
            <w:pPr>
              <w:jc w:val="center"/>
              <w:rPr>
                <w:rFonts w:cs="Calibri"/>
              </w:rPr>
            </w:pPr>
            <w:r w:rsidRPr="007D15C3">
              <w:rPr>
                <w:rFonts w:cs="Calibri"/>
              </w:rPr>
              <w:t>WVPY*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9BE8C8" w14:textId="77777777">
            <w:pPr>
              <w:rPr>
                <w:rFonts w:cs="Calibri"/>
              </w:rPr>
            </w:pPr>
            <w:r w:rsidRPr="007D15C3">
              <w:rPr>
                <w:rFonts w:cs="Calibri"/>
              </w:rPr>
              <w:t xml:space="preserve">             756,202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3E2104" w14:textId="77777777">
            <w:pPr>
              <w:rPr>
                <w:rFonts w:cs="Calibri"/>
              </w:rPr>
            </w:pPr>
            <w:r w:rsidRPr="007D15C3">
              <w:rPr>
                <w:rFonts w:cs="Calibri"/>
              </w:rPr>
              <w:t xml:space="preserve">               632,155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856090" w14:textId="77777777">
            <w:pPr>
              <w:jc w:val="right"/>
              <w:rPr>
                <w:rFonts w:cs="Calibri"/>
              </w:rPr>
            </w:pPr>
            <w:r w:rsidRPr="007D15C3">
              <w:rPr>
                <w:rFonts w:cs="Calibri"/>
              </w:rPr>
              <w:t>$4,954</w:t>
            </w:r>
          </w:p>
        </w:tc>
      </w:tr>
      <w:tr w14:paraId="3B2DAEB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B339BA" w14:textId="77777777">
            <w:pPr>
              <w:jc w:val="center"/>
              <w:rPr>
                <w:rFonts w:cs="Calibri"/>
              </w:rPr>
            </w:pPr>
            <w:r w:rsidRPr="007D15C3">
              <w:rPr>
                <w:rFonts w:cs="Calibri"/>
              </w:rPr>
              <w:t>67190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8BA3A7D" w14:textId="77777777">
            <w:pPr>
              <w:jc w:val="center"/>
              <w:rPr>
                <w:rFonts w:cs="Calibri"/>
              </w:rPr>
            </w:pPr>
            <w:r w:rsidRPr="007D15C3">
              <w:rPr>
                <w:rFonts w:cs="Calibri"/>
              </w:rPr>
              <w:t>WVSN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627D71" w14:textId="77777777">
            <w:pPr>
              <w:rPr>
                <w:rFonts w:cs="Calibri"/>
              </w:rPr>
            </w:pPr>
            <w:r w:rsidRPr="007D15C3">
              <w:rPr>
                <w:rFonts w:cs="Calibri"/>
              </w:rPr>
              <w:t xml:space="preserve">          2,948,832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731C16" w14:textId="77777777">
            <w:pPr>
              <w:rPr>
                <w:rFonts w:cs="Calibri"/>
              </w:rPr>
            </w:pPr>
            <w:r w:rsidRPr="007D15C3">
              <w:rPr>
                <w:rFonts w:cs="Calibri"/>
              </w:rPr>
              <w:t xml:space="preserve">            2,572,001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094F21" w14:textId="77777777">
            <w:pPr>
              <w:jc w:val="right"/>
              <w:rPr>
                <w:rFonts w:cs="Calibri"/>
              </w:rPr>
            </w:pPr>
            <w:r w:rsidRPr="007D15C3">
              <w:rPr>
                <w:rFonts w:cs="Calibri"/>
              </w:rPr>
              <w:t>$16,750</w:t>
            </w:r>
          </w:p>
        </w:tc>
      </w:tr>
      <w:tr w14:paraId="080CD38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2942A32" w14:textId="77777777">
            <w:pPr>
              <w:jc w:val="center"/>
              <w:rPr>
                <w:rFonts w:cs="Calibri"/>
              </w:rPr>
            </w:pPr>
            <w:r w:rsidRPr="007D15C3">
              <w:rPr>
                <w:rFonts w:cs="Calibri"/>
              </w:rPr>
              <w:t>69943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23B533" w14:textId="77777777">
            <w:pPr>
              <w:jc w:val="center"/>
              <w:rPr>
                <w:rFonts w:cs="Calibri"/>
              </w:rPr>
            </w:pPr>
            <w:r w:rsidRPr="007D15C3">
              <w:rPr>
                <w:rFonts w:cs="Calibri"/>
              </w:rPr>
              <w:t>WVTA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EB5B18" w14:textId="77777777">
            <w:pPr>
              <w:rPr>
                <w:rFonts w:cs="Calibri"/>
              </w:rPr>
            </w:pPr>
            <w:r w:rsidRPr="007D15C3">
              <w:rPr>
                <w:rFonts w:cs="Calibri"/>
              </w:rPr>
              <w:t xml:space="preserve">             760,072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125AF7" w14:textId="77777777">
            <w:pPr>
              <w:rPr>
                <w:rFonts w:cs="Calibri"/>
              </w:rPr>
            </w:pPr>
            <w:r w:rsidRPr="007D15C3">
              <w:rPr>
                <w:rFonts w:cs="Calibri"/>
              </w:rPr>
              <w:t xml:space="preserve">               579,703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C38BF39" w14:textId="77777777">
            <w:pPr>
              <w:jc w:val="right"/>
              <w:rPr>
                <w:rFonts w:cs="Calibri"/>
              </w:rPr>
            </w:pPr>
            <w:r w:rsidRPr="007D15C3">
              <w:rPr>
                <w:rFonts w:cs="Calibri"/>
              </w:rPr>
              <w:t>$4,543</w:t>
            </w:r>
          </w:p>
        </w:tc>
      </w:tr>
      <w:tr w14:paraId="0334ADD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1C02D6" w14:textId="77777777">
            <w:pPr>
              <w:jc w:val="center"/>
              <w:rPr>
                <w:rFonts w:cs="Calibri"/>
              </w:rPr>
            </w:pPr>
            <w:r w:rsidRPr="007D15C3">
              <w:rPr>
                <w:rFonts w:cs="Calibri"/>
              </w:rPr>
              <w:t>69940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0A5C44E" w14:textId="77777777">
            <w:pPr>
              <w:jc w:val="center"/>
              <w:rPr>
                <w:rFonts w:cs="Calibri"/>
              </w:rPr>
            </w:pPr>
            <w:r w:rsidRPr="007D15C3">
              <w:rPr>
                <w:rFonts w:cs="Calibri"/>
              </w:rPr>
              <w:t>WVTB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68A1DB" w14:textId="77777777">
            <w:pPr>
              <w:rPr>
                <w:rFonts w:cs="Calibri"/>
              </w:rPr>
            </w:pPr>
            <w:r w:rsidRPr="007D15C3">
              <w:rPr>
                <w:rFonts w:cs="Calibri"/>
              </w:rPr>
              <w:t xml:space="preserve">             454,244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1606E7" w14:textId="77777777">
            <w:pPr>
              <w:rPr>
                <w:rFonts w:cs="Calibri"/>
              </w:rPr>
            </w:pPr>
            <w:r w:rsidRPr="007D15C3">
              <w:rPr>
                <w:rFonts w:cs="Calibri"/>
              </w:rPr>
              <w:t xml:space="preserve">               258,422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13BC8A" w14:textId="77777777">
            <w:pPr>
              <w:jc w:val="right"/>
              <w:rPr>
                <w:rFonts w:cs="Calibri"/>
              </w:rPr>
            </w:pPr>
            <w:r w:rsidRPr="007D15C3">
              <w:rPr>
                <w:rFonts w:cs="Calibri"/>
              </w:rPr>
              <w:t>$2,025</w:t>
            </w:r>
          </w:p>
        </w:tc>
      </w:tr>
      <w:tr w14:paraId="30D80B1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FDAAF5" w14:textId="77777777">
            <w:pPr>
              <w:jc w:val="center"/>
              <w:rPr>
                <w:rFonts w:cs="Calibri"/>
              </w:rPr>
            </w:pPr>
            <w:r w:rsidRPr="007D15C3">
              <w:rPr>
                <w:rFonts w:cs="Calibri"/>
              </w:rPr>
              <w:t>74173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C944609" w14:textId="77777777">
            <w:pPr>
              <w:jc w:val="center"/>
              <w:rPr>
                <w:rFonts w:cs="Calibri"/>
              </w:rPr>
            </w:pPr>
            <w:r w:rsidRPr="007D15C3">
              <w:rPr>
                <w:rFonts w:cs="Calibri"/>
              </w:rPr>
              <w:t>WVTM-TV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4F8741" w14:textId="77777777">
            <w:pPr>
              <w:rPr>
                <w:rFonts w:cs="Calibri"/>
              </w:rPr>
            </w:pPr>
            <w:r w:rsidRPr="007D15C3">
              <w:rPr>
                <w:rFonts w:cs="Calibri"/>
              </w:rPr>
              <w:t xml:space="preserve">          1,876,825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04CD76" w14:textId="77777777">
            <w:pPr>
              <w:rPr>
                <w:rFonts w:cs="Calibri"/>
              </w:rPr>
            </w:pPr>
            <w:r w:rsidRPr="007D15C3">
              <w:rPr>
                <w:rFonts w:cs="Calibri"/>
              </w:rPr>
              <w:t xml:space="preserve">            1,790,198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4B03A8" w14:textId="77777777">
            <w:pPr>
              <w:jc w:val="right"/>
              <w:rPr>
                <w:rFonts w:cs="Calibri"/>
              </w:rPr>
            </w:pPr>
            <w:r w:rsidRPr="007D15C3">
              <w:rPr>
                <w:rFonts w:cs="Calibri"/>
              </w:rPr>
              <w:t>$14,030</w:t>
            </w:r>
          </w:p>
        </w:tc>
      </w:tr>
      <w:tr w14:paraId="1B541C6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2D4624" w14:textId="77777777">
            <w:pPr>
              <w:jc w:val="center"/>
              <w:rPr>
                <w:rFonts w:cs="Calibri"/>
              </w:rPr>
            </w:pPr>
            <w:r w:rsidRPr="007D15C3">
              <w:rPr>
                <w:rFonts w:cs="Calibri"/>
              </w:rPr>
              <w:t>74174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2E8D168" w14:textId="77777777">
            <w:pPr>
              <w:jc w:val="center"/>
              <w:rPr>
                <w:rFonts w:cs="Calibri"/>
              </w:rPr>
            </w:pPr>
            <w:r w:rsidRPr="007D15C3">
              <w:rPr>
                <w:rFonts w:cs="Calibri"/>
              </w:rPr>
              <w:t>WVTV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B66635" w14:textId="77777777">
            <w:pPr>
              <w:rPr>
                <w:rFonts w:cs="Calibri"/>
              </w:rPr>
            </w:pPr>
            <w:r w:rsidRPr="007D15C3">
              <w:rPr>
                <w:rFonts w:cs="Calibri"/>
              </w:rPr>
              <w:t xml:space="preserve">          2,999,694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7C00E2" w14:textId="77777777">
            <w:pPr>
              <w:rPr>
                <w:rFonts w:cs="Calibri"/>
              </w:rPr>
            </w:pPr>
            <w:r w:rsidRPr="007D15C3">
              <w:rPr>
                <w:rFonts w:cs="Calibri"/>
              </w:rPr>
              <w:t xml:space="preserve">            2,990,991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3A9ADF" w14:textId="77777777">
            <w:pPr>
              <w:jc w:val="right"/>
              <w:rPr>
                <w:rFonts w:cs="Calibri"/>
              </w:rPr>
            </w:pPr>
            <w:r w:rsidRPr="007D15C3">
              <w:rPr>
                <w:rFonts w:cs="Calibri"/>
              </w:rPr>
              <w:t>$23,440</w:t>
            </w:r>
          </w:p>
        </w:tc>
      </w:tr>
      <w:tr w14:paraId="43428D0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D26886" w14:textId="77777777">
            <w:pPr>
              <w:jc w:val="center"/>
              <w:rPr>
                <w:rFonts w:cs="Calibri"/>
              </w:rPr>
            </w:pPr>
            <w:r w:rsidRPr="007D15C3">
              <w:rPr>
                <w:rFonts w:cs="Calibri"/>
              </w:rPr>
              <w:t>77496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008CA3" w14:textId="77777777">
            <w:pPr>
              <w:jc w:val="center"/>
              <w:rPr>
                <w:rFonts w:cs="Calibri"/>
              </w:rPr>
            </w:pPr>
            <w:r w:rsidRPr="007D15C3">
              <w:rPr>
                <w:rFonts w:cs="Calibri"/>
              </w:rPr>
              <w:t>WVUA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200649" w14:textId="77777777">
            <w:pPr>
              <w:rPr>
                <w:rFonts w:cs="Calibri"/>
              </w:rPr>
            </w:pPr>
            <w:r w:rsidRPr="007D15C3">
              <w:rPr>
                <w:rFonts w:cs="Calibri"/>
              </w:rPr>
              <w:t xml:space="preserve">          2,209,921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9DD36B" w14:textId="77777777">
            <w:pPr>
              <w:rPr>
                <w:rFonts w:cs="Calibri"/>
              </w:rPr>
            </w:pPr>
            <w:r w:rsidRPr="007D15C3">
              <w:rPr>
                <w:rFonts w:cs="Calibri"/>
              </w:rPr>
              <w:t xml:space="preserve">            2,160,101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C492DA" w14:textId="77777777">
            <w:pPr>
              <w:jc w:val="right"/>
              <w:rPr>
                <w:rFonts w:cs="Calibri"/>
              </w:rPr>
            </w:pPr>
            <w:r w:rsidRPr="007D15C3">
              <w:rPr>
                <w:rFonts w:cs="Calibri"/>
              </w:rPr>
              <w:t>$16,929</w:t>
            </w:r>
          </w:p>
        </w:tc>
      </w:tr>
      <w:tr w14:paraId="589FAC5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B28816E" w14:textId="77777777">
            <w:pPr>
              <w:jc w:val="center"/>
              <w:rPr>
                <w:rFonts w:cs="Calibri"/>
              </w:rPr>
            </w:pPr>
            <w:r w:rsidRPr="007D15C3">
              <w:rPr>
                <w:rFonts w:cs="Calibri"/>
              </w:rPr>
              <w:t>4149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BFA54E5" w14:textId="77777777">
            <w:pPr>
              <w:jc w:val="center"/>
              <w:rPr>
                <w:rFonts w:cs="Calibri"/>
              </w:rPr>
            </w:pPr>
            <w:r w:rsidRPr="007D15C3">
              <w:rPr>
                <w:rFonts w:cs="Calibri"/>
              </w:rPr>
              <w:t>WVUE-DT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979974" w14:textId="77777777">
            <w:pPr>
              <w:rPr>
                <w:rFonts w:cs="Calibri"/>
              </w:rPr>
            </w:pPr>
            <w:r w:rsidRPr="007D15C3">
              <w:rPr>
                <w:rFonts w:cs="Calibri"/>
              </w:rPr>
              <w:t xml:space="preserve">          1,658,125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E6BCD3" w14:textId="77777777">
            <w:pPr>
              <w:rPr>
                <w:rFonts w:cs="Calibri"/>
              </w:rPr>
            </w:pPr>
            <w:r w:rsidRPr="007D15C3">
              <w:rPr>
                <w:rFonts w:cs="Calibri"/>
              </w:rPr>
              <w:t xml:space="preserve">            1,658,125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E6C1A5" w14:textId="77777777">
            <w:pPr>
              <w:jc w:val="right"/>
              <w:rPr>
                <w:rFonts w:cs="Calibri"/>
              </w:rPr>
            </w:pPr>
            <w:r w:rsidRPr="007D15C3">
              <w:rPr>
                <w:rFonts w:cs="Calibri"/>
              </w:rPr>
              <w:t>$12,995</w:t>
            </w:r>
          </w:p>
        </w:tc>
      </w:tr>
      <w:tr w14:paraId="0C6600F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0A421F6" w14:textId="77777777">
            <w:pPr>
              <w:jc w:val="center"/>
              <w:rPr>
                <w:rFonts w:cs="Calibri"/>
              </w:rPr>
            </w:pPr>
            <w:r w:rsidRPr="007D15C3">
              <w:rPr>
                <w:rFonts w:cs="Calibri"/>
              </w:rPr>
              <w:t>4329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B79A5B" w14:textId="77777777">
            <w:pPr>
              <w:jc w:val="center"/>
              <w:rPr>
                <w:rFonts w:cs="Calibri"/>
              </w:rPr>
            </w:pPr>
            <w:r w:rsidRPr="007D15C3">
              <w:rPr>
                <w:rFonts w:cs="Calibri"/>
              </w:rPr>
              <w:t>WVUT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A9738C" w14:textId="77777777">
            <w:pPr>
              <w:rPr>
                <w:rFonts w:cs="Calibri"/>
              </w:rPr>
            </w:pPr>
            <w:r w:rsidRPr="007D15C3">
              <w:rPr>
                <w:rFonts w:cs="Calibri"/>
              </w:rPr>
              <w:t xml:space="preserve">             273,293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C282B5" w14:textId="77777777">
            <w:pPr>
              <w:rPr>
                <w:rFonts w:cs="Calibri"/>
              </w:rPr>
            </w:pPr>
            <w:r w:rsidRPr="007D15C3">
              <w:rPr>
                <w:rFonts w:cs="Calibri"/>
              </w:rPr>
              <w:t xml:space="preserve">               273,219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1D4ED4" w14:textId="77777777">
            <w:pPr>
              <w:jc w:val="right"/>
              <w:rPr>
                <w:rFonts w:cs="Calibri"/>
              </w:rPr>
            </w:pPr>
            <w:r w:rsidRPr="007D15C3">
              <w:rPr>
                <w:rFonts w:cs="Calibri"/>
              </w:rPr>
              <w:t>$2,141</w:t>
            </w:r>
          </w:p>
        </w:tc>
      </w:tr>
      <w:tr w14:paraId="1E08BD9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040F25B" w14:textId="77777777">
            <w:pPr>
              <w:jc w:val="center"/>
              <w:rPr>
                <w:rFonts w:cs="Calibri"/>
              </w:rPr>
            </w:pPr>
            <w:r w:rsidRPr="007D15C3">
              <w:rPr>
                <w:rFonts w:cs="Calibri"/>
              </w:rPr>
              <w:t>74176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69E5DFC" w14:textId="77777777">
            <w:pPr>
              <w:jc w:val="center"/>
              <w:rPr>
                <w:rFonts w:cs="Calibri"/>
              </w:rPr>
            </w:pPr>
            <w:r w:rsidRPr="007D15C3">
              <w:rPr>
                <w:rFonts w:cs="Calibri"/>
              </w:rPr>
              <w:t>WVVA</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88469E" w14:textId="77777777">
            <w:pPr>
              <w:rPr>
                <w:rFonts w:cs="Calibri"/>
              </w:rPr>
            </w:pPr>
            <w:r w:rsidRPr="007D15C3">
              <w:rPr>
                <w:rFonts w:cs="Calibri"/>
              </w:rPr>
              <w:t xml:space="preserve">          1,035,752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09EC79" w14:textId="77777777">
            <w:pPr>
              <w:rPr>
                <w:rFonts w:cs="Calibri"/>
              </w:rPr>
            </w:pPr>
            <w:r w:rsidRPr="007D15C3">
              <w:rPr>
                <w:rFonts w:cs="Calibri"/>
              </w:rPr>
              <w:t xml:space="preserve">               693,707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C1A5F7" w14:textId="77777777">
            <w:pPr>
              <w:jc w:val="right"/>
              <w:rPr>
                <w:rFonts w:cs="Calibri"/>
              </w:rPr>
            </w:pPr>
            <w:r w:rsidRPr="007D15C3">
              <w:rPr>
                <w:rFonts w:cs="Calibri"/>
              </w:rPr>
              <w:t>$5,437</w:t>
            </w:r>
          </w:p>
        </w:tc>
      </w:tr>
      <w:tr w14:paraId="48F9717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5D0611" w14:textId="77777777">
            <w:pPr>
              <w:jc w:val="center"/>
              <w:rPr>
                <w:rFonts w:cs="Calibri"/>
              </w:rPr>
            </w:pPr>
            <w:r w:rsidRPr="007D15C3">
              <w:rPr>
                <w:rFonts w:cs="Calibri"/>
              </w:rPr>
              <w:t>3113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BBEA254" w14:textId="77777777">
            <w:pPr>
              <w:jc w:val="center"/>
              <w:rPr>
                <w:rFonts w:cs="Calibri"/>
              </w:rPr>
            </w:pPr>
            <w:r w:rsidRPr="007D15C3">
              <w:rPr>
                <w:rFonts w:cs="Calibri"/>
              </w:rPr>
              <w:t>WVXF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B66366C" w14:textId="77777777">
            <w:pPr>
              <w:rPr>
                <w:rFonts w:cs="Calibri"/>
              </w:rPr>
            </w:pPr>
            <w:r w:rsidRPr="007D15C3">
              <w:rPr>
                <w:rFonts w:cs="Calibri"/>
              </w:rPr>
              <w:t xml:space="preserve">               85,191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B42B922" w14:textId="77777777">
            <w:pPr>
              <w:rPr>
                <w:rFonts w:cs="Calibri"/>
              </w:rPr>
            </w:pPr>
            <w:r w:rsidRPr="007D15C3">
              <w:rPr>
                <w:rFonts w:cs="Calibri"/>
              </w:rPr>
              <w:t xml:space="preserve">                 78,556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C51668" w14:textId="77777777">
            <w:pPr>
              <w:jc w:val="right"/>
              <w:rPr>
                <w:rFonts w:cs="Calibri"/>
              </w:rPr>
            </w:pPr>
            <w:r w:rsidRPr="007D15C3">
              <w:rPr>
                <w:rFonts w:cs="Calibri"/>
              </w:rPr>
              <w:t>$616</w:t>
            </w:r>
          </w:p>
        </w:tc>
      </w:tr>
      <w:tr w14:paraId="21FD34A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81D7D7" w14:textId="77777777">
            <w:pPr>
              <w:jc w:val="center"/>
              <w:rPr>
                <w:rFonts w:cs="Calibri"/>
              </w:rPr>
            </w:pPr>
            <w:r w:rsidRPr="007D15C3">
              <w:rPr>
                <w:rFonts w:cs="Calibri"/>
              </w:rPr>
              <w:t>12033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421A24" w14:textId="77777777">
            <w:pPr>
              <w:jc w:val="center"/>
              <w:rPr>
                <w:rFonts w:cs="Calibri"/>
              </w:rPr>
            </w:pPr>
            <w:r w:rsidRPr="007D15C3">
              <w:rPr>
                <w:rFonts w:cs="Calibri"/>
              </w:rPr>
              <w:t>WWAY</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F1920D" w14:textId="77777777">
            <w:pPr>
              <w:rPr>
                <w:rFonts w:cs="Calibri"/>
              </w:rPr>
            </w:pPr>
            <w:r w:rsidRPr="007D15C3">
              <w:rPr>
                <w:rFonts w:cs="Calibri"/>
              </w:rPr>
              <w:t xml:space="preserve">          1,206,281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C7CAE53" w14:textId="77777777">
            <w:pPr>
              <w:rPr>
                <w:rFonts w:cs="Calibri"/>
              </w:rPr>
            </w:pPr>
            <w:r w:rsidRPr="007D15C3">
              <w:rPr>
                <w:rFonts w:cs="Calibri"/>
              </w:rPr>
              <w:t xml:space="preserve">            1,206,281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638896E" w14:textId="77777777">
            <w:pPr>
              <w:jc w:val="right"/>
              <w:rPr>
                <w:rFonts w:cs="Calibri"/>
              </w:rPr>
            </w:pPr>
            <w:r w:rsidRPr="007D15C3">
              <w:rPr>
                <w:rFonts w:cs="Calibri"/>
              </w:rPr>
              <w:t>$9,454</w:t>
            </w:r>
          </w:p>
        </w:tc>
      </w:tr>
      <w:tr w14:paraId="390F957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9D9AF88" w14:textId="77777777">
            <w:pPr>
              <w:jc w:val="center"/>
              <w:rPr>
                <w:rFonts w:cs="Calibri"/>
              </w:rPr>
            </w:pPr>
            <w:r w:rsidRPr="007D15C3">
              <w:rPr>
                <w:rFonts w:cs="Calibri"/>
              </w:rPr>
              <w:t>30833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2FA51B" w14:textId="77777777">
            <w:pPr>
              <w:jc w:val="center"/>
              <w:rPr>
                <w:rFonts w:cs="Calibri"/>
              </w:rPr>
            </w:pPr>
            <w:r w:rsidRPr="007D15C3">
              <w:rPr>
                <w:rFonts w:cs="Calibri"/>
              </w:rPr>
              <w:t>WWBT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1DDFF8F" w14:textId="77777777">
            <w:pPr>
              <w:rPr>
                <w:rFonts w:cs="Calibri"/>
              </w:rPr>
            </w:pPr>
            <w:r w:rsidRPr="007D15C3">
              <w:rPr>
                <w:rFonts w:cs="Calibri"/>
              </w:rPr>
              <w:t xml:space="preserve">          1,911,854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A1E971" w14:textId="77777777">
            <w:pPr>
              <w:rPr>
                <w:rFonts w:cs="Calibri"/>
              </w:rPr>
            </w:pPr>
            <w:r w:rsidRPr="007D15C3">
              <w:rPr>
                <w:rFonts w:cs="Calibri"/>
              </w:rPr>
              <w:t xml:space="preserve">            1,872,305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855B63" w14:textId="77777777">
            <w:pPr>
              <w:jc w:val="right"/>
              <w:rPr>
                <w:rFonts w:cs="Calibri"/>
              </w:rPr>
            </w:pPr>
            <w:r w:rsidRPr="007D15C3">
              <w:rPr>
                <w:rFonts w:cs="Calibri"/>
              </w:rPr>
              <w:t>$14,673</w:t>
            </w:r>
          </w:p>
        </w:tc>
      </w:tr>
      <w:tr w14:paraId="6DABB51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5E4FDE6" w14:textId="77777777">
            <w:pPr>
              <w:jc w:val="center"/>
              <w:rPr>
                <w:rFonts w:cs="Calibri"/>
              </w:rPr>
            </w:pPr>
            <w:r w:rsidRPr="007D15C3">
              <w:rPr>
                <w:rFonts w:cs="Calibri"/>
              </w:rPr>
              <w:t>20295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ED1EF8" w14:textId="77777777">
            <w:pPr>
              <w:jc w:val="center"/>
              <w:rPr>
                <w:rFonts w:cs="Calibri"/>
              </w:rPr>
            </w:pPr>
            <w:r w:rsidRPr="007D15C3">
              <w:rPr>
                <w:rFonts w:cs="Calibri"/>
              </w:rPr>
              <w:t>WWCP-TV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C9F5B3" w14:textId="77777777">
            <w:pPr>
              <w:rPr>
                <w:rFonts w:cs="Calibri"/>
              </w:rPr>
            </w:pPr>
            <w:r w:rsidRPr="007D15C3">
              <w:rPr>
                <w:rFonts w:cs="Calibri"/>
              </w:rPr>
              <w:t xml:space="preserve">          2,811,278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E39331" w14:textId="77777777">
            <w:pPr>
              <w:rPr>
                <w:rFonts w:cs="Calibri"/>
              </w:rPr>
            </w:pPr>
            <w:r w:rsidRPr="007D15C3">
              <w:rPr>
                <w:rFonts w:cs="Calibri"/>
              </w:rPr>
              <w:t xml:space="preserve">            2,548,691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929D5D" w14:textId="77777777">
            <w:pPr>
              <w:jc w:val="right"/>
              <w:rPr>
                <w:rFonts w:cs="Calibri"/>
              </w:rPr>
            </w:pPr>
            <w:r w:rsidRPr="007D15C3">
              <w:rPr>
                <w:rFonts w:cs="Calibri"/>
              </w:rPr>
              <w:t>$19,974</w:t>
            </w:r>
          </w:p>
        </w:tc>
      </w:tr>
      <w:tr w14:paraId="7F392D3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F4F88C0" w14:textId="77777777">
            <w:pPr>
              <w:jc w:val="center"/>
              <w:rPr>
                <w:rFonts w:cs="Calibri"/>
              </w:rPr>
            </w:pPr>
            <w:r w:rsidRPr="007D15C3">
              <w:rPr>
                <w:rFonts w:cs="Calibri"/>
              </w:rPr>
              <w:t>24812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93E1394" w14:textId="77777777">
            <w:pPr>
              <w:jc w:val="center"/>
              <w:rPr>
                <w:rFonts w:cs="Calibri"/>
              </w:rPr>
            </w:pPr>
            <w:r w:rsidRPr="007D15C3">
              <w:rPr>
                <w:rFonts w:cs="Calibri"/>
              </w:rPr>
              <w:t>WWCW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81E8E9" w14:textId="77777777">
            <w:pPr>
              <w:rPr>
                <w:rFonts w:cs="Calibri"/>
              </w:rPr>
            </w:pPr>
            <w:r w:rsidRPr="007D15C3">
              <w:rPr>
                <w:rFonts w:cs="Calibri"/>
              </w:rPr>
              <w:t xml:space="preserve">          1,390,985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D10BCF" w14:textId="77777777">
            <w:pPr>
              <w:rPr>
                <w:rFonts w:cs="Calibri"/>
              </w:rPr>
            </w:pPr>
            <w:r w:rsidRPr="007D15C3">
              <w:rPr>
                <w:rFonts w:cs="Calibri"/>
              </w:rPr>
              <w:t xml:space="preserve">            1,212,308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BEE3E2" w14:textId="77777777">
            <w:pPr>
              <w:jc w:val="right"/>
              <w:rPr>
                <w:rFonts w:cs="Calibri"/>
              </w:rPr>
            </w:pPr>
            <w:r w:rsidRPr="007D15C3">
              <w:rPr>
                <w:rFonts w:cs="Calibri"/>
              </w:rPr>
              <w:t>$9,501</w:t>
            </w:r>
          </w:p>
        </w:tc>
      </w:tr>
      <w:tr w14:paraId="7585019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888832" w14:textId="77777777">
            <w:pPr>
              <w:jc w:val="center"/>
              <w:rPr>
                <w:rFonts w:cs="Calibri"/>
              </w:rPr>
            </w:pPr>
            <w:r w:rsidRPr="007D15C3">
              <w:rPr>
                <w:rFonts w:cs="Calibri"/>
              </w:rPr>
              <w:t>23671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3DDD1B0" w14:textId="77777777">
            <w:pPr>
              <w:jc w:val="center"/>
              <w:rPr>
                <w:rFonts w:cs="Calibri"/>
              </w:rPr>
            </w:pPr>
            <w:r w:rsidRPr="007D15C3">
              <w:rPr>
                <w:rFonts w:cs="Calibri"/>
              </w:rPr>
              <w:t>WWDP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C21984" w14:textId="77777777">
            <w:pPr>
              <w:rPr>
                <w:rFonts w:cs="Calibri"/>
              </w:rPr>
            </w:pPr>
            <w:r w:rsidRPr="007D15C3">
              <w:rPr>
                <w:rFonts w:cs="Calibri"/>
              </w:rPr>
              <w:t xml:space="preserve">          5,792,048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59A8DB" w14:textId="77777777">
            <w:pPr>
              <w:rPr>
                <w:rFonts w:cs="Calibri"/>
              </w:rPr>
            </w:pPr>
            <w:r w:rsidRPr="007D15C3">
              <w:rPr>
                <w:rFonts w:cs="Calibri"/>
              </w:rPr>
              <w:t xml:space="preserve">            5,564,295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AFB379" w14:textId="77777777">
            <w:pPr>
              <w:jc w:val="right"/>
              <w:rPr>
                <w:rFonts w:cs="Calibri"/>
              </w:rPr>
            </w:pPr>
            <w:r w:rsidRPr="007D15C3">
              <w:rPr>
                <w:rFonts w:cs="Calibri"/>
              </w:rPr>
              <w:t>$43,607</w:t>
            </w:r>
          </w:p>
        </w:tc>
      </w:tr>
      <w:tr w14:paraId="74948E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A9B1FDB" w14:textId="77777777">
            <w:pPr>
              <w:jc w:val="center"/>
              <w:rPr>
                <w:rFonts w:cs="Calibri"/>
              </w:rPr>
            </w:pPr>
            <w:r w:rsidRPr="007D15C3">
              <w:rPr>
                <w:rFonts w:cs="Calibri"/>
              </w:rPr>
              <w:t>21158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21BCF1" w14:textId="77777777">
            <w:pPr>
              <w:jc w:val="center"/>
              <w:rPr>
                <w:rFonts w:cs="Calibri"/>
              </w:rPr>
            </w:pPr>
            <w:r w:rsidRPr="007D15C3">
              <w:rPr>
                <w:rFonts w:cs="Calibri"/>
              </w:rPr>
              <w:t>WWHO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5A6615" w14:textId="77777777">
            <w:pPr>
              <w:rPr>
                <w:rFonts w:cs="Calibri"/>
              </w:rPr>
            </w:pPr>
            <w:r w:rsidRPr="007D15C3">
              <w:rPr>
                <w:rFonts w:cs="Calibri"/>
              </w:rPr>
              <w:t xml:space="preserve">          2,879,726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80B0945" w14:textId="77777777">
            <w:pPr>
              <w:rPr>
                <w:rFonts w:cs="Calibri"/>
              </w:rPr>
            </w:pPr>
            <w:r w:rsidRPr="007D15C3">
              <w:rPr>
                <w:rFonts w:cs="Calibri"/>
              </w:rPr>
              <w:t xml:space="preserve">            2,805,564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6F8D83" w14:textId="77777777">
            <w:pPr>
              <w:jc w:val="right"/>
              <w:rPr>
                <w:rFonts w:cs="Calibri"/>
              </w:rPr>
            </w:pPr>
            <w:r w:rsidRPr="007D15C3">
              <w:rPr>
                <w:rFonts w:cs="Calibri"/>
              </w:rPr>
              <w:t>$21,987</w:t>
            </w:r>
          </w:p>
        </w:tc>
      </w:tr>
      <w:tr w14:paraId="513234A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20B398" w14:textId="77777777">
            <w:pPr>
              <w:jc w:val="center"/>
              <w:rPr>
                <w:rFonts w:cs="Calibri"/>
              </w:rPr>
            </w:pPr>
            <w:r w:rsidRPr="007D15C3">
              <w:rPr>
                <w:rFonts w:cs="Calibri"/>
              </w:rPr>
              <w:t>14682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967901" w14:textId="77777777">
            <w:pPr>
              <w:jc w:val="center"/>
              <w:rPr>
                <w:rFonts w:cs="Calibri"/>
              </w:rPr>
            </w:pPr>
            <w:r w:rsidRPr="007D15C3">
              <w:rPr>
                <w:rFonts w:cs="Calibri"/>
              </w:rPr>
              <w:t>WWJE-DT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ACEA58" w14:textId="77777777">
            <w:pPr>
              <w:rPr>
                <w:rFonts w:cs="Calibri"/>
              </w:rPr>
            </w:pPr>
            <w:r w:rsidRPr="007D15C3">
              <w:rPr>
                <w:rFonts w:cs="Calibri"/>
              </w:rPr>
              <w:t xml:space="preserve">          7,209,571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2A6E752" w14:textId="77777777">
            <w:pPr>
              <w:rPr>
                <w:rFonts w:cs="Calibri"/>
              </w:rPr>
            </w:pPr>
            <w:r w:rsidRPr="007D15C3">
              <w:rPr>
                <w:rFonts w:cs="Calibri"/>
              </w:rPr>
              <w:t xml:space="preserve">            7,084,349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04F4DA" w14:textId="77777777">
            <w:pPr>
              <w:jc w:val="right"/>
              <w:rPr>
                <w:rFonts w:cs="Calibri"/>
              </w:rPr>
            </w:pPr>
            <w:r w:rsidRPr="007D15C3">
              <w:rPr>
                <w:rFonts w:cs="Calibri"/>
              </w:rPr>
              <w:t>$55,520</w:t>
            </w:r>
          </w:p>
        </w:tc>
      </w:tr>
      <w:tr w14:paraId="30EFEE5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E1AB2E7" w14:textId="77777777">
            <w:pPr>
              <w:jc w:val="center"/>
              <w:rPr>
                <w:rFonts w:cs="Calibri"/>
              </w:rPr>
            </w:pPr>
            <w:r w:rsidRPr="007D15C3">
              <w:rPr>
                <w:rFonts w:cs="Calibri"/>
              </w:rPr>
              <w:t>72123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14DFF4B" w14:textId="77777777">
            <w:pPr>
              <w:jc w:val="center"/>
              <w:rPr>
                <w:rFonts w:cs="Calibri"/>
              </w:rPr>
            </w:pPr>
            <w:r w:rsidRPr="007D15C3">
              <w:rPr>
                <w:rFonts w:cs="Calibri"/>
              </w:rPr>
              <w:t>WWJ-TV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479CA4" w14:textId="77777777">
            <w:pPr>
              <w:rPr>
                <w:rFonts w:cs="Calibri"/>
              </w:rPr>
            </w:pPr>
            <w:r w:rsidRPr="007D15C3">
              <w:rPr>
                <w:rFonts w:cs="Calibri"/>
              </w:rPr>
              <w:t xml:space="preserve">          5,374,064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51027E" w14:textId="77777777">
            <w:pPr>
              <w:rPr>
                <w:rFonts w:cs="Calibri"/>
              </w:rPr>
            </w:pPr>
            <w:r w:rsidRPr="007D15C3">
              <w:rPr>
                <w:rFonts w:cs="Calibri"/>
              </w:rPr>
              <w:t xml:space="preserve">            5,373,712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D9571E" w14:textId="77777777">
            <w:pPr>
              <w:jc w:val="right"/>
              <w:rPr>
                <w:rFonts w:cs="Calibri"/>
              </w:rPr>
            </w:pPr>
            <w:r w:rsidRPr="007D15C3">
              <w:rPr>
                <w:rFonts w:cs="Calibri"/>
              </w:rPr>
              <w:t>$42,114</w:t>
            </w:r>
          </w:p>
        </w:tc>
      </w:tr>
      <w:tr w14:paraId="7A3914AC"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F9774A4" w14:textId="77777777">
            <w:pPr>
              <w:jc w:val="center"/>
              <w:rPr>
                <w:rFonts w:cs="Calibri"/>
              </w:rPr>
            </w:pPr>
            <w:r w:rsidRPr="007D15C3">
              <w:rPr>
                <w:rFonts w:cs="Calibri"/>
              </w:rPr>
              <w:t>166512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7062AD23" w14:textId="77777777">
            <w:pPr>
              <w:jc w:val="center"/>
              <w:rPr>
                <w:rFonts w:cs="Calibri"/>
              </w:rPr>
            </w:pPr>
            <w:r w:rsidRPr="007D15C3">
              <w:rPr>
                <w:rFonts w:cs="Calibri"/>
              </w:rPr>
              <w:t>WWJX</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49917C5" w14:textId="77777777">
            <w:pPr>
              <w:rPr>
                <w:rFonts w:cs="Calibri"/>
              </w:rPr>
            </w:pPr>
            <w:r w:rsidRPr="007D15C3">
              <w:rPr>
                <w:rFonts w:cs="Calibri"/>
              </w:rPr>
              <w:t xml:space="preserve">             518,866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031A460" w14:textId="77777777">
            <w:pPr>
              <w:rPr>
                <w:rFonts w:cs="Calibri"/>
              </w:rPr>
            </w:pPr>
            <w:r w:rsidRPr="007D15C3">
              <w:rPr>
                <w:rFonts w:cs="Calibri"/>
              </w:rPr>
              <w:t xml:space="preserve">               518,846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1B7BDF7A" w14:textId="77777777">
            <w:pPr>
              <w:jc w:val="right"/>
              <w:rPr>
                <w:rFonts w:cs="Calibri"/>
              </w:rPr>
            </w:pPr>
            <w:r w:rsidRPr="007D15C3">
              <w:rPr>
                <w:rFonts w:cs="Calibri"/>
              </w:rPr>
              <w:t>$4,066</w:t>
            </w:r>
          </w:p>
        </w:tc>
      </w:tr>
      <w:tr w14:paraId="4E9ED63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ADB0404" w14:textId="77777777">
            <w:pPr>
              <w:jc w:val="center"/>
              <w:rPr>
                <w:rFonts w:cs="Calibri"/>
              </w:rPr>
            </w:pPr>
            <w:r w:rsidRPr="007D15C3">
              <w:rPr>
                <w:rFonts w:cs="Calibri"/>
              </w:rPr>
              <w:t>6868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F35FF45" w14:textId="77777777">
            <w:pPr>
              <w:jc w:val="center"/>
              <w:rPr>
                <w:rFonts w:cs="Calibri"/>
              </w:rPr>
            </w:pPr>
            <w:r w:rsidRPr="007D15C3">
              <w:rPr>
                <w:rFonts w:cs="Calibri"/>
              </w:rPr>
              <w:t>WWLP</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8ED09D" w14:textId="77777777">
            <w:pPr>
              <w:rPr>
                <w:rFonts w:cs="Calibri"/>
              </w:rPr>
            </w:pPr>
            <w:r w:rsidRPr="007D15C3">
              <w:rPr>
                <w:rFonts w:cs="Calibri"/>
              </w:rPr>
              <w:t xml:space="preserve">          3,838,272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E5C2A5" w14:textId="77777777">
            <w:pPr>
              <w:rPr>
                <w:rFonts w:cs="Calibri"/>
              </w:rPr>
            </w:pPr>
            <w:r w:rsidRPr="007D15C3">
              <w:rPr>
                <w:rFonts w:cs="Calibri"/>
              </w:rPr>
              <w:t xml:space="preserve">            3,077,800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36902D7" w14:textId="77777777">
            <w:pPr>
              <w:jc w:val="right"/>
              <w:rPr>
                <w:rFonts w:cs="Calibri"/>
              </w:rPr>
            </w:pPr>
            <w:r w:rsidRPr="007D15C3">
              <w:rPr>
                <w:rFonts w:cs="Calibri"/>
              </w:rPr>
              <w:t>$24,121</w:t>
            </w:r>
          </w:p>
        </w:tc>
      </w:tr>
      <w:tr w14:paraId="09DE680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8CA2DE" w14:textId="77777777">
            <w:pPr>
              <w:jc w:val="center"/>
              <w:rPr>
                <w:rFonts w:cs="Calibri"/>
              </w:rPr>
            </w:pPr>
            <w:r w:rsidRPr="007D15C3">
              <w:rPr>
                <w:rFonts w:cs="Calibri"/>
              </w:rPr>
              <w:t>74192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45102E7" w14:textId="77777777">
            <w:pPr>
              <w:jc w:val="center"/>
              <w:rPr>
                <w:rFonts w:cs="Calibri"/>
              </w:rPr>
            </w:pPr>
            <w:r w:rsidRPr="007D15C3">
              <w:rPr>
                <w:rFonts w:cs="Calibri"/>
              </w:rPr>
              <w:t>WWL-TV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E9331C" w14:textId="77777777">
            <w:pPr>
              <w:rPr>
                <w:rFonts w:cs="Calibri"/>
              </w:rPr>
            </w:pPr>
            <w:r w:rsidRPr="007D15C3">
              <w:rPr>
                <w:rFonts w:cs="Calibri"/>
              </w:rPr>
              <w:t xml:space="preserve">          1,756,442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5A6ED2" w14:textId="77777777">
            <w:pPr>
              <w:rPr>
                <w:rFonts w:cs="Calibri"/>
              </w:rPr>
            </w:pPr>
            <w:r w:rsidRPr="007D15C3">
              <w:rPr>
                <w:rFonts w:cs="Calibri"/>
              </w:rPr>
              <w:t xml:space="preserve">            1,756,442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5A4A3B" w14:textId="77777777">
            <w:pPr>
              <w:jc w:val="right"/>
              <w:rPr>
                <w:rFonts w:cs="Calibri"/>
              </w:rPr>
            </w:pPr>
            <w:r w:rsidRPr="007D15C3">
              <w:rPr>
                <w:rFonts w:cs="Calibri"/>
              </w:rPr>
              <w:t>$13,765</w:t>
            </w:r>
          </w:p>
        </w:tc>
      </w:tr>
      <w:tr w14:paraId="5BD130F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4A20B9" w14:textId="77777777">
            <w:pPr>
              <w:jc w:val="center"/>
              <w:rPr>
                <w:rFonts w:cs="Calibri"/>
              </w:rPr>
            </w:pPr>
            <w:r w:rsidRPr="007D15C3">
              <w:rPr>
                <w:rFonts w:cs="Calibri"/>
              </w:rPr>
              <w:t>3133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AD631ED" w14:textId="77777777">
            <w:pPr>
              <w:jc w:val="center"/>
              <w:rPr>
                <w:rFonts w:cs="Calibri"/>
              </w:rPr>
            </w:pPr>
            <w:r w:rsidRPr="007D15C3">
              <w:rPr>
                <w:rFonts w:cs="Calibri"/>
              </w:rPr>
              <w:t>WWMB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4606F9" w14:textId="77777777">
            <w:pPr>
              <w:rPr>
                <w:rFonts w:cs="Calibri"/>
              </w:rPr>
            </w:pPr>
            <w:r w:rsidRPr="007D15C3">
              <w:rPr>
                <w:rFonts w:cs="Calibri"/>
              </w:rPr>
              <w:t xml:space="preserve">          1,460,406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78648EF" w14:textId="77777777">
            <w:pPr>
              <w:rPr>
                <w:rFonts w:cs="Calibri"/>
              </w:rPr>
            </w:pPr>
            <w:r w:rsidRPr="007D15C3">
              <w:rPr>
                <w:rFonts w:cs="Calibri"/>
              </w:rPr>
              <w:t xml:space="preserve">            1,458,374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5A8E7CC" w14:textId="77777777">
            <w:pPr>
              <w:jc w:val="right"/>
              <w:rPr>
                <w:rFonts w:cs="Calibri"/>
              </w:rPr>
            </w:pPr>
            <w:r w:rsidRPr="007D15C3">
              <w:rPr>
                <w:rFonts w:cs="Calibri"/>
              </w:rPr>
              <w:t>$11,429</w:t>
            </w:r>
          </w:p>
        </w:tc>
      </w:tr>
      <w:tr w14:paraId="0681641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3501B85" w14:textId="77777777">
            <w:pPr>
              <w:jc w:val="center"/>
              <w:rPr>
                <w:rFonts w:cs="Calibri"/>
              </w:rPr>
            </w:pPr>
            <w:r w:rsidRPr="007D15C3">
              <w:rPr>
                <w:rFonts w:cs="Calibri"/>
              </w:rPr>
              <w:t>74195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33C821A" w14:textId="77777777">
            <w:pPr>
              <w:jc w:val="center"/>
              <w:rPr>
                <w:rFonts w:cs="Calibri"/>
              </w:rPr>
            </w:pPr>
            <w:r w:rsidRPr="007D15C3">
              <w:rPr>
                <w:rFonts w:cs="Calibri"/>
              </w:rPr>
              <w:t>WWMT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57EF8C" w14:textId="77777777">
            <w:pPr>
              <w:rPr>
                <w:rFonts w:cs="Calibri"/>
              </w:rPr>
            </w:pPr>
            <w:r w:rsidRPr="007D15C3">
              <w:rPr>
                <w:rFonts w:cs="Calibri"/>
              </w:rPr>
              <w:t xml:space="preserve">          2,460,942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8D9F02" w14:textId="77777777">
            <w:pPr>
              <w:rPr>
                <w:rFonts w:cs="Calibri"/>
              </w:rPr>
            </w:pPr>
            <w:r w:rsidRPr="007D15C3">
              <w:rPr>
                <w:rFonts w:cs="Calibri"/>
              </w:rPr>
              <w:t xml:space="preserve">            2,455,432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19DEB4" w14:textId="77777777">
            <w:pPr>
              <w:jc w:val="right"/>
              <w:rPr>
                <w:rFonts w:cs="Calibri"/>
              </w:rPr>
            </w:pPr>
            <w:r w:rsidRPr="007D15C3">
              <w:rPr>
                <w:rFonts w:cs="Calibri"/>
              </w:rPr>
              <w:t>$19,243</w:t>
            </w:r>
          </w:p>
        </w:tc>
      </w:tr>
      <w:tr w14:paraId="6BC3237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CEA0294" w14:textId="77777777">
            <w:pPr>
              <w:jc w:val="center"/>
              <w:rPr>
                <w:rFonts w:cs="Calibri"/>
              </w:rPr>
            </w:pPr>
            <w:r w:rsidRPr="007D15C3">
              <w:rPr>
                <w:rFonts w:cs="Calibri"/>
              </w:rPr>
              <w:t>68851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871A608" w14:textId="77777777">
            <w:pPr>
              <w:jc w:val="center"/>
              <w:rPr>
                <w:rFonts w:cs="Calibri"/>
              </w:rPr>
            </w:pPr>
            <w:r w:rsidRPr="007D15C3">
              <w:rPr>
                <w:rFonts w:cs="Calibri"/>
              </w:rPr>
              <w:t>WWNY-TV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FB5893" w14:textId="77777777">
            <w:pPr>
              <w:rPr>
                <w:rFonts w:cs="Calibri"/>
              </w:rPr>
            </w:pPr>
            <w:r w:rsidRPr="007D15C3">
              <w:rPr>
                <w:rFonts w:cs="Calibri"/>
              </w:rPr>
              <w:t xml:space="preserve">             365,677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81C6D0" w14:textId="77777777">
            <w:pPr>
              <w:rPr>
                <w:rFonts w:cs="Calibri"/>
              </w:rPr>
            </w:pPr>
            <w:r w:rsidRPr="007D15C3">
              <w:rPr>
                <w:rFonts w:cs="Calibri"/>
              </w:rPr>
              <w:t xml:space="preserve">               341,029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8B4D103" w14:textId="77777777">
            <w:pPr>
              <w:jc w:val="right"/>
              <w:rPr>
                <w:rFonts w:cs="Calibri"/>
              </w:rPr>
            </w:pPr>
            <w:r w:rsidRPr="007D15C3">
              <w:rPr>
                <w:rFonts w:cs="Calibri"/>
              </w:rPr>
              <w:t>$2,673</w:t>
            </w:r>
          </w:p>
        </w:tc>
      </w:tr>
      <w:tr w14:paraId="628B9EC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33D7EE" w14:textId="77777777">
            <w:pPr>
              <w:jc w:val="center"/>
              <w:rPr>
                <w:rFonts w:cs="Calibri"/>
              </w:rPr>
            </w:pPr>
            <w:r w:rsidRPr="007D15C3">
              <w:rPr>
                <w:rFonts w:cs="Calibri"/>
              </w:rPr>
              <w:t>74197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EFA7B1" w14:textId="77777777">
            <w:pPr>
              <w:jc w:val="center"/>
              <w:rPr>
                <w:rFonts w:cs="Calibri"/>
              </w:rPr>
            </w:pPr>
            <w:r w:rsidRPr="007D15C3">
              <w:rPr>
                <w:rFonts w:cs="Calibri"/>
              </w:rPr>
              <w:t>WWOR-TV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01102A" w14:textId="77777777">
            <w:pPr>
              <w:rPr>
                <w:rFonts w:cs="Calibri"/>
              </w:rPr>
            </w:pPr>
            <w:r w:rsidRPr="007D15C3">
              <w:rPr>
                <w:rFonts w:cs="Calibri"/>
              </w:rPr>
              <w:t xml:space="preserve">        19,853,836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3D5CD16" w14:textId="77777777">
            <w:pPr>
              <w:rPr>
                <w:rFonts w:cs="Calibri"/>
              </w:rPr>
            </w:pPr>
            <w:r w:rsidRPr="007D15C3">
              <w:rPr>
                <w:rFonts w:cs="Calibri"/>
              </w:rPr>
              <w:t xml:space="preserve">          19,615,370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2996D0" w14:textId="77777777">
            <w:pPr>
              <w:jc w:val="right"/>
              <w:rPr>
                <w:rFonts w:cs="Calibri"/>
              </w:rPr>
            </w:pPr>
            <w:r w:rsidRPr="007D15C3">
              <w:rPr>
                <w:rFonts w:cs="Calibri"/>
              </w:rPr>
              <w:t>$153,726</w:t>
            </w:r>
          </w:p>
        </w:tc>
      </w:tr>
      <w:tr w14:paraId="6995EF9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5608E3" w14:textId="77777777">
            <w:pPr>
              <w:jc w:val="center"/>
              <w:rPr>
                <w:rFonts w:cs="Calibri"/>
              </w:rPr>
            </w:pPr>
            <w:r w:rsidRPr="007D15C3">
              <w:rPr>
                <w:rFonts w:cs="Calibri"/>
              </w:rPr>
              <w:t>65943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C9FBDD5" w14:textId="77777777">
            <w:pPr>
              <w:jc w:val="center"/>
              <w:rPr>
                <w:rFonts w:cs="Calibri"/>
              </w:rPr>
            </w:pPr>
            <w:r w:rsidRPr="007D15C3">
              <w:rPr>
                <w:rFonts w:cs="Calibri"/>
              </w:rPr>
              <w:t>WWPB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429EA0" w14:textId="77777777">
            <w:pPr>
              <w:rPr>
                <w:rFonts w:cs="Calibri"/>
              </w:rPr>
            </w:pPr>
            <w:r w:rsidRPr="007D15C3">
              <w:rPr>
                <w:rFonts w:cs="Calibri"/>
              </w:rPr>
              <w:t xml:space="preserve">          2,015,352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1CC188B" w14:textId="77777777">
            <w:pPr>
              <w:rPr>
                <w:rFonts w:cs="Calibri"/>
              </w:rPr>
            </w:pPr>
            <w:r w:rsidRPr="007D15C3">
              <w:rPr>
                <w:rFonts w:cs="Calibri"/>
              </w:rPr>
              <w:t xml:space="preserve">            1,691,003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D68415" w14:textId="77777777">
            <w:pPr>
              <w:jc w:val="right"/>
              <w:rPr>
                <w:rFonts w:cs="Calibri"/>
              </w:rPr>
            </w:pPr>
            <w:r w:rsidRPr="007D15C3">
              <w:rPr>
                <w:rFonts w:cs="Calibri"/>
              </w:rPr>
              <w:t>$13,252</w:t>
            </w:r>
          </w:p>
        </w:tc>
      </w:tr>
      <w:tr w14:paraId="6E6A46E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8149AFE" w14:textId="77777777">
            <w:pPr>
              <w:jc w:val="center"/>
              <w:rPr>
                <w:rFonts w:cs="Calibri"/>
              </w:rPr>
            </w:pPr>
            <w:r w:rsidRPr="007D15C3">
              <w:rPr>
                <w:rFonts w:cs="Calibri"/>
              </w:rPr>
              <w:t>23264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98ACBC8" w14:textId="77777777">
            <w:pPr>
              <w:jc w:val="center"/>
              <w:rPr>
                <w:rFonts w:cs="Calibri"/>
              </w:rPr>
            </w:pPr>
            <w:r w:rsidRPr="007D15C3">
              <w:rPr>
                <w:rFonts w:cs="Calibri"/>
              </w:rPr>
              <w:t>WWPX-TV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B87267" w14:textId="77777777">
            <w:pPr>
              <w:rPr>
                <w:rFonts w:cs="Calibri"/>
              </w:rPr>
            </w:pPr>
            <w:r w:rsidRPr="007D15C3">
              <w:rPr>
                <w:rFonts w:cs="Calibri"/>
              </w:rPr>
              <w:t xml:space="preserve">          3,892,904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B099C7B" w14:textId="77777777">
            <w:pPr>
              <w:rPr>
                <w:rFonts w:cs="Calibri"/>
              </w:rPr>
            </w:pPr>
            <w:r w:rsidRPr="007D15C3">
              <w:rPr>
                <w:rFonts w:cs="Calibri"/>
              </w:rPr>
              <w:t xml:space="preserve">            3,196,922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AC4E3F6" w14:textId="77777777">
            <w:pPr>
              <w:jc w:val="right"/>
              <w:rPr>
                <w:rFonts w:cs="Calibri"/>
              </w:rPr>
            </w:pPr>
            <w:r w:rsidRPr="007D15C3">
              <w:rPr>
                <w:rFonts w:cs="Calibri"/>
              </w:rPr>
              <w:t>$25,054</w:t>
            </w:r>
          </w:p>
        </w:tc>
      </w:tr>
      <w:tr w14:paraId="7258B8D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300E52" w14:textId="77777777">
            <w:pPr>
              <w:jc w:val="center"/>
              <w:rPr>
                <w:rFonts w:cs="Calibri"/>
              </w:rPr>
            </w:pPr>
            <w:r w:rsidRPr="007D15C3">
              <w:rPr>
                <w:rFonts w:cs="Calibri"/>
              </w:rPr>
              <w:t>68547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4A2555B" w14:textId="77777777">
            <w:pPr>
              <w:jc w:val="center"/>
              <w:rPr>
                <w:rFonts w:cs="Calibri"/>
              </w:rPr>
            </w:pPr>
            <w:r w:rsidRPr="007D15C3">
              <w:rPr>
                <w:rFonts w:cs="Calibri"/>
              </w:rPr>
              <w:t>WWRS-TV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2B13763" w14:textId="77777777">
            <w:pPr>
              <w:rPr>
                <w:rFonts w:cs="Calibri"/>
              </w:rPr>
            </w:pPr>
            <w:r w:rsidRPr="007D15C3">
              <w:rPr>
                <w:rFonts w:cs="Calibri"/>
              </w:rPr>
              <w:t xml:space="preserve">          2,235,958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A694B3" w14:textId="77777777">
            <w:pPr>
              <w:rPr>
                <w:rFonts w:cs="Calibri"/>
              </w:rPr>
            </w:pPr>
            <w:r w:rsidRPr="007D15C3">
              <w:rPr>
                <w:rFonts w:cs="Calibri"/>
              </w:rPr>
              <w:t xml:space="preserve">            2,212,123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A378A9" w14:textId="77777777">
            <w:pPr>
              <w:jc w:val="right"/>
              <w:rPr>
                <w:rFonts w:cs="Calibri"/>
              </w:rPr>
            </w:pPr>
            <w:r w:rsidRPr="007D15C3">
              <w:rPr>
                <w:rFonts w:cs="Calibri"/>
              </w:rPr>
              <w:t>$17,336</w:t>
            </w:r>
          </w:p>
        </w:tc>
      </w:tr>
      <w:tr w14:paraId="712C08F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0B915CF" w14:textId="77777777">
            <w:pPr>
              <w:jc w:val="center"/>
              <w:rPr>
                <w:rFonts w:cs="Calibri"/>
              </w:rPr>
            </w:pPr>
            <w:r w:rsidRPr="007D15C3">
              <w:rPr>
                <w:rFonts w:cs="Calibri"/>
              </w:rPr>
              <w:t>61251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7867519" w14:textId="77777777">
            <w:pPr>
              <w:jc w:val="center"/>
              <w:rPr>
                <w:rFonts w:cs="Calibri"/>
              </w:rPr>
            </w:pPr>
            <w:r w:rsidRPr="007D15C3">
              <w:rPr>
                <w:rFonts w:cs="Calibri"/>
              </w:rPr>
              <w:t>WWSB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472430" w14:textId="77777777">
            <w:pPr>
              <w:rPr>
                <w:rFonts w:cs="Calibri"/>
              </w:rPr>
            </w:pPr>
            <w:r w:rsidRPr="007D15C3">
              <w:rPr>
                <w:rFonts w:cs="Calibri"/>
              </w:rPr>
              <w:t xml:space="preserve">          3,340,133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4412B0" w14:textId="77777777">
            <w:pPr>
              <w:rPr>
                <w:rFonts w:cs="Calibri"/>
              </w:rPr>
            </w:pPr>
            <w:r w:rsidRPr="007D15C3">
              <w:rPr>
                <w:rFonts w:cs="Calibri"/>
              </w:rPr>
              <w:t xml:space="preserve">            3,340,133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8DCE32" w14:textId="77777777">
            <w:pPr>
              <w:jc w:val="right"/>
              <w:rPr>
                <w:rFonts w:cs="Calibri"/>
              </w:rPr>
            </w:pPr>
            <w:r w:rsidRPr="007D15C3">
              <w:rPr>
                <w:rFonts w:cs="Calibri"/>
              </w:rPr>
              <w:t>$26,177</w:t>
            </w:r>
          </w:p>
        </w:tc>
      </w:tr>
      <w:tr w14:paraId="4EFE8A0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161ADEC" w14:textId="77777777">
            <w:pPr>
              <w:jc w:val="center"/>
              <w:rPr>
                <w:rFonts w:cs="Calibri"/>
              </w:rPr>
            </w:pPr>
            <w:r w:rsidRPr="007D15C3">
              <w:rPr>
                <w:rFonts w:cs="Calibri"/>
              </w:rPr>
              <w:t>23142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5A12AC" w14:textId="77777777">
            <w:pPr>
              <w:jc w:val="center"/>
              <w:rPr>
                <w:rFonts w:cs="Calibri"/>
              </w:rPr>
            </w:pPr>
            <w:r w:rsidRPr="007D15C3">
              <w:rPr>
                <w:rFonts w:cs="Calibri"/>
              </w:rPr>
              <w:t>WWSI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8B2574" w14:textId="77777777">
            <w:pPr>
              <w:rPr>
                <w:rFonts w:cs="Calibri"/>
              </w:rPr>
            </w:pPr>
            <w:r w:rsidRPr="007D15C3">
              <w:rPr>
                <w:rFonts w:cs="Calibri"/>
              </w:rPr>
              <w:t xml:space="preserve">        11,269,831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A28AC3B" w14:textId="77777777">
            <w:pPr>
              <w:rPr>
                <w:rFonts w:cs="Calibri"/>
              </w:rPr>
            </w:pPr>
            <w:r w:rsidRPr="007D15C3">
              <w:rPr>
                <w:rFonts w:cs="Calibri"/>
              </w:rPr>
              <w:t xml:space="preserve">          11,098,540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642C26" w14:textId="77777777">
            <w:pPr>
              <w:jc w:val="right"/>
              <w:rPr>
                <w:rFonts w:cs="Calibri"/>
              </w:rPr>
            </w:pPr>
            <w:r w:rsidRPr="007D15C3">
              <w:rPr>
                <w:rFonts w:cs="Calibri"/>
              </w:rPr>
              <w:t>$86,979</w:t>
            </w:r>
          </w:p>
        </w:tc>
      </w:tr>
      <w:tr w14:paraId="08355C4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602927A" w14:textId="77777777">
            <w:pPr>
              <w:jc w:val="center"/>
              <w:rPr>
                <w:rFonts w:cs="Calibri"/>
              </w:rPr>
            </w:pPr>
            <w:r w:rsidRPr="007D15C3">
              <w:rPr>
                <w:rFonts w:cs="Calibri"/>
              </w:rPr>
              <w:t>16747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BA1AEC" w14:textId="77777777">
            <w:pPr>
              <w:jc w:val="center"/>
              <w:rPr>
                <w:rFonts w:cs="Calibri"/>
              </w:rPr>
            </w:pPr>
            <w:r w:rsidRPr="007D15C3">
              <w:rPr>
                <w:rFonts w:cs="Calibri"/>
              </w:rPr>
              <w:t>WWTI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A7D050" w14:textId="77777777">
            <w:pPr>
              <w:rPr>
                <w:rFonts w:cs="Calibri"/>
              </w:rPr>
            </w:pPr>
            <w:r w:rsidRPr="007D15C3">
              <w:rPr>
                <w:rFonts w:cs="Calibri"/>
              </w:rPr>
              <w:t xml:space="preserve">             196,531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9EF5B37" w14:textId="77777777">
            <w:pPr>
              <w:rPr>
                <w:rFonts w:cs="Calibri"/>
              </w:rPr>
            </w:pPr>
            <w:r w:rsidRPr="007D15C3">
              <w:rPr>
                <w:rFonts w:cs="Calibri"/>
              </w:rPr>
              <w:t xml:space="preserve">               190,097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8B11C5" w14:textId="77777777">
            <w:pPr>
              <w:jc w:val="right"/>
              <w:rPr>
                <w:rFonts w:cs="Calibri"/>
              </w:rPr>
            </w:pPr>
            <w:r w:rsidRPr="007D15C3">
              <w:rPr>
                <w:rFonts w:cs="Calibri"/>
              </w:rPr>
              <w:t>$1,490</w:t>
            </w:r>
          </w:p>
        </w:tc>
      </w:tr>
      <w:tr w14:paraId="619157A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222D67C" w14:textId="77777777">
            <w:pPr>
              <w:jc w:val="center"/>
              <w:rPr>
                <w:rFonts w:cs="Calibri"/>
              </w:rPr>
            </w:pPr>
            <w:r w:rsidRPr="007D15C3">
              <w:rPr>
                <w:rFonts w:cs="Calibri"/>
              </w:rPr>
              <w:t>998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D8B04BA" w14:textId="77777777">
            <w:pPr>
              <w:jc w:val="center"/>
              <w:rPr>
                <w:rFonts w:cs="Calibri"/>
              </w:rPr>
            </w:pPr>
            <w:r w:rsidRPr="007D15C3">
              <w:rPr>
                <w:rFonts w:cs="Calibri"/>
              </w:rPr>
              <w:t>WWTO-TV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9411776" w14:textId="77777777">
            <w:pPr>
              <w:rPr>
                <w:rFonts w:cs="Calibri"/>
              </w:rPr>
            </w:pPr>
            <w:r w:rsidRPr="007D15C3">
              <w:rPr>
                <w:rFonts w:cs="Calibri"/>
              </w:rPr>
              <w:t xml:space="preserve">          5,541,816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12DC3B6" w14:textId="77777777">
            <w:pPr>
              <w:rPr>
                <w:rFonts w:cs="Calibri"/>
              </w:rPr>
            </w:pPr>
            <w:r w:rsidRPr="007D15C3">
              <w:rPr>
                <w:rFonts w:cs="Calibri"/>
              </w:rPr>
              <w:t xml:space="preserve">            5,541,816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B9FFA7" w14:textId="77777777">
            <w:pPr>
              <w:jc w:val="right"/>
              <w:rPr>
                <w:rFonts w:cs="Calibri"/>
              </w:rPr>
            </w:pPr>
            <w:r w:rsidRPr="007D15C3">
              <w:rPr>
                <w:rFonts w:cs="Calibri"/>
              </w:rPr>
              <w:t>$43,431</w:t>
            </w:r>
          </w:p>
        </w:tc>
      </w:tr>
      <w:tr w14:paraId="160165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FDD4F8E" w14:textId="77777777">
            <w:pPr>
              <w:jc w:val="center"/>
              <w:rPr>
                <w:rFonts w:cs="Calibri"/>
              </w:rPr>
            </w:pPr>
            <w:r w:rsidRPr="007D15C3">
              <w:rPr>
                <w:rFonts w:cs="Calibri"/>
              </w:rPr>
              <w:t>26994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0841CDE9" w14:textId="77777777">
            <w:pPr>
              <w:jc w:val="center"/>
              <w:rPr>
                <w:rFonts w:cs="Calibri"/>
              </w:rPr>
            </w:pPr>
            <w:r w:rsidRPr="007D15C3">
              <w:rPr>
                <w:rFonts w:cs="Calibri"/>
              </w:rPr>
              <w:t>WWTV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F851685" w14:textId="77777777">
            <w:pPr>
              <w:rPr>
                <w:rFonts w:cs="Calibri"/>
              </w:rPr>
            </w:pPr>
            <w:r w:rsidRPr="007D15C3">
              <w:rPr>
                <w:rFonts w:cs="Calibri"/>
              </w:rPr>
              <w:t xml:space="preserve">          1,034,174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BDD2F9" w14:textId="77777777">
            <w:pPr>
              <w:rPr>
                <w:rFonts w:cs="Calibri"/>
              </w:rPr>
            </w:pPr>
            <w:r w:rsidRPr="007D15C3">
              <w:rPr>
                <w:rFonts w:cs="Calibri"/>
              </w:rPr>
              <w:t xml:space="preserve">            1,022,322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534818" w14:textId="77777777">
            <w:pPr>
              <w:jc w:val="right"/>
              <w:rPr>
                <w:rFonts w:cs="Calibri"/>
              </w:rPr>
            </w:pPr>
            <w:r w:rsidRPr="007D15C3">
              <w:rPr>
                <w:rFonts w:cs="Calibri"/>
              </w:rPr>
              <w:t>$8,012</w:t>
            </w:r>
          </w:p>
        </w:tc>
      </w:tr>
      <w:tr w14:paraId="4D581F0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EA2ED0E" w14:textId="77777777">
            <w:pPr>
              <w:jc w:val="center"/>
              <w:rPr>
                <w:rFonts w:cs="Calibri"/>
              </w:rPr>
            </w:pPr>
            <w:r w:rsidRPr="007D15C3">
              <w:rPr>
                <w:rFonts w:cs="Calibri"/>
              </w:rPr>
              <w:t>84214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B6D17D2" w14:textId="77777777">
            <w:pPr>
              <w:jc w:val="center"/>
              <w:rPr>
                <w:rFonts w:cs="Calibri"/>
              </w:rPr>
            </w:pPr>
            <w:r w:rsidRPr="007D15C3">
              <w:rPr>
                <w:rFonts w:cs="Calibri"/>
              </w:rPr>
              <w:t>WWTW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37A843" w14:textId="77777777">
            <w:pPr>
              <w:rPr>
                <w:rFonts w:cs="Calibri"/>
              </w:rPr>
            </w:pPr>
            <w:r w:rsidRPr="007D15C3">
              <w:rPr>
                <w:rFonts w:cs="Calibri"/>
              </w:rPr>
              <w:t xml:space="preserve">          1,527,511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3EC512" w14:textId="77777777">
            <w:pPr>
              <w:rPr>
                <w:rFonts w:cs="Calibri"/>
              </w:rPr>
            </w:pPr>
            <w:r w:rsidRPr="007D15C3">
              <w:rPr>
                <w:rFonts w:cs="Calibri"/>
              </w:rPr>
              <w:t xml:space="preserve">            1,526,625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1AF5E5" w14:textId="77777777">
            <w:pPr>
              <w:jc w:val="right"/>
              <w:rPr>
                <w:rFonts w:cs="Calibri"/>
              </w:rPr>
            </w:pPr>
            <w:r w:rsidRPr="007D15C3">
              <w:rPr>
                <w:rFonts w:cs="Calibri"/>
              </w:rPr>
              <w:t>$11,964</w:t>
            </w:r>
          </w:p>
        </w:tc>
      </w:tr>
      <w:tr w14:paraId="25CF0933"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AC5AF0" w14:textId="77777777">
            <w:pPr>
              <w:jc w:val="center"/>
              <w:rPr>
                <w:rFonts w:cs="Calibri"/>
              </w:rPr>
            </w:pPr>
            <w:r w:rsidRPr="007D15C3">
              <w:rPr>
                <w:rFonts w:cs="Calibri"/>
              </w:rPr>
              <w:t>26993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2996E3" w14:textId="77777777">
            <w:pPr>
              <w:jc w:val="center"/>
              <w:rPr>
                <w:rFonts w:cs="Calibri"/>
              </w:rPr>
            </w:pPr>
            <w:r w:rsidRPr="007D15C3">
              <w:rPr>
                <w:rFonts w:cs="Calibri"/>
              </w:rPr>
              <w:t>WWUP-TV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18E32F2" w14:textId="77777777">
            <w:pPr>
              <w:rPr>
                <w:rFonts w:cs="Calibri"/>
              </w:rPr>
            </w:pPr>
            <w:r w:rsidRPr="007D15C3">
              <w:rPr>
                <w:rFonts w:cs="Calibri"/>
              </w:rPr>
              <w:t xml:space="preserve">             116,638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453566" w14:textId="77777777">
            <w:pPr>
              <w:rPr>
                <w:rFonts w:cs="Calibri"/>
              </w:rPr>
            </w:pPr>
            <w:r w:rsidRPr="007D15C3">
              <w:rPr>
                <w:rFonts w:cs="Calibri"/>
              </w:rPr>
              <w:t xml:space="preserve">               110,592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1E4878" w14:textId="77777777">
            <w:pPr>
              <w:jc w:val="right"/>
              <w:rPr>
                <w:rFonts w:cs="Calibri"/>
              </w:rPr>
            </w:pPr>
            <w:r w:rsidRPr="007D15C3">
              <w:rPr>
                <w:rFonts w:cs="Calibri"/>
              </w:rPr>
              <w:t>$867</w:t>
            </w:r>
          </w:p>
        </w:tc>
      </w:tr>
      <w:tr w14:paraId="2558D05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2A0A8B2" w14:textId="77777777">
            <w:pPr>
              <w:jc w:val="center"/>
              <w:rPr>
                <w:rFonts w:cs="Calibri"/>
              </w:rPr>
            </w:pPr>
            <w:r w:rsidRPr="007D15C3">
              <w:rPr>
                <w:rFonts w:cs="Calibri"/>
              </w:rPr>
              <w:t>23338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8746CDC" w14:textId="77777777">
            <w:pPr>
              <w:jc w:val="center"/>
              <w:rPr>
                <w:rFonts w:cs="Calibri"/>
              </w:rPr>
            </w:pPr>
            <w:r w:rsidRPr="007D15C3">
              <w:rPr>
                <w:rFonts w:cs="Calibri"/>
              </w:rPr>
              <w:t>WXBU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81169A" w14:textId="77777777">
            <w:pPr>
              <w:rPr>
                <w:rFonts w:cs="Calibri"/>
              </w:rPr>
            </w:pPr>
            <w:r w:rsidRPr="007D15C3">
              <w:rPr>
                <w:rFonts w:cs="Calibri"/>
              </w:rPr>
              <w:t xml:space="preserve">          4,030,693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4CF441" w14:textId="77777777">
            <w:pPr>
              <w:rPr>
                <w:rFonts w:cs="Calibri"/>
              </w:rPr>
            </w:pPr>
            <w:r w:rsidRPr="007D15C3">
              <w:rPr>
                <w:rFonts w:cs="Calibri"/>
              </w:rPr>
              <w:t xml:space="preserve">            3,538,096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432114" w14:textId="77777777">
            <w:pPr>
              <w:jc w:val="right"/>
              <w:rPr>
                <w:rFonts w:cs="Calibri"/>
              </w:rPr>
            </w:pPr>
            <w:r w:rsidRPr="007D15C3">
              <w:rPr>
                <w:rFonts w:cs="Calibri"/>
              </w:rPr>
              <w:t>$27,728</w:t>
            </w:r>
          </w:p>
        </w:tc>
      </w:tr>
      <w:tr w14:paraId="3A3F14FD"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B3D4570" w14:textId="77777777">
            <w:pPr>
              <w:jc w:val="center"/>
              <w:rPr>
                <w:rFonts w:cs="Calibri"/>
              </w:rPr>
            </w:pPr>
            <w:r w:rsidRPr="007D15C3">
              <w:rPr>
                <w:rFonts w:cs="Calibri"/>
              </w:rPr>
              <w:t>61504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89DBD7E" w14:textId="77777777">
            <w:pPr>
              <w:jc w:val="center"/>
              <w:rPr>
                <w:rFonts w:cs="Calibri"/>
              </w:rPr>
            </w:pPr>
            <w:r w:rsidRPr="007D15C3">
              <w:rPr>
                <w:rFonts w:cs="Calibri"/>
              </w:rPr>
              <w:t>WXCW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7B6284" w14:textId="77777777">
            <w:pPr>
              <w:rPr>
                <w:rFonts w:cs="Calibri"/>
              </w:rPr>
            </w:pPr>
            <w:r w:rsidRPr="007D15C3">
              <w:rPr>
                <w:rFonts w:cs="Calibri"/>
              </w:rPr>
              <w:t xml:space="preserve">          1,749,847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7F3054" w14:textId="77777777">
            <w:pPr>
              <w:rPr>
                <w:rFonts w:cs="Calibri"/>
              </w:rPr>
            </w:pPr>
            <w:r w:rsidRPr="007D15C3">
              <w:rPr>
                <w:rFonts w:cs="Calibri"/>
              </w:rPr>
              <w:t xml:space="preserve">            1,749,847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6DE034" w14:textId="77777777">
            <w:pPr>
              <w:jc w:val="right"/>
              <w:rPr>
                <w:rFonts w:cs="Calibri"/>
              </w:rPr>
            </w:pPr>
            <w:r w:rsidRPr="007D15C3">
              <w:rPr>
                <w:rFonts w:cs="Calibri"/>
              </w:rPr>
              <w:t>$13,714</w:t>
            </w:r>
          </w:p>
        </w:tc>
      </w:tr>
      <w:tr w14:paraId="5D90500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150F8B" w14:textId="77777777">
            <w:pPr>
              <w:jc w:val="center"/>
              <w:rPr>
                <w:rFonts w:cs="Calibri"/>
              </w:rPr>
            </w:pPr>
            <w:r w:rsidRPr="007D15C3">
              <w:rPr>
                <w:rFonts w:cs="Calibri"/>
              </w:rPr>
              <w:t>61084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0214F9" w14:textId="77777777">
            <w:pPr>
              <w:jc w:val="center"/>
              <w:rPr>
                <w:rFonts w:cs="Calibri"/>
              </w:rPr>
            </w:pPr>
            <w:r w:rsidRPr="007D15C3">
              <w:rPr>
                <w:rFonts w:cs="Calibri"/>
              </w:rPr>
              <w:t>WXEL-TV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AEB6741" w14:textId="77777777">
            <w:pPr>
              <w:rPr>
                <w:rFonts w:cs="Calibri"/>
              </w:rPr>
            </w:pPr>
            <w:r w:rsidRPr="007D15C3">
              <w:rPr>
                <w:rFonts w:cs="Calibri"/>
              </w:rPr>
              <w:t xml:space="preserve">          5,416,604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3E4F771" w14:textId="77777777">
            <w:pPr>
              <w:rPr>
                <w:rFonts w:cs="Calibri"/>
              </w:rPr>
            </w:pPr>
            <w:r w:rsidRPr="007D15C3">
              <w:rPr>
                <w:rFonts w:cs="Calibri"/>
              </w:rPr>
              <w:t xml:space="preserve">            5,416,604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F560D3" w14:textId="77777777">
            <w:pPr>
              <w:jc w:val="right"/>
              <w:rPr>
                <w:rFonts w:cs="Calibri"/>
              </w:rPr>
            </w:pPr>
            <w:r w:rsidRPr="007D15C3">
              <w:rPr>
                <w:rFonts w:cs="Calibri"/>
              </w:rPr>
              <w:t>$42,450</w:t>
            </w:r>
          </w:p>
        </w:tc>
      </w:tr>
      <w:tr w14:paraId="241F3B1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5ADA10" w14:textId="77777777">
            <w:pPr>
              <w:jc w:val="center"/>
              <w:rPr>
                <w:rFonts w:cs="Calibri"/>
              </w:rPr>
            </w:pPr>
            <w:r w:rsidRPr="007D15C3">
              <w:rPr>
                <w:rFonts w:cs="Calibri"/>
              </w:rPr>
              <w:t>60539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6C5029" w14:textId="77777777">
            <w:pPr>
              <w:jc w:val="center"/>
              <w:rPr>
                <w:rFonts w:cs="Calibri"/>
              </w:rPr>
            </w:pPr>
            <w:r w:rsidRPr="007D15C3">
              <w:rPr>
                <w:rFonts w:cs="Calibri"/>
              </w:rPr>
              <w:t>WXFT-DT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24BFF26" w14:textId="77777777">
            <w:pPr>
              <w:rPr>
                <w:rFonts w:cs="Calibri"/>
              </w:rPr>
            </w:pPr>
            <w:r w:rsidRPr="007D15C3">
              <w:rPr>
                <w:rFonts w:cs="Calibri"/>
              </w:rPr>
              <w:t xml:space="preserve">        10,174,464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882EDE" w14:textId="77777777">
            <w:pPr>
              <w:rPr>
                <w:rFonts w:cs="Calibri"/>
              </w:rPr>
            </w:pPr>
            <w:r w:rsidRPr="007D15C3">
              <w:rPr>
                <w:rFonts w:cs="Calibri"/>
              </w:rPr>
              <w:t xml:space="preserve">          10,170,757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B7AE13A" w14:textId="77777777">
            <w:pPr>
              <w:jc w:val="right"/>
              <w:rPr>
                <w:rFonts w:cs="Calibri"/>
              </w:rPr>
            </w:pPr>
            <w:r w:rsidRPr="007D15C3">
              <w:rPr>
                <w:rFonts w:cs="Calibri"/>
              </w:rPr>
              <w:t>$79,708</w:t>
            </w:r>
          </w:p>
        </w:tc>
      </w:tr>
      <w:tr w14:paraId="6E7F039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2AFD6E" w14:textId="77777777">
            <w:pPr>
              <w:jc w:val="center"/>
              <w:rPr>
                <w:rFonts w:cs="Calibri"/>
              </w:rPr>
            </w:pPr>
            <w:r w:rsidRPr="007D15C3">
              <w:rPr>
                <w:rFonts w:cs="Calibri"/>
              </w:rPr>
              <w:t>23929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5494C83" w14:textId="77777777">
            <w:pPr>
              <w:jc w:val="center"/>
              <w:rPr>
                <w:rFonts w:cs="Calibri"/>
              </w:rPr>
            </w:pPr>
            <w:r w:rsidRPr="007D15C3">
              <w:rPr>
                <w:rFonts w:cs="Calibri"/>
              </w:rPr>
              <w:t>WXGA-TV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09187A" w14:textId="77777777">
            <w:pPr>
              <w:rPr>
                <w:rFonts w:cs="Calibri"/>
              </w:rPr>
            </w:pPr>
            <w:r w:rsidRPr="007D15C3">
              <w:rPr>
                <w:rFonts w:cs="Calibri"/>
              </w:rPr>
              <w:t xml:space="preserve">             608,494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FFCE6D3" w14:textId="77777777">
            <w:pPr>
              <w:rPr>
                <w:rFonts w:cs="Calibri"/>
              </w:rPr>
            </w:pPr>
            <w:r w:rsidRPr="007D15C3">
              <w:rPr>
                <w:rFonts w:cs="Calibri"/>
              </w:rPr>
              <w:t xml:space="preserve">               606,801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2FF2B5" w14:textId="77777777">
            <w:pPr>
              <w:jc w:val="right"/>
              <w:rPr>
                <w:rFonts w:cs="Calibri"/>
              </w:rPr>
            </w:pPr>
            <w:r w:rsidRPr="007D15C3">
              <w:rPr>
                <w:rFonts w:cs="Calibri"/>
              </w:rPr>
              <w:t>$4,755</w:t>
            </w:r>
          </w:p>
        </w:tc>
      </w:tr>
      <w:tr w14:paraId="2CB1750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9B978D2" w14:textId="77777777">
            <w:pPr>
              <w:jc w:val="center"/>
              <w:rPr>
                <w:rFonts w:cs="Calibri"/>
              </w:rPr>
            </w:pPr>
            <w:r w:rsidRPr="007D15C3">
              <w:rPr>
                <w:rFonts w:cs="Calibri"/>
              </w:rPr>
              <w:t>51163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B5CD658" w14:textId="77777777">
            <w:pPr>
              <w:jc w:val="center"/>
              <w:rPr>
                <w:rFonts w:cs="Calibri"/>
              </w:rPr>
            </w:pPr>
            <w:r w:rsidRPr="007D15C3">
              <w:rPr>
                <w:rFonts w:cs="Calibri"/>
              </w:rPr>
              <w:t>WXIA-TV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97E7CE" w14:textId="77777777">
            <w:pPr>
              <w:rPr>
                <w:rFonts w:cs="Calibri"/>
              </w:rPr>
            </w:pPr>
            <w:r w:rsidRPr="007D15C3">
              <w:rPr>
                <w:rFonts w:cs="Calibri"/>
              </w:rPr>
              <w:t xml:space="preserve">          6,179,680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A48ACC" w14:textId="77777777">
            <w:pPr>
              <w:rPr>
                <w:rFonts w:cs="Calibri"/>
              </w:rPr>
            </w:pPr>
            <w:r w:rsidRPr="007D15C3">
              <w:rPr>
                <w:rFonts w:cs="Calibri"/>
              </w:rPr>
              <w:t xml:space="preserve">            6,035,828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46DA074" w14:textId="77777777">
            <w:pPr>
              <w:jc w:val="right"/>
              <w:rPr>
                <w:rFonts w:cs="Calibri"/>
              </w:rPr>
            </w:pPr>
            <w:r w:rsidRPr="007D15C3">
              <w:rPr>
                <w:rFonts w:cs="Calibri"/>
              </w:rPr>
              <w:t>$47,303</w:t>
            </w:r>
          </w:p>
        </w:tc>
      </w:tr>
      <w:tr w14:paraId="4EC0EA4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EE292BD" w14:textId="77777777">
            <w:pPr>
              <w:jc w:val="center"/>
              <w:rPr>
                <w:rFonts w:cs="Calibri"/>
              </w:rPr>
            </w:pPr>
            <w:r w:rsidRPr="007D15C3">
              <w:rPr>
                <w:rFonts w:cs="Calibri"/>
              </w:rPr>
              <w:t>53921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5241B4D" w14:textId="77777777">
            <w:pPr>
              <w:jc w:val="center"/>
              <w:rPr>
                <w:rFonts w:cs="Calibri"/>
              </w:rPr>
            </w:pPr>
            <w:r w:rsidRPr="007D15C3">
              <w:rPr>
                <w:rFonts w:cs="Calibri"/>
              </w:rPr>
              <w:t>WXII-TV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5382D1F" w14:textId="77777777">
            <w:pPr>
              <w:rPr>
                <w:rFonts w:cs="Calibri"/>
              </w:rPr>
            </w:pPr>
            <w:r w:rsidRPr="007D15C3">
              <w:rPr>
                <w:rFonts w:cs="Calibri"/>
              </w:rPr>
              <w:t xml:space="preserve">          3,630,551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727B111" w14:textId="77777777">
            <w:pPr>
              <w:rPr>
                <w:rFonts w:cs="Calibri"/>
              </w:rPr>
            </w:pPr>
            <w:r w:rsidRPr="007D15C3">
              <w:rPr>
                <w:rFonts w:cs="Calibri"/>
              </w:rPr>
              <w:t xml:space="preserve">            3,299,114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8C0927F" w14:textId="77777777">
            <w:pPr>
              <w:jc w:val="right"/>
              <w:rPr>
                <w:rFonts w:cs="Calibri"/>
              </w:rPr>
            </w:pPr>
            <w:r w:rsidRPr="007D15C3">
              <w:rPr>
                <w:rFonts w:cs="Calibri"/>
              </w:rPr>
              <w:t>$25,855</w:t>
            </w:r>
          </w:p>
        </w:tc>
      </w:tr>
      <w:tr w14:paraId="5E69F01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9E78A77" w14:textId="77777777">
            <w:pPr>
              <w:jc w:val="center"/>
              <w:rPr>
                <w:rFonts w:cs="Calibri"/>
              </w:rPr>
            </w:pPr>
            <w:r w:rsidRPr="007D15C3">
              <w:rPr>
                <w:rFonts w:cs="Calibri"/>
              </w:rPr>
              <w:t>146</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2B7E2AE" w14:textId="77777777">
            <w:pPr>
              <w:jc w:val="center"/>
              <w:rPr>
                <w:rFonts w:cs="Calibri"/>
              </w:rPr>
            </w:pPr>
            <w:r w:rsidRPr="007D15C3">
              <w:rPr>
                <w:rFonts w:cs="Calibri"/>
              </w:rPr>
              <w:t>WXIN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37FF2D3" w14:textId="77777777">
            <w:pPr>
              <w:rPr>
                <w:rFonts w:cs="Calibri"/>
              </w:rPr>
            </w:pPr>
            <w:r w:rsidRPr="007D15C3">
              <w:rPr>
                <w:rFonts w:cs="Calibri"/>
              </w:rPr>
              <w:t xml:space="preserve">          2,721,639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E933250" w14:textId="77777777">
            <w:pPr>
              <w:rPr>
                <w:rFonts w:cs="Calibri"/>
              </w:rPr>
            </w:pPr>
            <w:r w:rsidRPr="007D15C3">
              <w:rPr>
                <w:rFonts w:cs="Calibri"/>
              </w:rPr>
              <w:t xml:space="preserve">            2,699,366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FFE009A" w14:textId="77777777">
            <w:pPr>
              <w:jc w:val="right"/>
              <w:rPr>
                <w:rFonts w:cs="Calibri"/>
              </w:rPr>
            </w:pPr>
            <w:r w:rsidRPr="007D15C3">
              <w:rPr>
                <w:rFonts w:cs="Calibri"/>
              </w:rPr>
              <w:t>$21,155</w:t>
            </w:r>
          </w:p>
        </w:tc>
      </w:tr>
      <w:tr w14:paraId="124ED5AA"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12D25AF" w14:textId="77777777">
            <w:pPr>
              <w:jc w:val="center"/>
              <w:rPr>
                <w:rFonts w:cs="Calibri"/>
              </w:rPr>
            </w:pPr>
            <w:r w:rsidRPr="007D15C3">
              <w:rPr>
                <w:rFonts w:cs="Calibri"/>
              </w:rPr>
              <w:t>39738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C0B774D" w14:textId="77777777">
            <w:pPr>
              <w:jc w:val="center"/>
              <w:rPr>
                <w:rFonts w:cs="Calibri"/>
              </w:rPr>
            </w:pPr>
            <w:r w:rsidRPr="007D15C3">
              <w:rPr>
                <w:rFonts w:cs="Calibri"/>
              </w:rPr>
              <w:t>WXIX-TV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EEC9ED0" w14:textId="77777777">
            <w:pPr>
              <w:rPr>
                <w:rFonts w:cs="Calibri"/>
              </w:rPr>
            </w:pPr>
            <w:r w:rsidRPr="007D15C3">
              <w:rPr>
                <w:rFonts w:cs="Calibri"/>
              </w:rPr>
              <w:t xml:space="preserve">          2,825,570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695633D" w14:textId="77777777">
            <w:pPr>
              <w:rPr>
                <w:rFonts w:cs="Calibri"/>
              </w:rPr>
            </w:pPr>
            <w:r w:rsidRPr="007D15C3">
              <w:rPr>
                <w:rFonts w:cs="Calibri"/>
              </w:rPr>
              <w:t xml:space="preserve">            2,797,385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C0CCE2F" w14:textId="77777777">
            <w:pPr>
              <w:jc w:val="right"/>
              <w:rPr>
                <w:rFonts w:cs="Calibri"/>
              </w:rPr>
            </w:pPr>
            <w:r w:rsidRPr="007D15C3">
              <w:rPr>
                <w:rFonts w:cs="Calibri"/>
              </w:rPr>
              <w:t>$21,923</w:t>
            </w:r>
          </w:p>
        </w:tc>
      </w:tr>
      <w:tr w14:paraId="2B7C00A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567A682" w14:textId="77777777">
            <w:pPr>
              <w:jc w:val="center"/>
              <w:rPr>
                <w:rFonts w:cs="Calibri"/>
              </w:rPr>
            </w:pPr>
            <w:r w:rsidRPr="007D15C3">
              <w:rPr>
                <w:rFonts w:cs="Calibri"/>
              </w:rPr>
              <w:t>414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6BBB92" w14:textId="77777777">
            <w:pPr>
              <w:jc w:val="center"/>
              <w:rPr>
                <w:rFonts w:cs="Calibri"/>
              </w:rPr>
            </w:pPr>
            <w:r w:rsidRPr="007D15C3">
              <w:rPr>
                <w:rFonts w:cs="Calibri"/>
              </w:rPr>
              <w:t>WXLV-TV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078AB5" w14:textId="77777777">
            <w:pPr>
              <w:rPr>
                <w:rFonts w:cs="Calibri"/>
              </w:rPr>
            </w:pPr>
            <w:r w:rsidRPr="007D15C3">
              <w:rPr>
                <w:rFonts w:cs="Calibri"/>
              </w:rPr>
              <w:t xml:space="preserve">          4,362,761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612436" w14:textId="77777777">
            <w:pPr>
              <w:rPr>
                <w:rFonts w:cs="Calibri"/>
              </w:rPr>
            </w:pPr>
            <w:r w:rsidRPr="007D15C3">
              <w:rPr>
                <w:rFonts w:cs="Calibri"/>
              </w:rPr>
              <w:t xml:space="preserve">            4,333,737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B6F904" w14:textId="77777777">
            <w:pPr>
              <w:jc w:val="right"/>
              <w:rPr>
                <w:rFonts w:cs="Calibri"/>
              </w:rPr>
            </w:pPr>
            <w:r w:rsidRPr="007D15C3">
              <w:rPr>
                <w:rFonts w:cs="Calibri"/>
              </w:rPr>
              <w:t>$33,963</w:t>
            </w:r>
          </w:p>
        </w:tc>
      </w:tr>
      <w:tr w14:paraId="4BF899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F318CE3" w14:textId="77777777">
            <w:pPr>
              <w:jc w:val="center"/>
              <w:rPr>
                <w:rFonts w:cs="Calibri"/>
              </w:rPr>
            </w:pPr>
            <w:r w:rsidRPr="007D15C3">
              <w:rPr>
                <w:rFonts w:cs="Calibri"/>
              </w:rPr>
              <w:t>68433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AF6BD3A" w14:textId="77777777">
            <w:pPr>
              <w:jc w:val="center"/>
              <w:rPr>
                <w:rFonts w:cs="Calibri"/>
              </w:rPr>
            </w:pPr>
            <w:r w:rsidRPr="007D15C3">
              <w:rPr>
                <w:rFonts w:cs="Calibri"/>
              </w:rPr>
              <w:t>WXMI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6C62EF7" w14:textId="77777777">
            <w:pPr>
              <w:rPr>
                <w:rFonts w:cs="Calibri"/>
              </w:rPr>
            </w:pPr>
            <w:r w:rsidRPr="007D15C3">
              <w:rPr>
                <w:rFonts w:cs="Calibri"/>
              </w:rPr>
              <w:t xml:space="preserve">          1,988,970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048BDB" w14:textId="77777777">
            <w:pPr>
              <w:rPr>
                <w:rFonts w:cs="Calibri"/>
              </w:rPr>
            </w:pPr>
            <w:r w:rsidRPr="007D15C3">
              <w:rPr>
                <w:rFonts w:cs="Calibri"/>
              </w:rPr>
              <w:t xml:space="preserve">            1,988,589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5760707" w14:textId="77777777">
            <w:pPr>
              <w:jc w:val="right"/>
              <w:rPr>
                <w:rFonts w:cs="Calibri"/>
              </w:rPr>
            </w:pPr>
            <w:r w:rsidRPr="007D15C3">
              <w:rPr>
                <w:rFonts w:cs="Calibri"/>
              </w:rPr>
              <w:t>$15,585</w:t>
            </w:r>
          </w:p>
        </w:tc>
      </w:tr>
      <w:tr w14:paraId="289CD3E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B2FE8B8" w14:textId="77777777">
            <w:pPr>
              <w:jc w:val="center"/>
              <w:rPr>
                <w:rFonts w:cs="Calibri"/>
              </w:rPr>
            </w:pPr>
            <w:r w:rsidRPr="007D15C3">
              <w:rPr>
                <w:rFonts w:cs="Calibri"/>
              </w:rPr>
              <w:t>64549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7FF9FA1" w14:textId="77777777">
            <w:pPr>
              <w:jc w:val="center"/>
              <w:rPr>
                <w:rFonts w:cs="Calibri"/>
              </w:rPr>
            </w:pPr>
            <w:r w:rsidRPr="007D15C3">
              <w:rPr>
                <w:rFonts w:cs="Calibri"/>
              </w:rPr>
              <w:t>WXOW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9BB396" w14:textId="77777777">
            <w:pPr>
              <w:rPr>
                <w:rFonts w:cs="Calibri"/>
              </w:rPr>
            </w:pPr>
            <w:r w:rsidRPr="007D15C3">
              <w:rPr>
                <w:rFonts w:cs="Calibri"/>
              </w:rPr>
              <w:t xml:space="preserve">             425,378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4456200" w14:textId="77777777">
            <w:pPr>
              <w:rPr>
                <w:rFonts w:cs="Calibri"/>
              </w:rPr>
            </w:pPr>
            <w:r w:rsidRPr="007D15C3">
              <w:rPr>
                <w:rFonts w:cs="Calibri"/>
              </w:rPr>
              <w:t xml:space="preserve">               413,264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CD720B" w14:textId="77777777">
            <w:pPr>
              <w:jc w:val="right"/>
              <w:rPr>
                <w:rFonts w:cs="Calibri"/>
              </w:rPr>
            </w:pPr>
            <w:r w:rsidRPr="007D15C3">
              <w:rPr>
                <w:rFonts w:cs="Calibri"/>
              </w:rPr>
              <w:t>$3,239</w:t>
            </w:r>
          </w:p>
        </w:tc>
      </w:tr>
      <w:tr w14:paraId="34D83A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794E4F" w14:textId="77777777">
            <w:pPr>
              <w:jc w:val="center"/>
              <w:rPr>
                <w:rFonts w:cs="Calibri"/>
              </w:rPr>
            </w:pPr>
            <w:r w:rsidRPr="007D15C3">
              <w:rPr>
                <w:rFonts w:cs="Calibri"/>
              </w:rPr>
              <w:t>6601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FBDF1EE" w14:textId="77777777">
            <w:pPr>
              <w:jc w:val="center"/>
              <w:rPr>
                <w:rFonts w:cs="Calibri"/>
              </w:rPr>
            </w:pPr>
            <w:r w:rsidRPr="007D15C3">
              <w:rPr>
                <w:rFonts w:cs="Calibri"/>
              </w:rPr>
              <w:t>WXPX-TV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F7315F" w14:textId="77777777">
            <w:pPr>
              <w:rPr>
                <w:rFonts w:cs="Calibri"/>
              </w:rPr>
            </w:pPr>
            <w:r w:rsidRPr="007D15C3">
              <w:rPr>
                <w:rFonts w:cs="Calibri"/>
              </w:rPr>
              <w:t xml:space="preserve">          4,566,037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2DD15F" w14:textId="77777777">
            <w:pPr>
              <w:rPr>
                <w:rFonts w:cs="Calibri"/>
              </w:rPr>
            </w:pPr>
            <w:r w:rsidRPr="007D15C3">
              <w:rPr>
                <w:rFonts w:cs="Calibri"/>
              </w:rPr>
              <w:t xml:space="preserve">            4,564,088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C5E468" w14:textId="77777777">
            <w:pPr>
              <w:jc w:val="right"/>
              <w:rPr>
                <w:rFonts w:cs="Calibri"/>
              </w:rPr>
            </w:pPr>
            <w:r w:rsidRPr="007D15C3">
              <w:rPr>
                <w:rFonts w:cs="Calibri"/>
              </w:rPr>
              <w:t>$35,769</w:t>
            </w:r>
          </w:p>
        </w:tc>
      </w:tr>
      <w:tr w14:paraId="25F0206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6653CBB1" w14:textId="77777777">
            <w:pPr>
              <w:jc w:val="center"/>
              <w:rPr>
                <w:rFonts w:cs="Calibri"/>
              </w:rPr>
            </w:pPr>
            <w:r w:rsidRPr="007D15C3">
              <w:rPr>
                <w:rFonts w:cs="Calibri"/>
              </w:rPr>
              <w:t>74215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BA389E" w14:textId="77777777">
            <w:pPr>
              <w:jc w:val="center"/>
              <w:rPr>
                <w:rFonts w:cs="Calibri"/>
              </w:rPr>
            </w:pPr>
            <w:r w:rsidRPr="007D15C3">
              <w:rPr>
                <w:rFonts w:cs="Calibri"/>
              </w:rPr>
              <w:t>WXTV-DT</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1ACDC7" w14:textId="77777777">
            <w:pPr>
              <w:rPr>
                <w:rFonts w:cs="Calibri"/>
              </w:rPr>
            </w:pPr>
            <w:r w:rsidRPr="007D15C3">
              <w:rPr>
                <w:rFonts w:cs="Calibri"/>
              </w:rPr>
              <w:t xml:space="preserve">        19,992,096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5536F7" w14:textId="77777777">
            <w:pPr>
              <w:rPr>
                <w:rFonts w:cs="Calibri"/>
              </w:rPr>
            </w:pPr>
            <w:r w:rsidRPr="007D15C3">
              <w:rPr>
                <w:rFonts w:cs="Calibri"/>
              </w:rPr>
              <w:t xml:space="preserve">          19,643,518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2A7C52" w14:textId="77777777">
            <w:pPr>
              <w:jc w:val="right"/>
              <w:rPr>
                <w:rFonts w:cs="Calibri"/>
              </w:rPr>
            </w:pPr>
            <w:r w:rsidRPr="007D15C3">
              <w:rPr>
                <w:rFonts w:cs="Calibri"/>
              </w:rPr>
              <w:t>$153,946</w:t>
            </w:r>
          </w:p>
        </w:tc>
      </w:tr>
      <w:tr w14:paraId="782B1F9C"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8187F6B" w14:textId="77777777">
            <w:pPr>
              <w:jc w:val="center"/>
              <w:rPr>
                <w:rFonts w:cs="Calibri"/>
              </w:rPr>
            </w:pPr>
            <w:r w:rsidRPr="007D15C3">
              <w:rPr>
                <w:rFonts w:cs="Calibri"/>
              </w:rPr>
              <w:t>12472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DCD77B" w14:textId="77777777">
            <w:pPr>
              <w:jc w:val="center"/>
              <w:rPr>
                <w:rFonts w:cs="Calibri"/>
              </w:rPr>
            </w:pPr>
            <w:r w:rsidRPr="007D15C3">
              <w:rPr>
                <w:rFonts w:cs="Calibri"/>
              </w:rPr>
              <w:t>WXTX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9435895" w14:textId="77777777">
            <w:pPr>
              <w:rPr>
                <w:rFonts w:cs="Calibri"/>
              </w:rPr>
            </w:pPr>
            <w:r w:rsidRPr="007D15C3">
              <w:rPr>
                <w:rFonts w:cs="Calibri"/>
              </w:rPr>
              <w:t xml:space="preserve">             699,095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7AA303B" w14:textId="77777777">
            <w:pPr>
              <w:rPr>
                <w:rFonts w:cs="Calibri"/>
              </w:rPr>
            </w:pPr>
            <w:r w:rsidRPr="007D15C3">
              <w:rPr>
                <w:rFonts w:cs="Calibri"/>
              </w:rPr>
              <w:t xml:space="preserve">               694,837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7093B0C" w14:textId="77777777">
            <w:pPr>
              <w:jc w:val="right"/>
              <w:rPr>
                <w:rFonts w:cs="Calibri"/>
              </w:rPr>
            </w:pPr>
            <w:r w:rsidRPr="007D15C3">
              <w:rPr>
                <w:rFonts w:cs="Calibri"/>
              </w:rPr>
              <w:t>$5,445</w:t>
            </w:r>
          </w:p>
        </w:tc>
      </w:tr>
      <w:tr w14:paraId="6BA896E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968A539" w14:textId="77777777">
            <w:pPr>
              <w:jc w:val="center"/>
              <w:rPr>
                <w:rFonts w:cs="Calibri"/>
              </w:rPr>
            </w:pPr>
            <w:r w:rsidRPr="007D15C3">
              <w:rPr>
                <w:rFonts w:cs="Calibri"/>
              </w:rPr>
              <w:t>11970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E9757CC" w14:textId="77777777">
            <w:pPr>
              <w:jc w:val="center"/>
              <w:rPr>
                <w:rFonts w:cs="Calibri"/>
              </w:rPr>
            </w:pPr>
            <w:r w:rsidRPr="007D15C3">
              <w:rPr>
                <w:rFonts w:cs="Calibri"/>
              </w:rPr>
              <w:t>WXXA-TV*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0FE9A6" w14:textId="77777777">
            <w:pPr>
              <w:rPr>
                <w:rFonts w:cs="Calibri"/>
              </w:rPr>
            </w:pPr>
            <w:r w:rsidRPr="007D15C3">
              <w:rPr>
                <w:rFonts w:cs="Calibri"/>
              </w:rPr>
              <w:t xml:space="preserve">          1,680,670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837C85" w14:textId="77777777">
            <w:pPr>
              <w:rPr>
                <w:rFonts w:cs="Calibri"/>
              </w:rPr>
            </w:pPr>
            <w:r w:rsidRPr="007D15C3">
              <w:rPr>
                <w:rFonts w:cs="Calibri"/>
              </w:rPr>
              <w:t xml:space="preserve">            1,546,103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F4CAD7D" w14:textId="77777777">
            <w:pPr>
              <w:jc w:val="right"/>
              <w:rPr>
                <w:rFonts w:cs="Calibri"/>
              </w:rPr>
            </w:pPr>
            <w:r w:rsidRPr="007D15C3">
              <w:rPr>
                <w:rFonts w:cs="Calibri"/>
              </w:rPr>
              <w:t>$12,117</w:t>
            </w:r>
          </w:p>
        </w:tc>
      </w:tr>
      <w:tr w14:paraId="788ABD8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DB338D9" w14:textId="77777777">
            <w:pPr>
              <w:jc w:val="center"/>
              <w:rPr>
                <w:rFonts w:cs="Calibri"/>
              </w:rPr>
            </w:pPr>
            <w:r w:rsidRPr="007D15C3">
              <w:rPr>
                <w:rFonts w:cs="Calibri"/>
              </w:rPr>
              <w:t>57274</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F98B793" w14:textId="77777777">
            <w:pPr>
              <w:jc w:val="center"/>
              <w:rPr>
                <w:rFonts w:cs="Calibri"/>
              </w:rPr>
            </w:pPr>
            <w:r w:rsidRPr="007D15C3">
              <w:rPr>
                <w:rFonts w:cs="Calibri"/>
              </w:rPr>
              <w:t>WXXI-TV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0C7349B" w14:textId="77777777">
            <w:pPr>
              <w:rPr>
                <w:rFonts w:cs="Calibri"/>
              </w:rPr>
            </w:pPr>
            <w:r w:rsidRPr="007D15C3">
              <w:rPr>
                <w:rFonts w:cs="Calibri"/>
              </w:rPr>
              <w:t xml:space="preserve">          1,178,402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539EC9C" w14:textId="77777777">
            <w:pPr>
              <w:rPr>
                <w:rFonts w:cs="Calibri"/>
              </w:rPr>
            </w:pPr>
            <w:r w:rsidRPr="007D15C3">
              <w:rPr>
                <w:rFonts w:cs="Calibri"/>
              </w:rPr>
              <w:t xml:space="preserve">            1,163,073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36EF65" w14:textId="77777777">
            <w:pPr>
              <w:jc w:val="right"/>
              <w:rPr>
                <w:rFonts w:cs="Calibri"/>
              </w:rPr>
            </w:pPr>
            <w:r w:rsidRPr="007D15C3">
              <w:rPr>
                <w:rFonts w:cs="Calibri"/>
              </w:rPr>
              <w:t>$9,115</w:t>
            </w:r>
          </w:p>
        </w:tc>
      </w:tr>
      <w:tr w14:paraId="18C7663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D96851D" w14:textId="77777777">
            <w:pPr>
              <w:jc w:val="center"/>
              <w:rPr>
                <w:rFonts w:cs="Calibri"/>
              </w:rPr>
            </w:pPr>
            <w:r w:rsidRPr="007D15C3">
              <w:rPr>
                <w:rFonts w:cs="Calibri"/>
              </w:rPr>
              <w:t>53517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27DA10D" w14:textId="77777777">
            <w:pPr>
              <w:jc w:val="center"/>
              <w:rPr>
                <w:rFonts w:cs="Calibri"/>
              </w:rPr>
            </w:pPr>
            <w:r w:rsidRPr="007D15C3">
              <w:rPr>
                <w:rFonts w:cs="Calibri"/>
              </w:rPr>
              <w:t>WXXV-TV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981868" w14:textId="77777777">
            <w:pPr>
              <w:rPr>
                <w:rFonts w:cs="Calibri"/>
              </w:rPr>
            </w:pPr>
            <w:r w:rsidRPr="007D15C3">
              <w:rPr>
                <w:rFonts w:cs="Calibri"/>
              </w:rPr>
              <w:t xml:space="preserve">          1,201,440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DED3FD2" w14:textId="77777777">
            <w:pPr>
              <w:rPr>
                <w:rFonts w:cs="Calibri"/>
              </w:rPr>
            </w:pPr>
            <w:r w:rsidRPr="007D15C3">
              <w:rPr>
                <w:rFonts w:cs="Calibri"/>
              </w:rPr>
              <w:t xml:space="preserve">            1,199,901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1B646D0" w14:textId="77777777">
            <w:pPr>
              <w:jc w:val="right"/>
              <w:rPr>
                <w:rFonts w:cs="Calibri"/>
              </w:rPr>
            </w:pPr>
            <w:r w:rsidRPr="007D15C3">
              <w:rPr>
                <w:rFonts w:cs="Calibri"/>
              </w:rPr>
              <w:t>$9,404</w:t>
            </w:r>
          </w:p>
        </w:tc>
      </w:tr>
      <w:tr w14:paraId="0F4FE21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A91EDA" w14:textId="77777777">
            <w:pPr>
              <w:jc w:val="center"/>
              <w:rPr>
                <w:rFonts w:cs="Calibri"/>
              </w:rPr>
            </w:pPr>
            <w:r w:rsidRPr="007D15C3">
              <w:rPr>
                <w:rFonts w:cs="Calibri"/>
              </w:rPr>
              <w:t>10267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71166FD" w14:textId="77777777">
            <w:pPr>
              <w:jc w:val="center"/>
              <w:rPr>
                <w:rFonts w:cs="Calibri"/>
              </w:rPr>
            </w:pPr>
            <w:r w:rsidRPr="007D15C3">
              <w:rPr>
                <w:rFonts w:cs="Calibri"/>
              </w:rPr>
              <w:t>WXYZ-TV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1A8D0ED" w14:textId="77777777">
            <w:pPr>
              <w:rPr>
                <w:rFonts w:cs="Calibri"/>
              </w:rPr>
            </w:pPr>
            <w:r w:rsidRPr="007D15C3">
              <w:rPr>
                <w:rFonts w:cs="Calibri"/>
              </w:rPr>
              <w:t xml:space="preserve">          5,591,434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463E5D8" w14:textId="77777777">
            <w:pPr>
              <w:rPr>
                <w:rFonts w:cs="Calibri"/>
              </w:rPr>
            </w:pPr>
            <w:r w:rsidRPr="007D15C3">
              <w:rPr>
                <w:rFonts w:cs="Calibri"/>
              </w:rPr>
              <w:t xml:space="preserve">            5,590,748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756FD4" w14:textId="77777777">
            <w:pPr>
              <w:jc w:val="right"/>
              <w:rPr>
                <w:rFonts w:cs="Calibri"/>
              </w:rPr>
            </w:pPr>
            <w:r w:rsidRPr="007D15C3">
              <w:rPr>
                <w:rFonts w:cs="Calibri"/>
              </w:rPr>
              <w:t>$43,815</w:t>
            </w:r>
          </w:p>
        </w:tc>
      </w:tr>
      <w:tr w14:paraId="52E7D611"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A28B65" w14:textId="77777777">
            <w:pPr>
              <w:jc w:val="center"/>
              <w:rPr>
                <w:rFonts w:cs="Calibri"/>
              </w:rPr>
            </w:pPr>
            <w:r w:rsidRPr="007D15C3">
              <w:rPr>
                <w:rFonts w:cs="Calibri"/>
              </w:rPr>
              <w:t>12279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CA43C9" w14:textId="77777777">
            <w:pPr>
              <w:jc w:val="center"/>
              <w:rPr>
                <w:rFonts w:cs="Calibri"/>
              </w:rPr>
            </w:pPr>
            <w:r w:rsidRPr="007D15C3">
              <w:rPr>
                <w:rFonts w:cs="Calibri"/>
              </w:rPr>
              <w:t>WYCC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E97424B" w14:textId="77777777">
            <w:pPr>
              <w:rPr>
                <w:rFonts w:cs="Calibri"/>
              </w:rPr>
            </w:pPr>
            <w:r w:rsidRPr="007D15C3">
              <w:rPr>
                <w:rFonts w:cs="Calibri"/>
              </w:rPr>
              <w:t xml:space="preserve">          9,729,982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BD73401" w14:textId="77777777">
            <w:pPr>
              <w:rPr>
                <w:rFonts w:cs="Calibri"/>
              </w:rPr>
            </w:pPr>
            <w:r w:rsidRPr="007D15C3">
              <w:rPr>
                <w:rFonts w:cs="Calibri"/>
              </w:rPr>
              <w:t xml:space="preserve">            9,729,634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9F2CE79" w14:textId="77777777">
            <w:pPr>
              <w:jc w:val="right"/>
              <w:rPr>
                <w:rFonts w:cs="Calibri"/>
              </w:rPr>
            </w:pPr>
            <w:r w:rsidRPr="007D15C3">
              <w:rPr>
                <w:rFonts w:cs="Calibri"/>
              </w:rPr>
              <w:t>$76,251</w:t>
            </w:r>
          </w:p>
        </w:tc>
      </w:tr>
      <w:tr w14:paraId="15870DF9" w14:textId="77777777" w:rsidTr="006B48CA">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30C2969" w14:textId="77777777">
            <w:pPr>
              <w:jc w:val="center"/>
              <w:rPr>
                <w:rFonts w:cs="Calibri"/>
              </w:rPr>
            </w:pPr>
            <w:r w:rsidRPr="007D15C3">
              <w:rPr>
                <w:rFonts w:cs="Calibri"/>
              </w:rPr>
              <w:t>77515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9C1C1C" w:rsidRPr="007D15C3" w:rsidP="006B48CA" w14:paraId="249D75D1" w14:textId="77777777">
            <w:pPr>
              <w:jc w:val="center"/>
              <w:rPr>
                <w:rFonts w:cs="Calibri"/>
              </w:rPr>
            </w:pPr>
            <w:r w:rsidRPr="007D15C3">
              <w:rPr>
                <w:rFonts w:cs="Calibri"/>
              </w:rPr>
              <w:t>WYCI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7BD9024" w14:textId="77777777">
            <w:pPr>
              <w:rPr>
                <w:rFonts w:cs="Calibri"/>
              </w:rPr>
            </w:pPr>
            <w:r w:rsidRPr="007D15C3">
              <w:rPr>
                <w:rFonts w:cs="Calibri"/>
              </w:rPr>
              <w:t xml:space="preserve">               35,873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4E4F9E47" w14:textId="77777777">
            <w:pPr>
              <w:rPr>
                <w:rFonts w:cs="Calibri"/>
              </w:rPr>
            </w:pPr>
            <w:r w:rsidRPr="007D15C3">
              <w:rPr>
                <w:rFonts w:cs="Calibri"/>
              </w:rPr>
              <w:t xml:space="preserve">                 26,508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C1C1C" w:rsidRPr="007D15C3" w:rsidP="006B48CA" w14:paraId="5F77E488" w14:textId="77777777">
            <w:pPr>
              <w:jc w:val="right"/>
              <w:rPr>
                <w:rFonts w:cs="Calibri"/>
              </w:rPr>
            </w:pPr>
            <w:r w:rsidRPr="007D15C3">
              <w:rPr>
                <w:rFonts w:cs="Calibri"/>
              </w:rPr>
              <w:t>$208</w:t>
            </w:r>
          </w:p>
        </w:tc>
      </w:tr>
      <w:tr w14:paraId="75C0F2C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92FD7C1" w14:textId="77777777">
            <w:pPr>
              <w:jc w:val="center"/>
              <w:rPr>
                <w:rFonts w:cs="Calibri"/>
              </w:rPr>
            </w:pPr>
            <w:r w:rsidRPr="007D15C3">
              <w:rPr>
                <w:rFonts w:cs="Calibri"/>
              </w:rPr>
              <w:t>70149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B750033" w14:textId="77777777">
            <w:pPr>
              <w:jc w:val="center"/>
              <w:rPr>
                <w:rFonts w:cs="Calibri"/>
              </w:rPr>
            </w:pPr>
            <w:r w:rsidRPr="007D15C3">
              <w:rPr>
                <w:rFonts w:cs="Calibri"/>
              </w:rPr>
              <w:t>WYCW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2956C63" w14:textId="77777777">
            <w:pPr>
              <w:rPr>
                <w:rFonts w:cs="Calibri"/>
              </w:rPr>
            </w:pPr>
            <w:r w:rsidRPr="007D15C3">
              <w:rPr>
                <w:rFonts w:cs="Calibri"/>
              </w:rPr>
              <w:t xml:space="preserve">          3,393,072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6BCCDD" w14:textId="77777777">
            <w:pPr>
              <w:rPr>
                <w:rFonts w:cs="Calibri"/>
              </w:rPr>
            </w:pPr>
            <w:r w:rsidRPr="007D15C3">
              <w:rPr>
                <w:rFonts w:cs="Calibri"/>
              </w:rPr>
              <w:t xml:space="preserve">            3,237,713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79EE4EC" w14:textId="77777777">
            <w:pPr>
              <w:jc w:val="right"/>
              <w:rPr>
                <w:rFonts w:cs="Calibri"/>
              </w:rPr>
            </w:pPr>
            <w:r w:rsidRPr="007D15C3">
              <w:rPr>
                <w:rFonts w:cs="Calibri"/>
              </w:rPr>
              <w:t>$25,374</w:t>
            </w:r>
          </w:p>
        </w:tc>
      </w:tr>
      <w:tr w14:paraId="0F3FFDD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2E62E3" w14:textId="77777777">
            <w:pPr>
              <w:jc w:val="center"/>
              <w:rPr>
                <w:rFonts w:cs="Calibri"/>
              </w:rPr>
            </w:pPr>
            <w:r w:rsidRPr="007D15C3">
              <w:rPr>
                <w:rFonts w:cs="Calibri"/>
              </w:rPr>
              <w:t>62219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C94408F" w14:textId="77777777">
            <w:pPr>
              <w:jc w:val="center"/>
              <w:rPr>
                <w:rFonts w:cs="Calibri"/>
              </w:rPr>
            </w:pPr>
            <w:r w:rsidRPr="007D15C3">
              <w:rPr>
                <w:rFonts w:cs="Calibri"/>
              </w:rPr>
              <w:t>WYDC</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E7D7A3B" w14:textId="77777777">
            <w:pPr>
              <w:rPr>
                <w:rFonts w:cs="Calibri"/>
              </w:rPr>
            </w:pPr>
            <w:r w:rsidRPr="007D15C3">
              <w:rPr>
                <w:rFonts w:cs="Calibri"/>
              </w:rPr>
              <w:t xml:space="preserve">             393,843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EC6D976" w14:textId="77777777">
            <w:pPr>
              <w:rPr>
                <w:rFonts w:cs="Calibri"/>
              </w:rPr>
            </w:pPr>
            <w:r w:rsidRPr="007D15C3">
              <w:rPr>
                <w:rFonts w:cs="Calibri"/>
              </w:rPr>
              <w:t xml:space="preserve">               262,013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916E44" w14:textId="77777777">
            <w:pPr>
              <w:jc w:val="right"/>
              <w:rPr>
                <w:rFonts w:cs="Calibri"/>
              </w:rPr>
            </w:pPr>
            <w:r w:rsidRPr="007D15C3">
              <w:rPr>
                <w:rFonts w:cs="Calibri"/>
              </w:rPr>
              <w:t>$2,053</w:t>
            </w:r>
          </w:p>
        </w:tc>
      </w:tr>
      <w:tr w14:paraId="66D0004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24FA2AD3" w14:textId="77777777">
            <w:pPr>
              <w:jc w:val="center"/>
              <w:rPr>
                <w:rFonts w:cs="Calibri"/>
              </w:rPr>
            </w:pPr>
            <w:r w:rsidRPr="007D15C3">
              <w:rPr>
                <w:rFonts w:cs="Calibri"/>
              </w:rPr>
              <w:t>18783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C49B4F3" w14:textId="77777777">
            <w:pPr>
              <w:jc w:val="center"/>
              <w:rPr>
                <w:rFonts w:cs="Calibri"/>
              </w:rPr>
            </w:pPr>
            <w:r w:rsidRPr="007D15C3">
              <w:rPr>
                <w:rFonts w:cs="Calibri"/>
              </w:rPr>
              <w:t>WYDN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2AF8F04" w14:textId="77777777">
            <w:pPr>
              <w:rPr>
                <w:rFonts w:cs="Calibri"/>
              </w:rPr>
            </w:pPr>
            <w:r w:rsidRPr="007D15C3">
              <w:rPr>
                <w:rFonts w:cs="Calibri"/>
              </w:rPr>
              <w:t xml:space="preserve">          2,577,848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40E63E5" w14:textId="77777777">
            <w:pPr>
              <w:rPr>
                <w:rFonts w:cs="Calibri"/>
              </w:rPr>
            </w:pPr>
            <w:r w:rsidRPr="007D15C3">
              <w:rPr>
                <w:rFonts w:cs="Calibri"/>
              </w:rPr>
              <w:t xml:space="preserve">            2,512,150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1B210E" w14:textId="77777777">
            <w:pPr>
              <w:jc w:val="right"/>
              <w:rPr>
                <w:rFonts w:cs="Calibri"/>
              </w:rPr>
            </w:pPr>
            <w:r w:rsidRPr="007D15C3">
              <w:rPr>
                <w:rFonts w:cs="Calibri"/>
              </w:rPr>
              <w:t>$19,688</w:t>
            </w:r>
          </w:p>
        </w:tc>
      </w:tr>
      <w:tr w14:paraId="4344EAF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4A6CCA7" w14:textId="77777777">
            <w:pPr>
              <w:jc w:val="center"/>
              <w:rPr>
                <w:rFonts w:cs="Calibri"/>
              </w:rPr>
            </w:pPr>
            <w:r w:rsidRPr="007D15C3">
              <w:rPr>
                <w:rFonts w:cs="Calibri"/>
              </w:rPr>
              <w:t>35582</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E05F2FE" w14:textId="77777777">
            <w:pPr>
              <w:jc w:val="center"/>
              <w:rPr>
                <w:rFonts w:cs="Calibri"/>
              </w:rPr>
            </w:pPr>
            <w:r w:rsidRPr="007D15C3">
              <w:rPr>
                <w:rFonts w:cs="Calibri"/>
              </w:rPr>
              <w:t>WYDO</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547C952" w14:textId="77777777">
            <w:pPr>
              <w:rPr>
                <w:rFonts w:cs="Calibri"/>
              </w:rPr>
            </w:pPr>
            <w:r w:rsidRPr="007D15C3">
              <w:rPr>
                <w:rFonts w:cs="Calibri"/>
              </w:rPr>
              <w:t xml:space="preserve">          1,097,745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E0340D5" w14:textId="77777777">
            <w:pPr>
              <w:rPr>
                <w:rFonts w:cs="Calibri"/>
              </w:rPr>
            </w:pPr>
            <w:r w:rsidRPr="007D15C3">
              <w:rPr>
                <w:rFonts w:cs="Calibri"/>
              </w:rPr>
              <w:t xml:space="preserve">            1,097,745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DAF064" w14:textId="77777777">
            <w:pPr>
              <w:jc w:val="right"/>
              <w:rPr>
                <w:rFonts w:cs="Calibri"/>
              </w:rPr>
            </w:pPr>
            <w:r w:rsidRPr="007D15C3">
              <w:rPr>
                <w:rFonts w:cs="Calibri"/>
              </w:rPr>
              <w:t>$8,603</w:t>
            </w:r>
          </w:p>
        </w:tc>
      </w:tr>
      <w:tr w14:paraId="447E1A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5F7003D" w14:textId="77777777">
            <w:pPr>
              <w:jc w:val="center"/>
              <w:rPr>
                <w:rFonts w:cs="Calibri"/>
              </w:rPr>
            </w:pPr>
            <w:r w:rsidRPr="007D15C3">
              <w:rPr>
                <w:rFonts w:cs="Calibri"/>
              </w:rPr>
              <w:t>25090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FD0FD53" w14:textId="77777777">
            <w:pPr>
              <w:jc w:val="center"/>
              <w:rPr>
                <w:rFonts w:cs="Calibri"/>
              </w:rPr>
            </w:pPr>
            <w:r w:rsidRPr="007D15C3">
              <w:rPr>
                <w:rFonts w:cs="Calibri"/>
              </w:rPr>
              <w:t>WYES-TV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F9338D5" w14:textId="77777777">
            <w:pPr>
              <w:rPr>
                <w:rFonts w:cs="Calibri"/>
              </w:rPr>
            </w:pPr>
            <w:r w:rsidRPr="007D15C3">
              <w:rPr>
                <w:rFonts w:cs="Calibri"/>
              </w:rPr>
              <w:t xml:space="preserve">          1,872,245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F841DB" w14:textId="77777777">
            <w:pPr>
              <w:rPr>
                <w:rFonts w:cs="Calibri"/>
              </w:rPr>
            </w:pPr>
            <w:r w:rsidRPr="007D15C3">
              <w:rPr>
                <w:rFonts w:cs="Calibri"/>
              </w:rPr>
              <w:t xml:space="preserve">            1,872,059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8035FC6" w14:textId="77777777">
            <w:pPr>
              <w:jc w:val="right"/>
              <w:rPr>
                <w:rFonts w:cs="Calibri"/>
              </w:rPr>
            </w:pPr>
            <w:r w:rsidRPr="007D15C3">
              <w:rPr>
                <w:rFonts w:cs="Calibri"/>
              </w:rPr>
              <w:t>$14,671</w:t>
            </w:r>
          </w:p>
        </w:tc>
      </w:tr>
      <w:tr w14:paraId="49A757C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4C6C0D9" w14:textId="77777777">
            <w:pPr>
              <w:jc w:val="center"/>
              <w:rPr>
                <w:rFonts w:cs="Calibri"/>
              </w:rPr>
            </w:pPr>
            <w:r w:rsidRPr="007D15C3">
              <w:rPr>
                <w:rFonts w:cs="Calibri"/>
              </w:rPr>
              <w:t>53905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7E114DB" w14:textId="77777777">
            <w:pPr>
              <w:jc w:val="center"/>
              <w:rPr>
                <w:rFonts w:cs="Calibri"/>
              </w:rPr>
            </w:pPr>
            <w:r w:rsidRPr="007D15C3">
              <w:rPr>
                <w:rFonts w:cs="Calibri"/>
              </w:rPr>
              <w:t>WYFF</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0E9EF1A" w14:textId="77777777">
            <w:pPr>
              <w:rPr>
                <w:rFonts w:cs="Calibri"/>
              </w:rPr>
            </w:pPr>
            <w:r w:rsidRPr="007D15C3">
              <w:rPr>
                <w:rFonts w:cs="Calibri"/>
              </w:rPr>
              <w:t xml:space="preserve">          2,626,363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866E3E" w14:textId="77777777">
            <w:pPr>
              <w:rPr>
                <w:rFonts w:cs="Calibri"/>
              </w:rPr>
            </w:pPr>
            <w:r w:rsidRPr="007D15C3">
              <w:rPr>
                <w:rFonts w:cs="Calibri"/>
              </w:rPr>
              <w:t xml:space="preserve">            2,416,551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402A66" w14:textId="77777777">
            <w:pPr>
              <w:jc w:val="right"/>
              <w:rPr>
                <w:rFonts w:cs="Calibri"/>
              </w:rPr>
            </w:pPr>
            <w:r w:rsidRPr="007D15C3">
              <w:rPr>
                <w:rFonts w:cs="Calibri"/>
              </w:rPr>
              <w:t>$18,939</w:t>
            </w:r>
          </w:p>
        </w:tc>
      </w:tr>
      <w:tr w14:paraId="22EF979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3DF6D7F" w14:textId="77777777">
            <w:pPr>
              <w:jc w:val="center"/>
              <w:rPr>
                <w:rFonts w:cs="Calibri"/>
              </w:rPr>
            </w:pPr>
            <w:r w:rsidRPr="007D15C3">
              <w:rPr>
                <w:rFonts w:cs="Calibri"/>
              </w:rPr>
              <w:t>49803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1D7872D0" w14:textId="77777777">
            <w:pPr>
              <w:jc w:val="center"/>
              <w:rPr>
                <w:rFonts w:cs="Calibri"/>
              </w:rPr>
            </w:pPr>
            <w:r w:rsidRPr="007D15C3">
              <w:rPr>
                <w:rFonts w:cs="Calibri"/>
              </w:rPr>
              <w:t>WYIN</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0D94897" w14:textId="77777777">
            <w:pPr>
              <w:rPr>
                <w:rFonts w:cs="Calibri"/>
              </w:rPr>
            </w:pPr>
            <w:r w:rsidRPr="007D15C3">
              <w:rPr>
                <w:rFonts w:cs="Calibri"/>
              </w:rPr>
              <w:t xml:space="preserve">          6,956,141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AC29715" w14:textId="77777777">
            <w:pPr>
              <w:rPr>
                <w:rFonts w:cs="Calibri"/>
              </w:rPr>
            </w:pPr>
            <w:r w:rsidRPr="007D15C3">
              <w:rPr>
                <w:rFonts w:cs="Calibri"/>
              </w:rPr>
              <w:t xml:space="preserve">            6,956,141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62ACC62" w14:textId="77777777">
            <w:pPr>
              <w:jc w:val="right"/>
              <w:rPr>
                <w:rFonts w:cs="Calibri"/>
              </w:rPr>
            </w:pPr>
            <w:r w:rsidRPr="007D15C3">
              <w:rPr>
                <w:rFonts w:cs="Calibri"/>
              </w:rPr>
              <w:t>$54,515</w:t>
            </w:r>
          </w:p>
        </w:tc>
      </w:tr>
      <w:tr w14:paraId="595C23B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C96E9A6" w14:textId="77777777">
            <w:pPr>
              <w:jc w:val="center"/>
              <w:rPr>
                <w:rFonts w:cs="Calibri"/>
              </w:rPr>
            </w:pPr>
            <w:r w:rsidRPr="007D15C3">
              <w:rPr>
                <w:rFonts w:cs="Calibri"/>
              </w:rPr>
              <w:t>24915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48E59D3" w14:textId="77777777">
            <w:pPr>
              <w:jc w:val="center"/>
              <w:rPr>
                <w:rFonts w:cs="Calibri"/>
              </w:rPr>
            </w:pPr>
            <w:r w:rsidRPr="007D15C3">
              <w:rPr>
                <w:rFonts w:cs="Calibri"/>
              </w:rPr>
              <w:t>WYMT-TV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18C94D" w14:textId="77777777">
            <w:pPr>
              <w:rPr>
                <w:rFonts w:cs="Calibri"/>
              </w:rPr>
            </w:pPr>
            <w:r w:rsidRPr="007D15C3">
              <w:rPr>
                <w:rFonts w:cs="Calibri"/>
              </w:rPr>
              <w:t xml:space="preserve">          1,180,276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5EF33B0" w14:textId="77777777">
            <w:pPr>
              <w:rPr>
                <w:rFonts w:cs="Calibri"/>
              </w:rPr>
            </w:pPr>
            <w:r w:rsidRPr="007D15C3">
              <w:rPr>
                <w:rFonts w:cs="Calibri"/>
              </w:rPr>
              <w:t xml:space="preserve">               863,881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49EC0EE" w14:textId="77777777">
            <w:pPr>
              <w:jc w:val="right"/>
              <w:rPr>
                <w:rFonts w:cs="Calibri"/>
              </w:rPr>
            </w:pPr>
            <w:r w:rsidRPr="007D15C3">
              <w:rPr>
                <w:rFonts w:cs="Calibri"/>
              </w:rPr>
              <w:t>$6,770</w:t>
            </w:r>
          </w:p>
        </w:tc>
      </w:tr>
      <w:tr w14:paraId="1112C094"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ED2A7E7" w14:textId="77777777">
            <w:pPr>
              <w:jc w:val="center"/>
              <w:rPr>
                <w:rFonts w:cs="Calibri"/>
              </w:rPr>
            </w:pPr>
            <w:r w:rsidRPr="007D15C3">
              <w:rPr>
                <w:rFonts w:cs="Calibri"/>
              </w:rPr>
              <w:t>17010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28017E5" w14:textId="77777777">
            <w:pPr>
              <w:jc w:val="center"/>
              <w:rPr>
                <w:rFonts w:cs="Calibri"/>
              </w:rPr>
            </w:pPr>
            <w:r w:rsidRPr="007D15C3">
              <w:rPr>
                <w:rFonts w:cs="Calibri"/>
              </w:rPr>
              <w:t>WYOU*</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2170E6" w14:textId="77777777">
            <w:pPr>
              <w:rPr>
                <w:rFonts w:cs="Calibri"/>
              </w:rPr>
            </w:pPr>
            <w:r w:rsidRPr="007D15C3">
              <w:rPr>
                <w:rFonts w:cs="Calibri"/>
              </w:rPr>
              <w:t xml:space="preserve">          2,879,196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F5170C" w14:textId="77777777">
            <w:pPr>
              <w:rPr>
                <w:rFonts w:cs="Calibri"/>
              </w:rPr>
            </w:pPr>
            <w:r w:rsidRPr="007D15C3">
              <w:rPr>
                <w:rFonts w:cs="Calibri"/>
              </w:rPr>
              <w:t xml:space="preserve">            2,221,179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D820BFD" w14:textId="77777777">
            <w:pPr>
              <w:jc w:val="right"/>
              <w:rPr>
                <w:rFonts w:cs="Calibri"/>
              </w:rPr>
            </w:pPr>
            <w:r w:rsidRPr="007D15C3">
              <w:rPr>
                <w:rFonts w:cs="Calibri"/>
              </w:rPr>
              <w:t>$17,407</w:t>
            </w:r>
          </w:p>
        </w:tc>
      </w:tr>
      <w:tr w14:paraId="51500842"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1772B52D" w14:textId="77777777">
            <w:pPr>
              <w:jc w:val="center"/>
              <w:rPr>
                <w:rFonts w:cs="Calibri"/>
              </w:rPr>
            </w:pPr>
            <w:r w:rsidRPr="007D15C3">
              <w:rPr>
                <w:rFonts w:cs="Calibri"/>
              </w:rPr>
              <w:t>77789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269D36CC" w14:textId="77777777">
            <w:pPr>
              <w:jc w:val="center"/>
              <w:rPr>
                <w:rFonts w:cs="Calibri"/>
              </w:rPr>
            </w:pPr>
            <w:r w:rsidRPr="007D15C3">
              <w:rPr>
                <w:rFonts w:cs="Calibri"/>
              </w:rPr>
              <w:t>WYOW</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84BF378" w14:textId="77777777">
            <w:pPr>
              <w:rPr>
                <w:rFonts w:cs="Calibri"/>
              </w:rPr>
            </w:pPr>
            <w:r w:rsidRPr="007D15C3">
              <w:rPr>
                <w:rFonts w:cs="Calibri"/>
              </w:rPr>
              <w:t xml:space="preserve">               91,233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4C827C0" w14:textId="77777777">
            <w:pPr>
              <w:rPr>
                <w:rFonts w:cs="Calibri"/>
              </w:rPr>
            </w:pPr>
            <w:r w:rsidRPr="007D15C3">
              <w:rPr>
                <w:rFonts w:cs="Calibri"/>
              </w:rPr>
              <w:t xml:space="preserve">                 90,799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DA9AC9E" w14:textId="77777777">
            <w:pPr>
              <w:jc w:val="right"/>
              <w:rPr>
                <w:rFonts w:cs="Calibri"/>
              </w:rPr>
            </w:pPr>
            <w:r w:rsidRPr="007D15C3">
              <w:rPr>
                <w:rFonts w:cs="Calibri"/>
              </w:rPr>
              <w:t>$712</w:t>
            </w:r>
          </w:p>
        </w:tc>
      </w:tr>
      <w:tr w14:paraId="2064338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659A42C" w14:textId="77777777">
            <w:pPr>
              <w:jc w:val="center"/>
              <w:rPr>
                <w:rFonts w:cs="Calibri"/>
              </w:rPr>
            </w:pPr>
            <w:r w:rsidRPr="007D15C3">
              <w:rPr>
                <w:rFonts w:cs="Calibri"/>
              </w:rPr>
              <w:t>13933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7FBD772" w14:textId="77777777">
            <w:pPr>
              <w:jc w:val="center"/>
              <w:rPr>
                <w:rFonts w:cs="Calibri"/>
              </w:rPr>
            </w:pPr>
            <w:r w:rsidRPr="007D15C3">
              <w:rPr>
                <w:rFonts w:cs="Calibri"/>
              </w:rPr>
              <w:t>WYPX-TV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84F160" w14:textId="77777777">
            <w:pPr>
              <w:rPr>
                <w:rFonts w:cs="Calibri"/>
              </w:rPr>
            </w:pPr>
            <w:r w:rsidRPr="007D15C3">
              <w:rPr>
                <w:rFonts w:cs="Calibri"/>
              </w:rPr>
              <w:t xml:space="preserve">          1,529,500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E2CDC39" w14:textId="77777777">
            <w:pPr>
              <w:rPr>
                <w:rFonts w:cs="Calibri"/>
              </w:rPr>
            </w:pPr>
            <w:r w:rsidRPr="007D15C3">
              <w:rPr>
                <w:rFonts w:cs="Calibri"/>
              </w:rPr>
              <w:t xml:space="preserve">            1,413,583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A094336" w14:textId="77777777">
            <w:pPr>
              <w:jc w:val="right"/>
              <w:rPr>
                <w:rFonts w:cs="Calibri"/>
              </w:rPr>
            </w:pPr>
            <w:r w:rsidRPr="007D15C3">
              <w:rPr>
                <w:rFonts w:cs="Calibri"/>
              </w:rPr>
              <w:t>$11,078</w:t>
            </w:r>
          </w:p>
        </w:tc>
      </w:tr>
      <w:tr w14:paraId="7BF20A69"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F1A8642" w14:textId="77777777">
            <w:pPr>
              <w:jc w:val="center"/>
              <w:rPr>
                <w:rFonts w:cs="Calibri"/>
              </w:rPr>
            </w:pPr>
            <w:r w:rsidRPr="007D15C3">
              <w:rPr>
                <w:rFonts w:cs="Calibri"/>
              </w:rPr>
              <w:t>4693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779D6A3D" w14:textId="77777777">
            <w:pPr>
              <w:jc w:val="center"/>
              <w:rPr>
                <w:rFonts w:cs="Calibri"/>
              </w:rPr>
            </w:pPr>
            <w:r w:rsidRPr="007D15C3">
              <w:rPr>
                <w:rFonts w:cs="Calibri"/>
              </w:rPr>
              <w:t>WYTV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01A550" w14:textId="77777777">
            <w:pPr>
              <w:rPr>
                <w:rFonts w:cs="Calibri"/>
              </w:rPr>
            </w:pPr>
            <w:r w:rsidRPr="007D15C3">
              <w:rPr>
                <w:rFonts w:cs="Calibri"/>
              </w:rPr>
              <w:t xml:space="preserve">          4,898,622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32FD157" w14:textId="77777777">
            <w:pPr>
              <w:rPr>
                <w:rFonts w:cs="Calibri"/>
              </w:rPr>
            </w:pPr>
            <w:r w:rsidRPr="007D15C3">
              <w:rPr>
                <w:rFonts w:cs="Calibri"/>
              </w:rPr>
              <w:t xml:space="preserve">            4,535,576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7EEA60" w14:textId="77777777">
            <w:pPr>
              <w:jc w:val="right"/>
              <w:rPr>
                <w:rFonts w:cs="Calibri"/>
              </w:rPr>
            </w:pPr>
            <w:r w:rsidRPr="007D15C3">
              <w:rPr>
                <w:rFonts w:cs="Calibri"/>
              </w:rPr>
              <w:t>$35,545</w:t>
            </w:r>
          </w:p>
        </w:tc>
      </w:tr>
      <w:tr w14:paraId="6BEEEC4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F865E6D" w14:textId="77777777">
            <w:pPr>
              <w:jc w:val="center"/>
              <w:rPr>
                <w:rFonts w:cs="Calibri"/>
              </w:rPr>
            </w:pPr>
            <w:r w:rsidRPr="007D15C3">
              <w:rPr>
                <w:rFonts w:cs="Calibri"/>
              </w:rPr>
              <w:t>5875</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30E12DE0" w14:textId="77777777">
            <w:pPr>
              <w:jc w:val="center"/>
              <w:rPr>
                <w:rFonts w:cs="Calibri"/>
              </w:rPr>
            </w:pPr>
            <w:r w:rsidRPr="007D15C3">
              <w:rPr>
                <w:rFonts w:cs="Calibri"/>
              </w:rPr>
              <w:t>WYZZ-TV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9A9BFA5" w14:textId="77777777">
            <w:pPr>
              <w:rPr>
                <w:rFonts w:cs="Calibri"/>
              </w:rPr>
            </w:pPr>
            <w:r w:rsidRPr="007D15C3">
              <w:rPr>
                <w:rFonts w:cs="Calibri"/>
              </w:rPr>
              <w:t xml:space="preserve">          1,042,140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029EB8B" w14:textId="77777777">
            <w:pPr>
              <w:rPr>
                <w:rFonts w:cs="Calibri"/>
              </w:rPr>
            </w:pPr>
            <w:r w:rsidRPr="007D15C3">
              <w:rPr>
                <w:rFonts w:cs="Calibri"/>
              </w:rPr>
              <w:t xml:space="preserve">            1,036,721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33DFBBA" w14:textId="77777777">
            <w:pPr>
              <w:jc w:val="right"/>
              <w:rPr>
                <w:rFonts w:cs="Calibri"/>
              </w:rPr>
            </w:pPr>
            <w:r w:rsidRPr="007D15C3">
              <w:rPr>
                <w:rFonts w:cs="Calibri"/>
              </w:rPr>
              <w:t>$8,125</w:t>
            </w:r>
          </w:p>
        </w:tc>
      </w:tr>
      <w:tr w14:paraId="4B02C14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7EC4F17" w14:textId="77777777">
            <w:pPr>
              <w:jc w:val="center"/>
              <w:rPr>
                <w:rFonts w:cs="Calibri"/>
              </w:rPr>
            </w:pPr>
            <w:r w:rsidRPr="007D15C3">
              <w:rPr>
                <w:rFonts w:cs="Calibri"/>
              </w:rPr>
              <w:t>15507</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A30EC7" w14:textId="77777777">
            <w:pPr>
              <w:jc w:val="center"/>
              <w:rPr>
                <w:rFonts w:cs="Calibri"/>
              </w:rPr>
            </w:pPr>
            <w:r w:rsidRPr="007D15C3">
              <w:rPr>
                <w:rFonts w:cs="Calibri"/>
              </w:rPr>
              <w:t>WZBJ</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D7AD7F0" w14:textId="77777777">
            <w:pPr>
              <w:rPr>
                <w:rFonts w:cs="Calibri"/>
              </w:rPr>
            </w:pPr>
            <w:r w:rsidRPr="007D15C3">
              <w:rPr>
                <w:rFonts w:cs="Calibri"/>
              </w:rPr>
              <w:t xml:space="preserve">          1,606,844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CBADE64" w14:textId="77777777">
            <w:pPr>
              <w:rPr>
                <w:rFonts w:cs="Calibri"/>
              </w:rPr>
            </w:pPr>
            <w:r w:rsidRPr="007D15C3">
              <w:rPr>
                <w:rFonts w:cs="Calibri"/>
              </w:rPr>
              <w:t xml:space="preserve">            1,439,716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7F271C1" w14:textId="77777777">
            <w:pPr>
              <w:jc w:val="right"/>
              <w:rPr>
                <w:rFonts w:cs="Calibri"/>
              </w:rPr>
            </w:pPr>
            <w:r w:rsidRPr="007D15C3">
              <w:rPr>
                <w:rFonts w:cs="Calibri"/>
              </w:rPr>
              <w:t>$11,283</w:t>
            </w:r>
          </w:p>
        </w:tc>
      </w:tr>
      <w:tr w14:paraId="5C22BD9F"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3BD4AD5" w14:textId="77777777">
            <w:pPr>
              <w:jc w:val="center"/>
              <w:rPr>
                <w:rFonts w:cs="Calibri"/>
              </w:rPr>
            </w:pPr>
            <w:r w:rsidRPr="007D15C3">
              <w:rPr>
                <w:rFonts w:cs="Calibri"/>
              </w:rPr>
              <w:t>28119</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FECB441" w14:textId="77777777">
            <w:pPr>
              <w:jc w:val="center"/>
              <w:rPr>
                <w:rFonts w:cs="Calibri"/>
              </w:rPr>
            </w:pPr>
            <w:r w:rsidRPr="007D15C3">
              <w:rPr>
                <w:rFonts w:cs="Calibri"/>
              </w:rPr>
              <w:t>WZDX</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6CC0A83" w14:textId="77777777">
            <w:pPr>
              <w:rPr>
                <w:rFonts w:cs="Calibri"/>
              </w:rPr>
            </w:pPr>
            <w:r w:rsidRPr="007D15C3">
              <w:rPr>
                <w:rFonts w:cs="Calibri"/>
              </w:rPr>
              <w:t xml:space="preserve">          1,557,490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BC28D2" w14:textId="77777777">
            <w:pPr>
              <w:rPr>
                <w:rFonts w:cs="Calibri"/>
              </w:rPr>
            </w:pPr>
            <w:r w:rsidRPr="007D15C3">
              <w:rPr>
                <w:rFonts w:cs="Calibri"/>
              </w:rPr>
              <w:t xml:space="preserve">            1,452,851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976C2F9" w14:textId="77777777">
            <w:pPr>
              <w:jc w:val="right"/>
              <w:rPr>
                <w:rFonts w:cs="Calibri"/>
              </w:rPr>
            </w:pPr>
            <w:r w:rsidRPr="007D15C3">
              <w:rPr>
                <w:rFonts w:cs="Calibri"/>
              </w:rPr>
              <w:t>$11,386</w:t>
            </w:r>
          </w:p>
        </w:tc>
      </w:tr>
      <w:tr w14:paraId="06008A87"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3BD15DA5" w14:textId="77777777">
            <w:pPr>
              <w:jc w:val="center"/>
              <w:rPr>
                <w:rFonts w:cs="Calibri"/>
              </w:rPr>
            </w:pPr>
            <w:r w:rsidRPr="007D15C3">
              <w:rPr>
                <w:rFonts w:cs="Calibri"/>
              </w:rPr>
              <w:t>70493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A025775" w14:textId="77777777">
            <w:pPr>
              <w:jc w:val="center"/>
              <w:rPr>
                <w:rFonts w:cs="Calibri"/>
              </w:rPr>
            </w:pPr>
            <w:r w:rsidRPr="007D15C3">
              <w:rPr>
                <w:rFonts w:cs="Calibri"/>
              </w:rPr>
              <w:t>WZME</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6E21F82" w14:textId="77777777">
            <w:pPr>
              <w:rPr>
                <w:rFonts w:cs="Calibri"/>
              </w:rPr>
            </w:pPr>
            <w:r w:rsidRPr="007D15C3">
              <w:rPr>
                <w:rFonts w:cs="Calibri"/>
              </w:rPr>
              <w:t xml:space="preserve">          5,996,408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BDFAFAB" w14:textId="77777777">
            <w:pPr>
              <w:rPr>
                <w:rFonts w:cs="Calibri"/>
              </w:rPr>
            </w:pPr>
            <w:r w:rsidRPr="007D15C3">
              <w:rPr>
                <w:rFonts w:cs="Calibri"/>
              </w:rPr>
              <w:t xml:space="preserve">            5,544,708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F630D43" w14:textId="77777777">
            <w:pPr>
              <w:jc w:val="right"/>
              <w:rPr>
                <w:rFonts w:cs="Calibri"/>
              </w:rPr>
            </w:pPr>
            <w:r w:rsidRPr="007D15C3">
              <w:rPr>
                <w:rFonts w:cs="Calibri"/>
              </w:rPr>
              <w:t>$43,454</w:t>
            </w:r>
          </w:p>
        </w:tc>
      </w:tr>
      <w:tr w14:paraId="5B549B05"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DCEFF95" w14:textId="77777777">
            <w:pPr>
              <w:jc w:val="center"/>
              <w:rPr>
                <w:rFonts w:cs="Calibri"/>
              </w:rPr>
            </w:pPr>
            <w:r w:rsidRPr="007D15C3">
              <w:rPr>
                <w:rFonts w:cs="Calibri"/>
              </w:rPr>
              <w:t>81448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92FED37" w14:textId="77777777">
            <w:pPr>
              <w:jc w:val="center"/>
              <w:rPr>
                <w:rFonts w:cs="Calibri"/>
              </w:rPr>
            </w:pPr>
            <w:r w:rsidRPr="007D15C3">
              <w:rPr>
                <w:rFonts w:cs="Calibri"/>
              </w:rPr>
              <w:t>WZMQ</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EAC3B02" w14:textId="77777777">
            <w:pPr>
              <w:rPr>
                <w:rFonts w:cs="Calibri"/>
              </w:rPr>
            </w:pPr>
            <w:r w:rsidRPr="007D15C3">
              <w:rPr>
                <w:rFonts w:cs="Calibri"/>
              </w:rPr>
              <w:t xml:space="preserve">               73,423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60A85F" w14:textId="77777777">
            <w:pPr>
              <w:rPr>
                <w:rFonts w:cs="Calibri"/>
              </w:rPr>
            </w:pPr>
            <w:r w:rsidRPr="007D15C3">
              <w:rPr>
                <w:rFonts w:cs="Calibri"/>
              </w:rPr>
              <w:t xml:space="preserve">                 72,945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7282D09" w14:textId="77777777">
            <w:pPr>
              <w:jc w:val="right"/>
              <w:rPr>
                <w:rFonts w:cs="Calibri"/>
              </w:rPr>
            </w:pPr>
            <w:r w:rsidRPr="007D15C3">
              <w:rPr>
                <w:rFonts w:cs="Calibri"/>
              </w:rPr>
              <w:t>$572</w:t>
            </w:r>
          </w:p>
        </w:tc>
      </w:tr>
      <w:tr w14:paraId="21655B88"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57CBE642" w14:textId="77777777">
            <w:pPr>
              <w:jc w:val="center"/>
              <w:rPr>
                <w:rFonts w:cs="Calibri"/>
              </w:rPr>
            </w:pPr>
            <w:r w:rsidRPr="007D15C3">
              <w:rPr>
                <w:rFonts w:cs="Calibri"/>
              </w:rPr>
              <w:t>71871</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44D4AD7" w14:textId="77777777">
            <w:pPr>
              <w:jc w:val="center"/>
              <w:rPr>
                <w:rFonts w:cs="Calibri"/>
              </w:rPr>
            </w:pPr>
            <w:r w:rsidRPr="007D15C3">
              <w:rPr>
                <w:rFonts w:cs="Calibri"/>
              </w:rPr>
              <w:t>WZPX-TV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43D0447" w14:textId="77777777">
            <w:pPr>
              <w:rPr>
                <w:rFonts w:cs="Calibri"/>
              </w:rPr>
            </w:pPr>
            <w:r w:rsidRPr="007D15C3">
              <w:rPr>
                <w:rFonts w:cs="Calibri"/>
              </w:rPr>
              <w:t xml:space="preserve">          2,094,029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3DA0065" w14:textId="77777777">
            <w:pPr>
              <w:rPr>
                <w:rFonts w:cs="Calibri"/>
              </w:rPr>
            </w:pPr>
            <w:r w:rsidRPr="007D15C3">
              <w:rPr>
                <w:rFonts w:cs="Calibri"/>
              </w:rPr>
              <w:t xml:space="preserve">            2,093,653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D4DEC0C" w14:textId="77777777">
            <w:pPr>
              <w:jc w:val="right"/>
              <w:rPr>
                <w:rFonts w:cs="Calibri"/>
              </w:rPr>
            </w:pPr>
            <w:r w:rsidRPr="007D15C3">
              <w:rPr>
                <w:rFonts w:cs="Calibri"/>
              </w:rPr>
              <w:t>$16,408</w:t>
            </w:r>
          </w:p>
        </w:tc>
      </w:tr>
      <w:tr w14:paraId="2CCB417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48753BB6" w14:textId="77777777">
            <w:pPr>
              <w:jc w:val="center"/>
              <w:rPr>
                <w:rFonts w:cs="Calibri"/>
              </w:rPr>
            </w:pPr>
            <w:r w:rsidRPr="007D15C3">
              <w:rPr>
                <w:rFonts w:cs="Calibri"/>
              </w:rPr>
              <w:t>136750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4807DA6" w14:textId="77777777">
            <w:pPr>
              <w:jc w:val="center"/>
              <w:rPr>
                <w:rFonts w:cs="Calibri"/>
              </w:rPr>
            </w:pPr>
            <w:r w:rsidRPr="007D15C3">
              <w:rPr>
                <w:rFonts w:cs="Calibri"/>
              </w:rPr>
              <w:t>WZRB</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0611C8C" w14:textId="77777777">
            <w:pPr>
              <w:rPr>
                <w:rFonts w:cs="Calibri"/>
              </w:rPr>
            </w:pPr>
            <w:r w:rsidRPr="007D15C3">
              <w:rPr>
                <w:rFonts w:cs="Calibri"/>
              </w:rPr>
              <w:t xml:space="preserve">             952,279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8911F7F" w14:textId="77777777">
            <w:pPr>
              <w:rPr>
                <w:rFonts w:cs="Calibri"/>
              </w:rPr>
            </w:pPr>
            <w:r w:rsidRPr="007D15C3">
              <w:rPr>
                <w:rFonts w:cs="Calibri"/>
              </w:rPr>
              <w:t xml:space="preserve">               951,693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42720F8C" w14:textId="77777777">
            <w:pPr>
              <w:jc w:val="right"/>
              <w:rPr>
                <w:rFonts w:cs="Calibri"/>
              </w:rPr>
            </w:pPr>
            <w:r w:rsidRPr="007D15C3">
              <w:rPr>
                <w:rFonts w:cs="Calibri"/>
              </w:rPr>
              <w:t>$7,458</w:t>
            </w:r>
          </w:p>
        </w:tc>
      </w:tr>
      <w:tr w14:paraId="32332BFB"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C9BDA70" w14:textId="77777777">
            <w:pPr>
              <w:jc w:val="center"/>
              <w:rPr>
                <w:rFonts w:cs="Calibri"/>
              </w:rPr>
            </w:pPr>
            <w:r w:rsidRPr="007D15C3">
              <w:rPr>
                <w:rFonts w:cs="Calibri"/>
              </w:rPr>
              <w:t>418</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5217AA7E" w14:textId="77777777">
            <w:pPr>
              <w:jc w:val="center"/>
              <w:rPr>
                <w:rFonts w:cs="Calibri"/>
              </w:rPr>
            </w:pPr>
            <w:r w:rsidRPr="007D15C3">
              <w:rPr>
                <w:rFonts w:cs="Calibri"/>
              </w:rPr>
              <w:t>WZTV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0F47944" w14:textId="77777777">
            <w:pPr>
              <w:rPr>
                <w:rFonts w:cs="Calibri"/>
              </w:rPr>
            </w:pPr>
            <w:r w:rsidRPr="007D15C3">
              <w:rPr>
                <w:rFonts w:cs="Calibri"/>
              </w:rPr>
              <w:t xml:space="preserve">          2,311,143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6DDD0935" w14:textId="77777777">
            <w:pPr>
              <w:rPr>
                <w:rFonts w:cs="Calibri"/>
              </w:rPr>
            </w:pPr>
            <w:r w:rsidRPr="007D15C3">
              <w:rPr>
                <w:rFonts w:cs="Calibri"/>
              </w:rPr>
              <w:t xml:space="preserve">            2,299,730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3B7187C" w14:textId="77777777">
            <w:pPr>
              <w:jc w:val="right"/>
              <w:rPr>
                <w:rFonts w:cs="Calibri"/>
              </w:rPr>
            </w:pPr>
            <w:r w:rsidRPr="007D15C3">
              <w:rPr>
                <w:rFonts w:cs="Calibri"/>
              </w:rPr>
              <w:t>$18,023</w:t>
            </w:r>
          </w:p>
        </w:tc>
      </w:tr>
      <w:tr w14:paraId="6F289F1E"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02B1B57" w14:textId="77777777">
            <w:pPr>
              <w:jc w:val="center"/>
              <w:rPr>
                <w:rFonts w:cs="Calibri"/>
              </w:rPr>
            </w:pPr>
            <w:r w:rsidRPr="007D15C3">
              <w:rPr>
                <w:rFonts w:cs="Calibri"/>
              </w:rPr>
              <w:t>83270</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40C4CCAB" w14:textId="77777777">
            <w:pPr>
              <w:jc w:val="center"/>
              <w:rPr>
                <w:rFonts w:cs="Calibri"/>
              </w:rPr>
            </w:pPr>
            <w:r w:rsidRPr="007D15C3">
              <w:rPr>
                <w:rFonts w:cs="Calibri"/>
              </w:rPr>
              <w:t>WZVI</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58ECA3E5" w14:textId="77777777">
            <w:pPr>
              <w:rPr>
                <w:rFonts w:cs="Calibri"/>
              </w:rPr>
            </w:pPr>
            <w:r w:rsidRPr="007D15C3">
              <w:rPr>
                <w:rFonts w:cs="Calibri"/>
              </w:rPr>
              <w:t xml:space="preserve">               76,992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95877FD" w14:textId="77777777">
            <w:pPr>
              <w:rPr>
                <w:rFonts w:cs="Calibri"/>
              </w:rPr>
            </w:pPr>
            <w:r w:rsidRPr="007D15C3">
              <w:rPr>
                <w:rFonts w:cs="Calibri"/>
              </w:rPr>
              <w:t xml:space="preserve">                 75,863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21FFD8B0" w14:textId="77777777">
            <w:pPr>
              <w:jc w:val="right"/>
              <w:rPr>
                <w:rFonts w:cs="Calibri"/>
              </w:rPr>
            </w:pPr>
            <w:r w:rsidRPr="007D15C3">
              <w:rPr>
                <w:rFonts w:cs="Calibri"/>
              </w:rPr>
              <w:t>$595</w:t>
            </w:r>
          </w:p>
        </w:tc>
      </w:tr>
      <w:tr w14:paraId="5715E576"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046D312C" w14:textId="77777777">
            <w:pPr>
              <w:jc w:val="center"/>
              <w:rPr>
                <w:rFonts w:cs="Calibri"/>
              </w:rPr>
            </w:pPr>
            <w:r w:rsidRPr="007D15C3">
              <w:rPr>
                <w:rFonts w:cs="Calibri"/>
              </w:rPr>
              <w:t>19183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C040E6B" w14:textId="77777777">
            <w:pPr>
              <w:jc w:val="center"/>
              <w:rPr>
                <w:rFonts w:cs="Calibri"/>
              </w:rPr>
            </w:pPr>
            <w:r w:rsidRPr="007D15C3">
              <w:rPr>
                <w:rFonts w:cs="Calibri"/>
              </w:rPr>
              <w:t>WZVN-TV</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72AA09DE" w14:textId="77777777">
            <w:pPr>
              <w:rPr>
                <w:rFonts w:cs="Calibri"/>
              </w:rPr>
            </w:pPr>
            <w:r w:rsidRPr="007D15C3">
              <w:rPr>
                <w:rFonts w:cs="Calibri"/>
              </w:rPr>
              <w:t xml:space="preserve">          1,916,098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049722D" w14:textId="77777777">
            <w:pPr>
              <w:rPr>
                <w:rFonts w:cs="Calibri"/>
              </w:rPr>
            </w:pPr>
            <w:r w:rsidRPr="007D15C3">
              <w:rPr>
                <w:rFonts w:cs="Calibri"/>
              </w:rPr>
              <w:t xml:space="preserve">            1,916,098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CADEAD0" w14:textId="77777777">
            <w:pPr>
              <w:jc w:val="right"/>
              <w:rPr>
                <w:rFonts w:cs="Calibri"/>
              </w:rPr>
            </w:pPr>
            <w:r w:rsidRPr="007D15C3">
              <w:rPr>
                <w:rFonts w:cs="Calibri"/>
              </w:rPr>
              <w:t>$15,016</w:t>
            </w:r>
          </w:p>
        </w:tc>
      </w:tr>
      <w:tr w14:paraId="007A9960" w14:textId="77777777" w:rsidTr="006B48CA">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9C1C1C" w:rsidRPr="007D15C3" w:rsidP="006B48CA" w14:paraId="7E10B50F" w14:textId="77777777">
            <w:pPr>
              <w:jc w:val="center"/>
              <w:rPr>
                <w:rFonts w:cs="Calibri"/>
              </w:rPr>
            </w:pPr>
            <w:r w:rsidRPr="007D15C3">
              <w:rPr>
                <w:rFonts w:cs="Calibri"/>
              </w:rPr>
              <w:t>49713</w:t>
            </w:r>
          </w:p>
        </w:tc>
        <w:tc>
          <w:tcPr>
            <w:tcW w:w="1800" w:type="dxa"/>
            <w:tcBorders>
              <w:top w:val="nil"/>
              <w:left w:val="nil"/>
              <w:bottom w:val="single" w:sz="4" w:space="0" w:color="auto"/>
              <w:right w:val="single" w:sz="4" w:space="0" w:color="auto"/>
            </w:tcBorders>
            <w:shd w:val="clear" w:color="FFFFFF" w:fill="FFFFFF"/>
            <w:noWrap/>
            <w:vAlign w:val="bottom"/>
            <w:hideMark/>
          </w:tcPr>
          <w:p w:rsidR="009C1C1C" w:rsidRPr="007D15C3" w:rsidP="006B48CA" w14:paraId="61FEEE71" w14:textId="77777777">
            <w:pPr>
              <w:jc w:val="center"/>
              <w:rPr>
                <w:rFonts w:cs="Calibri"/>
              </w:rPr>
            </w:pPr>
            <w:r w:rsidRPr="007D15C3">
              <w:rPr>
                <w:rFonts w:cs="Calibri"/>
              </w:rPr>
              <w:t>WZZM</w:t>
            </w:r>
          </w:p>
        </w:tc>
        <w:tc>
          <w:tcPr>
            <w:tcW w:w="198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0C0E57C5" w14:textId="77777777">
            <w:pPr>
              <w:rPr>
                <w:rFonts w:cs="Calibri"/>
              </w:rPr>
            </w:pPr>
            <w:r w:rsidRPr="007D15C3">
              <w:rPr>
                <w:rFonts w:cs="Calibri"/>
              </w:rPr>
              <w:t xml:space="preserve">          1,574,546 </w:t>
            </w:r>
          </w:p>
        </w:tc>
        <w:tc>
          <w:tcPr>
            <w:tcW w:w="180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1D49D791" w14:textId="77777777">
            <w:pPr>
              <w:rPr>
                <w:rFonts w:cs="Calibri"/>
              </w:rPr>
            </w:pPr>
            <w:r w:rsidRPr="007D15C3">
              <w:rPr>
                <w:rFonts w:cs="Calibri"/>
              </w:rPr>
              <w:t xml:space="preserve">            1,548,835 </w:t>
            </w:r>
          </w:p>
        </w:tc>
        <w:tc>
          <w:tcPr>
            <w:tcW w:w="1890" w:type="dxa"/>
            <w:tcBorders>
              <w:top w:val="nil"/>
              <w:left w:val="nil"/>
              <w:bottom w:val="single" w:sz="4" w:space="0" w:color="auto"/>
              <w:right w:val="single" w:sz="4" w:space="0" w:color="auto"/>
            </w:tcBorders>
            <w:shd w:val="clear" w:color="auto" w:fill="auto"/>
            <w:noWrap/>
            <w:vAlign w:val="bottom"/>
            <w:hideMark/>
          </w:tcPr>
          <w:p w:rsidR="009C1C1C" w:rsidRPr="007D15C3" w:rsidP="006B48CA" w14:paraId="34DF9597" w14:textId="77777777">
            <w:pPr>
              <w:jc w:val="right"/>
              <w:rPr>
                <w:rFonts w:cs="Calibri"/>
              </w:rPr>
            </w:pPr>
            <w:r w:rsidRPr="007D15C3">
              <w:rPr>
                <w:rFonts w:cs="Calibri"/>
              </w:rPr>
              <w:t>$12,138</w:t>
            </w:r>
          </w:p>
        </w:tc>
      </w:tr>
    </w:tbl>
    <w:p w:rsidR="009C1C1C" w:rsidRPr="007D15C3" w:rsidP="009C1C1C" w14:paraId="7A5AB157" w14:textId="77777777">
      <w:pPr>
        <w:rPr>
          <w:rFonts w:cs="Calibri"/>
        </w:rPr>
      </w:pPr>
    </w:p>
    <w:p w:rsidR="009C1C1C" w:rsidRPr="007D15C3" w:rsidP="009C1C1C" w14:paraId="04526307" w14:textId="77777777">
      <w:pPr>
        <w:rPr>
          <w:rFonts w:cs="Calibri"/>
        </w:rPr>
      </w:pPr>
      <w:r w:rsidRPr="007D15C3">
        <w:rPr>
          <w:rFonts w:cs="Calibri"/>
        </w:rPr>
        <w:t xml:space="preserve">Note:  The list of call signs above </w:t>
      </w:r>
      <w:r w:rsidRPr="007D15C3">
        <w:rPr>
          <w:rFonts w:cs="Calibri"/>
        </w:rPr>
        <w:t>include</w:t>
      </w:r>
      <w:r w:rsidRPr="007D15C3">
        <w:rPr>
          <w:rFonts w:cs="Calibri"/>
        </w:rPr>
        <w:t xml:space="preserve"> all feeable and exempt entities.  It is the responsibility of licensees to inform the Commission of any status changes.  As stated in the </w:t>
      </w:r>
      <w:r w:rsidRPr="007D15C3">
        <w:rPr>
          <w:rFonts w:cs="Calibri"/>
          <w:i/>
          <w:iCs/>
        </w:rPr>
        <w:t>FY 2020</w:t>
      </w:r>
      <w:r w:rsidRPr="007D15C3">
        <w:rPr>
          <w:rFonts w:cs="Calibri"/>
        </w:rPr>
        <w:t xml:space="preserve"> </w:t>
      </w:r>
      <w:r w:rsidRPr="007D15C3">
        <w:rPr>
          <w:rFonts w:cs="Calibri"/>
          <w:i/>
          <w:iCs/>
        </w:rPr>
        <w:t>Report and Order and Notice of Proposed Rulemaking</w:t>
      </w:r>
      <w:r w:rsidRPr="007D15C3">
        <w:rPr>
          <w:rFonts w:cs="Calibri"/>
        </w:rPr>
        <w:t xml:space="preserve">, the fee of full-power television stations in Puerto Rico have been adjusted to reflect losses in population on the island since the 2010 U.S. Census. </w:t>
      </w:r>
    </w:p>
    <w:p w:rsidR="009C1C1C" w:rsidP="009C1C1C" w14:paraId="67ADAB54" w14:textId="77777777">
      <w:r w:rsidRPr="007D15C3">
        <w:rPr>
          <w:rFonts w:cs="Calibri"/>
        </w:rPr>
        <w:t xml:space="preserve">* The call signs with an (*) denote VHF stations </w:t>
      </w:r>
      <w:r>
        <w:t>licensed with a power level that exceeds the maximum based on the maximum power level specified for channels 2-6 in 73.622(f)(6) and for channels 7-13 in 73.622(f)(7).  The population counts have been adjusted accordingly.</w:t>
      </w:r>
    </w:p>
    <w:p w:rsidR="009C1C1C" w:rsidP="009C1C1C" w14:paraId="0C92A0AB" w14:textId="77777777"/>
    <w:p w:rsidR="009C1C1C" w:rsidRPr="001C4125" w:rsidP="009C1C1C" w14:paraId="702A69DB" w14:textId="77777777">
      <w:r>
        <w:rPr>
          <w:vertAlign w:val="superscript"/>
        </w:rPr>
        <w:t>1</w:t>
      </w:r>
      <w:r>
        <w:t xml:space="preserve"> Call signs WOLE and WLII are stations in Puerto Rico that are linked together with a total fee of $24,300. </w:t>
      </w:r>
    </w:p>
    <w:p w:rsidR="009C1C1C" w:rsidP="009C1C1C" w14:paraId="262BD711" w14:textId="77777777">
      <w:r w:rsidRPr="007D15C3">
        <w:rPr>
          <w:rFonts w:cs="Calibri"/>
          <w:vertAlign w:val="superscript"/>
        </w:rPr>
        <w:t>2</w:t>
      </w:r>
      <w:r w:rsidRPr="007D15C3">
        <w:rPr>
          <w:rFonts w:cs="Calibri"/>
        </w:rPr>
        <w:t xml:space="preserve"> </w:t>
      </w:r>
      <w:r>
        <w:t>Call signs WSUR and WLII are stations in Puerto Rico that are linked together</w:t>
      </w:r>
      <w:r w:rsidRPr="00004A61">
        <w:t xml:space="preserve"> </w:t>
      </w:r>
      <w:r>
        <w:t>with a total fee of $24,300.</w:t>
      </w:r>
    </w:p>
    <w:p w:rsidR="009C1C1C" w:rsidP="009C1C1C" w14:paraId="7AE67F37" w14:textId="77777777">
      <w:r>
        <w:rPr>
          <w:vertAlign w:val="superscript"/>
        </w:rPr>
        <w:t>3</w:t>
      </w:r>
      <w:r>
        <w:t xml:space="preserve"> Call signs WTCV, WVOZ-TV, and </w:t>
      </w:r>
      <w:r w:rsidRPr="006626EF">
        <w:t>WVEO-TV</w:t>
      </w:r>
      <w:r>
        <w:t xml:space="preserve"> are stations in Puerto Rico that are linked together</w:t>
      </w:r>
      <w:r w:rsidRPr="00004A61">
        <w:t xml:space="preserve"> </w:t>
      </w:r>
      <w:r>
        <w:t>with a total fee of $24,300.</w:t>
      </w:r>
    </w:p>
    <w:p w:rsidR="009C1C1C" w:rsidP="009C1C1C" w14:paraId="77AB4B3A" w14:textId="77777777">
      <w:r>
        <w:rPr>
          <w:vertAlign w:val="superscript"/>
        </w:rPr>
        <w:t>4</w:t>
      </w:r>
      <w:r>
        <w:t xml:space="preserve"> Call signs WAPA-TV, WTIN-TV, and WNJX-TV are stations in Puerto Rico that are linked together</w:t>
      </w:r>
      <w:r w:rsidRPr="00004A61">
        <w:t xml:space="preserve"> </w:t>
      </w:r>
      <w:r>
        <w:t>with a total fee of $24,300.</w:t>
      </w:r>
    </w:p>
    <w:p w:rsidR="009C1C1C" w:rsidRPr="00C43D23" w:rsidP="009C1C1C" w14:paraId="0171DFCB" w14:textId="77777777">
      <w:pPr>
        <w:widowControl/>
      </w:pPr>
      <w:r>
        <w:br w:type="page"/>
      </w:r>
    </w:p>
    <w:p w:rsidR="009C1C1C" w:rsidRPr="005F6BC2" w:rsidP="009C1C1C" w14:paraId="08A31BA2" w14:textId="77777777">
      <w:pPr>
        <w:tabs>
          <w:tab w:val="left" w:pos="3629"/>
        </w:tabs>
        <w:jc w:val="center"/>
        <w:rPr>
          <w:b/>
          <w:szCs w:val="22"/>
        </w:rPr>
      </w:pPr>
      <w:r w:rsidRPr="005F6BC2">
        <w:rPr>
          <w:b/>
          <w:szCs w:val="22"/>
        </w:rPr>
        <w:t xml:space="preserve">APPENDIX </w:t>
      </w:r>
      <w:r>
        <w:rPr>
          <w:b/>
          <w:szCs w:val="22"/>
        </w:rPr>
        <w:t>H</w:t>
      </w:r>
    </w:p>
    <w:p w:rsidR="009C1C1C" w:rsidRPr="005F6BC2" w:rsidP="009C1C1C" w14:paraId="7467C1C2" w14:textId="77777777">
      <w:pPr>
        <w:tabs>
          <w:tab w:val="left" w:pos="3629"/>
        </w:tabs>
        <w:jc w:val="center"/>
        <w:rPr>
          <w:b/>
          <w:szCs w:val="22"/>
        </w:rPr>
      </w:pPr>
    </w:p>
    <w:p w:rsidR="009C1C1C" w:rsidRPr="005F6BC2" w:rsidP="009C1C1C" w14:paraId="4B8125C0" w14:textId="77777777">
      <w:pPr>
        <w:tabs>
          <w:tab w:val="left" w:pos="3629"/>
        </w:tabs>
        <w:jc w:val="center"/>
        <w:rPr>
          <w:b/>
          <w:szCs w:val="22"/>
        </w:rPr>
      </w:pPr>
      <w:r>
        <w:rPr>
          <w:b/>
          <w:szCs w:val="22"/>
        </w:rPr>
        <w:t xml:space="preserve">FY 2019 </w:t>
      </w:r>
      <w:r w:rsidRPr="005F6BC2">
        <w:rPr>
          <w:b/>
          <w:szCs w:val="22"/>
        </w:rPr>
        <w:t>Regulatory Fees</w:t>
      </w:r>
    </w:p>
    <w:p w:rsidR="009C1C1C" w:rsidRPr="005F6BC2" w:rsidP="009C1C1C" w14:paraId="34921922" w14:textId="77777777">
      <w:pPr>
        <w:tabs>
          <w:tab w:val="left" w:pos="3629"/>
        </w:tabs>
        <w:jc w:val="center"/>
        <w:rPr>
          <w:b/>
          <w:szCs w:val="22"/>
        </w:rPr>
      </w:pPr>
    </w:p>
    <w:p w:rsidR="009C1C1C" w:rsidRPr="005F6BC2" w:rsidP="009C1C1C" w14:paraId="63DAF3C8" w14:textId="77777777">
      <w:pPr>
        <w:tabs>
          <w:tab w:val="center" w:pos="5040"/>
        </w:tabs>
        <w:suppressAutoHyphens/>
        <w:outlineLvl w:val="0"/>
        <w:rPr>
          <w:szCs w:val="22"/>
        </w:rPr>
      </w:pPr>
      <w:r w:rsidRPr="005F6BC2">
        <w:rPr>
          <w:szCs w:val="22"/>
        </w:rPr>
        <w:t>Regulatory fees for the categories shaded in gray are collected by the Commission in advance to cover the term of the license and are submitted at the time the application is filed.</w:t>
      </w:r>
    </w:p>
    <w:p w:rsidR="009C1C1C" w:rsidRPr="005F6BC2" w:rsidP="009C1C1C" w14:paraId="61C735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5F6BC2">
        <w:rPr>
          <w:szCs w:val="22"/>
        </w:rPr>
        <w:tab/>
      </w:r>
      <w:r w:rsidRPr="005F6BC2">
        <w:rPr>
          <w:szCs w:val="22"/>
        </w:rPr>
        <w:tab/>
      </w:r>
      <w:r w:rsidRPr="005F6BC2">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22C3F058" w14:textId="77777777" w:rsidTr="006B48CA">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9C1C1C" w:rsidRPr="005F6BC2" w:rsidP="006B48CA" w14:paraId="326E3D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5F6BC2">
              <w:rPr>
                <w:szCs w:val="22"/>
              </w:rPr>
              <w:instrText xml:space="preserve">PRIVATE </w:instrText>
            </w:r>
            <w:r>
              <w:rPr>
                <w:szCs w:val="22"/>
              </w:rPr>
              <w:fldChar w:fldCharType="end"/>
            </w:r>
          </w:p>
          <w:p w:rsidR="009C1C1C" w:rsidRPr="005F6BC2" w:rsidP="006B48CA" w14:paraId="4A4083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Fee Category</w:t>
            </w:r>
          </w:p>
          <w:p w:rsidR="009C1C1C" w:rsidRPr="005F6BC2" w:rsidP="006B48CA" w14:paraId="27F000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9C1C1C" w:rsidRPr="005F6BC2" w:rsidP="006B48CA" w14:paraId="3D41E8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5F6BC2">
              <w:rPr>
                <w:b/>
                <w:szCs w:val="22"/>
              </w:rPr>
              <w:t>Annual Regulatory Fee</w:t>
            </w:r>
          </w:p>
          <w:p w:rsidR="009C1C1C" w:rsidRPr="005F6BC2" w:rsidP="006B48CA" w14:paraId="24852407" w14:textId="77777777">
            <w:pPr>
              <w:tabs>
                <w:tab w:val="center" w:pos="850"/>
              </w:tabs>
              <w:suppressAutoHyphens/>
              <w:spacing w:after="54"/>
              <w:jc w:val="center"/>
              <w:rPr>
                <w:b/>
                <w:szCs w:val="22"/>
              </w:rPr>
            </w:pPr>
            <w:r w:rsidRPr="005F6BC2">
              <w:rPr>
                <w:b/>
                <w:szCs w:val="22"/>
              </w:rPr>
              <w:t>(U.S. $s)</w:t>
            </w:r>
          </w:p>
        </w:tc>
      </w:tr>
      <w:tr w14:paraId="5C71B458" w14:textId="77777777" w:rsidTr="006B48CA">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9C1C1C" w:rsidRPr="005F6BC2" w:rsidP="006B48CA" w14:paraId="51E824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5F6BC2">
              <w:rPr>
                <w:szCs w:val="22"/>
              </w:rPr>
              <w:t>PLMRS (per license) (Exclusive Use) (47 CFR part 90)</w:t>
            </w:r>
          </w:p>
        </w:tc>
        <w:tc>
          <w:tcPr>
            <w:tcW w:w="1747" w:type="dxa"/>
            <w:tcBorders>
              <w:top w:val="single" w:sz="6" w:space="0" w:color="auto"/>
            </w:tcBorders>
            <w:shd w:val="clear" w:color="auto" w:fill="C0C0C0"/>
          </w:tcPr>
          <w:p w:rsidR="009C1C1C" w:rsidRPr="005F6BC2" w:rsidP="006B48CA" w14:paraId="51D11078"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14:paraId="0C73871F"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11206B43"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5F6BC2">
              <w:rPr>
                <w:szCs w:val="22"/>
              </w:rPr>
              <w:t>Microwave (per license) (47 CFR part 101)</w:t>
            </w:r>
            <w:r w:rsidRPr="005F6BC2">
              <w:rPr>
                <w:szCs w:val="22"/>
              </w:rPr>
              <w:tab/>
            </w:r>
          </w:p>
        </w:tc>
        <w:tc>
          <w:tcPr>
            <w:tcW w:w="1747" w:type="dxa"/>
            <w:shd w:val="clear" w:color="auto" w:fill="C0C0C0"/>
          </w:tcPr>
          <w:p w:rsidR="009C1C1C" w:rsidRPr="005F6BC2" w:rsidP="006B48CA" w14:paraId="23BFB445"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14:paraId="1D22BED3"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471371C0" w14:textId="77777777">
            <w:pPr>
              <w:tabs>
                <w:tab w:val="left" w:pos="-1440"/>
                <w:tab w:val="left" w:pos="-720"/>
              </w:tabs>
              <w:suppressAutoHyphens/>
              <w:spacing w:before="90" w:after="54"/>
              <w:rPr>
                <w:szCs w:val="22"/>
              </w:rPr>
            </w:pPr>
            <w:r w:rsidRPr="005F6BC2">
              <w:rPr>
                <w:szCs w:val="22"/>
              </w:rPr>
              <w:t>Marine (Ship) (per station) (47 CFR part 80)</w:t>
            </w:r>
          </w:p>
        </w:tc>
        <w:tc>
          <w:tcPr>
            <w:tcW w:w="1747" w:type="dxa"/>
            <w:shd w:val="clear" w:color="auto" w:fill="C0C0C0"/>
          </w:tcPr>
          <w:p w:rsidR="009C1C1C" w:rsidRPr="005F6BC2" w:rsidP="006B48CA" w14:paraId="4FFFA326" w14:textId="77777777">
            <w:pPr>
              <w:tabs>
                <w:tab w:val="left" w:pos="-1440"/>
                <w:tab w:val="left" w:pos="-720"/>
              </w:tabs>
              <w:suppressAutoHyphens/>
              <w:spacing w:before="90" w:after="54"/>
              <w:jc w:val="center"/>
              <w:rPr>
                <w:szCs w:val="22"/>
              </w:rPr>
            </w:pPr>
            <w:r w:rsidRPr="005F6BC2">
              <w:rPr>
                <w:szCs w:val="22"/>
              </w:rPr>
              <w:t>15</w:t>
            </w:r>
          </w:p>
        </w:tc>
      </w:tr>
      <w:tr w14:paraId="11B6F67C"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58FF6C35" w14:textId="77777777">
            <w:pPr>
              <w:tabs>
                <w:tab w:val="left" w:pos="-1440"/>
                <w:tab w:val="left" w:pos="-720"/>
              </w:tabs>
              <w:suppressAutoHyphens/>
              <w:spacing w:before="90" w:after="54"/>
              <w:rPr>
                <w:szCs w:val="22"/>
              </w:rPr>
            </w:pPr>
            <w:r w:rsidRPr="005F6BC2">
              <w:rPr>
                <w:szCs w:val="22"/>
              </w:rPr>
              <w:t>Marine (Coast) (per license) (47 CFR part 80)</w:t>
            </w:r>
          </w:p>
        </w:tc>
        <w:tc>
          <w:tcPr>
            <w:tcW w:w="1747" w:type="dxa"/>
            <w:shd w:val="clear" w:color="auto" w:fill="C0C0C0"/>
          </w:tcPr>
          <w:p w:rsidR="009C1C1C" w:rsidRPr="005F6BC2" w:rsidP="006B48CA" w14:paraId="59E71900" w14:textId="77777777">
            <w:pPr>
              <w:tabs>
                <w:tab w:val="left" w:pos="-1440"/>
                <w:tab w:val="left" w:pos="-720"/>
              </w:tabs>
              <w:suppressAutoHyphens/>
              <w:spacing w:before="90" w:after="54"/>
              <w:jc w:val="center"/>
              <w:rPr>
                <w:szCs w:val="22"/>
              </w:rPr>
            </w:pPr>
            <w:r w:rsidRPr="005F6BC2">
              <w:rPr>
                <w:szCs w:val="22"/>
              </w:rPr>
              <w:t>40</w:t>
            </w:r>
          </w:p>
        </w:tc>
      </w:tr>
      <w:tr w14:paraId="58F4D27B"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331AB296" w14:textId="77777777">
            <w:pPr>
              <w:tabs>
                <w:tab w:val="left" w:pos="-1440"/>
                <w:tab w:val="left" w:pos="-720"/>
              </w:tabs>
              <w:suppressAutoHyphens/>
              <w:spacing w:before="90" w:after="54"/>
              <w:rPr>
                <w:szCs w:val="22"/>
              </w:rPr>
            </w:pPr>
            <w:r w:rsidRPr="005F6BC2">
              <w:rPr>
                <w:szCs w:val="22"/>
              </w:rPr>
              <w:t>Rural Radio (47 CFR part 22) (previously listed under the Land Mobile category)</w:t>
            </w:r>
          </w:p>
        </w:tc>
        <w:tc>
          <w:tcPr>
            <w:tcW w:w="1747" w:type="dxa"/>
            <w:shd w:val="clear" w:color="auto" w:fill="C0C0C0"/>
          </w:tcPr>
          <w:p w:rsidR="009C1C1C" w:rsidRPr="005F6BC2" w:rsidP="006B48CA" w14:paraId="2241FF88" w14:textId="77777777">
            <w:pPr>
              <w:tabs>
                <w:tab w:val="left" w:pos="-1440"/>
                <w:tab w:val="left" w:pos="-720"/>
              </w:tabs>
              <w:suppressAutoHyphens/>
              <w:spacing w:before="90" w:after="54"/>
              <w:jc w:val="center"/>
              <w:rPr>
                <w:szCs w:val="22"/>
              </w:rPr>
            </w:pPr>
            <w:r w:rsidRPr="005F6BC2">
              <w:rPr>
                <w:szCs w:val="22"/>
              </w:rPr>
              <w:t>10</w:t>
            </w:r>
          </w:p>
        </w:tc>
      </w:tr>
      <w:tr w14:paraId="7CB69AFE"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433B9CDD" w14:textId="77777777">
            <w:pPr>
              <w:tabs>
                <w:tab w:val="left" w:pos="-1440"/>
                <w:tab w:val="left" w:pos="-720"/>
              </w:tabs>
              <w:suppressAutoHyphens/>
              <w:spacing w:before="90" w:after="54"/>
              <w:rPr>
                <w:szCs w:val="22"/>
              </w:rPr>
            </w:pPr>
            <w:r w:rsidRPr="005F6BC2">
              <w:rPr>
                <w:szCs w:val="22"/>
              </w:rPr>
              <w:t>PLMRS (Shared Use) (per license) (47 CFR part 90)</w:t>
            </w:r>
          </w:p>
        </w:tc>
        <w:tc>
          <w:tcPr>
            <w:tcW w:w="1747" w:type="dxa"/>
            <w:shd w:val="clear" w:color="auto" w:fill="C0C0C0"/>
          </w:tcPr>
          <w:p w:rsidR="009C1C1C" w:rsidRPr="005F6BC2" w:rsidP="006B48CA" w14:paraId="60FD9E81" w14:textId="77777777">
            <w:pPr>
              <w:tabs>
                <w:tab w:val="left" w:pos="-1440"/>
                <w:tab w:val="left" w:pos="-720"/>
              </w:tabs>
              <w:suppressAutoHyphens/>
              <w:spacing w:before="90" w:after="54"/>
              <w:jc w:val="center"/>
              <w:rPr>
                <w:szCs w:val="22"/>
              </w:rPr>
            </w:pPr>
            <w:r w:rsidRPr="005F6BC2">
              <w:rPr>
                <w:szCs w:val="22"/>
              </w:rPr>
              <w:t>10</w:t>
            </w:r>
          </w:p>
        </w:tc>
      </w:tr>
      <w:tr w14:paraId="7F56D3E3"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04650434"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Aviation (Aircraft) (per station) (47 CFR part 87)</w:t>
            </w:r>
            <w:r w:rsidRPr="005F6BC2">
              <w:rPr>
                <w:szCs w:val="22"/>
              </w:rPr>
              <w:tab/>
            </w:r>
            <w:r w:rsidRPr="005F6BC2">
              <w:rPr>
                <w:szCs w:val="22"/>
              </w:rPr>
              <w:tab/>
            </w:r>
            <w:r w:rsidRPr="005F6BC2">
              <w:rPr>
                <w:szCs w:val="22"/>
              </w:rPr>
              <w:tab/>
            </w:r>
          </w:p>
        </w:tc>
        <w:tc>
          <w:tcPr>
            <w:tcW w:w="1747" w:type="dxa"/>
            <w:shd w:val="clear" w:color="auto" w:fill="C0C0C0"/>
          </w:tcPr>
          <w:p w:rsidR="009C1C1C" w:rsidRPr="005F6BC2" w:rsidP="006B48CA" w14:paraId="325EF12B" w14:textId="77777777">
            <w:pPr>
              <w:tabs>
                <w:tab w:val="left" w:pos="-1440"/>
                <w:tab w:val="left" w:pos="-720"/>
              </w:tabs>
              <w:suppressAutoHyphens/>
              <w:spacing w:before="90" w:after="54"/>
              <w:jc w:val="center"/>
              <w:rPr>
                <w:szCs w:val="22"/>
              </w:rPr>
            </w:pPr>
            <w:r w:rsidRPr="005F6BC2">
              <w:rPr>
                <w:szCs w:val="22"/>
              </w:rPr>
              <w:t>10</w:t>
            </w:r>
          </w:p>
        </w:tc>
      </w:tr>
      <w:tr w14:paraId="54116968" w14:textId="77777777" w:rsidTr="006B48CA">
        <w:tblPrEx>
          <w:tblW w:w="8587" w:type="dxa"/>
          <w:tblInd w:w="210" w:type="dxa"/>
          <w:tblLayout w:type="fixed"/>
          <w:tblCellMar>
            <w:left w:w="120" w:type="dxa"/>
            <w:right w:w="120" w:type="dxa"/>
          </w:tblCellMar>
          <w:tblLook w:val="0000"/>
        </w:tblPrEx>
        <w:tc>
          <w:tcPr>
            <w:tcW w:w="6840" w:type="dxa"/>
            <w:shd w:val="clear" w:color="auto" w:fill="C0C0C0"/>
          </w:tcPr>
          <w:p w:rsidR="009C1C1C" w:rsidRPr="005F6BC2" w:rsidP="006B48CA" w14:paraId="410BA06E"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Aviation (Ground) (per license) (47 CFR part 87)</w:t>
            </w:r>
            <w:r w:rsidRPr="005F6BC2">
              <w:rPr>
                <w:szCs w:val="22"/>
              </w:rPr>
              <w:tab/>
            </w:r>
          </w:p>
        </w:tc>
        <w:tc>
          <w:tcPr>
            <w:tcW w:w="1747" w:type="dxa"/>
            <w:shd w:val="clear" w:color="auto" w:fill="C0C0C0"/>
          </w:tcPr>
          <w:p w:rsidR="009C1C1C" w:rsidRPr="005F6BC2" w:rsidP="006B48CA" w14:paraId="76166444" w14:textId="77777777">
            <w:pPr>
              <w:tabs>
                <w:tab w:val="left" w:pos="-1440"/>
                <w:tab w:val="left" w:pos="-720"/>
              </w:tabs>
              <w:suppressAutoHyphens/>
              <w:spacing w:before="90" w:after="54"/>
              <w:jc w:val="center"/>
              <w:rPr>
                <w:szCs w:val="22"/>
              </w:rPr>
            </w:pPr>
            <w:r w:rsidRPr="005F6BC2">
              <w:rPr>
                <w:szCs w:val="22"/>
              </w:rPr>
              <w:t>20</w:t>
            </w:r>
          </w:p>
        </w:tc>
      </w:tr>
      <w:tr w14:paraId="5B2B19B7"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3B05996B" w14:textId="77777777">
            <w:pPr>
              <w:tabs>
                <w:tab w:val="left" w:pos="-1440"/>
                <w:tab w:val="left" w:pos="-720"/>
              </w:tabs>
              <w:suppressAutoHyphens/>
              <w:spacing w:before="90" w:after="54"/>
              <w:rPr>
                <w:szCs w:val="22"/>
              </w:rPr>
            </w:pPr>
            <w:r w:rsidRPr="005F6BC2">
              <w:rPr>
                <w:szCs w:val="22"/>
              </w:rPr>
              <w:t>CMRS Mobile/Cellular Services (per unit) (47 CFR parts 20, 22, 24, 27, 80 and 90)</w:t>
            </w:r>
          </w:p>
        </w:tc>
        <w:tc>
          <w:tcPr>
            <w:tcW w:w="1747" w:type="dxa"/>
          </w:tcPr>
          <w:p w:rsidR="009C1C1C" w:rsidRPr="005F6BC2" w:rsidP="006B48CA" w14:paraId="60DB6128" w14:textId="77777777">
            <w:pPr>
              <w:tabs>
                <w:tab w:val="left" w:pos="-1440"/>
                <w:tab w:val="left" w:pos="-720"/>
              </w:tabs>
              <w:suppressAutoHyphens/>
              <w:spacing w:before="90" w:after="54"/>
              <w:jc w:val="center"/>
              <w:rPr>
                <w:szCs w:val="22"/>
              </w:rPr>
            </w:pPr>
            <w:r w:rsidRPr="005F6BC2">
              <w:rPr>
                <w:szCs w:val="22"/>
              </w:rPr>
              <w:t>.19</w:t>
            </w:r>
          </w:p>
        </w:tc>
      </w:tr>
      <w:tr w14:paraId="174E0A38"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1F8667AF" w14:textId="77777777">
            <w:pPr>
              <w:tabs>
                <w:tab w:val="left" w:pos="-1440"/>
                <w:tab w:val="left" w:pos="-720"/>
              </w:tabs>
              <w:suppressAutoHyphens/>
              <w:spacing w:before="90" w:after="54"/>
              <w:rPr>
                <w:szCs w:val="22"/>
              </w:rPr>
            </w:pPr>
            <w:r w:rsidRPr="005F6BC2">
              <w:rPr>
                <w:szCs w:val="22"/>
              </w:rPr>
              <w:t>CMRS Messaging Services (per unit) (47 CFR parts 20, 22, 24 and 90)</w:t>
            </w:r>
          </w:p>
        </w:tc>
        <w:tc>
          <w:tcPr>
            <w:tcW w:w="1747" w:type="dxa"/>
          </w:tcPr>
          <w:p w:rsidR="009C1C1C" w:rsidRPr="005F6BC2" w:rsidP="006B48CA" w14:paraId="02447520" w14:textId="77777777">
            <w:pPr>
              <w:tabs>
                <w:tab w:val="left" w:pos="-1440"/>
                <w:tab w:val="left" w:pos="-720"/>
              </w:tabs>
              <w:suppressAutoHyphens/>
              <w:spacing w:before="90" w:after="54"/>
              <w:jc w:val="center"/>
              <w:rPr>
                <w:szCs w:val="22"/>
              </w:rPr>
            </w:pPr>
            <w:r w:rsidRPr="005F6BC2">
              <w:rPr>
                <w:szCs w:val="22"/>
              </w:rPr>
              <w:t>.08</w:t>
            </w:r>
          </w:p>
        </w:tc>
      </w:tr>
      <w:tr w14:paraId="7ADD42D6"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27EAC5AA" w14:textId="77777777">
            <w:pPr>
              <w:tabs>
                <w:tab w:val="left" w:pos="-1440"/>
                <w:tab w:val="left" w:pos="-720"/>
              </w:tabs>
              <w:suppressAutoHyphens/>
              <w:spacing w:before="90" w:after="54"/>
              <w:rPr>
                <w:szCs w:val="22"/>
              </w:rPr>
            </w:pPr>
            <w:r w:rsidRPr="005F6BC2">
              <w:rPr>
                <w:szCs w:val="22"/>
              </w:rPr>
              <w:t>Broadband Radio Service (formerly MMDS/ MDS) (per license) (47 CFR part 27)</w:t>
            </w:r>
          </w:p>
          <w:p w:rsidR="009C1C1C" w:rsidRPr="005F6BC2" w:rsidP="006B48CA" w14:paraId="74ADC187" w14:textId="77777777">
            <w:pPr>
              <w:tabs>
                <w:tab w:val="left" w:pos="-1440"/>
                <w:tab w:val="left" w:pos="-720"/>
              </w:tabs>
              <w:suppressAutoHyphens/>
              <w:spacing w:before="90" w:after="54"/>
              <w:rPr>
                <w:szCs w:val="22"/>
              </w:rPr>
            </w:pPr>
            <w:r w:rsidRPr="005F6BC2">
              <w:rPr>
                <w:szCs w:val="22"/>
              </w:rPr>
              <w:t>Local Multipoint Distribution Service (per call sign) (47 CFR, part 101)</w:t>
            </w:r>
          </w:p>
          <w:p w:rsidR="009C1C1C" w:rsidRPr="005F6BC2" w:rsidP="006B48CA" w14:paraId="48E64FC7" w14:textId="77777777">
            <w:pPr>
              <w:tabs>
                <w:tab w:val="left" w:pos="-1440"/>
                <w:tab w:val="left" w:pos="-720"/>
              </w:tabs>
              <w:suppressAutoHyphens/>
              <w:spacing w:before="90" w:after="54"/>
              <w:rPr>
                <w:szCs w:val="22"/>
              </w:rPr>
            </w:pPr>
          </w:p>
        </w:tc>
        <w:tc>
          <w:tcPr>
            <w:tcW w:w="1747" w:type="dxa"/>
          </w:tcPr>
          <w:p w:rsidR="009C1C1C" w:rsidRPr="005F6BC2" w:rsidP="006B48CA" w14:paraId="468F6952" w14:textId="77777777">
            <w:pPr>
              <w:tabs>
                <w:tab w:val="left" w:pos="-1440"/>
                <w:tab w:val="left" w:pos="-720"/>
              </w:tabs>
              <w:suppressAutoHyphens/>
              <w:spacing w:before="90" w:after="54"/>
              <w:jc w:val="center"/>
              <w:rPr>
                <w:szCs w:val="22"/>
              </w:rPr>
            </w:pPr>
            <w:r w:rsidRPr="005F6BC2">
              <w:rPr>
                <w:szCs w:val="22"/>
              </w:rPr>
              <w:t>690</w:t>
            </w:r>
          </w:p>
          <w:p w:rsidR="009C1C1C" w:rsidRPr="005F6BC2" w:rsidP="006B48CA" w14:paraId="06C85B70" w14:textId="77777777">
            <w:pPr>
              <w:tabs>
                <w:tab w:val="left" w:pos="-1440"/>
                <w:tab w:val="left" w:pos="-720"/>
              </w:tabs>
              <w:suppressAutoHyphens/>
              <w:spacing w:before="90" w:after="54"/>
              <w:jc w:val="center"/>
              <w:rPr>
                <w:szCs w:val="22"/>
              </w:rPr>
            </w:pPr>
          </w:p>
          <w:p w:rsidR="009C1C1C" w:rsidRPr="005F6BC2" w:rsidP="006B48CA" w14:paraId="4F6899B3" w14:textId="77777777">
            <w:pPr>
              <w:tabs>
                <w:tab w:val="left" w:pos="-1440"/>
                <w:tab w:val="left" w:pos="-720"/>
              </w:tabs>
              <w:suppressAutoHyphens/>
              <w:spacing w:before="90" w:after="54"/>
              <w:jc w:val="center"/>
              <w:rPr>
                <w:szCs w:val="22"/>
              </w:rPr>
            </w:pPr>
            <w:r w:rsidRPr="005F6BC2">
              <w:rPr>
                <w:szCs w:val="22"/>
              </w:rPr>
              <w:t>690</w:t>
            </w:r>
          </w:p>
        </w:tc>
      </w:tr>
      <w:tr w14:paraId="74D1E771"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155A11A4" w14:textId="77777777">
            <w:pPr>
              <w:tabs>
                <w:tab w:val="left" w:pos="-1440"/>
                <w:tab w:val="left" w:pos="-720"/>
              </w:tabs>
              <w:suppressAutoHyphens/>
              <w:spacing w:before="90" w:after="54"/>
              <w:rPr>
                <w:szCs w:val="22"/>
              </w:rPr>
            </w:pPr>
            <w:r w:rsidRPr="005F6BC2">
              <w:rPr>
                <w:szCs w:val="22"/>
              </w:rPr>
              <w:t>AM Radio Construction Permits</w:t>
            </w:r>
          </w:p>
        </w:tc>
        <w:tc>
          <w:tcPr>
            <w:tcW w:w="1747" w:type="dxa"/>
          </w:tcPr>
          <w:p w:rsidR="009C1C1C" w:rsidRPr="005F6BC2" w:rsidP="006B48CA" w14:paraId="3B638AD5" w14:textId="77777777">
            <w:pPr>
              <w:tabs>
                <w:tab w:val="left" w:pos="-1440"/>
                <w:tab w:val="left" w:pos="-720"/>
              </w:tabs>
              <w:suppressAutoHyphens/>
              <w:spacing w:before="90" w:after="54"/>
              <w:jc w:val="center"/>
              <w:rPr>
                <w:szCs w:val="22"/>
              </w:rPr>
            </w:pPr>
            <w:r w:rsidRPr="005F6BC2">
              <w:rPr>
                <w:szCs w:val="22"/>
              </w:rPr>
              <w:t>595</w:t>
            </w:r>
          </w:p>
        </w:tc>
      </w:tr>
      <w:tr w14:paraId="57FA502C"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33A8C0A1" w14:textId="77777777">
            <w:pPr>
              <w:tabs>
                <w:tab w:val="left" w:pos="-1440"/>
                <w:tab w:val="left" w:pos="-720"/>
              </w:tabs>
              <w:suppressAutoHyphens/>
              <w:spacing w:before="90" w:after="54"/>
              <w:rPr>
                <w:szCs w:val="22"/>
              </w:rPr>
            </w:pPr>
            <w:r w:rsidRPr="005F6BC2">
              <w:rPr>
                <w:szCs w:val="22"/>
              </w:rPr>
              <w:t>FM Radio Construction Permits</w:t>
            </w:r>
          </w:p>
        </w:tc>
        <w:tc>
          <w:tcPr>
            <w:tcW w:w="1747" w:type="dxa"/>
          </w:tcPr>
          <w:p w:rsidR="009C1C1C" w:rsidRPr="005F6BC2" w:rsidP="006B48CA" w14:paraId="6BF2AD96" w14:textId="77777777">
            <w:pPr>
              <w:tabs>
                <w:tab w:val="left" w:pos="-1440"/>
                <w:tab w:val="left" w:pos="-720"/>
              </w:tabs>
              <w:suppressAutoHyphens/>
              <w:spacing w:before="90" w:after="54"/>
              <w:jc w:val="center"/>
              <w:rPr>
                <w:szCs w:val="22"/>
              </w:rPr>
            </w:pPr>
            <w:r w:rsidRPr="005F6BC2">
              <w:rPr>
                <w:szCs w:val="22"/>
              </w:rPr>
              <w:t>1,000</w:t>
            </w:r>
          </w:p>
        </w:tc>
      </w:tr>
      <w:tr w14:paraId="5827348C"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38E28B6A" w14:textId="77777777">
            <w:pPr>
              <w:tabs>
                <w:tab w:val="left" w:pos="-1440"/>
                <w:tab w:val="left" w:pos="-720"/>
              </w:tabs>
              <w:suppressAutoHyphens/>
              <w:spacing w:before="90" w:after="54"/>
              <w:rPr>
                <w:szCs w:val="22"/>
              </w:rPr>
            </w:pPr>
            <w:r w:rsidRPr="005F6BC2">
              <w:rPr>
                <w:szCs w:val="22"/>
              </w:rPr>
              <w:t>AM and FM Broadcast Radio Station Fees</w:t>
            </w:r>
          </w:p>
        </w:tc>
        <w:tc>
          <w:tcPr>
            <w:tcW w:w="1747" w:type="dxa"/>
          </w:tcPr>
          <w:p w:rsidR="009C1C1C" w:rsidRPr="005F6BC2" w:rsidP="006B48CA" w14:paraId="660B3CC5" w14:textId="77777777">
            <w:pPr>
              <w:tabs>
                <w:tab w:val="left" w:pos="-1440"/>
                <w:tab w:val="left" w:pos="-720"/>
              </w:tabs>
              <w:suppressAutoHyphens/>
              <w:spacing w:before="90" w:after="54"/>
              <w:jc w:val="center"/>
              <w:rPr>
                <w:szCs w:val="22"/>
              </w:rPr>
            </w:pPr>
            <w:r w:rsidRPr="005F6BC2">
              <w:rPr>
                <w:szCs w:val="22"/>
              </w:rPr>
              <w:t>See Table Below</w:t>
            </w:r>
          </w:p>
        </w:tc>
      </w:tr>
      <w:tr w14:paraId="1534B0A3"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7317B6AC" w14:textId="77777777">
            <w:pPr>
              <w:tabs>
                <w:tab w:val="left" w:pos="-1440"/>
                <w:tab w:val="left" w:pos="-720"/>
              </w:tabs>
              <w:suppressAutoHyphens/>
              <w:spacing w:before="90" w:after="54"/>
              <w:rPr>
                <w:szCs w:val="22"/>
              </w:rPr>
            </w:pPr>
            <w:r w:rsidRPr="005F6BC2">
              <w:rPr>
                <w:szCs w:val="22"/>
              </w:rPr>
              <w:t>Digital TV (47 CFR part 73) VHF and UHF Commercial</w:t>
            </w:r>
            <w:r>
              <w:rPr>
                <w:szCs w:val="22"/>
              </w:rPr>
              <w:t xml:space="preserve"> Fee Factor</w:t>
            </w:r>
          </w:p>
        </w:tc>
        <w:tc>
          <w:tcPr>
            <w:tcW w:w="1747" w:type="dxa"/>
          </w:tcPr>
          <w:p w:rsidR="009C1C1C" w:rsidRPr="00546C27" w:rsidP="006B48CA" w14:paraId="6FC7E030" w14:textId="77777777">
            <w:pPr>
              <w:tabs>
                <w:tab w:val="left" w:pos="-1440"/>
                <w:tab w:val="left" w:pos="-720"/>
              </w:tabs>
              <w:suppressAutoHyphens/>
              <w:spacing w:before="90" w:after="54"/>
              <w:rPr>
                <w:szCs w:val="22"/>
              </w:rPr>
            </w:pPr>
            <w:r>
              <w:rPr>
                <w:szCs w:val="22"/>
              </w:rPr>
              <w:t>$.007224</w:t>
            </w:r>
          </w:p>
          <w:p w:rsidR="009C1C1C" w:rsidRPr="00ED4FB1" w:rsidP="006B48CA" w14:paraId="61F08D71" w14:textId="77777777">
            <w:pPr>
              <w:tabs>
                <w:tab w:val="left" w:pos="-1440"/>
                <w:tab w:val="left" w:pos="-720"/>
              </w:tabs>
              <w:suppressAutoHyphens/>
              <w:spacing w:before="90" w:after="54"/>
              <w:rPr>
                <w:szCs w:val="22"/>
              </w:rPr>
            </w:pPr>
            <w:r w:rsidRPr="00ED4FB1">
              <w:rPr>
                <w:szCs w:val="22"/>
              </w:rPr>
              <w:t>See Appendix. J for fee amounts due, also available at</w:t>
            </w:r>
          </w:p>
          <w:p w:rsidR="009C1C1C" w:rsidRPr="005F6BC2" w:rsidP="006B48CA" w14:paraId="646F1991" w14:textId="77777777">
            <w:pPr>
              <w:rPr>
                <w:szCs w:val="22"/>
              </w:rPr>
            </w:pPr>
            <w:r w:rsidRPr="005F6BC2">
              <w:t>https://www.fcc.gov/licensing-databases/fees/regulatory-fees</w:t>
            </w:r>
          </w:p>
        </w:tc>
      </w:tr>
      <w:tr w14:paraId="05C16E72"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21691257" w14:textId="77777777">
            <w:pPr>
              <w:tabs>
                <w:tab w:val="left" w:pos="-1440"/>
                <w:tab w:val="left" w:pos="-720"/>
                <w:tab w:val="left" w:pos="0"/>
              </w:tabs>
              <w:suppressAutoHyphens/>
              <w:spacing w:before="90" w:after="54"/>
              <w:ind w:left="720" w:hanging="720"/>
              <w:rPr>
                <w:szCs w:val="22"/>
              </w:rPr>
            </w:pPr>
            <w:r w:rsidRPr="005F6BC2">
              <w:rPr>
                <w:szCs w:val="22"/>
              </w:rPr>
              <w:tab/>
              <w:t>Construction Permits</w:t>
            </w:r>
          </w:p>
        </w:tc>
        <w:tc>
          <w:tcPr>
            <w:tcW w:w="1747" w:type="dxa"/>
          </w:tcPr>
          <w:p w:rsidR="009C1C1C" w:rsidRPr="005F6BC2" w:rsidP="006B48CA" w14:paraId="56F16520" w14:textId="77777777">
            <w:pPr>
              <w:tabs>
                <w:tab w:val="left" w:pos="-1440"/>
                <w:tab w:val="left" w:pos="-720"/>
              </w:tabs>
              <w:suppressAutoHyphens/>
              <w:spacing w:before="90" w:after="54"/>
              <w:jc w:val="center"/>
              <w:rPr>
                <w:szCs w:val="22"/>
              </w:rPr>
            </w:pPr>
            <w:r w:rsidRPr="005F6BC2">
              <w:rPr>
                <w:szCs w:val="22"/>
              </w:rPr>
              <w:t>4,450</w:t>
            </w:r>
          </w:p>
        </w:tc>
      </w:tr>
      <w:tr w14:paraId="75FA24CF"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68B6BB84"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Low Power TV, Class A TV, TV/FM Translators &amp; Boosters (47 CFR </w:t>
            </w:r>
            <w:r w:rsidRPr="005F6BC2">
              <w:rPr>
                <w:szCs w:val="22"/>
              </w:rPr>
              <w:t>part 74)</w:t>
            </w:r>
          </w:p>
        </w:tc>
        <w:tc>
          <w:tcPr>
            <w:tcW w:w="1747" w:type="dxa"/>
          </w:tcPr>
          <w:p w:rsidR="009C1C1C" w:rsidRPr="005F6BC2" w:rsidP="006B48CA" w14:paraId="4544A852" w14:textId="77777777">
            <w:pPr>
              <w:tabs>
                <w:tab w:val="left" w:pos="-1440"/>
                <w:tab w:val="left" w:pos="-720"/>
              </w:tabs>
              <w:suppressAutoHyphens/>
              <w:spacing w:before="90" w:after="54"/>
              <w:jc w:val="center"/>
              <w:rPr>
                <w:szCs w:val="22"/>
              </w:rPr>
            </w:pPr>
            <w:r w:rsidRPr="005F6BC2">
              <w:rPr>
                <w:szCs w:val="22"/>
              </w:rPr>
              <w:t>345</w:t>
            </w:r>
          </w:p>
        </w:tc>
      </w:tr>
      <w:tr w14:paraId="6BBB3B29"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1862FCEE"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CARS (47 CFR part 78)</w:t>
            </w:r>
            <w:r w:rsidRPr="005F6BC2">
              <w:rPr>
                <w:szCs w:val="22"/>
              </w:rPr>
              <w:tab/>
            </w:r>
          </w:p>
        </w:tc>
        <w:tc>
          <w:tcPr>
            <w:tcW w:w="1747" w:type="dxa"/>
          </w:tcPr>
          <w:p w:rsidR="009C1C1C" w:rsidRPr="005F6BC2" w:rsidP="006B48CA" w14:paraId="288E074F" w14:textId="77777777">
            <w:pPr>
              <w:tabs>
                <w:tab w:val="left" w:pos="-1440"/>
                <w:tab w:val="left" w:pos="-720"/>
              </w:tabs>
              <w:suppressAutoHyphens/>
              <w:spacing w:before="90" w:after="54"/>
              <w:jc w:val="center"/>
              <w:rPr>
                <w:szCs w:val="22"/>
              </w:rPr>
            </w:pPr>
            <w:r w:rsidRPr="005F6BC2">
              <w:rPr>
                <w:szCs w:val="22"/>
              </w:rPr>
              <w:t>1,225</w:t>
            </w:r>
          </w:p>
        </w:tc>
      </w:tr>
      <w:tr w14:paraId="319C8427"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08D98F74" w14:textId="77777777">
            <w:pPr>
              <w:tabs>
                <w:tab w:val="left" w:pos="-1440"/>
                <w:tab w:val="left" w:pos="-720"/>
              </w:tabs>
              <w:suppressAutoHyphens/>
              <w:spacing w:before="90" w:after="54"/>
              <w:rPr>
                <w:szCs w:val="22"/>
              </w:rPr>
            </w:pPr>
            <w:r w:rsidRPr="005F6BC2">
              <w:rPr>
                <w:szCs w:val="22"/>
              </w:rPr>
              <w:t>Cable Television Systems (per subscriber) (47 CFR part 76), Including IPTV</w:t>
            </w:r>
          </w:p>
        </w:tc>
        <w:tc>
          <w:tcPr>
            <w:tcW w:w="1747" w:type="dxa"/>
          </w:tcPr>
          <w:p w:rsidR="009C1C1C" w:rsidRPr="005F6BC2" w:rsidP="006B48CA" w14:paraId="1D611CD9" w14:textId="77777777">
            <w:pPr>
              <w:tabs>
                <w:tab w:val="left" w:pos="-1440"/>
                <w:tab w:val="left" w:pos="-720"/>
              </w:tabs>
              <w:suppressAutoHyphens/>
              <w:spacing w:before="90" w:after="54"/>
              <w:jc w:val="center"/>
              <w:rPr>
                <w:szCs w:val="22"/>
              </w:rPr>
            </w:pPr>
            <w:r w:rsidRPr="005F6BC2">
              <w:rPr>
                <w:szCs w:val="22"/>
              </w:rPr>
              <w:t>.86</w:t>
            </w:r>
          </w:p>
        </w:tc>
      </w:tr>
      <w:tr w14:paraId="57670F51"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5C86A568" w14:textId="77777777">
            <w:pPr>
              <w:tabs>
                <w:tab w:val="left" w:pos="-1440"/>
                <w:tab w:val="left" w:pos="-720"/>
              </w:tabs>
              <w:suppressAutoHyphens/>
              <w:spacing w:before="90" w:after="54"/>
              <w:rPr>
                <w:szCs w:val="22"/>
              </w:rPr>
            </w:pPr>
            <w:r w:rsidRPr="005F6BC2">
              <w:rPr>
                <w:szCs w:val="22"/>
              </w:rPr>
              <w:t>Direct Broadcast Service (DBS) (per subscriber) (as defined by section 602(13) of the Act)</w:t>
            </w:r>
          </w:p>
        </w:tc>
        <w:tc>
          <w:tcPr>
            <w:tcW w:w="1747" w:type="dxa"/>
          </w:tcPr>
          <w:p w:rsidR="009C1C1C" w:rsidRPr="005F6BC2" w:rsidP="006B48CA" w14:paraId="34846D6F" w14:textId="77777777">
            <w:pPr>
              <w:tabs>
                <w:tab w:val="left" w:pos="-1440"/>
                <w:tab w:val="left" w:pos="-720"/>
              </w:tabs>
              <w:suppressAutoHyphens/>
              <w:spacing w:before="90" w:after="54"/>
              <w:jc w:val="center"/>
              <w:rPr>
                <w:szCs w:val="22"/>
              </w:rPr>
            </w:pPr>
            <w:r w:rsidRPr="005F6BC2">
              <w:rPr>
                <w:szCs w:val="22"/>
              </w:rPr>
              <w:t>.60</w:t>
            </w:r>
          </w:p>
        </w:tc>
      </w:tr>
      <w:tr w14:paraId="7C17059A"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27C38805" w14:textId="77777777">
            <w:pPr>
              <w:tabs>
                <w:tab w:val="left" w:pos="-1440"/>
                <w:tab w:val="left" w:pos="-720"/>
              </w:tabs>
              <w:suppressAutoHyphens/>
              <w:spacing w:before="90" w:after="54"/>
              <w:rPr>
                <w:szCs w:val="22"/>
              </w:rPr>
            </w:pPr>
            <w:r w:rsidRPr="005F6BC2">
              <w:rPr>
                <w:szCs w:val="22"/>
              </w:rPr>
              <w:t>Interstate Telecommunication Service Providers (per revenue dollar)</w:t>
            </w:r>
          </w:p>
        </w:tc>
        <w:tc>
          <w:tcPr>
            <w:tcW w:w="1747" w:type="dxa"/>
          </w:tcPr>
          <w:p w:rsidR="009C1C1C" w:rsidRPr="005F6BC2" w:rsidP="006B48CA" w14:paraId="1345E962" w14:textId="77777777">
            <w:pPr>
              <w:tabs>
                <w:tab w:val="left" w:pos="-1440"/>
                <w:tab w:val="left" w:pos="-720"/>
              </w:tabs>
              <w:suppressAutoHyphens/>
              <w:spacing w:before="90" w:after="54"/>
              <w:jc w:val="center"/>
              <w:rPr>
                <w:szCs w:val="22"/>
              </w:rPr>
            </w:pPr>
            <w:r w:rsidRPr="005F6BC2">
              <w:rPr>
                <w:szCs w:val="22"/>
              </w:rPr>
              <w:t>.00317</w:t>
            </w:r>
          </w:p>
        </w:tc>
      </w:tr>
      <w:tr w14:paraId="6C988D2B"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1A3EDD35" w14:textId="77777777">
            <w:pPr>
              <w:tabs>
                <w:tab w:val="left" w:pos="-1440"/>
                <w:tab w:val="left" w:pos="-720"/>
              </w:tabs>
              <w:suppressAutoHyphens/>
              <w:spacing w:before="90" w:after="54"/>
              <w:rPr>
                <w:szCs w:val="22"/>
              </w:rPr>
            </w:pPr>
            <w:r w:rsidRPr="005F6BC2">
              <w:rPr>
                <w:szCs w:val="22"/>
              </w:rPr>
              <w:t>Toll Free (per toll free subscriber) (47 CFR section 52.101 (f) of the rules)</w:t>
            </w:r>
          </w:p>
        </w:tc>
        <w:tc>
          <w:tcPr>
            <w:tcW w:w="1747" w:type="dxa"/>
          </w:tcPr>
          <w:p w:rsidR="009C1C1C" w:rsidRPr="005F6BC2" w:rsidP="006B48CA" w14:paraId="78B90242" w14:textId="77777777">
            <w:pPr>
              <w:tabs>
                <w:tab w:val="left" w:pos="-1440"/>
                <w:tab w:val="left" w:pos="-720"/>
              </w:tabs>
              <w:suppressAutoHyphens/>
              <w:spacing w:before="90" w:after="54"/>
              <w:jc w:val="center"/>
              <w:rPr>
                <w:szCs w:val="22"/>
              </w:rPr>
            </w:pPr>
            <w:r w:rsidRPr="005F6BC2">
              <w:rPr>
                <w:szCs w:val="22"/>
              </w:rPr>
              <w:t>.12</w:t>
            </w:r>
          </w:p>
        </w:tc>
      </w:tr>
      <w:tr w14:paraId="4BFE0457"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336C99BE" w14:textId="77777777">
            <w:pPr>
              <w:tabs>
                <w:tab w:val="left" w:pos="-1440"/>
                <w:tab w:val="left" w:pos="-720"/>
              </w:tabs>
              <w:suppressAutoHyphens/>
              <w:spacing w:before="90" w:after="54"/>
              <w:rPr>
                <w:szCs w:val="22"/>
              </w:rPr>
            </w:pPr>
            <w:r w:rsidRPr="005F6BC2">
              <w:rPr>
                <w:szCs w:val="22"/>
              </w:rPr>
              <w:t>Earth Stations (47 CFR part 25)</w:t>
            </w:r>
          </w:p>
        </w:tc>
        <w:tc>
          <w:tcPr>
            <w:tcW w:w="1747" w:type="dxa"/>
          </w:tcPr>
          <w:p w:rsidR="009C1C1C" w:rsidRPr="005F6BC2" w:rsidP="006B48CA" w14:paraId="6852CFE2" w14:textId="77777777">
            <w:pPr>
              <w:tabs>
                <w:tab w:val="left" w:pos="-1440"/>
                <w:tab w:val="left" w:pos="-720"/>
              </w:tabs>
              <w:suppressAutoHyphens/>
              <w:spacing w:before="90" w:after="54"/>
              <w:jc w:val="center"/>
              <w:rPr>
                <w:szCs w:val="22"/>
              </w:rPr>
            </w:pPr>
            <w:r w:rsidRPr="005F6BC2">
              <w:rPr>
                <w:szCs w:val="22"/>
              </w:rPr>
              <w:t>425</w:t>
            </w:r>
          </w:p>
        </w:tc>
      </w:tr>
      <w:tr w14:paraId="09C5469F"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6AF96561" w14:textId="77777777">
            <w:pPr>
              <w:tabs>
                <w:tab w:val="left" w:pos="-1440"/>
                <w:tab w:val="left" w:pos="-720"/>
              </w:tabs>
              <w:suppressAutoHyphens/>
              <w:spacing w:before="90" w:after="54"/>
              <w:rPr>
                <w:szCs w:val="22"/>
              </w:rPr>
            </w:pPr>
            <w:r w:rsidRPr="005F6BC2">
              <w:rPr>
                <w:szCs w:val="22"/>
              </w:rPr>
              <w:t>Space Stations (per operational station in geostationary orbit) (47 CFR part 25) also includes DBS Service (per operational station) (47 CFR part 100)</w:t>
            </w:r>
          </w:p>
        </w:tc>
        <w:tc>
          <w:tcPr>
            <w:tcW w:w="1747" w:type="dxa"/>
          </w:tcPr>
          <w:p w:rsidR="009C1C1C" w:rsidRPr="005F6BC2" w:rsidP="006B48CA" w14:paraId="7CB32A07" w14:textId="77777777">
            <w:pPr>
              <w:tabs>
                <w:tab w:val="left" w:pos="-1440"/>
                <w:tab w:val="left" w:pos="-720"/>
              </w:tabs>
              <w:suppressAutoHyphens/>
              <w:spacing w:before="90"/>
              <w:jc w:val="center"/>
              <w:rPr>
                <w:szCs w:val="22"/>
              </w:rPr>
            </w:pPr>
          </w:p>
          <w:p w:rsidR="009C1C1C" w:rsidRPr="005F6BC2" w:rsidP="006B48CA" w14:paraId="00604F0D" w14:textId="77777777">
            <w:pPr>
              <w:tabs>
                <w:tab w:val="left" w:pos="-1440"/>
                <w:tab w:val="left" w:pos="-720"/>
              </w:tabs>
              <w:suppressAutoHyphens/>
              <w:spacing w:after="54"/>
              <w:jc w:val="center"/>
              <w:rPr>
                <w:szCs w:val="22"/>
              </w:rPr>
            </w:pPr>
            <w:r w:rsidRPr="005F6BC2">
              <w:rPr>
                <w:szCs w:val="22"/>
              </w:rPr>
              <w:t>159,625</w:t>
            </w:r>
          </w:p>
        </w:tc>
      </w:tr>
      <w:tr w14:paraId="6DFAAA8A" w14:textId="77777777" w:rsidTr="006B48CA">
        <w:tblPrEx>
          <w:tblW w:w="8587" w:type="dxa"/>
          <w:tblInd w:w="210" w:type="dxa"/>
          <w:tblLayout w:type="fixed"/>
          <w:tblCellMar>
            <w:left w:w="120" w:type="dxa"/>
            <w:right w:w="120" w:type="dxa"/>
          </w:tblCellMar>
          <w:tblLook w:val="0000"/>
        </w:tblPrEx>
        <w:tc>
          <w:tcPr>
            <w:tcW w:w="6840" w:type="dxa"/>
          </w:tcPr>
          <w:p w:rsidR="009C1C1C" w:rsidRPr="005F6BC2" w:rsidP="006B48CA" w14:paraId="7032EB45" w14:textId="77777777">
            <w:pPr>
              <w:tabs>
                <w:tab w:val="left" w:pos="-1440"/>
                <w:tab w:val="left" w:pos="-720"/>
              </w:tabs>
              <w:suppressAutoHyphens/>
              <w:spacing w:before="90" w:after="54"/>
              <w:rPr>
                <w:szCs w:val="22"/>
              </w:rPr>
            </w:pPr>
            <w:r w:rsidRPr="005F6BC2">
              <w:rPr>
                <w:szCs w:val="22"/>
              </w:rPr>
              <w:t>Space Stations (per operational system in non-geostationary orbit) (47 CFR part 25)</w:t>
            </w:r>
          </w:p>
        </w:tc>
        <w:tc>
          <w:tcPr>
            <w:tcW w:w="1747" w:type="dxa"/>
          </w:tcPr>
          <w:p w:rsidR="009C1C1C" w:rsidRPr="005F6BC2" w:rsidP="006B48CA" w14:paraId="6C78B668" w14:textId="77777777">
            <w:pPr>
              <w:tabs>
                <w:tab w:val="left" w:pos="-1440"/>
                <w:tab w:val="left" w:pos="-720"/>
              </w:tabs>
              <w:suppressAutoHyphens/>
              <w:spacing w:before="90" w:after="54"/>
              <w:jc w:val="center"/>
              <w:rPr>
                <w:szCs w:val="22"/>
              </w:rPr>
            </w:pPr>
            <w:r w:rsidRPr="005F6BC2">
              <w:rPr>
                <w:szCs w:val="22"/>
              </w:rPr>
              <w:t>154,875</w:t>
            </w:r>
          </w:p>
        </w:tc>
      </w:tr>
      <w:tr w14:paraId="501D6FBC" w14:textId="77777777" w:rsidTr="006B48CA">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9C1C1C" w:rsidRPr="005F6BC2" w:rsidP="006B48CA" w14:paraId="446D6C97" w14:textId="77777777">
            <w:pPr>
              <w:tabs>
                <w:tab w:val="left" w:pos="-1440"/>
                <w:tab w:val="left" w:pos="-720"/>
              </w:tabs>
              <w:suppressAutoHyphens/>
              <w:spacing w:before="90" w:after="54"/>
            </w:pPr>
            <w:r w:rsidRPr="005F6BC2">
              <w:t>International Bearer Circuits - Terrestrial/Satellites (per Gbps circuit)</w:t>
            </w:r>
          </w:p>
        </w:tc>
        <w:tc>
          <w:tcPr>
            <w:tcW w:w="1747" w:type="dxa"/>
            <w:tcBorders>
              <w:bottom w:val="single" w:sz="6" w:space="0" w:color="auto"/>
            </w:tcBorders>
          </w:tcPr>
          <w:p w:rsidR="009C1C1C" w:rsidRPr="005F6BC2" w:rsidP="006B48CA" w14:paraId="34EBAB75" w14:textId="77777777">
            <w:pPr>
              <w:tabs>
                <w:tab w:val="left" w:pos="-1440"/>
                <w:tab w:val="left" w:pos="-720"/>
              </w:tabs>
              <w:suppressAutoHyphens/>
              <w:spacing w:before="90" w:after="54"/>
              <w:jc w:val="center"/>
              <w:rPr>
                <w:szCs w:val="22"/>
              </w:rPr>
            </w:pPr>
            <w:r w:rsidRPr="005F6BC2">
              <w:rPr>
                <w:szCs w:val="22"/>
              </w:rPr>
              <w:t>121</w:t>
            </w:r>
          </w:p>
        </w:tc>
      </w:tr>
      <w:tr w14:paraId="2847E2AC" w14:textId="77777777" w:rsidTr="006B48CA">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9C1C1C" w:rsidRPr="005F6BC2" w:rsidP="006B48CA" w14:paraId="14545D09"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Submarine Cable Landing Licenses Fee (per cable system) </w:t>
            </w:r>
          </w:p>
        </w:tc>
        <w:tc>
          <w:tcPr>
            <w:tcW w:w="1747" w:type="dxa"/>
            <w:tcBorders>
              <w:bottom w:val="double" w:sz="4" w:space="0" w:color="auto"/>
            </w:tcBorders>
          </w:tcPr>
          <w:p w:rsidR="009C1C1C" w:rsidRPr="005F6BC2" w:rsidP="006B48CA" w14:paraId="0381DEAA" w14:textId="77777777">
            <w:pPr>
              <w:tabs>
                <w:tab w:val="left" w:pos="-1440"/>
                <w:tab w:val="left" w:pos="-720"/>
              </w:tabs>
              <w:suppressAutoHyphens/>
              <w:spacing w:before="90" w:after="54"/>
              <w:jc w:val="center"/>
              <w:rPr>
                <w:szCs w:val="22"/>
              </w:rPr>
            </w:pPr>
            <w:r w:rsidRPr="005F6BC2">
              <w:rPr>
                <w:szCs w:val="22"/>
              </w:rPr>
              <w:t>See Table Below</w:t>
            </w:r>
          </w:p>
        </w:tc>
      </w:tr>
    </w:tbl>
    <w:p w:rsidR="009C1C1C" w:rsidRPr="005F6BC2" w:rsidP="009C1C1C" w14:paraId="68CF9BD3" w14:textId="77777777">
      <w:pPr>
        <w:widowControl/>
        <w:rPr>
          <w:b/>
          <w:szCs w:val="22"/>
        </w:rPr>
      </w:pPr>
      <w:r w:rsidRPr="005F6BC2">
        <w:rPr>
          <w:b/>
          <w:szCs w:val="22"/>
        </w:rPr>
        <w:br w:type="page"/>
      </w: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4E77C58B" w14:textId="77777777" w:rsidTr="006B48CA">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9C1C1C" w:rsidRPr="005F6BC2" w:rsidP="006B48CA" w14:paraId="7F99E875" w14:textId="77777777">
            <w:pPr>
              <w:spacing w:before="42" w:after="104"/>
              <w:jc w:val="center"/>
              <w:rPr>
                <w:b/>
                <w:bCs/>
                <w:sz w:val="20"/>
              </w:rPr>
            </w:pPr>
            <w:r w:rsidRPr="005F6BC2">
              <w:rPr>
                <w:b/>
                <w:bCs/>
                <w:sz w:val="20"/>
              </w:rPr>
              <w:t>FY 2019 RADIO STATION REGULATORY FEES</w:t>
            </w:r>
          </w:p>
        </w:tc>
      </w:tr>
      <w:tr w14:paraId="4A13EA3C"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63E234D8" w14:textId="77777777">
            <w:pPr>
              <w:spacing w:before="42"/>
              <w:jc w:val="center"/>
              <w:rPr>
                <w:b/>
                <w:bCs/>
                <w:sz w:val="20"/>
              </w:rPr>
            </w:pPr>
            <w:r w:rsidRPr="005F6BC2">
              <w:rPr>
                <w:b/>
                <w:bCs/>
                <w:sz w:val="20"/>
              </w:rPr>
              <w:t xml:space="preserve">Population </w:t>
            </w:r>
          </w:p>
          <w:p w:rsidR="009C1C1C" w:rsidRPr="005F6BC2" w:rsidP="006B48CA" w14:paraId="78122A04" w14:textId="77777777">
            <w:pPr>
              <w:spacing w:after="104"/>
              <w:jc w:val="center"/>
              <w:rPr>
                <w:b/>
                <w:bCs/>
                <w:sz w:val="20"/>
              </w:rPr>
            </w:pPr>
            <w:r w:rsidRPr="005F6BC2">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6BE2DCB4" w14:textId="77777777">
            <w:pPr>
              <w:spacing w:before="42" w:after="104"/>
              <w:jc w:val="center"/>
              <w:rPr>
                <w:b/>
                <w:bCs/>
                <w:sz w:val="20"/>
              </w:rPr>
            </w:pPr>
            <w:r w:rsidRPr="005F6BC2">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7939CBF7" w14:textId="77777777">
            <w:pPr>
              <w:spacing w:before="42" w:after="104"/>
              <w:jc w:val="center"/>
              <w:rPr>
                <w:b/>
                <w:bCs/>
                <w:sz w:val="20"/>
              </w:rPr>
            </w:pPr>
            <w:r w:rsidRPr="005F6BC2">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3952B632" w14:textId="77777777">
            <w:pPr>
              <w:spacing w:before="42" w:after="104"/>
              <w:jc w:val="center"/>
              <w:rPr>
                <w:b/>
                <w:bCs/>
                <w:sz w:val="20"/>
              </w:rPr>
            </w:pPr>
            <w:r w:rsidRPr="005F6BC2">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3524728F" w14:textId="77777777">
            <w:pPr>
              <w:spacing w:before="42" w:after="104"/>
              <w:jc w:val="center"/>
              <w:rPr>
                <w:b/>
                <w:bCs/>
                <w:sz w:val="20"/>
              </w:rPr>
            </w:pPr>
            <w:r w:rsidRPr="005F6BC2">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9C1C1C" w:rsidRPr="005F6BC2" w:rsidP="006B48CA" w14:paraId="524B9BFC" w14:textId="77777777">
            <w:pPr>
              <w:spacing w:before="42"/>
              <w:jc w:val="center"/>
              <w:rPr>
                <w:b/>
                <w:bCs/>
                <w:sz w:val="20"/>
                <w:lang w:val="pt-BR"/>
              </w:rPr>
            </w:pPr>
            <w:r w:rsidRPr="005F6BC2">
              <w:rPr>
                <w:b/>
                <w:bCs/>
                <w:sz w:val="20"/>
                <w:lang w:val="pt-BR"/>
              </w:rPr>
              <w:t>FM Classes</w:t>
            </w:r>
          </w:p>
          <w:p w:rsidR="009C1C1C" w:rsidRPr="005F6BC2" w:rsidP="006B48CA" w14:paraId="39ABE9B0" w14:textId="77777777">
            <w:pPr>
              <w:spacing w:after="104"/>
              <w:jc w:val="center"/>
              <w:rPr>
                <w:b/>
                <w:bCs/>
                <w:sz w:val="20"/>
                <w:lang w:val="pt-BR"/>
              </w:rPr>
            </w:pPr>
            <w:r w:rsidRPr="005F6BC2">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9C1C1C" w:rsidRPr="005F6BC2" w:rsidP="006B48CA" w14:paraId="1330E84C" w14:textId="77777777">
            <w:pPr>
              <w:spacing w:before="42"/>
              <w:jc w:val="center"/>
              <w:rPr>
                <w:b/>
                <w:bCs/>
                <w:sz w:val="20"/>
                <w:lang w:val="pt-BR"/>
              </w:rPr>
            </w:pPr>
            <w:r w:rsidRPr="005F6BC2">
              <w:rPr>
                <w:b/>
                <w:bCs/>
                <w:sz w:val="20"/>
                <w:lang w:val="pt-BR"/>
              </w:rPr>
              <w:t>FM Classes</w:t>
            </w:r>
          </w:p>
          <w:p w:rsidR="009C1C1C" w:rsidRPr="005F6BC2" w:rsidP="006B48CA" w14:paraId="564C598A" w14:textId="77777777">
            <w:pPr>
              <w:spacing w:after="104"/>
              <w:jc w:val="center"/>
              <w:rPr>
                <w:b/>
                <w:bCs/>
                <w:sz w:val="20"/>
                <w:lang w:val="pt-BR"/>
              </w:rPr>
            </w:pPr>
            <w:r w:rsidRPr="005F6BC2">
              <w:rPr>
                <w:b/>
                <w:bCs/>
                <w:sz w:val="20"/>
                <w:lang w:val="pt-BR"/>
              </w:rPr>
              <w:t>B, C, C0, C1 &amp; C2</w:t>
            </w:r>
          </w:p>
        </w:tc>
      </w:tr>
      <w:tr w14:paraId="29933D0D"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790DD73C" w14:textId="77777777">
            <w:pPr>
              <w:spacing w:before="42" w:after="104"/>
              <w:rPr>
                <w:b/>
                <w:bCs/>
                <w:sz w:val="20"/>
              </w:rPr>
            </w:pPr>
            <w:r w:rsidRPr="005F6BC2">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3071807" w14:textId="77777777">
            <w:pPr>
              <w:spacing w:before="42" w:after="104"/>
              <w:jc w:val="right"/>
              <w:rPr>
                <w:sz w:val="20"/>
              </w:rPr>
            </w:pPr>
            <w:r w:rsidRPr="005F6BC2">
              <w:rPr>
                <w:szCs w:val="22"/>
              </w:rPr>
              <w:t>$950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2318880" w14:textId="77777777">
            <w:pPr>
              <w:spacing w:before="42" w:after="104"/>
              <w:jc w:val="right"/>
              <w:rPr>
                <w:sz w:val="20"/>
              </w:rPr>
            </w:pPr>
            <w:r w:rsidRPr="005F6BC2">
              <w:rPr>
                <w:szCs w:val="22"/>
              </w:rPr>
              <w:t>$685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14E8D0A" w14:textId="77777777">
            <w:pPr>
              <w:spacing w:before="42" w:after="104"/>
              <w:jc w:val="right"/>
              <w:rPr>
                <w:sz w:val="20"/>
              </w:rPr>
            </w:pPr>
            <w:r w:rsidRPr="005F6BC2">
              <w:rPr>
                <w:szCs w:val="22"/>
              </w:rPr>
              <w:t>$595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5D8579BE" w14:textId="77777777">
            <w:pPr>
              <w:spacing w:before="42" w:after="104"/>
              <w:jc w:val="right"/>
              <w:rPr>
                <w:sz w:val="20"/>
              </w:rPr>
            </w:pPr>
            <w:r w:rsidRPr="005F6BC2">
              <w:rPr>
                <w:szCs w:val="22"/>
              </w:rPr>
              <w:t>$655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49C684E" w14:textId="77777777">
            <w:pPr>
              <w:spacing w:before="42" w:after="104"/>
              <w:jc w:val="right"/>
              <w:rPr>
                <w:sz w:val="20"/>
              </w:rPr>
            </w:pPr>
            <w:r w:rsidRPr="005F6BC2">
              <w:rPr>
                <w:szCs w:val="22"/>
              </w:rPr>
              <w:t>$1,000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5F5A62F5" w14:textId="77777777">
            <w:pPr>
              <w:spacing w:before="42" w:after="104"/>
              <w:jc w:val="right"/>
              <w:rPr>
                <w:sz w:val="20"/>
              </w:rPr>
            </w:pPr>
            <w:r w:rsidRPr="005F6BC2">
              <w:rPr>
                <w:szCs w:val="22"/>
              </w:rPr>
              <w:t>$1,200</w:t>
            </w:r>
          </w:p>
        </w:tc>
      </w:tr>
      <w:tr w14:paraId="73A5EE82"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1099F2B8" w14:textId="77777777">
            <w:pPr>
              <w:spacing w:before="42" w:after="104"/>
              <w:rPr>
                <w:b/>
                <w:bCs/>
                <w:sz w:val="20"/>
              </w:rPr>
            </w:pPr>
            <w:r w:rsidRPr="005F6BC2">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D012BE5" w14:textId="77777777">
            <w:pPr>
              <w:spacing w:before="42" w:after="104"/>
              <w:jc w:val="right"/>
              <w:rPr>
                <w:sz w:val="20"/>
              </w:rPr>
            </w:pPr>
            <w:r w:rsidRPr="005F6BC2">
              <w:rPr>
                <w:szCs w:val="22"/>
              </w:rPr>
              <w:t>$1,425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30FDF318" w14:textId="77777777">
            <w:pPr>
              <w:spacing w:before="42" w:after="104"/>
              <w:jc w:val="right"/>
              <w:rPr>
                <w:sz w:val="20"/>
              </w:rPr>
            </w:pPr>
            <w:r w:rsidRPr="005F6BC2">
              <w:rPr>
                <w:szCs w:val="22"/>
              </w:rPr>
              <w:t>$1,000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19639FC9" w14:textId="77777777">
            <w:pPr>
              <w:spacing w:before="42" w:after="104"/>
              <w:jc w:val="right"/>
              <w:rPr>
                <w:sz w:val="20"/>
              </w:rPr>
            </w:pPr>
            <w:r w:rsidRPr="005F6BC2">
              <w:rPr>
                <w:szCs w:val="22"/>
              </w:rPr>
              <w:t>$895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1DF5A11D" w14:textId="77777777">
            <w:pPr>
              <w:spacing w:before="42" w:after="104"/>
              <w:jc w:val="right"/>
              <w:rPr>
                <w:sz w:val="20"/>
              </w:rPr>
            </w:pPr>
            <w:r w:rsidRPr="005F6BC2">
              <w:rPr>
                <w:szCs w:val="22"/>
              </w:rPr>
              <w:t>$985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33286C3" w14:textId="77777777">
            <w:pPr>
              <w:spacing w:before="42" w:after="104"/>
              <w:jc w:val="right"/>
              <w:rPr>
                <w:sz w:val="20"/>
              </w:rPr>
            </w:pPr>
            <w:r w:rsidRPr="005F6BC2">
              <w:rPr>
                <w:szCs w:val="22"/>
              </w:rPr>
              <w:t>$1,575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7468CDA3" w14:textId="77777777">
            <w:pPr>
              <w:spacing w:before="42" w:after="104"/>
              <w:jc w:val="right"/>
              <w:rPr>
                <w:sz w:val="20"/>
              </w:rPr>
            </w:pPr>
            <w:r w:rsidRPr="005F6BC2">
              <w:rPr>
                <w:szCs w:val="22"/>
              </w:rPr>
              <w:t>$1,800</w:t>
            </w:r>
          </w:p>
        </w:tc>
      </w:tr>
      <w:tr w14:paraId="449FA53D"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3FBBDAA7" w14:textId="77777777">
            <w:pPr>
              <w:spacing w:before="42" w:after="104"/>
              <w:rPr>
                <w:b/>
                <w:bCs/>
                <w:sz w:val="20"/>
              </w:rPr>
            </w:pPr>
            <w:r w:rsidRPr="005F6BC2">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4C00206" w14:textId="77777777">
            <w:pPr>
              <w:spacing w:before="42" w:after="104"/>
              <w:jc w:val="right"/>
              <w:rPr>
                <w:sz w:val="20"/>
              </w:rPr>
            </w:pPr>
            <w:r w:rsidRPr="005F6BC2">
              <w:rPr>
                <w:szCs w:val="22"/>
              </w:rPr>
              <w:t>$2,150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51A7359" w14:textId="77777777">
            <w:pPr>
              <w:spacing w:before="42" w:after="104"/>
              <w:jc w:val="right"/>
              <w:rPr>
                <w:sz w:val="20"/>
              </w:rPr>
            </w:pPr>
            <w:r w:rsidRPr="005F6BC2">
              <w:rPr>
                <w:szCs w:val="22"/>
              </w:rPr>
              <w:t>$1,550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12C80F00" w14:textId="77777777">
            <w:pPr>
              <w:spacing w:before="42" w:after="104"/>
              <w:jc w:val="right"/>
              <w:rPr>
                <w:sz w:val="20"/>
              </w:rPr>
            </w:pPr>
            <w:r w:rsidRPr="005F6BC2">
              <w:rPr>
                <w:szCs w:val="22"/>
              </w:rPr>
              <w:t>$1,350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1FF43B9C" w14:textId="77777777">
            <w:pPr>
              <w:spacing w:before="42" w:after="104"/>
              <w:jc w:val="right"/>
              <w:rPr>
                <w:sz w:val="20"/>
              </w:rPr>
            </w:pPr>
            <w:r w:rsidRPr="005F6BC2">
              <w:rPr>
                <w:szCs w:val="22"/>
              </w:rPr>
              <w:t>$1,475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79F8385" w14:textId="77777777">
            <w:pPr>
              <w:spacing w:before="42" w:after="104"/>
              <w:jc w:val="right"/>
              <w:rPr>
                <w:sz w:val="20"/>
              </w:rPr>
            </w:pPr>
            <w:r w:rsidRPr="005F6BC2">
              <w:rPr>
                <w:szCs w:val="22"/>
              </w:rPr>
              <w:t>$2,375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3D8579D5" w14:textId="77777777">
            <w:pPr>
              <w:spacing w:before="42" w:after="104"/>
              <w:jc w:val="right"/>
              <w:rPr>
                <w:sz w:val="20"/>
              </w:rPr>
            </w:pPr>
            <w:r w:rsidRPr="005F6BC2">
              <w:rPr>
                <w:szCs w:val="22"/>
              </w:rPr>
              <w:t>$2,700</w:t>
            </w:r>
          </w:p>
        </w:tc>
      </w:tr>
      <w:tr w14:paraId="3EC71A74"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3B92EC3A" w14:textId="77777777">
            <w:pPr>
              <w:spacing w:before="42" w:after="104"/>
              <w:rPr>
                <w:b/>
                <w:bCs/>
                <w:sz w:val="20"/>
              </w:rPr>
            </w:pPr>
            <w:r w:rsidRPr="005F6BC2">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0E7D4976" w14:textId="77777777">
            <w:pPr>
              <w:spacing w:before="42" w:after="104"/>
              <w:jc w:val="right"/>
              <w:rPr>
                <w:sz w:val="20"/>
              </w:rPr>
            </w:pPr>
            <w:r w:rsidRPr="005F6BC2">
              <w:rPr>
                <w:szCs w:val="22"/>
              </w:rPr>
              <w:t>$3,200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777E5EB" w14:textId="77777777">
            <w:pPr>
              <w:spacing w:before="42" w:after="104"/>
              <w:jc w:val="right"/>
              <w:rPr>
                <w:sz w:val="20"/>
              </w:rPr>
            </w:pPr>
            <w:r w:rsidRPr="005F6BC2">
              <w:rPr>
                <w:szCs w:val="22"/>
              </w:rPr>
              <w:t>$2,325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4DBC4F19" w14:textId="77777777">
            <w:pPr>
              <w:spacing w:before="42" w:after="104"/>
              <w:jc w:val="right"/>
              <w:rPr>
                <w:sz w:val="20"/>
              </w:rPr>
            </w:pPr>
            <w:r w:rsidRPr="005F6BC2">
              <w:rPr>
                <w:szCs w:val="22"/>
              </w:rPr>
              <w:t>$2,000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4C334D1F" w14:textId="77777777">
            <w:pPr>
              <w:spacing w:before="42" w:after="104"/>
              <w:jc w:val="right"/>
              <w:rPr>
                <w:sz w:val="20"/>
              </w:rPr>
            </w:pPr>
            <w:r w:rsidRPr="005F6BC2">
              <w:rPr>
                <w:szCs w:val="22"/>
              </w:rPr>
              <w:t>$2,225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7226C56" w14:textId="77777777">
            <w:pPr>
              <w:spacing w:before="42" w:after="104"/>
              <w:jc w:val="right"/>
              <w:rPr>
                <w:sz w:val="20"/>
              </w:rPr>
            </w:pPr>
            <w:r w:rsidRPr="005F6BC2">
              <w:rPr>
                <w:szCs w:val="22"/>
              </w:rPr>
              <w:t>$3,550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2EA3036C" w14:textId="77777777">
            <w:pPr>
              <w:spacing w:before="42" w:after="104"/>
              <w:jc w:val="right"/>
              <w:rPr>
                <w:sz w:val="20"/>
              </w:rPr>
            </w:pPr>
            <w:r w:rsidRPr="005F6BC2">
              <w:rPr>
                <w:szCs w:val="22"/>
              </w:rPr>
              <w:t>$4,050</w:t>
            </w:r>
          </w:p>
        </w:tc>
      </w:tr>
      <w:tr w14:paraId="54248B7F" w14:textId="77777777" w:rsidTr="006B48C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9C1C1C" w:rsidRPr="005F6BC2" w:rsidP="006B48CA" w14:paraId="774EB445" w14:textId="77777777">
            <w:pPr>
              <w:spacing w:before="42" w:after="104"/>
              <w:rPr>
                <w:b/>
                <w:bCs/>
                <w:sz w:val="20"/>
              </w:rPr>
            </w:pPr>
            <w:r w:rsidRPr="005F6BC2">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2166BCFF" w14:textId="77777777">
            <w:pPr>
              <w:spacing w:before="42" w:after="104"/>
              <w:jc w:val="right"/>
              <w:rPr>
                <w:sz w:val="20"/>
              </w:rPr>
            </w:pPr>
            <w:r w:rsidRPr="005F6BC2">
              <w:rPr>
                <w:szCs w:val="22"/>
              </w:rPr>
              <w:t>$4,800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D6D34E9" w14:textId="77777777">
            <w:pPr>
              <w:spacing w:before="42" w:after="104"/>
              <w:jc w:val="right"/>
              <w:rPr>
                <w:sz w:val="20"/>
              </w:rPr>
            </w:pPr>
            <w:r w:rsidRPr="005F6BC2">
              <w:rPr>
                <w:szCs w:val="22"/>
              </w:rPr>
              <w:t>$3,475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6193CA46" w14:textId="77777777">
            <w:pPr>
              <w:spacing w:before="42" w:after="104"/>
              <w:jc w:val="right"/>
              <w:rPr>
                <w:sz w:val="20"/>
              </w:rPr>
            </w:pPr>
            <w:r w:rsidRPr="005F6BC2">
              <w:rPr>
                <w:szCs w:val="22"/>
              </w:rPr>
              <w:t>$3,000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7DC3D48A" w14:textId="77777777">
            <w:pPr>
              <w:spacing w:before="42" w:after="104"/>
              <w:jc w:val="right"/>
              <w:rPr>
                <w:sz w:val="20"/>
              </w:rPr>
            </w:pPr>
            <w:r w:rsidRPr="005F6BC2">
              <w:rPr>
                <w:szCs w:val="22"/>
              </w:rPr>
              <w:t>$3,325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9C1C1C" w:rsidRPr="005F6BC2" w:rsidP="006B48CA" w14:paraId="5CBDAEAA" w14:textId="77777777">
            <w:pPr>
              <w:spacing w:before="42" w:after="104"/>
              <w:jc w:val="right"/>
              <w:rPr>
                <w:sz w:val="20"/>
              </w:rPr>
            </w:pPr>
            <w:r w:rsidRPr="005F6BC2">
              <w:rPr>
                <w:szCs w:val="22"/>
              </w:rPr>
              <w:t>$5,325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9C1C1C" w:rsidRPr="005F6BC2" w:rsidP="006B48CA" w14:paraId="73E28566" w14:textId="77777777">
            <w:pPr>
              <w:spacing w:before="42" w:after="104"/>
              <w:jc w:val="right"/>
              <w:rPr>
                <w:sz w:val="20"/>
              </w:rPr>
            </w:pPr>
            <w:r w:rsidRPr="005F6BC2">
              <w:rPr>
                <w:szCs w:val="22"/>
              </w:rPr>
              <w:t>$6,075</w:t>
            </w:r>
          </w:p>
        </w:tc>
      </w:tr>
      <w:tr w14:paraId="376CD2FA" w14:textId="77777777" w:rsidTr="006B48CA">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9C1C1C" w:rsidRPr="005F6BC2" w:rsidP="006B48CA" w14:paraId="19086147" w14:textId="77777777">
            <w:pPr>
              <w:spacing w:before="42" w:after="104"/>
              <w:rPr>
                <w:b/>
                <w:bCs/>
                <w:sz w:val="20"/>
              </w:rPr>
            </w:pPr>
            <w:r w:rsidRPr="005F6BC2">
              <w:rPr>
                <w:b/>
                <w:bCs/>
                <w:sz w:val="20"/>
              </w:rPr>
              <w:t>1,200,001 – 3,000,00</w:t>
            </w:r>
            <w:r>
              <w:rPr>
                <w:b/>
                <w:bCs/>
                <w:sz w:val="20"/>
              </w:rPr>
              <w:t>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7188A7F9" w14:textId="77777777">
            <w:pPr>
              <w:spacing w:before="42" w:after="104"/>
              <w:jc w:val="right"/>
              <w:rPr>
                <w:sz w:val="20"/>
              </w:rPr>
            </w:pPr>
            <w:r w:rsidRPr="005F6BC2">
              <w:rPr>
                <w:szCs w:val="22"/>
              </w:rPr>
              <w:t>$7,225</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22A0EABA" w14:textId="77777777">
            <w:pPr>
              <w:spacing w:before="42" w:after="104"/>
              <w:jc w:val="right"/>
              <w:rPr>
                <w:sz w:val="20"/>
              </w:rPr>
            </w:pPr>
            <w:r w:rsidRPr="005F6BC2">
              <w:rPr>
                <w:szCs w:val="22"/>
              </w:rPr>
              <w:t>$5,200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1259B15F" w14:textId="77777777">
            <w:pPr>
              <w:spacing w:before="42" w:after="104"/>
              <w:jc w:val="right"/>
              <w:rPr>
                <w:sz w:val="20"/>
              </w:rPr>
            </w:pPr>
            <w:r w:rsidRPr="005F6BC2">
              <w:rPr>
                <w:szCs w:val="22"/>
              </w:rPr>
              <w:t>$4,525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15F64E26" w14:textId="77777777">
            <w:pPr>
              <w:spacing w:before="42" w:after="104"/>
              <w:jc w:val="right"/>
              <w:rPr>
                <w:sz w:val="20"/>
              </w:rPr>
            </w:pPr>
            <w:r w:rsidRPr="005F6BC2">
              <w:rPr>
                <w:szCs w:val="22"/>
              </w:rPr>
              <w:t>$4,975</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9C1C1C" w:rsidRPr="005F6BC2" w:rsidP="006B48CA" w14:paraId="2520C9F8" w14:textId="77777777">
            <w:pPr>
              <w:spacing w:before="42" w:after="104"/>
              <w:jc w:val="right"/>
              <w:rPr>
                <w:sz w:val="20"/>
              </w:rPr>
            </w:pPr>
            <w:r w:rsidRPr="005F6BC2">
              <w:rPr>
                <w:szCs w:val="22"/>
              </w:rPr>
              <w:t>$7,975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9C1C1C" w:rsidRPr="005F6BC2" w:rsidP="006B48CA" w14:paraId="75F0F17A" w14:textId="77777777">
            <w:pPr>
              <w:spacing w:before="42" w:after="104"/>
              <w:jc w:val="right"/>
              <w:rPr>
                <w:sz w:val="20"/>
              </w:rPr>
            </w:pPr>
            <w:r w:rsidRPr="005F6BC2">
              <w:rPr>
                <w:szCs w:val="22"/>
              </w:rPr>
              <w:t>$9,125</w:t>
            </w:r>
          </w:p>
        </w:tc>
      </w:tr>
      <w:tr w14:paraId="28961CDE" w14:textId="77777777" w:rsidTr="006B48CA">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9C1C1C" w:rsidRPr="005F6BC2" w:rsidP="006B48CA" w14:paraId="64E68BD2" w14:textId="77777777">
            <w:pPr>
              <w:spacing w:before="42" w:after="104"/>
              <w:rPr>
                <w:b/>
                <w:bCs/>
                <w:sz w:val="20"/>
              </w:rPr>
            </w:pPr>
            <w:r w:rsidRPr="005F6BC2">
              <w:rPr>
                <w:b/>
                <w:bCs/>
                <w:sz w:val="20"/>
              </w:rPr>
              <w:t>3,000,001 – 6,000,00</w:t>
            </w:r>
            <w:r>
              <w:rPr>
                <w:b/>
                <w:bCs/>
                <w:sz w:val="20"/>
              </w:rPr>
              <w:t>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7B8EF0AB" w14:textId="77777777">
            <w:pPr>
              <w:spacing w:before="42" w:after="104"/>
              <w:jc w:val="right"/>
              <w:rPr>
                <w:sz w:val="20"/>
              </w:rPr>
            </w:pPr>
            <w:r w:rsidRPr="005F6BC2">
              <w:rPr>
                <w:szCs w:val="22"/>
              </w:rPr>
              <w:t>$10,825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35B3DA37" w14:textId="77777777">
            <w:pPr>
              <w:spacing w:before="42" w:after="104"/>
              <w:jc w:val="right"/>
              <w:rPr>
                <w:sz w:val="20"/>
              </w:rPr>
            </w:pPr>
            <w:r w:rsidRPr="005F6BC2">
              <w:rPr>
                <w:szCs w:val="22"/>
              </w:rPr>
              <w:t>$7,800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4FC740D4" w14:textId="77777777">
            <w:pPr>
              <w:spacing w:before="42" w:after="104"/>
              <w:jc w:val="right"/>
              <w:rPr>
                <w:sz w:val="20"/>
              </w:rPr>
            </w:pPr>
            <w:r w:rsidRPr="005F6BC2">
              <w:rPr>
                <w:szCs w:val="22"/>
              </w:rPr>
              <w:t>$6,775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2A0EDE7B" w14:textId="77777777">
            <w:pPr>
              <w:spacing w:before="42" w:after="104"/>
              <w:jc w:val="right"/>
              <w:rPr>
                <w:sz w:val="20"/>
              </w:rPr>
            </w:pPr>
            <w:r w:rsidRPr="005F6BC2">
              <w:rPr>
                <w:szCs w:val="22"/>
              </w:rPr>
              <w:t>$7,450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9C1C1C" w:rsidRPr="005F6BC2" w:rsidP="006B48CA" w14:paraId="1779E9E1" w14:textId="77777777">
            <w:pPr>
              <w:spacing w:before="42" w:after="104"/>
              <w:jc w:val="right"/>
              <w:rPr>
                <w:sz w:val="20"/>
              </w:rPr>
            </w:pPr>
            <w:r w:rsidRPr="005F6BC2">
              <w:rPr>
                <w:szCs w:val="22"/>
              </w:rPr>
              <w:t>$11,950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9C1C1C" w:rsidRPr="005F6BC2" w:rsidP="006B48CA" w14:paraId="3B0E245F" w14:textId="77777777">
            <w:pPr>
              <w:spacing w:before="42" w:after="104"/>
              <w:jc w:val="right"/>
              <w:rPr>
                <w:sz w:val="20"/>
              </w:rPr>
            </w:pPr>
            <w:r w:rsidRPr="005F6BC2">
              <w:rPr>
                <w:szCs w:val="22"/>
              </w:rPr>
              <w:t>$13,675</w:t>
            </w:r>
          </w:p>
        </w:tc>
      </w:tr>
      <w:tr w14:paraId="02BF7713" w14:textId="77777777" w:rsidTr="006B48CA">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9C1C1C" w:rsidRPr="005F6BC2" w:rsidP="006B48CA" w14:paraId="21DE27A6" w14:textId="77777777">
            <w:pPr>
              <w:spacing w:before="42" w:after="104"/>
              <w:rPr>
                <w:b/>
                <w:bCs/>
                <w:sz w:val="20"/>
              </w:rPr>
            </w:pPr>
            <w:r w:rsidRPr="005F6BC2">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62A3CB37" w14:textId="77777777">
            <w:pPr>
              <w:spacing w:before="42" w:after="104"/>
              <w:jc w:val="right"/>
              <w:rPr>
                <w:sz w:val="20"/>
              </w:rPr>
            </w:pPr>
            <w:r w:rsidRPr="005F6BC2">
              <w:rPr>
                <w:szCs w:val="22"/>
              </w:rPr>
              <w:t>$16,225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40B7FADC" w14:textId="77777777">
            <w:pPr>
              <w:spacing w:before="42" w:after="104"/>
              <w:jc w:val="right"/>
              <w:rPr>
                <w:sz w:val="20"/>
              </w:rPr>
            </w:pPr>
            <w:r w:rsidRPr="005F6BC2">
              <w:rPr>
                <w:szCs w:val="22"/>
              </w:rPr>
              <w:t>$11,700</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6D1FA9C1" w14:textId="77777777">
            <w:pPr>
              <w:spacing w:before="42" w:after="104"/>
              <w:jc w:val="right"/>
              <w:rPr>
                <w:sz w:val="20"/>
              </w:rPr>
            </w:pPr>
            <w:r w:rsidRPr="005F6BC2">
              <w:rPr>
                <w:szCs w:val="22"/>
              </w:rPr>
              <w:t>$10,175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72C0372A" w14:textId="77777777">
            <w:pPr>
              <w:spacing w:before="42" w:after="104"/>
              <w:jc w:val="right"/>
              <w:rPr>
                <w:sz w:val="20"/>
              </w:rPr>
            </w:pPr>
            <w:r w:rsidRPr="005F6BC2">
              <w:rPr>
                <w:szCs w:val="22"/>
              </w:rPr>
              <w:t>$11,200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9C1C1C" w:rsidRPr="005F6BC2" w:rsidP="006B48CA" w14:paraId="53112F62" w14:textId="77777777">
            <w:pPr>
              <w:spacing w:before="42" w:after="104"/>
              <w:jc w:val="right"/>
              <w:rPr>
                <w:sz w:val="20"/>
              </w:rPr>
            </w:pPr>
            <w:r w:rsidRPr="005F6BC2">
              <w:rPr>
                <w:szCs w:val="22"/>
              </w:rPr>
              <w:t>$17,950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9C1C1C" w:rsidRPr="005F6BC2" w:rsidP="006B48CA" w14:paraId="55539672" w14:textId="77777777">
            <w:pPr>
              <w:spacing w:before="42" w:after="104"/>
              <w:jc w:val="right"/>
              <w:rPr>
                <w:sz w:val="20"/>
              </w:rPr>
            </w:pPr>
            <w:r w:rsidRPr="005F6BC2">
              <w:rPr>
                <w:szCs w:val="22"/>
              </w:rPr>
              <w:t>$20,500</w:t>
            </w:r>
          </w:p>
        </w:tc>
      </w:tr>
    </w:tbl>
    <w:p w:rsidR="009C1C1C" w:rsidRPr="005F6BC2" w:rsidP="009C1C1C" w14:paraId="0647B759" w14:textId="77777777">
      <w:pPr>
        <w:pStyle w:val="ParaNum"/>
        <w:numPr>
          <w:ilvl w:val="0"/>
          <w:numId w:val="0"/>
        </w:numPr>
        <w:ind w:left="720"/>
      </w:pPr>
    </w:p>
    <w:p w:rsidR="009C1C1C" w:rsidRPr="005F6BC2" w:rsidP="009C1C1C" w14:paraId="08518198" w14:textId="77777777">
      <w:pPr>
        <w:tabs>
          <w:tab w:val="right" w:pos="10080"/>
        </w:tabs>
        <w:suppressAutoHyphens/>
        <w:ind w:left="450"/>
        <w:jc w:val="center"/>
        <w:outlineLvl w:val="0"/>
        <w:rPr>
          <w:b/>
          <w:szCs w:val="22"/>
        </w:rPr>
      </w:pPr>
      <w:r w:rsidRPr="005F6BC2">
        <w:rPr>
          <w:b/>
          <w:szCs w:val="22"/>
        </w:rPr>
        <w:t>FY 2019 International Bearer Circuits - Submarine Cable Systems</w:t>
      </w:r>
    </w:p>
    <w:p w:rsidR="009C1C1C" w:rsidRPr="005F6BC2" w:rsidP="009C1C1C" w14:paraId="39E547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14:paraId="38B7A869" w14:textId="77777777" w:rsidTr="006B48CA">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9C1C1C" w:rsidRPr="005F6BC2" w:rsidP="006B48CA" w14:paraId="2BF1F9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9C1C1C" w:rsidRPr="005F6BC2" w:rsidP="006B48CA" w14:paraId="7CFA422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2018)</w:t>
            </w:r>
          </w:p>
        </w:tc>
        <w:tc>
          <w:tcPr>
            <w:tcW w:w="3780" w:type="dxa"/>
          </w:tcPr>
          <w:p w:rsidR="009C1C1C" w:rsidRPr="005F6BC2" w:rsidP="006B48CA" w14:paraId="27C7D8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2019</w:t>
            </w:r>
            <w:r>
              <w:rPr>
                <w:b/>
                <w:spacing w:val="-3"/>
                <w:szCs w:val="22"/>
              </w:rPr>
              <w:t xml:space="preserve"> Regulatory Fees</w:t>
            </w:r>
          </w:p>
        </w:tc>
      </w:tr>
      <w:tr w14:paraId="50CA2BEC" w14:textId="77777777" w:rsidTr="006B48CA">
        <w:tblPrEx>
          <w:tblW w:w="0" w:type="auto"/>
          <w:tblInd w:w="175" w:type="dxa"/>
          <w:tblLook w:val="01E0"/>
        </w:tblPrEx>
        <w:trPr>
          <w:trHeight w:val="576"/>
        </w:trPr>
        <w:tc>
          <w:tcPr>
            <w:tcW w:w="4860" w:type="dxa"/>
            <w:vAlign w:val="center"/>
          </w:tcPr>
          <w:p w:rsidR="009C1C1C" w:rsidRPr="005F6BC2" w:rsidP="006B48CA" w14:paraId="78C4A7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zCs w:val="22"/>
              </w:rPr>
              <w:t>Less than 50 Gbps</w:t>
            </w:r>
          </w:p>
        </w:tc>
        <w:tc>
          <w:tcPr>
            <w:tcW w:w="3780" w:type="dxa"/>
            <w:vAlign w:val="center"/>
          </w:tcPr>
          <w:p w:rsidR="009C1C1C" w:rsidRPr="005F6BC2" w:rsidP="006B48CA" w14:paraId="2B5AAD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$12,575</w:t>
            </w:r>
          </w:p>
        </w:tc>
      </w:tr>
      <w:tr w14:paraId="5AB6C8B2" w14:textId="77777777" w:rsidTr="006B48CA">
        <w:tblPrEx>
          <w:tblW w:w="0" w:type="auto"/>
          <w:tblInd w:w="175" w:type="dxa"/>
          <w:tblLook w:val="01E0"/>
        </w:tblPrEx>
        <w:trPr>
          <w:trHeight w:val="576"/>
        </w:trPr>
        <w:tc>
          <w:tcPr>
            <w:tcW w:w="4860" w:type="dxa"/>
            <w:vAlign w:val="center"/>
          </w:tcPr>
          <w:p w:rsidR="009C1C1C" w:rsidRPr="005F6BC2" w:rsidP="006B48CA" w14:paraId="7703DB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50 Gbps or greater, but less than 250 Gbps</w:t>
            </w:r>
          </w:p>
        </w:tc>
        <w:tc>
          <w:tcPr>
            <w:tcW w:w="3780" w:type="dxa"/>
            <w:vAlign w:val="center"/>
          </w:tcPr>
          <w:p w:rsidR="009C1C1C" w:rsidRPr="005F6BC2" w:rsidP="006B48CA" w14:paraId="69FAEF2F" w14:textId="77777777">
            <w:pPr>
              <w:jc w:val="center"/>
              <w:rPr>
                <w:spacing w:val="-3"/>
                <w:szCs w:val="22"/>
              </w:rPr>
            </w:pPr>
            <w:r w:rsidRPr="005F6BC2">
              <w:rPr>
                <w:bCs/>
                <w:szCs w:val="22"/>
              </w:rPr>
              <w:t>$25,150</w:t>
            </w:r>
          </w:p>
        </w:tc>
      </w:tr>
      <w:tr w14:paraId="4C11D097" w14:textId="77777777" w:rsidTr="006B48CA">
        <w:tblPrEx>
          <w:tblW w:w="0" w:type="auto"/>
          <w:tblInd w:w="175" w:type="dxa"/>
          <w:tblLook w:val="01E0"/>
        </w:tblPrEx>
        <w:trPr>
          <w:trHeight w:val="576"/>
        </w:trPr>
        <w:tc>
          <w:tcPr>
            <w:tcW w:w="4860" w:type="dxa"/>
            <w:vAlign w:val="center"/>
          </w:tcPr>
          <w:p w:rsidR="009C1C1C" w:rsidRPr="005F6BC2" w:rsidP="006B48CA" w14:paraId="313E40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250 Gbps or greater, but less than 1,000 Gbps</w:t>
            </w:r>
          </w:p>
        </w:tc>
        <w:tc>
          <w:tcPr>
            <w:tcW w:w="3780" w:type="dxa"/>
            <w:vAlign w:val="center"/>
          </w:tcPr>
          <w:p w:rsidR="009C1C1C" w:rsidRPr="005F6BC2" w:rsidP="006B48CA" w14:paraId="3C455D1C" w14:textId="77777777">
            <w:pPr>
              <w:jc w:val="center"/>
              <w:rPr>
                <w:spacing w:val="-3"/>
                <w:szCs w:val="22"/>
              </w:rPr>
            </w:pPr>
            <w:r w:rsidRPr="005F6BC2">
              <w:rPr>
                <w:bCs/>
                <w:szCs w:val="22"/>
              </w:rPr>
              <w:t>$50,300</w:t>
            </w:r>
          </w:p>
        </w:tc>
      </w:tr>
      <w:tr w14:paraId="33D340B2" w14:textId="77777777" w:rsidTr="006B48CA">
        <w:tblPrEx>
          <w:tblW w:w="0" w:type="auto"/>
          <w:tblInd w:w="175" w:type="dxa"/>
          <w:tblLook w:val="01E0"/>
        </w:tblPrEx>
        <w:trPr>
          <w:trHeight w:val="576"/>
        </w:trPr>
        <w:tc>
          <w:tcPr>
            <w:tcW w:w="4860" w:type="dxa"/>
            <w:vAlign w:val="center"/>
          </w:tcPr>
          <w:p w:rsidR="009C1C1C" w:rsidRPr="005F6BC2" w:rsidP="006B48CA" w14:paraId="627C0D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1,000 Gbps or greater, but less than 4,000 Gbps</w:t>
            </w:r>
          </w:p>
        </w:tc>
        <w:tc>
          <w:tcPr>
            <w:tcW w:w="3780" w:type="dxa"/>
            <w:vAlign w:val="center"/>
          </w:tcPr>
          <w:p w:rsidR="009C1C1C" w:rsidRPr="005F6BC2" w:rsidP="006B48CA" w14:paraId="4C1A9BAE" w14:textId="77777777">
            <w:pPr>
              <w:jc w:val="center"/>
              <w:rPr>
                <w:spacing w:val="-3"/>
                <w:szCs w:val="22"/>
              </w:rPr>
            </w:pPr>
            <w:r w:rsidRPr="005F6BC2">
              <w:rPr>
                <w:bCs/>
                <w:szCs w:val="22"/>
              </w:rPr>
              <w:t>$100,600</w:t>
            </w:r>
          </w:p>
        </w:tc>
      </w:tr>
      <w:tr w14:paraId="4769FC6D" w14:textId="77777777" w:rsidTr="006B48CA">
        <w:tblPrEx>
          <w:tblW w:w="0" w:type="auto"/>
          <w:tblInd w:w="175" w:type="dxa"/>
          <w:tblLook w:val="01E0"/>
        </w:tblPrEx>
        <w:trPr>
          <w:trHeight w:val="576"/>
        </w:trPr>
        <w:tc>
          <w:tcPr>
            <w:tcW w:w="4860" w:type="dxa"/>
            <w:vAlign w:val="center"/>
          </w:tcPr>
          <w:p w:rsidR="009C1C1C" w:rsidRPr="005F6BC2" w:rsidP="006B48CA" w14:paraId="4A65C86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5F6BC2">
              <w:rPr>
                <w:szCs w:val="22"/>
              </w:rPr>
              <w:t>4,000 Gbps or greater</w:t>
            </w:r>
          </w:p>
        </w:tc>
        <w:tc>
          <w:tcPr>
            <w:tcW w:w="3780" w:type="dxa"/>
            <w:vAlign w:val="center"/>
          </w:tcPr>
          <w:p w:rsidR="009C1C1C" w:rsidRPr="005F6BC2" w:rsidP="006B48CA" w14:paraId="3DC4F14D" w14:textId="77777777">
            <w:pPr>
              <w:jc w:val="center"/>
              <w:rPr>
                <w:szCs w:val="22"/>
              </w:rPr>
            </w:pPr>
            <w:r w:rsidRPr="005F6BC2">
              <w:rPr>
                <w:bCs/>
                <w:szCs w:val="22"/>
              </w:rPr>
              <w:t>$201,225</w:t>
            </w:r>
          </w:p>
        </w:tc>
      </w:tr>
    </w:tbl>
    <w:p w:rsidR="009C1C1C" w:rsidP="009C1C1C" w14:paraId="4805B930" w14:textId="77777777">
      <w:pPr>
        <w:tabs>
          <w:tab w:val="left" w:pos="3629"/>
        </w:tabs>
      </w:pPr>
    </w:p>
    <w:p w:rsidR="009C1C1C" w:rsidP="009C1C1C" w14:paraId="1E9E4D3E" w14:textId="77777777">
      <w:pPr>
        <w:widowControl/>
      </w:pPr>
      <w:r>
        <w:br w:type="page"/>
      </w:r>
    </w:p>
    <w:p w:rsidR="009C1C1C" w:rsidRPr="00B4251C" w:rsidP="009C1C1C" w14:paraId="3A05FF18" w14:textId="77777777">
      <w:pPr>
        <w:pStyle w:val="ParaNum"/>
        <w:numPr>
          <w:ilvl w:val="0"/>
          <w:numId w:val="0"/>
        </w:numPr>
        <w:jc w:val="center"/>
        <w:rPr>
          <w:b/>
          <w:bCs/>
        </w:rPr>
      </w:pPr>
      <w:r w:rsidRPr="00B4251C">
        <w:rPr>
          <w:b/>
          <w:bCs/>
        </w:rPr>
        <w:t>APPENDIX I</w:t>
      </w:r>
    </w:p>
    <w:p w:rsidR="009C1C1C" w:rsidRPr="00B4251C" w:rsidP="009C1C1C" w14:paraId="1317FEB5" w14:textId="77777777">
      <w:pPr>
        <w:pStyle w:val="ParaNum"/>
        <w:numPr>
          <w:ilvl w:val="0"/>
          <w:numId w:val="0"/>
        </w:numPr>
        <w:jc w:val="center"/>
        <w:rPr>
          <w:b/>
          <w:bCs/>
        </w:rPr>
      </w:pPr>
      <w:r w:rsidRPr="00B4251C">
        <w:rPr>
          <w:b/>
          <w:bCs/>
        </w:rPr>
        <w:t>Final Regulatory Flexibility Analysis</w:t>
      </w:r>
    </w:p>
    <w:p w:rsidR="009C1C1C" w:rsidRPr="00DD41E6" w:rsidP="00F0238B" w14:paraId="1A932811" w14:textId="77777777">
      <w:pPr>
        <w:pStyle w:val="ParaNum"/>
        <w:numPr>
          <w:ilvl w:val="0"/>
          <w:numId w:val="10"/>
        </w:numPr>
        <w:tabs>
          <w:tab w:val="clear" w:pos="1080"/>
        </w:tabs>
      </w:pPr>
      <w:r w:rsidRPr="00DD41E6">
        <w:t>As required by the Regulatory Flexibility Act of 1980, as amended (RFA),</w:t>
      </w:r>
      <w:r>
        <w:rPr>
          <w:rStyle w:val="FootnoteReference"/>
          <w:spacing w:val="-2"/>
        </w:rPr>
        <w:footnoteReference w:id="284"/>
      </w:r>
      <w:r w:rsidRPr="00DD41E6">
        <w:t xml:space="preserve"> an Initial Regulatory Flexibility Analysis (IRFA) was included in the </w:t>
      </w:r>
      <w:r w:rsidRPr="00097952">
        <w:rPr>
          <w:i/>
        </w:rPr>
        <w:t xml:space="preserve">Notice of Proposed Rulemaking </w:t>
      </w:r>
      <w:r w:rsidRPr="00DD41E6">
        <w:t>(</w:t>
      </w:r>
      <w:r w:rsidRPr="00097952">
        <w:rPr>
          <w:i/>
        </w:rPr>
        <w:t>Notice</w:t>
      </w:r>
      <w:r w:rsidRPr="00DD41E6">
        <w:t>).</w:t>
      </w:r>
      <w:r>
        <w:rPr>
          <w:rStyle w:val="FootnoteReference"/>
        </w:rPr>
        <w:footnoteReference w:id="285"/>
      </w:r>
      <w:r w:rsidRPr="00097952">
        <w:rPr>
          <w:i/>
        </w:rPr>
        <w:t xml:space="preserve">  </w:t>
      </w:r>
      <w:r w:rsidRPr="00DD41E6">
        <w:t xml:space="preserve">The Commission </w:t>
      </w:r>
      <w:r w:rsidRPr="00B4251C">
        <w:t>sought</w:t>
      </w:r>
      <w:r w:rsidRPr="00DD41E6">
        <w:t xml:space="preserve"> written public comment on these proposals including comment on the IRFA.  This Final Regulatory Flexibility Analysis (FRFA) conforms to the IRFA.</w:t>
      </w:r>
      <w:r>
        <w:rPr>
          <w:rStyle w:val="FootnoteReference"/>
          <w:spacing w:val="-2"/>
        </w:rPr>
        <w:footnoteReference w:id="286"/>
      </w:r>
      <w:r w:rsidRPr="00DD41E6">
        <w:t xml:space="preserve"> </w:t>
      </w:r>
    </w:p>
    <w:p w:rsidR="009C1C1C" w:rsidRPr="00DD41E6" w:rsidP="00593971" w14:paraId="1A74E480" w14:textId="77777777">
      <w:pPr>
        <w:pStyle w:val="Heading2"/>
      </w:pPr>
      <w:r w:rsidRPr="00DD41E6">
        <w:t>A.</w:t>
      </w:r>
      <w:r w:rsidRPr="00DD41E6">
        <w:tab/>
        <w:t xml:space="preserve">Need for, and Objectives of, the Report and Order  </w:t>
      </w:r>
    </w:p>
    <w:p w:rsidR="009C1C1C" w:rsidRPr="00DD41E6" w:rsidP="009C1C1C" w14:paraId="116ED18D" w14:textId="77777777">
      <w:pPr>
        <w:pStyle w:val="ParaNum"/>
        <w:tabs>
          <w:tab w:val="clear" w:pos="1440"/>
        </w:tabs>
      </w:pPr>
      <w:r w:rsidRPr="00DD41E6">
        <w:t xml:space="preserve">In this Report and Order we adopt our proposal in the </w:t>
      </w:r>
      <w:r w:rsidRPr="00DD41E6">
        <w:rPr>
          <w:i/>
          <w:iCs/>
        </w:rPr>
        <w:t>Notice</w:t>
      </w:r>
      <w:r w:rsidRPr="00DD41E6">
        <w:t xml:space="preserve"> on collecting $339,000,000 in regulatory fees for FY 2020, pursuant to section 9 of the Communications Act of 1934, as amended (Communications Act or Act).</w:t>
      </w:r>
      <w:r>
        <w:rPr>
          <w:rStyle w:val="FootnoteReference"/>
        </w:rPr>
        <w:footnoteReference w:id="287"/>
      </w:r>
      <w:r w:rsidRPr="00DD41E6">
        <w:t xml:space="preserve">  These regulatory fees will be due in September 2020.  Under section 9 of the Communications Act,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Pr>
          <w:rStyle w:val="FootnoteReference"/>
        </w:rPr>
        <w:footnoteReference w:id="288"/>
      </w:r>
      <w:r w:rsidRPr="00DD41E6">
        <w:t xml:space="preserve">  This Report and Order adopts the regulatory fees proposed in the </w:t>
      </w:r>
      <w:r w:rsidRPr="00DD41E6">
        <w:rPr>
          <w:i/>
          <w:iCs/>
        </w:rPr>
        <w:t>Notice</w:t>
      </w:r>
      <w:r w:rsidRPr="00DD41E6">
        <w:t>, with some minor changes.</w:t>
      </w:r>
    </w:p>
    <w:p w:rsidR="009C1C1C" w:rsidRPr="00DD41E6" w:rsidP="00593971" w14:paraId="6369D9E6" w14:textId="77777777">
      <w:pPr>
        <w:pStyle w:val="Heading2"/>
      </w:pPr>
      <w:r w:rsidRPr="00DD41E6">
        <w:t>B.</w:t>
      </w:r>
      <w:r w:rsidRPr="00DD41E6">
        <w:tab/>
        <w:t>Summary of the Significant Issues Raised by the Public Comments in Response to the IRFA</w:t>
      </w:r>
    </w:p>
    <w:p w:rsidR="009C1C1C" w:rsidP="009C1C1C" w14:paraId="6ED937ED" w14:textId="77777777">
      <w:pPr>
        <w:pStyle w:val="ParaNum"/>
        <w:tabs>
          <w:tab w:val="clear" w:pos="1440"/>
        </w:tabs>
      </w:pPr>
      <w:r w:rsidRPr="00DD41E6">
        <w:t>None.</w:t>
      </w:r>
    </w:p>
    <w:p w:rsidR="009C1C1C" w:rsidP="00593971" w14:paraId="1E43641A" w14:textId="77777777">
      <w:pPr>
        <w:pStyle w:val="Heading2"/>
      </w:pPr>
      <w:r>
        <w:t>C.</w:t>
      </w:r>
      <w:r>
        <w:tab/>
        <w:t>Response to Comments by the Chief Counsel for Advocacy of the Small Business Administration</w:t>
      </w:r>
    </w:p>
    <w:p w:rsidR="009C1C1C" w:rsidRPr="00C729E8" w:rsidP="009C1C1C" w14:paraId="1A640D98" w14:textId="77777777">
      <w:pPr>
        <w:pStyle w:val="ParaNum"/>
        <w:tabs>
          <w:tab w:val="clear" w:pos="1440"/>
        </w:tabs>
      </w:pPr>
      <w:r>
        <w:t>No comments were filed by the Chief Counsel for Advocacy of the Small Business Administration.</w:t>
      </w:r>
    </w:p>
    <w:p w:rsidR="009C1C1C" w:rsidRPr="00DD41E6" w:rsidP="00593971" w14:paraId="0B6A3306" w14:textId="77777777">
      <w:pPr>
        <w:pStyle w:val="Heading2"/>
      </w:pPr>
      <w:r>
        <w:t>D</w:t>
      </w:r>
      <w:r w:rsidRPr="00DD41E6">
        <w:t>.</w:t>
      </w:r>
      <w:r w:rsidRPr="00DD41E6">
        <w:tab/>
        <w:t>Description and Estimate of the Number of Small Entities to Which the Rules Will Apply:</w:t>
      </w:r>
    </w:p>
    <w:p w:rsidR="009C1C1C" w:rsidRPr="00DD41E6" w:rsidP="009C1C1C" w14:paraId="04342681" w14:textId="77777777">
      <w:pPr>
        <w:pStyle w:val="ParaNum"/>
        <w:widowControl/>
        <w:tabs>
          <w:tab w:val="clear" w:pos="1440"/>
        </w:tabs>
      </w:pPr>
      <w:r w:rsidRPr="00DD41E6">
        <w:t>The RFA directs agencies to provide a description of, and where feasible, an estimate of the number of small entities that may be affected by the proposed rules and policies, if adopted.</w:t>
      </w:r>
      <w:r>
        <w:rPr>
          <w:rStyle w:val="FootnoteReference"/>
          <w:spacing w:val="-2"/>
        </w:rPr>
        <w:footnoteReference w:id="289"/>
      </w:r>
      <w:r w:rsidRPr="00DD41E6">
        <w:t xml:space="preserve">  The RFA generally defines the term “small entity” as having the same meaning as the terms “small business,” “small organization,” and “small governmental jurisdiction.”</w:t>
      </w:r>
      <w:r>
        <w:rPr>
          <w:rStyle w:val="FootnoteReference"/>
          <w:spacing w:val="-2"/>
        </w:rPr>
        <w:footnoteReference w:id="290"/>
      </w:r>
      <w:r w:rsidRPr="00DD41E6">
        <w:t xml:space="preserve">  In addition, the term “small business” has the same meaning as the term “small business concern” under the Small Business Act.</w:t>
      </w:r>
      <w:r>
        <w:rPr>
          <w:rStyle w:val="FootnoteReference"/>
          <w:spacing w:val="-2"/>
        </w:rPr>
        <w:footnoteReference w:id="291"/>
      </w:r>
      <w:r w:rsidRPr="00DD41E6">
        <w:t xml:space="preserve">  A “small business concern” is one which: (1) is independently owned and operated; (2) is not dominant in its field </w:t>
      </w:r>
      <w:r w:rsidRPr="00DD41E6">
        <w:t>of operation; and (3) satisfies any additional criteria established by the SBA.</w:t>
      </w:r>
      <w:r>
        <w:rPr>
          <w:rStyle w:val="FootnoteReference"/>
          <w:spacing w:val="-2"/>
        </w:rPr>
        <w:footnoteReference w:id="292"/>
      </w:r>
      <w:r w:rsidRPr="00DD41E6">
        <w:t xml:space="preserve">  Nationwide, there are a total of approximately 27.9 million small businesses, according to the SBA.</w:t>
      </w:r>
      <w:r>
        <w:rPr>
          <w:rStyle w:val="FootnoteReference"/>
          <w:spacing w:val="-2"/>
        </w:rPr>
        <w:footnoteReference w:id="293"/>
      </w:r>
      <w:r w:rsidRPr="00DD41E6">
        <w:t xml:space="preserve">   </w:t>
      </w:r>
    </w:p>
    <w:p w:rsidR="009C1C1C" w:rsidRPr="00DD41E6" w:rsidP="009C1C1C" w14:paraId="5FB5D49D" w14:textId="77777777">
      <w:pPr>
        <w:pStyle w:val="ParaNum"/>
        <w:tabs>
          <w:tab w:val="clear" w:pos="1440"/>
        </w:tabs>
      </w:pPr>
      <w:r w:rsidRPr="00B4251C">
        <w:rPr>
          <w:bCs/>
          <w:i/>
          <w:iCs/>
        </w:rPr>
        <w:t>Wired Telecommunications Carriers</w:t>
      </w:r>
      <w:r w:rsidRPr="00DD41E6">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294"/>
      </w:r>
      <w:r w:rsidRPr="00DD41E6">
        <w:t xml:space="preserve">  The SBA has developed a small business size standard for Wired Telecommunications Carriers, which consists of all such companies having 1,500 or fewer employees.</w:t>
      </w:r>
      <w:r>
        <w:rPr>
          <w:rStyle w:val="FootnoteReference"/>
        </w:rPr>
        <w:footnoteReference w:id="295"/>
      </w:r>
      <w:r w:rsidRPr="00DD41E6">
        <w:t xml:space="preserve">  Census data for 2012 shows that there were 3,117 firms that operated that year.  Of this total, 3,083 operated with fewer than 1,000 employees.</w:t>
      </w:r>
      <w:r>
        <w:rPr>
          <w:rStyle w:val="FootnoteReference"/>
        </w:rPr>
        <w:footnoteReference w:id="296"/>
      </w:r>
      <w:r w:rsidRPr="00DD41E6">
        <w:t xml:space="preserve">  Thus, under this size standard, most firms in this industry can be considered small.</w:t>
      </w:r>
    </w:p>
    <w:p w:rsidR="009C1C1C" w:rsidRPr="00DD41E6" w:rsidP="009C1C1C" w14:paraId="5DAA7C40" w14:textId="77777777">
      <w:pPr>
        <w:pStyle w:val="ParaNum"/>
        <w:tabs>
          <w:tab w:val="clear" w:pos="1440"/>
        </w:tabs>
      </w:pPr>
      <w:r w:rsidRPr="00B4251C">
        <w:rPr>
          <w:i/>
          <w:iCs/>
        </w:rPr>
        <w:t>Local Exchange Carriers (LECs)</w:t>
      </w:r>
      <w:r w:rsidRPr="00DD41E6">
        <w:t>.  Neither the Commission nor the SBA has developed a size standard for small businesses specifically applicable to local exchange services.  The closest applicable NAICS code category is Wired Telecommunications Carriers as defined in paragraph 6 of this FRFA.  Under the applicable SBA size standard, such a business is small if it has 1,500 or fewer employees.</w:t>
      </w:r>
      <w:r>
        <w:rPr>
          <w:rStyle w:val="FootnoteReference"/>
          <w:spacing w:val="-2"/>
        </w:rPr>
        <w:footnoteReference w:id="297"/>
      </w:r>
      <w:r w:rsidRPr="00DD41E6">
        <w:t xml:space="preserve">  According to Commission data, census data for 2012 shows that there were 3,117 firms that operated that year.  Of this total, 3,083 operated with fewer than 1,000 employees.</w:t>
      </w:r>
      <w:r>
        <w:rPr>
          <w:rStyle w:val="FootnoteReference"/>
        </w:rPr>
        <w:footnoteReference w:id="298"/>
      </w:r>
      <w:r w:rsidRPr="00DD41E6">
        <w:t xml:space="preserve">  The Commission therefore estimates that most providers of local exchange carrier service are small entities that may be affected by the rules adopted.</w:t>
      </w:r>
    </w:p>
    <w:p w:rsidR="009C1C1C" w:rsidRPr="00DD41E6" w:rsidP="009C1C1C" w14:paraId="706D8EB2" w14:textId="77777777">
      <w:pPr>
        <w:pStyle w:val="ParaNum"/>
        <w:widowControl/>
        <w:tabs>
          <w:tab w:val="clear" w:pos="1440"/>
        </w:tabs>
      </w:pPr>
      <w:r w:rsidRPr="00B4251C">
        <w:rPr>
          <w:i/>
          <w:iCs/>
        </w:rPr>
        <w:t>Incumbent LECs</w:t>
      </w:r>
      <w:r w:rsidRPr="00DD41E6">
        <w:t>.  Neither the Commission nor the SBA has developed a small business size standard specifically for incumbent local exchange services.  The closest applicable NAICS code category is Wired Telecommunications Carriers as defined in paragraph 6 of this FRFA.  Under that size standard, such a business is small if it has 1,500 or fewer employees.</w:t>
      </w:r>
      <w:r>
        <w:rPr>
          <w:rStyle w:val="FootnoteReference"/>
          <w:spacing w:val="-2"/>
        </w:rPr>
        <w:footnoteReference w:id="299"/>
      </w:r>
      <w:r w:rsidRPr="00DD41E6">
        <w:t xml:space="preserve">  According to Commission data, 3,117 firms operated in that year.  Of this total, 3,083 operated with fewer than 1,000 employees.</w:t>
      </w:r>
      <w:r>
        <w:rPr>
          <w:rStyle w:val="FootnoteReference"/>
        </w:rPr>
        <w:footnoteReference w:id="300"/>
      </w:r>
      <w:r w:rsidRPr="00DD41E6">
        <w:t xml:space="preserve">  Consequently, the Commission estimates that most providers of incumbent local exchange service are small businesses that may be affected by the rules and policies adopted</w:t>
      </w:r>
      <w:r w:rsidRPr="00B4251C">
        <w:rPr>
          <w:i/>
        </w:rPr>
        <w:t>.</w:t>
      </w:r>
      <w:r w:rsidRPr="00DD41E6">
        <w:t xml:space="preserve">  Three hundred and seven (307) </w:t>
      </w:r>
      <w:r w:rsidRPr="00DD41E6">
        <w:t>Incumbent Local Exchange Carriers reported that they were incumbent local exchange service providers.</w:t>
      </w:r>
      <w:r>
        <w:rPr>
          <w:rStyle w:val="FootnoteReference"/>
          <w:spacing w:val="-2"/>
        </w:rPr>
        <w:footnoteReference w:id="301"/>
      </w:r>
      <w:r w:rsidRPr="00DD41E6">
        <w:t xml:space="preserve">  Of this total, an estimated 1,006 have 1,500 or fewer employees.</w:t>
      </w:r>
      <w:r>
        <w:rPr>
          <w:rStyle w:val="FootnoteReference"/>
          <w:spacing w:val="-2"/>
        </w:rPr>
        <w:footnoteReference w:id="302"/>
      </w:r>
      <w:r w:rsidRPr="00DD41E6">
        <w:t xml:space="preserve">    </w:t>
      </w:r>
    </w:p>
    <w:p w:rsidR="009C1C1C" w:rsidRPr="00DD41E6" w:rsidP="009C1C1C" w14:paraId="36082EA3" w14:textId="77777777">
      <w:pPr>
        <w:pStyle w:val="ParaNum"/>
        <w:tabs>
          <w:tab w:val="clear" w:pos="1440"/>
        </w:tabs>
      </w:pPr>
      <w:r w:rsidRPr="00B4251C">
        <w:rPr>
          <w:i/>
          <w:iCs/>
        </w:rPr>
        <w:t>Competitive Local Exchange Carriers (Competitive LECs), Competitive Access Providers (CAPs), Shared-Tenant Service Providers, and Other Local Service Providers</w:t>
      </w:r>
      <w:r w:rsidRPr="00DD41E6">
        <w:t>.  Neither the Commission nor the SBA has developed a small business size standard specifically for these service providers.  The appropriate NAICS code category is Wired Telecommunications Carriers, as defined in paragraph 6 of this FRFA.  Under that size standard, such a business is small if it has 1,500 or fewer employees.</w:t>
      </w:r>
      <w:r>
        <w:rPr>
          <w:rStyle w:val="FootnoteReference"/>
          <w:spacing w:val="-2"/>
        </w:rPr>
        <w:footnoteReference w:id="303"/>
      </w:r>
      <w:r w:rsidRPr="00DD41E6">
        <w:t xml:space="preserve">  U.S. Census data for 2012 indicate that 3,117 firms operated during that year.  Of that number, 3,083 operated with fewer than 1,000 employees.</w:t>
      </w:r>
      <w:r>
        <w:rPr>
          <w:rStyle w:val="FootnoteReference"/>
        </w:rPr>
        <w:footnoteReference w:id="304"/>
      </w:r>
      <w:r w:rsidRPr="00DD41E6">
        <w:t xml:space="preserve">  Based on this data, the Commission concludes that most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spacing w:val="-2"/>
        </w:rPr>
        <w:footnoteReference w:id="305"/>
      </w:r>
      <w:r w:rsidRPr="00DD41E6">
        <w:t xml:space="preserve">  Of these 1,442 carriers, an estimated 1,256 have 1,500 or fewer employees.</w:t>
      </w:r>
      <w:r>
        <w:rPr>
          <w:rStyle w:val="FootnoteReference"/>
          <w:spacing w:val="-2"/>
        </w:rPr>
        <w:footnoteReference w:id="306"/>
      </w:r>
      <w:r w:rsidRPr="00DD41E6">
        <w:t xml:space="preserve">  In addition, 17 carriers have reported that they are Shared-Tenant Service Providers, and all 17 are estimated to have 1,500 or fewer employees.</w:t>
      </w:r>
      <w:r>
        <w:rPr>
          <w:rStyle w:val="FootnoteReference"/>
          <w:spacing w:val="-2"/>
        </w:rPr>
        <w:footnoteReference w:id="307"/>
      </w:r>
      <w:r w:rsidRPr="00DD41E6">
        <w:t xml:space="preserve">  Also, 72 carriers have reported that they are Other Local Service Providers.</w:t>
      </w:r>
      <w:r>
        <w:rPr>
          <w:rStyle w:val="FootnoteReference"/>
          <w:spacing w:val="-2"/>
        </w:rPr>
        <w:footnoteReference w:id="308"/>
      </w:r>
      <w:r w:rsidRPr="00DD41E6">
        <w:t xml:space="preserve">   Of this total, 70 have 1,500 or fewer employees.</w:t>
      </w:r>
      <w:r>
        <w:rPr>
          <w:rStyle w:val="FootnoteReference"/>
          <w:spacing w:val="-2"/>
        </w:rPr>
        <w:footnoteReference w:id="309"/>
      </w:r>
      <w:r w:rsidRPr="00DD41E6">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9C1C1C" w:rsidRPr="00DD41E6" w:rsidP="009C1C1C" w14:paraId="72F1F34F" w14:textId="77777777">
      <w:pPr>
        <w:pStyle w:val="ParaNum"/>
        <w:tabs>
          <w:tab w:val="clear" w:pos="1440"/>
        </w:tabs>
      </w:pPr>
      <w:r w:rsidRPr="00B4251C">
        <w:rPr>
          <w:i/>
          <w:iCs/>
        </w:rPr>
        <w:t>Interexchange Carriers (IXCs</w:t>
      </w:r>
      <w:r w:rsidRPr="00B4251C">
        <w:rPr>
          <w:b/>
          <w:i/>
          <w:iCs/>
        </w:rPr>
        <w:t>)</w:t>
      </w:r>
      <w:r w:rsidRPr="00DD41E6">
        <w:t>.  Neither the Commission nor the SBA has developed a definition for Interexchange Carriers.  The closest NAICS code category is Wired Telecommunications Carriers as defined in paragraph 6 of this FRFA.  The applicable size standard under SBA rules is that such a business is small if it has 1,500 or fewer employees.</w:t>
      </w:r>
      <w:r>
        <w:rPr>
          <w:rStyle w:val="FootnoteReference"/>
          <w:spacing w:val="-2"/>
        </w:rPr>
        <w:footnoteReference w:id="310"/>
      </w:r>
      <w:r w:rsidRPr="00DD41E6">
        <w:t xml:space="preserve">  U.S. Census data for 2012 indicates that 3,117 firms operated during that year.  Of that number, 3,083 operated with fewer than 1,000 employees.</w:t>
      </w:r>
      <w:r>
        <w:rPr>
          <w:rStyle w:val="FootnoteReference"/>
        </w:rPr>
        <w:footnoteReference w:id="311"/>
      </w:r>
      <w:r w:rsidRPr="00DD41E6">
        <w:t xml:space="preserve">  According to internally developed Commission data, 359 companies reported that their primary telecommunications service activity was the provision of interexchange services.</w:t>
      </w:r>
      <w:r>
        <w:rPr>
          <w:rStyle w:val="FootnoteReference"/>
          <w:spacing w:val="-2"/>
        </w:rPr>
        <w:footnoteReference w:id="312"/>
      </w:r>
      <w:r w:rsidRPr="00DD41E6">
        <w:t xml:space="preserve">  Of this total, an estimated 317 have 1,500 or fewer employees.</w:t>
      </w:r>
      <w:r>
        <w:rPr>
          <w:rStyle w:val="FootnoteReference"/>
          <w:spacing w:val="-2"/>
        </w:rPr>
        <w:footnoteReference w:id="313"/>
      </w:r>
      <w:r w:rsidRPr="00DD41E6">
        <w:t xml:space="preserve">  Consequently, the Commission estimates that most interexchange service providers are small entities that may be affected by the rules adopted.</w:t>
      </w:r>
    </w:p>
    <w:p w:rsidR="009C1C1C" w:rsidRPr="00DD41E6" w:rsidP="009C1C1C" w14:paraId="47102492" w14:textId="77777777">
      <w:pPr>
        <w:pStyle w:val="ParaNum"/>
        <w:tabs>
          <w:tab w:val="clear" w:pos="1440"/>
        </w:tabs>
      </w:pPr>
      <w:r w:rsidRPr="00B4251C">
        <w:rPr>
          <w:bCs/>
          <w:i/>
          <w:iCs/>
        </w:rPr>
        <w:t>Prepaid Calling Card Providers</w:t>
      </w:r>
      <w:r w:rsidRPr="00DD41E6">
        <w:t xml:space="preserve">.  Neither the Commission nor the SBA has developed a small business definition specifically for prepaid calling card providers.  The most appropriate NAICS </w:t>
      </w:r>
      <w:r w:rsidRPr="00DD41E6">
        <w:t>code-based category for defining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rStyle w:val="FootnoteReference"/>
        </w:rPr>
        <w:footnoteReference w:id="314"/>
      </w:r>
      <w:r w:rsidRPr="00DD41E6">
        <w:t xml:space="preserve">  Under the applicable SBA size standard, such a business is small if it has 1,500 or fewer employees.</w:t>
      </w:r>
      <w:r>
        <w:rPr>
          <w:rStyle w:val="FootnoteReference"/>
          <w:spacing w:val="-2"/>
        </w:rPr>
        <w:footnoteReference w:id="315"/>
      </w:r>
      <w:r w:rsidRPr="00DD41E6">
        <w:t xml:space="preserve">  U.S. Census data for 2012 show that 1,341 firms provided resale services during that year.  Of that number, 1,341 operated with fewer than 1,000 employees.</w:t>
      </w:r>
      <w:r>
        <w:rPr>
          <w:rStyle w:val="FootnoteReference"/>
          <w:spacing w:val="-2"/>
        </w:rPr>
        <w:footnoteReference w:id="316"/>
      </w:r>
      <w:r w:rsidRPr="00DD41E6">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rPr>
        <w:footnoteReference w:id="317"/>
      </w:r>
      <w:r w:rsidRPr="00DD41E6">
        <w:t xml:space="preserve">  All 193 carriers have 1,500 or fewer employees.</w:t>
      </w:r>
      <w:r>
        <w:rPr>
          <w:rStyle w:val="FootnoteReference"/>
          <w:spacing w:val="-2"/>
        </w:rPr>
        <w:footnoteReference w:id="318"/>
      </w:r>
      <w:r w:rsidRPr="00DD41E6">
        <w:t xml:space="preserve">  Consequently, the Commission estimates that the majority of prepaid calling card providers are small entities that may be affected by the rules adopted.</w:t>
      </w:r>
    </w:p>
    <w:p w:rsidR="009C1C1C" w:rsidRPr="00DD41E6" w:rsidP="009C1C1C" w14:paraId="5157CD14" w14:textId="77777777">
      <w:pPr>
        <w:pStyle w:val="ParaNum"/>
        <w:tabs>
          <w:tab w:val="clear" w:pos="1440"/>
        </w:tabs>
      </w:pPr>
      <w:r w:rsidRPr="00B4251C">
        <w:rPr>
          <w:bCs/>
          <w:i/>
          <w:iCs/>
        </w:rPr>
        <w:t>Local Resellers</w:t>
      </w:r>
      <w:r w:rsidRPr="00DD41E6">
        <w:t>.  Neither the Commission nor the SBA has developed a small business size standard specifically for Local Resellers.  The SBA has developed a small business size standard for the category of Telecommunications Resellers.  Under that size standard, such a business is small if it has 1,500 or fewer employees.</w:t>
      </w:r>
      <w:r>
        <w:rPr>
          <w:rStyle w:val="FootnoteReference"/>
          <w:spacing w:val="-2"/>
        </w:rPr>
        <w:footnoteReference w:id="319"/>
      </w:r>
      <w:r w:rsidRPr="00DD41E6">
        <w:t xml:space="preserve">  Census data for 2012 show that 1,341 firms provided resale services during that year.  Of that number, 1,341 operated with fewer than 1,000 employees.</w:t>
      </w:r>
      <w:r>
        <w:rPr>
          <w:rStyle w:val="FootnoteReference"/>
          <w:spacing w:val="-2"/>
        </w:rPr>
        <w:footnoteReference w:id="320"/>
      </w:r>
      <w:r w:rsidRPr="00DD41E6">
        <w:t xml:space="preserve">  Under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rPr>
        <w:footnoteReference w:id="321"/>
      </w:r>
      <w:r w:rsidRPr="00DD41E6">
        <w:t xml:space="preserve">  Of this total, an estimated 211 have 1,500 or fewer employees.</w:t>
      </w:r>
      <w:r>
        <w:rPr>
          <w:rStyle w:val="FootnoteReference"/>
          <w:spacing w:val="-2"/>
        </w:rPr>
        <w:footnoteReference w:id="322"/>
      </w:r>
      <w:r w:rsidRPr="00DD41E6">
        <w:t xml:space="preserve">  Consequently, the Commission estimates that the majority of local resellers are small entities that may be affected by the rules adopted. </w:t>
      </w:r>
    </w:p>
    <w:p w:rsidR="009C1C1C" w:rsidRPr="00DD41E6" w:rsidP="009C1C1C" w14:paraId="30636284" w14:textId="77777777">
      <w:pPr>
        <w:pStyle w:val="ParaNum"/>
        <w:tabs>
          <w:tab w:val="clear" w:pos="1440"/>
        </w:tabs>
      </w:pPr>
      <w:r w:rsidRPr="00B4251C">
        <w:rPr>
          <w:bCs/>
          <w:i/>
          <w:iCs/>
        </w:rPr>
        <w:t>Toll Resellers</w:t>
      </w:r>
      <w:r w:rsidRPr="00DD41E6">
        <w:t>.  The Commission has not developed a definition for Toll Resellers.  The closest NAICS code Category is Telecommunications Resellers, and the SBA has developed a small business size standard for the category of Telecommunications Resellers.</w:t>
      </w:r>
      <w:r>
        <w:rPr>
          <w:rStyle w:val="FootnoteReference"/>
          <w:spacing w:val="-2"/>
        </w:rPr>
        <w:footnoteReference w:id="323"/>
      </w:r>
      <w:r w:rsidRPr="00DD41E6">
        <w:t xml:space="preserve">  Under that size standard, such a business is small if it has 1,500 or fewer employees.</w:t>
      </w:r>
      <w:r>
        <w:rPr>
          <w:rStyle w:val="FootnoteReference"/>
        </w:rPr>
        <w:footnoteReference w:id="324"/>
      </w:r>
      <w:r w:rsidRPr="00DD41E6">
        <w:t xml:space="preserve">  Census data for 2012 show that 1,341 firms provided resale services during that year.  Of that number, 1,341 operated with fewer than 1,000 employees.</w:t>
      </w:r>
      <w:r>
        <w:rPr>
          <w:rStyle w:val="FootnoteReference"/>
          <w:spacing w:val="-2"/>
        </w:rPr>
        <w:footnoteReference w:id="325"/>
      </w:r>
      <w:r w:rsidRPr="00DD41E6">
        <w:t xml:space="preserve">  Thus, under this category and the associated small business size standard, the majority of these resellers can be considered small entities.  According to Commission data, 881 carriers have </w:t>
      </w:r>
      <w:r w:rsidRPr="00DD41E6">
        <w:t>reported that they are engaged in the provision of toll resale services.</w:t>
      </w:r>
      <w:r>
        <w:rPr>
          <w:rStyle w:val="FootnoteReference"/>
          <w:spacing w:val="-2"/>
        </w:rPr>
        <w:footnoteReference w:id="326"/>
      </w:r>
      <w:r w:rsidRPr="00DD41E6">
        <w:t xml:space="preserve">  Of this total, an estimated 857 have 1,500 or fewer employees.</w:t>
      </w:r>
      <w:r>
        <w:rPr>
          <w:rStyle w:val="FootnoteReference"/>
          <w:spacing w:val="-2"/>
        </w:rPr>
        <w:footnoteReference w:id="327"/>
      </w:r>
      <w:r w:rsidRPr="00DD41E6">
        <w:t xml:space="preserve">  Consequently, the Commission estimates that the majority of toll resellers are small entities.</w:t>
      </w:r>
    </w:p>
    <w:p w:rsidR="009C1C1C" w:rsidRPr="00DD41E6" w:rsidP="009C1C1C" w14:paraId="6FC72B28" w14:textId="77777777">
      <w:pPr>
        <w:pStyle w:val="ParaNum"/>
        <w:tabs>
          <w:tab w:val="clear" w:pos="1440"/>
        </w:tabs>
      </w:pPr>
      <w:r w:rsidRPr="00B4251C">
        <w:rPr>
          <w:bCs/>
          <w:i/>
          <w:iCs/>
        </w:rPr>
        <w:t>Other Toll Carriers</w:t>
      </w:r>
      <w:r w:rsidRPr="00DD41E6">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FRFA.  Under the applicable SBA size standard, such a business is small if it has 1,500 or fewer employees.</w:t>
      </w:r>
      <w:r>
        <w:rPr>
          <w:rStyle w:val="FootnoteReference"/>
          <w:spacing w:val="-2"/>
        </w:rPr>
        <w:footnoteReference w:id="328"/>
      </w:r>
      <w:r w:rsidRPr="00DD41E6">
        <w:t xml:space="preserve">  Census data for 2012 shows that there were 3,117 firms that operated that year.  Of this total, 3,083 operated with fewer than 1,000 employees.</w:t>
      </w:r>
      <w:r>
        <w:rPr>
          <w:rStyle w:val="FootnoteReference"/>
        </w:rPr>
        <w:footnoteReference w:id="329"/>
      </w:r>
      <w:r w:rsidRPr="00DD41E6">
        <w:t xml:space="preserve">  Thus, under this category and the associated small business size standard, most Other Toll Carriers can be considered small.  According to internally developed Commission data, 284 companies reported that their primary telecommunications service activity was the provision of other toll carriage.</w:t>
      </w:r>
      <w:r>
        <w:rPr>
          <w:rStyle w:val="FootnoteReference"/>
          <w:spacing w:val="-2"/>
        </w:rPr>
        <w:footnoteReference w:id="330"/>
      </w:r>
      <w:r w:rsidRPr="00DD41E6">
        <w:t xml:space="preserve">  Of these, an estimated 279 have 1,500 or fewer employees.</w:t>
      </w:r>
      <w:r>
        <w:rPr>
          <w:rStyle w:val="FootnoteReference"/>
          <w:spacing w:val="-2"/>
        </w:rPr>
        <w:footnoteReference w:id="331"/>
      </w:r>
      <w:r w:rsidRPr="00DD41E6">
        <w:t xml:space="preserve">  Consequently, the Commission estimates that most Other Toll Carriers are small entities. </w:t>
      </w:r>
    </w:p>
    <w:p w:rsidR="009C1C1C" w:rsidRPr="00DD41E6" w:rsidP="009C1C1C" w14:paraId="46CF8921" w14:textId="77777777">
      <w:pPr>
        <w:pStyle w:val="ParaNum"/>
        <w:tabs>
          <w:tab w:val="clear" w:pos="1440"/>
        </w:tabs>
      </w:pPr>
      <w:r w:rsidRPr="00B4251C">
        <w:rPr>
          <w:bCs/>
          <w:i/>
          <w:iCs/>
        </w:rPr>
        <w:t>Wireless Telecommunications Carriers (except Satellite)</w:t>
      </w:r>
      <w:r w:rsidRPr="00DD41E6">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332"/>
      </w:r>
      <w:r w:rsidRPr="00DD41E6">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spacing w:val="-2"/>
        </w:rPr>
        <w:footnoteReference w:id="333"/>
      </w:r>
      <w:r w:rsidRPr="00DD41E6">
        <w:t xml:space="preserve">  Of this total, an estimated 261 have 1,500 or fewer employees.</w:t>
      </w:r>
      <w:r>
        <w:rPr>
          <w:rStyle w:val="FootnoteReference"/>
          <w:spacing w:val="-2"/>
        </w:rPr>
        <w:footnoteReference w:id="334"/>
      </w:r>
      <w:r w:rsidRPr="00DD41E6">
        <w:t xml:space="preserve">  Thus, using available data, we estimate that the majority of wireless firms can be considered small.</w:t>
      </w:r>
    </w:p>
    <w:p w:rsidR="009C1C1C" w:rsidRPr="00DD41E6" w:rsidP="009C1C1C" w14:paraId="22CC8A89" w14:textId="77777777">
      <w:pPr>
        <w:pStyle w:val="ParaNum"/>
        <w:tabs>
          <w:tab w:val="clear" w:pos="1440"/>
        </w:tabs>
      </w:pPr>
      <w:r w:rsidRPr="00B4251C">
        <w:rPr>
          <w:bCs/>
          <w:i/>
          <w:iCs/>
        </w:rPr>
        <w:t>Television Broadcasting</w:t>
      </w:r>
      <w:r w:rsidRPr="00DD41E6">
        <w:t>.  This Economic Census category “comprises establishments primarily engaged in broadcasting images together with sound.  These establishments operate television broadcasting studios and facilities for the programming and transmission of programs to the public.”</w:t>
      </w:r>
      <w:r>
        <w:rPr>
          <w:rStyle w:val="FootnoteReference"/>
        </w:rPr>
        <w:footnoteReference w:id="335"/>
      </w:r>
      <w:r w:rsidRPr="00DD41E6">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w:t>
      </w:r>
      <w:r w:rsidRPr="00DD41E6">
        <w:t>created the following small business size standard for Television Broadcasting firms:  those having $</w:t>
      </w:r>
      <w:r>
        <w:t>41</w:t>
      </w:r>
      <w:r w:rsidRPr="00DD41E6">
        <w:t>.5 million or less in annual receipts.</w:t>
      </w:r>
      <w:r>
        <w:rPr>
          <w:rStyle w:val="FootnoteReference"/>
        </w:rPr>
        <w:footnoteReference w:id="336"/>
      </w:r>
      <w:r w:rsidRPr="00DD41E6">
        <w:t xml:space="preserve">  The 2012 Economic Census reports that 751 television broadcasting firms operated during that year.  Of that number, 656 had annual receipts of less than $25 million per year.  Based on that Census data we conclude that most firms that operate television stations are small.  The Commission has estimated the number of licensed commercial television stations to be 1,387.</w:t>
      </w:r>
      <w:r>
        <w:rPr>
          <w:rStyle w:val="FootnoteReference"/>
        </w:rPr>
        <w:footnoteReference w:id="337"/>
      </w:r>
      <w:r w:rsidRPr="00DD41E6">
        <w:t xml:space="preserve">  In addition, according to Commission staff review of the BIA Advisory Services, LLC’s Media Access Pro Television Database, on March 28, 2012, about 950 of an estimated 1,300 commercial television stations (or approximately 73%) had revenues of $14 million or less.</w:t>
      </w:r>
      <w:r>
        <w:rPr>
          <w:rStyle w:val="FootnoteReference"/>
        </w:rPr>
        <w:footnoteReference w:id="338"/>
      </w:r>
      <w:r w:rsidRPr="00DD41E6">
        <w:t xml:space="preserve">  We therefore estimate that the majority of commercial television broadcasters are small entities.</w:t>
      </w:r>
    </w:p>
    <w:p w:rsidR="009C1C1C" w:rsidRPr="00DD41E6" w:rsidP="009C1C1C" w14:paraId="1BEB718E" w14:textId="77777777">
      <w:pPr>
        <w:pStyle w:val="ParaNum"/>
        <w:tabs>
          <w:tab w:val="clear" w:pos="1440"/>
        </w:tabs>
      </w:pPr>
      <w:r w:rsidRPr="00DD41E6">
        <w:t>In assessing whether a business concern qualifies as small under the above definition, business (control) affiliations</w:t>
      </w:r>
      <w:r>
        <w:rPr>
          <w:vertAlign w:val="superscript"/>
        </w:rPr>
        <w:footnoteReference w:id="339"/>
      </w:r>
      <w:r w:rsidRPr="00DD41E6">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w:t>
      </w:r>
      <w:r w:rsidRPr="00DD41E6">
        <w:t>not be</w:t>
      </w:r>
      <w:r w:rsidRPr="00DD41E6">
        <w:t xml:space="preserv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9C1C1C" w:rsidRPr="00DD41E6" w:rsidP="009C1C1C" w14:paraId="32700883" w14:textId="77777777">
      <w:pPr>
        <w:pStyle w:val="ParaNum"/>
        <w:tabs>
          <w:tab w:val="clear" w:pos="1440"/>
        </w:tabs>
      </w:pPr>
      <w:r w:rsidRPr="00DD41E6">
        <w:t>In addition, the Commission has estimated the number of licensed noncommercial educational television stations to be 396.</w:t>
      </w:r>
      <w:r>
        <w:rPr>
          <w:rStyle w:val="FootnoteReference"/>
        </w:rPr>
        <w:footnoteReference w:id="340"/>
      </w:r>
      <w:r w:rsidRPr="00DD41E6">
        <w:t xml:space="preserve">  These stations are non-profit, and therefore considered to be small entities.</w:t>
      </w:r>
      <w:r>
        <w:rPr>
          <w:rStyle w:val="FootnoteReference"/>
        </w:rPr>
        <w:footnoteReference w:id="341"/>
      </w:r>
      <w:r w:rsidRPr="00DD41E6">
        <w:t xml:space="preserve">  There are also 2,528 low power television stations, including Class A stations (LPTV).</w:t>
      </w:r>
      <w:r>
        <w:rPr>
          <w:rStyle w:val="FootnoteReference"/>
        </w:rPr>
        <w:footnoteReference w:id="342"/>
      </w:r>
      <w:r w:rsidRPr="00DD41E6">
        <w:t xml:space="preserve">  Given the nature of these services, we will presume that all LPTV licensees qualify as small entities under the above SBA small business size standard.</w:t>
      </w:r>
    </w:p>
    <w:p w:rsidR="009C1C1C" w:rsidRPr="00B4251C" w:rsidP="00593971" w14:paraId="0F035EB6" w14:textId="77777777">
      <w:pPr>
        <w:pStyle w:val="ParaNum"/>
        <w:widowControl/>
        <w:tabs>
          <w:tab w:val="clear" w:pos="1440"/>
        </w:tabs>
        <w:rPr>
          <w:rStyle w:val="documentbody1"/>
          <w:rFonts w:ascii="Times New Roman" w:hAnsi="Times New Roman"/>
          <w:sz w:val="22"/>
          <w:szCs w:val="22"/>
        </w:rPr>
      </w:pPr>
      <w:r w:rsidRPr="00DE74EC">
        <w:rPr>
          <w:bCs/>
          <w:i/>
          <w:iCs/>
        </w:rPr>
        <w:t>Radio Broadcasting</w:t>
      </w:r>
      <w:r w:rsidRPr="00DE74EC">
        <w:rPr>
          <w:bCs/>
        </w:rPr>
        <w:t>.</w:t>
      </w:r>
      <w:r w:rsidRPr="00B4251C">
        <w:rPr>
          <w:b/>
        </w:rPr>
        <w:t xml:space="preserve">  </w:t>
      </w:r>
      <w:r w:rsidRPr="00B4251C">
        <w:rPr>
          <w:rStyle w:val="documentbody1"/>
          <w:rFonts w:ascii="Times New Roman" w:hAnsi="Times New Roman"/>
          <w:sz w:val="22"/>
          <w:szCs w:val="22"/>
        </w:rPr>
        <w:t>This Economic Census category “</w:t>
      </w:r>
      <w:r w:rsidRPr="00AB3CCB">
        <w:t>comprises establishments primarily engaged in broadcasting aural programs by radio to the public.  Programming may originate in their own studio, from an affiliated network, or from external sources.”</w:t>
      </w:r>
      <w:r>
        <w:rPr>
          <w:rStyle w:val="FootnoteReference"/>
          <w:sz w:val="22"/>
          <w:szCs w:val="22"/>
        </w:rPr>
        <w:footnoteReference w:id="343"/>
      </w:r>
      <w:r w:rsidRPr="00AB3CCB">
        <w:t xml:space="preserve">  The SBA has established a small business size standard for this category, which is:  such firms having $41.5 million or less in annual receipts.</w:t>
      </w:r>
      <w:r>
        <w:rPr>
          <w:rStyle w:val="FootnoteReference"/>
          <w:sz w:val="22"/>
          <w:szCs w:val="22"/>
        </w:rPr>
        <w:footnoteReference w:id="344"/>
      </w:r>
      <w:r w:rsidRPr="00AB3CCB">
        <w:t xml:space="preserve">  Census data for 2012 show that 2,849 radio station firms operated during that year.  Of that number, 2,806 operated with annual receipts of less than $25 million per year</w:t>
      </w:r>
      <w:r w:rsidRPr="00B4251C">
        <w:rPr>
          <w:rStyle w:val="documentbody1"/>
          <w:rFonts w:ascii="Times New Roman" w:hAnsi="Times New Roman"/>
          <w:sz w:val="22"/>
          <w:szCs w:val="22"/>
        </w:rPr>
        <w:t>.</w:t>
      </w:r>
      <w:r w:rsidRPr="00B4251C">
        <w:rPr>
          <w:rStyle w:val="FootnoteReference"/>
          <w:sz w:val="22"/>
          <w:szCs w:val="22"/>
        </w:rPr>
        <w:t xml:space="preserve"> </w:t>
      </w:r>
      <w:r>
        <w:rPr>
          <w:rStyle w:val="FootnoteReference"/>
          <w:sz w:val="22"/>
          <w:szCs w:val="22"/>
        </w:rPr>
        <w:footnoteReference w:id="345"/>
      </w:r>
      <w:r w:rsidRPr="00AB3CCB">
        <w:t xml:space="preserve">  </w:t>
      </w:r>
      <w:r w:rsidRPr="00B4251C">
        <w:rPr>
          <w:rStyle w:val="documentbody1"/>
          <w:rFonts w:ascii="Times New Roman" w:hAnsi="Times New Roman"/>
          <w:sz w:val="22"/>
          <w:szCs w:val="22"/>
        </w:rPr>
        <w:t xml:space="preserve">According to Commission staff review of </w:t>
      </w:r>
      <w:r w:rsidRPr="00AB3CCB">
        <w:t xml:space="preserve">BIA Advisory Services, LLC’s Media Access Pro Radio Database, </w:t>
      </w:r>
      <w:r w:rsidRPr="00B4251C">
        <w:rPr>
          <w:rStyle w:val="documentbody1"/>
          <w:rFonts w:ascii="Times New Roman" w:hAnsi="Times New Roman"/>
          <w:sz w:val="22"/>
          <w:szCs w:val="22"/>
        </w:rPr>
        <w:t xml:space="preserve">on March </w:t>
      </w:r>
      <w:r w:rsidRPr="00B4251C">
        <w:rPr>
          <w:rStyle w:val="documentbody1"/>
          <w:rFonts w:ascii="Times New Roman" w:hAnsi="Times New Roman"/>
          <w:sz w:val="22"/>
          <w:szCs w:val="22"/>
        </w:rPr>
        <w:t>28, 2012, about 10,759 (97%) of 11,102 commercial radio stations had revenues of $38.5 million or less.  Therefore, most such entities are small entities.</w:t>
      </w:r>
    </w:p>
    <w:p w:rsidR="009C1C1C" w:rsidRPr="00DD41E6" w:rsidP="009C1C1C" w14:paraId="0F552CC9" w14:textId="77777777">
      <w:pPr>
        <w:pStyle w:val="ParaNum"/>
        <w:tabs>
          <w:tab w:val="clear" w:pos="1440"/>
        </w:tabs>
      </w:pPr>
      <w:r w:rsidRPr="00B4251C">
        <w:rPr>
          <w:szCs w:val="22"/>
        </w:rPr>
        <w:t>In assessing whether a b</w:t>
      </w:r>
      <w:r w:rsidRPr="00DD41E6">
        <w:t>usiness concern qualifies as small under the above size standard, business affiliations must be included.</w:t>
      </w:r>
      <w:r>
        <w:rPr>
          <w:vertAlign w:val="superscript"/>
        </w:rPr>
        <w:footnoteReference w:id="346"/>
      </w:r>
      <w:r w:rsidRPr="00DD41E6">
        <w:t xml:space="preserve">  In addition, to be determined to be a “small business,” the entity may not be dominant in its field of operation.</w:t>
      </w:r>
      <w:r>
        <w:rPr>
          <w:rStyle w:val="FootnoteReference"/>
        </w:rPr>
        <w:footnoteReference w:id="347"/>
      </w:r>
      <w:r w:rsidRPr="00DD41E6">
        <w:t xml:space="preserve">  We note that it is difficult at times to assess these criteria in the context of media entities, and our estimate of small businesses may therefore be over-inclusive.</w:t>
      </w:r>
    </w:p>
    <w:p w:rsidR="009C1C1C" w:rsidRPr="00DD41E6" w:rsidP="009C1C1C" w14:paraId="51A3C521" w14:textId="77777777">
      <w:pPr>
        <w:pStyle w:val="ParaNum"/>
        <w:tabs>
          <w:tab w:val="clear" w:pos="1440"/>
        </w:tabs>
      </w:pPr>
      <w:r w:rsidRPr="00DE74EC">
        <w:rPr>
          <w:bCs/>
          <w:i/>
          <w:iCs/>
        </w:rPr>
        <w:t>Cable Television and Other Subscription Programming</w:t>
      </w:r>
      <w:r w:rsidRPr="00DD41E6">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348"/>
      </w:r>
      <w:r w:rsidRPr="00DD41E6">
        <w:t xml:space="preserve">  The SBA has established a size standard for this industry of $</w:t>
      </w:r>
      <w:r>
        <w:t>41</w:t>
      </w:r>
      <w:r w:rsidRPr="00DD41E6">
        <w:t>.5 million or less.  Census data for 2012 shows that there were 367 firms that operated that year.  Of this total, 319 operated with annual receipts of less than $25 million.</w:t>
      </w:r>
      <w:r>
        <w:rPr>
          <w:rStyle w:val="FootnoteReference"/>
        </w:rPr>
        <w:footnoteReference w:id="349"/>
      </w:r>
      <w:r w:rsidRPr="00DD41E6">
        <w:t xml:space="preserve">  Thus under this size standard, most firms offering cable and other program distribution services can be considered small and may be affected by rules adopted.</w:t>
      </w:r>
    </w:p>
    <w:p w:rsidR="009C1C1C" w:rsidRPr="00DD41E6" w:rsidP="009C1C1C" w14:paraId="12CE5FFA" w14:textId="77777777">
      <w:pPr>
        <w:pStyle w:val="ParaNum"/>
        <w:tabs>
          <w:tab w:val="clear" w:pos="1440"/>
        </w:tabs>
      </w:pPr>
      <w:r w:rsidRPr="00DE74EC">
        <w:rPr>
          <w:bCs/>
          <w:i/>
          <w:iCs/>
        </w:rPr>
        <w:t>Cable Companies and Systems</w:t>
      </w:r>
      <w:r w:rsidRPr="00DD41E6">
        <w:t>.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350"/>
      </w:r>
      <w:r w:rsidRPr="00DD41E6">
        <w:t xml:space="preserve">  The Commission’s industry data indicate that there are currently 4,160 active cable systems in the United States.</w:t>
      </w:r>
      <w:r>
        <w:rPr>
          <w:rStyle w:val="FootnoteReference"/>
        </w:rPr>
        <w:footnoteReference w:id="351"/>
      </w:r>
      <w:r w:rsidRPr="00DD41E6">
        <w:t xml:space="preserve">  Of this total, all but ten cable operators nationwide are small under the 400,000-subscriber size standard.</w:t>
      </w:r>
      <w:r>
        <w:rPr>
          <w:rStyle w:val="FootnoteReference"/>
        </w:rPr>
        <w:footnoteReference w:id="352"/>
      </w:r>
      <w:r w:rsidRPr="00DD41E6">
        <w:t xml:space="preserve">  In addition, under the Commission's rate regulation rules, a “small system” is a cable system serving 15,000 or fewer subscribers.</w:t>
      </w:r>
      <w:r>
        <w:rPr>
          <w:rStyle w:val="FootnoteReference"/>
        </w:rPr>
        <w:footnoteReference w:id="353"/>
      </w:r>
      <w:r w:rsidRPr="00DD41E6">
        <w:t xml:space="preserve">  Current Commission records show 4,160 cable systems nationwide.</w:t>
      </w:r>
      <w:r>
        <w:rPr>
          <w:rStyle w:val="FootnoteReference"/>
        </w:rPr>
        <w:footnoteReference w:id="354"/>
      </w:r>
      <w:r w:rsidRPr="00DD41E6">
        <w:t xml:space="preserve">  Thus, under this standard as well, we estimate that most cable systems are small entities.</w:t>
      </w:r>
    </w:p>
    <w:p w:rsidR="009C1C1C" w:rsidRPr="00DD41E6" w:rsidP="009C1C1C" w14:paraId="1244BD42" w14:textId="77777777">
      <w:pPr>
        <w:pStyle w:val="ParaNum"/>
        <w:tabs>
          <w:tab w:val="clear" w:pos="1440"/>
        </w:tabs>
      </w:pPr>
      <w:r w:rsidRPr="00DE74EC">
        <w:rPr>
          <w:bCs/>
          <w:i/>
          <w:iCs/>
        </w:rPr>
        <w:t>Cable System Operators (Telecom Act Standard)</w:t>
      </w:r>
      <w:r w:rsidRPr="00DE74EC">
        <w:rPr>
          <w:bCs/>
        </w:rPr>
        <w:t>.</w:t>
      </w:r>
      <w:r w:rsidRPr="00DD41E6">
        <w:t xml:space="preserve">  The Communications Act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rStyle w:val="FootnoteReference"/>
        </w:rPr>
        <w:footnoteReference w:id="355"/>
      </w:r>
      <w:r w:rsidRPr="00DD41E6">
        <w:t xml:space="preserve">  There are approximately 53 million cable video subscribers in the United States today.</w:t>
      </w:r>
      <w:r>
        <w:rPr>
          <w:rStyle w:val="FootnoteReference"/>
        </w:rPr>
        <w:footnoteReference w:id="356"/>
      </w:r>
      <w:r w:rsidRPr="00DD41E6">
        <w:t xml:space="preserve">  </w:t>
      </w:r>
      <w:r w:rsidRPr="00DD41E6">
        <w:t>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357"/>
      </w:r>
      <w:r w:rsidRPr="00DD41E6">
        <w:t xml:space="preserve">  Based on available data, we find that all but nine incumbent cable operators are small entities under this size standard.</w:t>
      </w:r>
      <w:r>
        <w:rPr>
          <w:rStyle w:val="FootnoteReference"/>
        </w:rPr>
        <w:footnoteReference w:id="358"/>
      </w:r>
      <w:r w:rsidRPr="00DD41E6">
        <w:t xml:space="preserve">  We note that the Commission neither requests nor collects information on whether cable system operators are affiliated with entities whose gross annual revenues exceed $250 million.</w:t>
      </w:r>
      <w:r>
        <w:rPr>
          <w:rStyle w:val="FootnoteReference"/>
        </w:rPr>
        <w:footnoteReference w:id="359"/>
      </w:r>
      <w:r w:rsidRPr="00DD41E6">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9C1C1C" w:rsidRPr="00DD41E6" w:rsidP="009C1C1C" w14:paraId="721D52BB" w14:textId="77777777">
      <w:pPr>
        <w:pStyle w:val="ParaNum"/>
        <w:tabs>
          <w:tab w:val="clear" w:pos="1440"/>
        </w:tabs>
      </w:pPr>
      <w:r w:rsidRPr="00DE74EC">
        <w:rPr>
          <w:bCs/>
          <w:i/>
          <w:iCs/>
        </w:rPr>
        <w:t>Direct Broadcast Satellite (DBS) Service</w:t>
      </w:r>
      <w:r w:rsidRPr="00DE74EC">
        <w:rPr>
          <w:bCs/>
        </w:rPr>
        <w:t>.</w:t>
      </w:r>
      <w:r w:rsidRPr="00DD41E6">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360"/>
      </w:r>
      <w:r w:rsidRPr="00DD41E6">
        <w:t xml:space="preserve">  The SBA determines that a wireline business is small if it has fewer than 1500 employees.</w:t>
      </w:r>
      <w:r>
        <w:rPr>
          <w:rStyle w:val="FootnoteReference"/>
        </w:rPr>
        <w:footnoteReference w:id="361"/>
      </w:r>
      <w:r w:rsidRPr="00DD41E6">
        <w:t xml:space="preserve">  Census data for 2012 indicate that 3,117 wireline companies were operational during that year.  Of that number, 3,083 operated with fewer than 1,000 employees.</w:t>
      </w:r>
      <w:r>
        <w:rPr>
          <w:rStyle w:val="FootnoteReference"/>
        </w:rPr>
        <w:footnoteReference w:id="362"/>
      </w:r>
      <w:r w:rsidRPr="00DD41E6">
        <w:t xml:space="preserve">  Based on that data, we conclude that most wireline firms are small under the applicable standard.  However, currently only two entities provide DBS service, AT&amp;T and DISH Network.  AT&amp;T and DISH Network each report annual revenues that are in excess of the threshold for a small business.  Accordingly, we conclude that DBS service is provided only by large firms.</w:t>
      </w:r>
    </w:p>
    <w:p w:rsidR="009C1C1C" w:rsidRPr="00DD41E6" w:rsidP="009C1C1C" w14:paraId="69FBD441" w14:textId="77777777">
      <w:pPr>
        <w:pStyle w:val="ParaNum"/>
        <w:tabs>
          <w:tab w:val="clear" w:pos="1440"/>
        </w:tabs>
      </w:pPr>
      <w:r w:rsidRPr="00DE74EC">
        <w:rPr>
          <w:bCs/>
          <w:i/>
          <w:iCs/>
        </w:rPr>
        <w:t>All Other Telecommunications</w:t>
      </w:r>
      <w:r w:rsidRPr="00DD41E6">
        <w:t xml:space="preserve">.  </w:t>
      </w:r>
      <w:r w:rsidRPr="00DD41E6">
        <w:rPr>
          <w:b/>
        </w:rPr>
        <w:t>“</w:t>
      </w:r>
      <w:r w:rsidRPr="00DD41E6">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363"/>
      </w:r>
      <w:r w:rsidRPr="00DD41E6">
        <w:t xml:space="preserve">  The SBA has developed a small business size standard for “All Other Telecommunications,” which consists of all such firms with gross annual receipts of $35 million or less.</w:t>
      </w:r>
      <w:r>
        <w:rPr>
          <w:rStyle w:val="FootnoteReference"/>
        </w:rPr>
        <w:footnoteReference w:id="364"/>
      </w:r>
      <w:r w:rsidRPr="00DD41E6">
        <w:t xml:space="preserve">  For this category, census data for 2012 show that there </w:t>
      </w:r>
      <w:r w:rsidRPr="00DD41E6">
        <w:t>were 1,442 firms that operated for the entire year.  Of these firms, a total of 1,400 had gross annual receipts of less than $25 million.</w:t>
      </w:r>
      <w:r>
        <w:rPr>
          <w:rStyle w:val="FootnoteReference"/>
        </w:rPr>
        <w:footnoteReference w:id="365"/>
      </w:r>
      <w:r w:rsidRPr="00DD41E6">
        <w:t xml:space="preserve">  Thus, most “All Other Telecommunications” firms potentially affected by the rules adopted can be considered small.</w:t>
      </w:r>
    </w:p>
    <w:p w:rsidR="009C1C1C" w:rsidRPr="00DD41E6" w:rsidP="009C1C1C" w14:paraId="7D0AB96C" w14:textId="77777777">
      <w:pPr>
        <w:pStyle w:val="ParaNum"/>
        <w:tabs>
          <w:tab w:val="clear" w:pos="1440"/>
        </w:tabs>
      </w:pPr>
      <w:r w:rsidRPr="00DE74EC">
        <w:rPr>
          <w:bCs/>
          <w:i/>
          <w:iCs/>
        </w:rPr>
        <w:t>RespOrgs</w:t>
      </w:r>
      <w:r w:rsidRPr="00DD41E6">
        <w:t>.</w:t>
      </w:r>
      <w:r w:rsidRPr="00DD41E6">
        <w:rPr>
          <w:b/>
        </w:rPr>
        <w:t xml:space="preserve">  </w:t>
      </w:r>
      <w:r w:rsidRPr="00DD41E6">
        <w:t>RespOrgs</w:t>
      </w:r>
      <w:r w:rsidRPr="00DD41E6">
        <w:t>, i.e., Responsible Organizations, are entities chosen by toll-free subscribers to manage and administer the appropriate records in the toll-free Service Management System for the toll-free subscriber.</w:t>
      </w:r>
      <w:r>
        <w:rPr>
          <w:rStyle w:val="FootnoteReference"/>
        </w:rPr>
        <w:footnoteReference w:id="366"/>
      </w:r>
      <w:r w:rsidRPr="00DD41E6">
        <w:t xml:space="preserve">  Although </w:t>
      </w:r>
      <w:r w:rsidRPr="00DD41E6">
        <w:t>RespOrgs</w:t>
      </w:r>
      <w:r w:rsidRPr="00DD41E6">
        <w:t xml:space="preserve"> are often wireline carriers, they can also include non-carrier entities.  Therefore, in the definition herein of </w:t>
      </w:r>
      <w:r w:rsidRPr="00DD41E6">
        <w:t>RespOrgs</w:t>
      </w:r>
      <w:r w:rsidRPr="00DD41E6">
        <w:t xml:space="preserve">, two categories are presented, i.e., Carrier </w:t>
      </w:r>
      <w:r w:rsidRPr="00DD41E6">
        <w:t>RespOrgs</w:t>
      </w:r>
      <w:r w:rsidRPr="00DD41E6">
        <w:t xml:space="preserve"> and Non-Carrier </w:t>
      </w:r>
      <w:r w:rsidRPr="00DD41E6">
        <w:t>RespOrgs</w:t>
      </w:r>
      <w:r w:rsidRPr="00DD41E6">
        <w:t>.</w:t>
      </w:r>
    </w:p>
    <w:p w:rsidR="009C1C1C" w:rsidRPr="00DD41E6" w:rsidP="009C1C1C" w14:paraId="1F784F16" w14:textId="77777777">
      <w:pPr>
        <w:pStyle w:val="ParaNum"/>
        <w:tabs>
          <w:tab w:val="clear" w:pos="1440"/>
        </w:tabs>
      </w:pPr>
      <w:r w:rsidRPr="00DE74EC">
        <w:rPr>
          <w:bCs/>
          <w:i/>
          <w:iCs/>
        </w:rPr>
        <w:t xml:space="preserve">Carrier </w:t>
      </w:r>
      <w:r w:rsidRPr="00DE74EC">
        <w:rPr>
          <w:bCs/>
          <w:i/>
          <w:iCs/>
        </w:rPr>
        <w:t>RespOrgs</w:t>
      </w:r>
      <w:r w:rsidRPr="00DD41E6">
        <w:t xml:space="preserve">.  Neither the Commission, the U.S. Census, nor the SBA have developed a definition for Carrier </w:t>
      </w:r>
      <w:r w:rsidRPr="00DD41E6">
        <w:t>RespOrgs</w:t>
      </w:r>
      <w:r w:rsidRPr="00DD41E6">
        <w:t xml:space="preserve">.  Accordingly, the Commission believes that the closest NAICS code-based definitional categories for Carrier </w:t>
      </w:r>
      <w:r w:rsidRPr="00DD41E6">
        <w:t>RespOrgs</w:t>
      </w:r>
      <w:r w:rsidRPr="00DD41E6">
        <w:t xml:space="preserve"> are Wired Telecommunications Carriers</w:t>
      </w:r>
      <w:r>
        <w:rPr>
          <w:rStyle w:val="FootnoteReference"/>
        </w:rPr>
        <w:footnoteReference w:id="367"/>
      </w:r>
      <w:r w:rsidRPr="00DD41E6">
        <w:t xml:space="preserve"> and Wireless Telecommunications Carriers (except satellite).</w:t>
      </w:r>
      <w:r>
        <w:rPr>
          <w:rStyle w:val="FootnoteReference"/>
        </w:rPr>
        <w:footnoteReference w:id="368"/>
      </w:r>
      <w:r w:rsidRPr="00DD41E6">
        <w:t xml:space="preserve"> </w:t>
      </w:r>
    </w:p>
    <w:p w:rsidR="009C1C1C" w:rsidRPr="00DD41E6" w:rsidP="009C1C1C" w14:paraId="657EB35D" w14:textId="77777777">
      <w:pPr>
        <w:pStyle w:val="ParaNum"/>
        <w:tabs>
          <w:tab w:val="clear" w:pos="1440"/>
        </w:tabs>
      </w:pPr>
      <w:r w:rsidRPr="00DD41E6">
        <w:t xml:space="preserve">The U.S. Census Bureau defines </w:t>
      </w:r>
      <w:r w:rsidRPr="00DE74EC">
        <w:rPr>
          <w:bCs/>
          <w:i/>
          <w:iCs/>
        </w:rPr>
        <w:t>Wired Telecommunications Carriers</w:t>
      </w:r>
      <w:r w:rsidRPr="00DD41E6">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369"/>
      </w:r>
      <w:r w:rsidRPr="00DD41E6">
        <w:t xml:space="preserve">  The SBA has developed a small business size standard for Wired Telecommunications Carriers, which consists of all such companies having 1,500 or fewer employees.</w:t>
      </w:r>
      <w:r>
        <w:rPr>
          <w:rStyle w:val="FootnoteReference"/>
        </w:rPr>
        <w:footnoteReference w:id="370"/>
      </w:r>
      <w:r w:rsidRPr="00DD41E6">
        <w:t xml:space="preserve">  Census data for 2012 show that there were 3,117 Wired Telecommunications Carrier firms that operated for that entire year.  Of that number, 3,083 operated with less than 1,000 employees.</w:t>
      </w:r>
      <w:r>
        <w:rPr>
          <w:rStyle w:val="FootnoteReference"/>
        </w:rPr>
        <w:footnoteReference w:id="371"/>
      </w:r>
      <w:r w:rsidRPr="00DD41E6">
        <w:t xml:space="preserve">  Based on that data, we conclude that most Carrier </w:t>
      </w:r>
      <w:r w:rsidRPr="00DD41E6">
        <w:t>RespOrgs</w:t>
      </w:r>
      <w:r w:rsidRPr="00DD41E6">
        <w:t xml:space="preserve"> that operated with wireline-based technology are small.</w:t>
      </w:r>
    </w:p>
    <w:p w:rsidR="009C1C1C" w:rsidRPr="00DD41E6" w:rsidP="00593971" w14:paraId="48B3F5B7" w14:textId="77777777">
      <w:pPr>
        <w:pStyle w:val="ParaNum"/>
        <w:widowControl/>
        <w:tabs>
          <w:tab w:val="clear" w:pos="1440"/>
        </w:tabs>
      </w:pPr>
      <w:r w:rsidRPr="00DD41E6">
        <w:t xml:space="preserve">The U.S. Census Bureau defines </w:t>
      </w:r>
      <w:r w:rsidRPr="00FB0F17">
        <w:rPr>
          <w:bCs/>
          <w:i/>
          <w:iCs/>
        </w:rPr>
        <w:t>W</w:t>
      </w:r>
      <w:r w:rsidRPr="00DE74EC">
        <w:rPr>
          <w:bCs/>
          <w:i/>
          <w:iCs/>
        </w:rPr>
        <w:t>ireless Telecommunications Carriers (except satellite)</w:t>
      </w:r>
      <w:r w:rsidRPr="00DD41E6">
        <w:t xml:space="preserve"> as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372"/>
      </w:r>
      <w:r w:rsidRPr="00DD41E6">
        <w:t xml:space="preserve">  The appropriate size standard under SBA rules is that such a business is small if it has 1,500 or fewer employees.</w:t>
      </w:r>
      <w:r>
        <w:rPr>
          <w:rStyle w:val="FootnoteReference"/>
        </w:rPr>
        <w:footnoteReference w:id="373"/>
      </w:r>
      <w:r w:rsidRPr="00DD41E6">
        <w:t xml:space="preserve">  Census data for 2012 show that 967 Wireless Telecommunications Carriers operated in that year.  Of that number, 955 operated with less than 1,000 employees.</w:t>
      </w:r>
      <w:r>
        <w:rPr>
          <w:rStyle w:val="FootnoteReference"/>
        </w:rPr>
        <w:footnoteReference w:id="374"/>
      </w:r>
      <w:r w:rsidRPr="00DD41E6">
        <w:t xml:space="preserve">  Based on </w:t>
      </w:r>
      <w:r w:rsidRPr="00DD41E6">
        <w:t xml:space="preserve">that data, we conclude that most Carrier </w:t>
      </w:r>
      <w:r w:rsidRPr="00DD41E6">
        <w:t>RespOrgs</w:t>
      </w:r>
      <w:r w:rsidRPr="00DD41E6">
        <w:t xml:space="preserve"> that operated with wireless-based technology are small.</w:t>
      </w:r>
    </w:p>
    <w:p w:rsidR="009C1C1C" w:rsidRPr="00DD41E6" w:rsidP="009C1C1C" w14:paraId="3AE63BC8" w14:textId="77777777">
      <w:pPr>
        <w:pStyle w:val="ParaNum"/>
        <w:tabs>
          <w:tab w:val="clear" w:pos="1440"/>
        </w:tabs>
      </w:pPr>
      <w:r w:rsidRPr="00DE74EC">
        <w:rPr>
          <w:bCs/>
          <w:i/>
          <w:iCs/>
        </w:rPr>
        <w:t xml:space="preserve">Non-Carrier </w:t>
      </w:r>
      <w:r w:rsidRPr="00DE74EC">
        <w:rPr>
          <w:bCs/>
          <w:i/>
          <w:iCs/>
        </w:rPr>
        <w:t>RespOrgs</w:t>
      </w:r>
      <w:r w:rsidRPr="00DD41E6">
        <w:t xml:space="preserve">. </w:t>
      </w:r>
      <w:r w:rsidRPr="00DD41E6">
        <w:rPr>
          <w:b/>
        </w:rPr>
        <w:t xml:space="preserve"> </w:t>
      </w:r>
      <w:r w:rsidRPr="00DD41E6">
        <w:t xml:space="preserve">Neither the Commission, the Census, nor the SBA have developed a definition of Non-Carrier </w:t>
      </w:r>
      <w:r w:rsidRPr="00DD41E6">
        <w:t>RespOrgs</w:t>
      </w:r>
      <w:r w:rsidRPr="00DD41E6">
        <w:t xml:space="preserve">.  Accordingly, the Commission believes that the closest NAICS code-based definitional categories for Non-Carrier </w:t>
      </w:r>
      <w:r w:rsidRPr="00DD41E6">
        <w:t>RespOrgs</w:t>
      </w:r>
      <w:r w:rsidRPr="00DD41E6">
        <w:t xml:space="preserve"> are “Other Services Related To Advertising”</w:t>
      </w:r>
      <w:r>
        <w:rPr>
          <w:rStyle w:val="FootnoteReference"/>
        </w:rPr>
        <w:footnoteReference w:id="375"/>
      </w:r>
      <w:r w:rsidRPr="00DD41E6">
        <w:t xml:space="preserve"> and “Other Management Consulting Services.”</w:t>
      </w:r>
      <w:r>
        <w:rPr>
          <w:rStyle w:val="FootnoteReference"/>
        </w:rPr>
        <w:footnoteReference w:id="376"/>
      </w:r>
    </w:p>
    <w:p w:rsidR="009C1C1C" w:rsidRPr="00DD41E6" w:rsidP="009C1C1C" w14:paraId="2D903A61" w14:textId="77777777">
      <w:pPr>
        <w:pStyle w:val="ParaNum"/>
        <w:tabs>
          <w:tab w:val="clear" w:pos="1440"/>
        </w:tabs>
      </w:pPr>
      <w:r w:rsidRPr="00DD41E6">
        <w:t xml:space="preserve">The U.S. Census defines </w:t>
      </w:r>
      <w:r w:rsidRPr="00DE74EC">
        <w:rPr>
          <w:bCs/>
          <w:i/>
          <w:iCs/>
        </w:rPr>
        <w:t>Other Services Related to Advertising</w:t>
      </w:r>
      <w:r w:rsidRPr="00DD41E6">
        <w:rPr>
          <w:b/>
        </w:rPr>
        <w:t xml:space="preserve"> </w:t>
      </w:r>
      <w:r w:rsidRPr="00DD41E6">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rPr>
        <w:footnoteReference w:id="377"/>
      </w:r>
      <w:r w:rsidRPr="00DD41E6">
        <w:t xml:space="preserve">  The SBA has established a size standard for this industry as annual receipts of $15 million dollars or less.</w:t>
      </w:r>
      <w:r>
        <w:rPr>
          <w:rStyle w:val="FootnoteReference"/>
        </w:rPr>
        <w:footnoteReference w:id="378"/>
      </w:r>
      <w:r w:rsidRPr="00DD41E6">
        <w:t xml:space="preserve">  Census data for 2012 show that 5,804 firms operated in this industry for the entire year.  Of that number, 5,249 operated with annual receipts of less than $10 million.</w:t>
      </w:r>
      <w:r>
        <w:rPr>
          <w:rStyle w:val="FootnoteReference"/>
        </w:rPr>
        <w:footnoteReference w:id="379"/>
      </w:r>
      <w:r w:rsidRPr="00DD41E6">
        <w:t xml:space="preserve">  Based on that data we conclude that most Non-Carrier </w:t>
      </w:r>
      <w:r w:rsidRPr="00DD41E6">
        <w:t>RespOrgs</w:t>
      </w:r>
      <w:r w:rsidRPr="00DD41E6">
        <w:t xml:space="preserve"> who provide TFN-related advertising services are small.</w:t>
      </w:r>
    </w:p>
    <w:p w:rsidR="009C1C1C" w:rsidRPr="00DD41E6" w:rsidP="009C1C1C" w14:paraId="111C6319" w14:textId="77777777">
      <w:pPr>
        <w:pStyle w:val="ParaNum"/>
        <w:tabs>
          <w:tab w:val="clear" w:pos="1440"/>
        </w:tabs>
      </w:pPr>
      <w:r w:rsidRPr="00DD41E6">
        <w:t xml:space="preserve">The U.S. Census defines </w:t>
      </w:r>
      <w:r w:rsidRPr="00DE74EC">
        <w:rPr>
          <w:bCs/>
          <w:i/>
          <w:iCs/>
        </w:rPr>
        <w:t>Other Management Consulting Services</w:t>
      </w:r>
      <w:r w:rsidRPr="00DD41E6">
        <w:rPr>
          <w:b/>
        </w:rPr>
        <w:t xml:space="preserve"> </w:t>
      </w:r>
      <w:r w:rsidRPr="00DD41E6">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rPr>
        <w:footnoteReference w:id="380"/>
      </w:r>
      <w:r w:rsidRPr="00DD41E6">
        <w:t xml:space="preserve">  The SBA has established a size standard for this industry of $15 million dollars or less.</w:t>
      </w:r>
      <w:r>
        <w:rPr>
          <w:rStyle w:val="FootnoteReference"/>
        </w:rPr>
        <w:footnoteReference w:id="381"/>
      </w:r>
      <w:r w:rsidRPr="00DD41E6">
        <w:t xml:space="preserve">  Census data for 2012 show that 3,683 firms operated in this industry for that entire year.  Of that number, 3,632 operated with less than $10 million in annual receipts.</w:t>
      </w:r>
      <w:r w:rsidRPr="00DD41E6">
        <w:rPr>
          <w:rStyle w:val="FootnoteReference"/>
        </w:rPr>
        <w:t xml:space="preserve"> </w:t>
      </w:r>
      <w:r>
        <w:rPr>
          <w:rStyle w:val="FootnoteReference"/>
        </w:rPr>
        <w:footnoteReference w:id="382"/>
      </w:r>
      <w:r w:rsidRPr="00DD41E6">
        <w:t xml:space="preserve">  Based on this data, we conclude that most non-carrier </w:t>
      </w:r>
      <w:r w:rsidRPr="00DD41E6">
        <w:t>RespOrgs</w:t>
      </w:r>
      <w:r w:rsidRPr="00DD41E6">
        <w:t xml:space="preserve"> who provide TFN-related management consulting services are small.</w:t>
      </w:r>
      <w:r>
        <w:rPr>
          <w:rStyle w:val="FootnoteReference"/>
        </w:rPr>
        <w:footnoteReference w:id="383"/>
      </w:r>
    </w:p>
    <w:p w:rsidR="009C1C1C" w:rsidRPr="00DD41E6" w:rsidP="009C1C1C" w14:paraId="091270FB" w14:textId="77777777">
      <w:pPr>
        <w:pStyle w:val="ParaNum"/>
        <w:tabs>
          <w:tab w:val="clear" w:pos="1440"/>
        </w:tabs>
      </w:pPr>
      <w:r w:rsidRPr="00DD41E6">
        <w:t xml:space="preserve">In addition to the data contained in the four (see above) U.S. Census NAICS code categories that provide definitions of what services and functions the Carrier and Non-Carrier </w:t>
      </w:r>
      <w:r w:rsidRPr="00DD41E6">
        <w:t>RespOrgs</w:t>
      </w:r>
      <w:r w:rsidRPr="00DD41E6">
        <w:t xml:space="preserve"> provide, </w:t>
      </w:r>
      <w:r w:rsidRPr="00DD41E6">
        <w:t>Somos</w:t>
      </w:r>
      <w:r w:rsidRPr="00DD41E6">
        <w:t xml:space="preserve">, the trade association that monitors </w:t>
      </w:r>
      <w:r w:rsidRPr="00DD41E6">
        <w:t>RespOrg</w:t>
      </w:r>
      <w:r w:rsidRPr="00DD41E6">
        <w:t xml:space="preserve"> activities, compiled data showing that as of July 1, 2016, there were 23 </w:t>
      </w:r>
      <w:r w:rsidRPr="00DD41E6">
        <w:t>RespOrgs</w:t>
      </w:r>
      <w:r w:rsidRPr="00DD41E6">
        <w:t xml:space="preserve"> operational in Canada and 436 </w:t>
      </w:r>
      <w:r w:rsidRPr="00DD41E6">
        <w:t>RespOrgs</w:t>
      </w:r>
      <w:r w:rsidRPr="00DD41E6">
        <w:t xml:space="preserve"> operational in the United States, for a total of 459 </w:t>
      </w:r>
      <w:r w:rsidRPr="00DD41E6">
        <w:t>RespOrgs</w:t>
      </w:r>
      <w:r w:rsidRPr="00DD41E6">
        <w:t xml:space="preserve"> currently registered with </w:t>
      </w:r>
      <w:r w:rsidRPr="00DD41E6">
        <w:t>Somos</w:t>
      </w:r>
      <w:r w:rsidRPr="00DD41E6">
        <w:t>.</w:t>
      </w:r>
      <w:r>
        <w:rPr>
          <w:rStyle w:val="FootnoteReference"/>
        </w:rPr>
        <w:footnoteReference w:id="384"/>
      </w:r>
    </w:p>
    <w:p w:rsidR="009C1C1C" w:rsidRPr="00DD41E6" w:rsidP="00593971" w14:paraId="2384F7D2" w14:textId="77777777">
      <w:pPr>
        <w:pStyle w:val="Heading2"/>
      </w:pPr>
      <w:r>
        <w:t>E</w:t>
      </w:r>
      <w:r w:rsidRPr="00DD41E6">
        <w:t>.</w:t>
      </w:r>
      <w:r w:rsidRPr="00DD41E6">
        <w:tab/>
        <w:t>Description of Projected Reporting, Recordkeeping and Other Compliance Requirements</w:t>
      </w:r>
    </w:p>
    <w:p w:rsidR="009C1C1C" w:rsidRPr="00DD41E6" w:rsidP="009C1C1C" w14:paraId="3F23F454" w14:textId="77777777">
      <w:pPr>
        <w:pStyle w:val="ParaNum"/>
        <w:tabs>
          <w:tab w:val="clear" w:pos="1440"/>
        </w:tabs>
      </w:pPr>
      <w:r w:rsidRPr="00DD41E6">
        <w:t>This Report and Order does not adopt any new reporting, recordkeeping, or other compliance requirements.</w:t>
      </w:r>
    </w:p>
    <w:p w:rsidR="009C1C1C" w:rsidRPr="00DD41E6" w:rsidP="00593971" w14:paraId="61610777" w14:textId="77777777">
      <w:pPr>
        <w:pStyle w:val="Heading2"/>
      </w:pPr>
      <w:r>
        <w:t>F</w:t>
      </w:r>
      <w:r w:rsidRPr="00DD41E6">
        <w:t>.</w:t>
      </w:r>
      <w:r w:rsidRPr="00DD41E6">
        <w:tab/>
        <w:t>Steps Taken to Minimize Significant Economic Impact on Small Entities and Significant Alternatives Considered</w:t>
      </w:r>
    </w:p>
    <w:p w:rsidR="009C1C1C" w:rsidRPr="00DD41E6" w:rsidP="009C1C1C" w14:paraId="62684EF9" w14:textId="77777777">
      <w:pPr>
        <w:pStyle w:val="ParaNum"/>
        <w:tabs>
          <w:tab w:val="clear" w:pos="1440"/>
        </w:tabs>
      </w:pPr>
      <w:r w:rsidRPr="00DD41E6">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rPr>
        <w:footnoteReference w:id="385"/>
      </w:r>
      <w:r w:rsidRPr="00DD41E6">
        <w:t xml:space="preserve">   </w:t>
      </w:r>
    </w:p>
    <w:p w:rsidR="009C1C1C" w:rsidRPr="00654CB6" w:rsidP="009C1C1C" w14:paraId="56AA9221" w14:textId="77777777">
      <w:pPr>
        <w:pStyle w:val="ParaNum"/>
        <w:tabs>
          <w:tab w:val="clear" w:pos="1440"/>
        </w:tabs>
      </w:pPr>
      <w:r w:rsidRPr="00DD41E6">
        <w:t xml:space="preserve">This Report and Order adopts the proposals in the </w:t>
      </w:r>
      <w:r w:rsidRPr="00DD41E6">
        <w:rPr>
          <w:i/>
        </w:rPr>
        <w:t>Notice</w:t>
      </w:r>
      <w:r w:rsidRPr="00DD41E6">
        <w:t xml:space="preserve"> to collect $339,000,000 in regulatory fees for FY 2020, as detailed in the fee schedules in Appendix </w:t>
      </w:r>
      <w:r>
        <w:t>C</w:t>
      </w:r>
      <w:r w:rsidRPr="00DD41E6">
        <w:t>, including</w:t>
      </w:r>
      <w:r>
        <w:t xml:space="preserve"> the following</w:t>
      </w:r>
      <w:r w:rsidRPr="00DD41E6">
        <w:t>: (</w:t>
      </w:r>
      <w:r w:rsidRPr="00DD41E6">
        <w:t>i</w:t>
      </w:r>
      <w:r w:rsidRPr="00DD41E6">
        <w:t xml:space="preserve">) An increase in the DBS fee rate to 72 cents per subscriber, per year, based on the Media Bureau FTEs devoted to issues that include DBS.  The two DBS providers, AT&amp;T and DISH are not small entities.  (ii) The </w:t>
      </w:r>
      <w:r>
        <w:t>implementation of</w:t>
      </w:r>
      <w:r w:rsidRPr="00DD41E6">
        <w:t xml:space="preserve"> the new methodology for calculating the full power broadcast television regulatory fees based on the actual population, which the Commission initially adopted in FY 2018 and was transitioning in over two years.  Basing the fee on actual population should offer relief to smaller broadcasters</w:t>
      </w:r>
      <w:r>
        <w:t>, which may include small entities</w:t>
      </w:r>
      <w:r w:rsidRPr="00DD41E6">
        <w:t xml:space="preserve">.  (iii) An exemption from regulatory fees for non-U.S. licensed space stations that are listed as a point of communication </w:t>
      </w:r>
      <w:r w:rsidRPr="00FD1050">
        <w:t>on earth stations onboard vessels</w:t>
      </w:r>
      <w:r>
        <w:t xml:space="preserve"> (</w:t>
      </w:r>
      <w:r w:rsidRPr="00DD41E6">
        <w:t>ESV</w:t>
      </w:r>
      <w:r>
        <w:t>)</w:t>
      </w:r>
      <w:r w:rsidRPr="00DD41E6">
        <w:t xml:space="preserve"> licenses if the ESV license clearly limits U.S. licensed ESV terminals’ access to these non-U.S. licensed space stations to situations in which these terminals are in foreign territories and/or international waters and the license does not otherwise allow the non-U.S. licensed space station access to the U.S. market. </w:t>
      </w:r>
      <w:r>
        <w:t xml:space="preserve"> This exemption could benefit non-U.S. licensed space stations that are small entities.  </w:t>
      </w:r>
      <w:r w:rsidRPr="00DD41E6">
        <w:t xml:space="preserve">(iv) The </w:t>
      </w:r>
      <w:r>
        <w:t>revision of</w:t>
      </w:r>
      <w:r w:rsidRPr="00DD41E6">
        <w:t xml:space="preserve"> the allocation of IBC fees between submarine cable and terrestrial and satellite IBCs from 87.6%-12.4% to 95%-5%. </w:t>
      </w:r>
      <w:r>
        <w:t xml:space="preserve">Any terrestrial or satellite operator with IBCs will benefit.  </w:t>
      </w:r>
      <w:r w:rsidRPr="00DD41E6">
        <w:t xml:space="preserve">(v) The Report and Order notes that the Media Bureau has granted waivers to allow VHF stations that demonstrate signal disruptions to exceed the maximum power level specified for channels 2-6 in 73.622(f)(6) and for channels 7-13 in 73.622(f)(7) and, accordingly, will assess the regulatory fees for those VHF stations that are licensed with a power level that exceeds the maximum based on the maximum power level specified for channels 2-6 in 73.622(f)(6) and for channels 7-13 in 73.622(f)(7).  To the extent that VHF stations </w:t>
      </w:r>
      <w:r>
        <w:t xml:space="preserve">in these circumstances </w:t>
      </w:r>
      <w:r w:rsidRPr="00DD41E6">
        <w:t xml:space="preserve">are small entities, this could provide regulatory fee relief. (vi)  The </w:t>
      </w:r>
      <w:r>
        <w:t>adopts two targeted measures to provide relief to</w:t>
      </w:r>
      <w:r w:rsidRPr="00DD41E6">
        <w:t xml:space="preserve"> Puerto Rico broadcasters.  </w:t>
      </w:r>
      <w:r w:rsidRPr="00DD41E6">
        <w:rPr>
          <w:i/>
          <w:iCs/>
        </w:rPr>
        <w:t>First</w:t>
      </w:r>
      <w:r w:rsidRPr="00DD41E6">
        <w:t xml:space="preserve">, we account for the objectively measurable reduction in population by reducing the population counts used in </w:t>
      </w:r>
      <w:r w:rsidRPr="00DD41E6">
        <w:t>TVStudy</w:t>
      </w:r>
      <w:r w:rsidRPr="00DD41E6">
        <w:t xml:space="preserve"> by 16.9%, which reflects the decline between the last census in 2010 and the current population estimate.  </w:t>
      </w:r>
      <w:r w:rsidRPr="00DD41E6">
        <w:rPr>
          <w:i/>
          <w:iCs/>
        </w:rPr>
        <w:t>Second</w:t>
      </w:r>
      <w:r w:rsidRPr="00DD41E6">
        <w:t xml:space="preserve">, we limit the market served by a primary television stations and commonly owned satellite broadcast stations in Puerto Rico to no more than 3.10 million people, the latest population estimate.  Thus, the fee for television broadcasters and commonly owned satellites, using the proposed population fee of $.007837, would not exceed $24,300.  (vii) </w:t>
      </w:r>
      <w:r>
        <w:t xml:space="preserve">The Order adopts streamlined processes for fee payors that have experienced financial hardship as a result of the Covid-19 pandemic to seek relief and will provide for lowered interest charges on installment payment plans.  This could benefit small businesses that experienced financial hardship due to the Covid-190 pandemic.  </w:t>
      </w:r>
    </w:p>
    <w:p w:rsidR="009C1C1C" w:rsidP="009C1C1C" w14:paraId="1B53AD58" w14:textId="3226B7F2">
      <w:pPr>
        <w:pStyle w:val="ParaNum"/>
        <w:widowControl/>
        <w:tabs>
          <w:tab w:val="clear" w:pos="1440"/>
        </w:tabs>
        <w:sectPr w:rsidSect="007E0AA3">
          <w:footnotePr>
            <w:numRestart w:val="eachSect"/>
          </w:footnotePr>
          <w:endnotePr>
            <w:numFmt w:val="decimal"/>
          </w:endnotePr>
          <w:pgSz w:w="12240" w:h="15840"/>
          <w:pgMar w:top="1440" w:right="1440" w:bottom="720" w:left="1440" w:header="720" w:footer="720" w:gutter="0"/>
          <w:cols w:space="720"/>
          <w:noEndnote/>
          <w:docGrid w:linePitch="299"/>
        </w:sectPr>
      </w:pPr>
      <w:r w:rsidRPr="00DD41E6">
        <w:t xml:space="preserve">In keeping with the requirements of the Regulatory Flexibility Act, we have considered certain alternative means of mitigating the effects of fee increases to a particular industry segment.  For example, the de minimis threshold is $1,000, which will impact many small entities that pay regulatory </w:t>
      </w:r>
      <w:r w:rsidRPr="00DD41E6">
        <w:t xml:space="preserve">fees.  This de minimis threshold will relieve regulatees both financially and administratively.  Regulatees may also seek waivers or other relief on the basis of financial hardship.  </w:t>
      </w:r>
      <w:r w:rsidRPr="00B4251C">
        <w:rPr>
          <w:i/>
        </w:rPr>
        <w:t xml:space="preserve">See </w:t>
      </w:r>
      <w:r w:rsidRPr="00DD41E6">
        <w:t xml:space="preserve">47 CFR §1.1166. </w:t>
      </w:r>
      <w:r>
        <w:t xml:space="preserve"> </w:t>
      </w:r>
    </w:p>
    <w:p w:rsidR="009C1C1C" w:rsidP="00D54B3B" w14:paraId="1E2C7ED7" w14:textId="77777777">
      <w:pPr>
        <w:tabs>
          <w:tab w:val="left" w:pos="3629"/>
        </w:tabs>
        <w:jc w:val="center"/>
        <w:rPr>
          <w:b/>
        </w:rPr>
      </w:pPr>
      <w:r>
        <w:rPr>
          <w:b/>
        </w:rPr>
        <w:t>APPEN</w:t>
      </w:r>
      <w:bookmarkStart w:id="150" w:name="_GoBack"/>
      <w:bookmarkEnd w:id="150"/>
      <w:r>
        <w:rPr>
          <w:b/>
        </w:rPr>
        <w:t>DIX J</w:t>
      </w:r>
    </w:p>
    <w:p w:rsidR="009C1C1C" w:rsidP="009C1C1C" w14:paraId="2C0AC85C" w14:textId="77777777">
      <w:pPr>
        <w:tabs>
          <w:tab w:val="left" w:pos="3629"/>
        </w:tabs>
        <w:jc w:val="center"/>
        <w:rPr>
          <w:b/>
        </w:rPr>
      </w:pPr>
    </w:p>
    <w:p w:rsidR="009C1C1C" w:rsidRPr="00B06F8A" w:rsidP="009C1C1C" w14:paraId="34B54B7D"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sidRPr="00B06F8A">
        <w:rPr>
          <w:b/>
          <w:szCs w:val="22"/>
        </w:rPr>
        <w:t>Initial Regulatory Flexibility Analysis</w:t>
      </w:r>
    </w:p>
    <w:p w:rsidR="009C1C1C" w:rsidRPr="00B06F8A" w:rsidP="009C1C1C" w14:paraId="2A1DBAA0"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9C1C1C" w:rsidRPr="007749D2" w:rsidP="00F0238B" w14:paraId="518D5927" w14:textId="77777777">
      <w:pPr>
        <w:pStyle w:val="ParaNum"/>
        <w:numPr>
          <w:ilvl w:val="0"/>
          <w:numId w:val="9"/>
        </w:numPr>
        <w:tabs>
          <w:tab w:val="clear" w:pos="1080"/>
        </w:tabs>
      </w:pPr>
      <w:r w:rsidRPr="007749D2">
        <w:t>As required by the Regulatory Flexibility Act of 1980, as amended (RFA),</w:t>
      </w:r>
      <w:r>
        <w:rPr>
          <w:rStyle w:val="FootnoteReference"/>
          <w:spacing w:val="-2"/>
          <w:szCs w:val="22"/>
        </w:rPr>
        <w:footnoteReference w:id="386"/>
      </w:r>
      <w:r w:rsidRPr="007749D2">
        <w:t xml:space="preserve"> the Commission prepared this Initial Regulatory Flexibility Analysis (IRFA) of the possible significant economic impact on small entities by the policies and rules proposed in the Further Notice of Proposed Rulemaking (</w:t>
      </w:r>
      <w:r w:rsidRPr="00A2541F">
        <w:rPr>
          <w:i/>
          <w:iCs/>
        </w:rPr>
        <w:t xml:space="preserve">Further </w:t>
      </w:r>
      <w:r w:rsidRPr="00A2541F">
        <w:rPr>
          <w:i/>
        </w:rPr>
        <w:t>Notice</w:t>
      </w:r>
      <w:r w:rsidRPr="007749D2">
        <w:t xml:space="preserve">).  Written comments are requested on this IRFA.  Comments must be identified as responses to the IRFA and must be filed by the deadline for comments on this </w:t>
      </w:r>
      <w:r w:rsidRPr="00A2541F">
        <w:rPr>
          <w:i/>
          <w:iCs/>
        </w:rPr>
        <w:t>Further</w:t>
      </w:r>
      <w:r w:rsidRPr="007749D2">
        <w:t xml:space="preserve"> </w:t>
      </w:r>
      <w:r w:rsidRPr="00A2541F">
        <w:rPr>
          <w:i/>
        </w:rPr>
        <w:t>Notice</w:t>
      </w:r>
      <w:r w:rsidRPr="007749D2">
        <w:t xml:space="preserve">.  The Commission will send a copy of the </w:t>
      </w:r>
      <w:r w:rsidRPr="00A2541F">
        <w:rPr>
          <w:i/>
        </w:rPr>
        <w:t>Notice</w:t>
      </w:r>
      <w:r w:rsidRPr="007749D2">
        <w:t>, including the IRFA, to the Chief Counsel for Advocacy of the Small Business Administration (SBA).</w:t>
      </w:r>
      <w:r>
        <w:rPr>
          <w:rStyle w:val="FootnoteReference"/>
          <w:spacing w:val="-2"/>
          <w:szCs w:val="22"/>
        </w:rPr>
        <w:footnoteReference w:id="387"/>
      </w:r>
      <w:r w:rsidRPr="007749D2">
        <w:t xml:space="preserve">  In addition, the</w:t>
      </w:r>
      <w:r w:rsidRPr="00A2541F">
        <w:rPr>
          <w:i/>
        </w:rPr>
        <w:t xml:space="preserve"> Further Notice</w:t>
      </w:r>
      <w:r w:rsidRPr="007749D2">
        <w:t xml:space="preserve"> and IRFA (or summaries thereof) will be published in the Federal Register.</w:t>
      </w:r>
      <w:r>
        <w:rPr>
          <w:rStyle w:val="FootnoteReference"/>
          <w:spacing w:val="-2"/>
          <w:szCs w:val="22"/>
        </w:rPr>
        <w:footnoteReference w:id="388"/>
      </w:r>
      <w:r w:rsidRPr="007749D2">
        <w:t xml:space="preserve"> </w:t>
      </w:r>
    </w:p>
    <w:p w:rsidR="009C1C1C" w:rsidRPr="00B06F8A" w:rsidP="00593971" w14:paraId="36A1FC85" w14:textId="77777777">
      <w:pPr>
        <w:pStyle w:val="Heading2"/>
      </w:pPr>
      <w:bookmarkStart w:id="151" w:name="_Toc6326156"/>
      <w:bookmarkStart w:id="152" w:name="_Toc28005134"/>
      <w:r w:rsidRPr="00B06F8A">
        <w:t xml:space="preserve">Need for, and Objectives of, the </w:t>
      </w:r>
      <w:r>
        <w:t>Proposed Rules</w:t>
      </w:r>
      <w:bookmarkEnd w:id="151"/>
      <w:bookmarkEnd w:id="152"/>
      <w:r w:rsidRPr="00B06F8A">
        <w:t xml:space="preserve">  </w:t>
      </w:r>
    </w:p>
    <w:p w:rsidR="009C1C1C" w:rsidRPr="0069685E" w:rsidP="009C1C1C" w14:paraId="7F613B80" w14:textId="77777777">
      <w:pPr>
        <w:pStyle w:val="ParaNum"/>
        <w:tabs>
          <w:tab w:val="clear" w:pos="1440"/>
        </w:tabs>
      </w:pPr>
      <w:r w:rsidRPr="00B06F8A">
        <w:rPr>
          <w:szCs w:val="22"/>
        </w:rPr>
        <w:t xml:space="preserve">The </w:t>
      </w:r>
      <w:r w:rsidRPr="009842C6">
        <w:rPr>
          <w:i/>
          <w:iCs/>
          <w:szCs w:val="22"/>
        </w:rPr>
        <w:t>Further</w:t>
      </w:r>
      <w:r>
        <w:rPr>
          <w:szCs w:val="22"/>
        </w:rPr>
        <w:t xml:space="preserve"> </w:t>
      </w:r>
      <w:r w:rsidRPr="00B06F8A">
        <w:rPr>
          <w:i/>
          <w:szCs w:val="22"/>
        </w:rPr>
        <w:t>Notice</w:t>
      </w:r>
      <w:r w:rsidRPr="00B06F8A">
        <w:rPr>
          <w:szCs w:val="22"/>
        </w:rPr>
        <w:t xml:space="preserve"> seeks comment on</w:t>
      </w:r>
      <w:r>
        <w:rPr>
          <w:szCs w:val="22"/>
        </w:rPr>
        <w:t xml:space="preserve"> a regulatory fee issue raised by commenters for fiscal year (FY) 2021.</w:t>
      </w:r>
      <w:r>
        <w:t xml:space="preserve">  In the </w:t>
      </w:r>
      <w:r w:rsidRPr="009842C6">
        <w:rPr>
          <w:i/>
          <w:iCs/>
        </w:rPr>
        <w:t>Further Notice</w:t>
      </w:r>
      <w:r>
        <w:t xml:space="preserve">, the Commission seeks comment on four proposals to differentiate regulatory fees for different types of </w:t>
      </w:r>
      <w:r>
        <w:t>nongeostationary</w:t>
      </w:r>
      <w:r>
        <w:t xml:space="preserve"> orbit satellite (NGSO) systems.  The Commission seeks comment on a proposed formula to determine NGSO regulatory fees:  x (number of operating satellites) multiplied by y (total transmit bandwidth) = index value. The Commission also seeks comment on separating large and small NGSO systems into different categories, based on the number of satellites in each system.  In addition, the Commission seeks comment on a proposal to divide NGSO systems into categories: fixed-satellite service (FSS); mobile-satellite service (MSS); and remote sensing, Earth-exploration satellite service (EESS), and other NGSO systems.  Finally, the Commission seeks comment on assessing a nominal fee for NGSO systems with five or fewer U.S. licensed earth stations for telemetry, tracking, and command (TT&amp;C) and non-domestic data downlink purposes, on a per earth station basis at the same rate as earth station licenses.  The Commission seeks comment on these four proposals for different regulatory fee categories of NGSO systems for FY 2021.</w:t>
      </w:r>
    </w:p>
    <w:p w:rsidR="009C1C1C" w:rsidRPr="00B06F8A" w:rsidP="00593971" w14:paraId="50349EC0" w14:textId="77777777">
      <w:pPr>
        <w:pStyle w:val="Heading2"/>
      </w:pPr>
      <w:bookmarkStart w:id="153" w:name="_Toc6326157"/>
      <w:bookmarkStart w:id="154" w:name="_Toc28005135"/>
      <w:r w:rsidRPr="00B06F8A">
        <w:t>Legal Basis</w:t>
      </w:r>
      <w:bookmarkEnd w:id="153"/>
      <w:bookmarkEnd w:id="154"/>
    </w:p>
    <w:p w:rsidR="009C1C1C" w:rsidRPr="00B06F8A" w:rsidP="009C1C1C" w14:paraId="0DBB1255" w14:textId="77777777">
      <w:pPr>
        <w:pStyle w:val="ParaNum"/>
        <w:tabs>
          <w:tab w:val="clear" w:pos="1440"/>
        </w:tabs>
      </w:pPr>
      <w:r w:rsidRPr="00B06F8A">
        <w:t>This action, including publication of proposed rules, is authorized under sections (4)(</w:t>
      </w:r>
      <w:r w:rsidRPr="00B06F8A">
        <w:t>i</w:t>
      </w:r>
      <w:r w:rsidRPr="00B06F8A">
        <w:t xml:space="preserve">) and (j), </w:t>
      </w:r>
      <w:r>
        <w:t>159</w:t>
      </w:r>
      <w:r w:rsidRPr="00B06F8A">
        <w:t>, and 303(r) of the Communications Act of 1934, as amended.</w:t>
      </w:r>
      <w:r>
        <w:rPr>
          <w:rStyle w:val="FootnoteReference"/>
          <w:spacing w:val="-2"/>
          <w:szCs w:val="22"/>
        </w:rPr>
        <w:footnoteReference w:id="389"/>
      </w:r>
      <w:r w:rsidRPr="00B06F8A">
        <w:t xml:space="preserve"> </w:t>
      </w:r>
    </w:p>
    <w:p w:rsidR="009C1C1C" w:rsidRPr="00B06F8A" w:rsidP="00593971" w14:paraId="5CBAED8A" w14:textId="77777777">
      <w:pPr>
        <w:pStyle w:val="Heading2"/>
      </w:pPr>
      <w:bookmarkStart w:id="155" w:name="_Toc6326158"/>
      <w:bookmarkStart w:id="156" w:name="_Toc28005136"/>
      <w:r w:rsidRPr="00B06F8A">
        <w:t xml:space="preserve">Description and Estimate of the Number of Small Entities to Which the </w:t>
      </w:r>
      <w:r>
        <w:t xml:space="preserve">Proposed </w:t>
      </w:r>
      <w:r w:rsidRPr="00B06F8A">
        <w:t>Rules Will Apply</w:t>
      </w:r>
      <w:bookmarkEnd w:id="155"/>
      <w:bookmarkEnd w:id="156"/>
    </w:p>
    <w:p w:rsidR="009C1C1C" w:rsidP="009C1C1C" w14:paraId="0A37BCD9" w14:textId="77777777">
      <w:pPr>
        <w:pStyle w:val="ParaNum"/>
        <w:tabs>
          <w:tab w:val="clear" w:pos="1440"/>
        </w:tabs>
      </w:pPr>
      <w:r w:rsidRPr="00B06F8A">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390"/>
      </w:r>
      <w:r w:rsidRPr="00B06F8A">
        <w:t xml:space="preserve">  The RFA generally defines the term “small entity” as having the same meaning as the terms “small business,” “small organization,” and “small governmental jurisdiction.”</w:t>
      </w:r>
      <w:r>
        <w:rPr>
          <w:rStyle w:val="FootnoteReference"/>
          <w:spacing w:val="-2"/>
          <w:szCs w:val="22"/>
        </w:rPr>
        <w:footnoteReference w:id="391"/>
      </w:r>
      <w:r w:rsidRPr="00B06F8A">
        <w:t xml:space="preserve">  In addition, the term “small business” has the same meaning as the term “small business concern” under the Small Business Act.</w:t>
      </w:r>
      <w:r>
        <w:rPr>
          <w:rStyle w:val="FootnoteReference"/>
          <w:spacing w:val="-2"/>
          <w:szCs w:val="22"/>
        </w:rPr>
        <w:footnoteReference w:id="392"/>
      </w:r>
      <w:r w:rsidRPr="00B06F8A">
        <w:t xml:space="preserve">  A “small </w:t>
      </w:r>
      <w:r w:rsidRPr="00B06F8A">
        <w:t>business concern” is one which: (1) is independently owned and operated; (2) is not dominant in its field of operation; and (3) satisfies any additional criteria established by the SBA.</w:t>
      </w:r>
      <w:r>
        <w:rPr>
          <w:rStyle w:val="FootnoteReference"/>
          <w:spacing w:val="-2"/>
          <w:szCs w:val="22"/>
        </w:rPr>
        <w:footnoteReference w:id="393"/>
      </w:r>
      <w:r w:rsidRPr="00B06F8A">
        <w:t xml:space="preserve"> </w:t>
      </w:r>
    </w:p>
    <w:p w:rsidR="009C1C1C" w:rsidP="009C1C1C" w14:paraId="17549206" w14:textId="77777777">
      <w:pPr>
        <w:pStyle w:val="ParaNum"/>
        <w:tabs>
          <w:tab w:val="clear" w:pos="1440"/>
        </w:tabs>
        <w:rPr>
          <w:bCs/>
        </w:rPr>
      </w:pPr>
      <w:r w:rsidRPr="00A2541F">
        <w:rPr>
          <w:bCs/>
          <w:i/>
          <w:iCs/>
        </w:rPr>
        <w:t>Small Businesses, Small Organizations, Small Governmental Jurisdictions</w:t>
      </w:r>
      <w:r w:rsidRPr="00A2541F">
        <w:rPr>
          <w:bCs/>
        </w:rPr>
        <w:t>.</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394"/>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395"/>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396"/>
      </w:r>
      <w:r>
        <w:rPr>
          <w:bCs/>
        </w:rPr>
        <w:t xml:space="preserve">  </w:t>
      </w:r>
    </w:p>
    <w:p w:rsidR="009C1C1C" w:rsidRPr="00835723" w:rsidP="009C1C1C" w14:paraId="2272A4B5" w14:textId="77777777">
      <w:pPr>
        <w:pStyle w:val="ParaNum"/>
        <w:tabs>
          <w:tab w:val="clear" w:pos="1440"/>
        </w:tabs>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397"/>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398"/>
      </w:r>
      <w:r w:rsidRPr="00835723">
        <w:t xml:space="preserve">  </w:t>
      </w:r>
    </w:p>
    <w:p w:rsidR="009C1C1C" w:rsidRPr="00B06F8A" w:rsidP="009C1C1C" w14:paraId="232573E5" w14:textId="77777777">
      <w:pPr>
        <w:pStyle w:val="ParaNum"/>
        <w:tabs>
          <w:tab w:val="clear" w:pos="1440"/>
        </w:tabs>
        <w:rPr>
          <w:szCs w:val="22"/>
        </w:rPr>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399"/>
      </w:r>
      <w:r w:rsidRPr="00835723">
        <w:t xml:space="preserve">  U.S. Census Bureau data from the 2012 Census of Governments</w:t>
      </w:r>
      <w:r>
        <w:rPr>
          <w:rStyle w:val="FootnoteReference"/>
        </w:rPr>
        <w:footnoteReference w:id="400"/>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401"/>
      </w:r>
      <w:r w:rsidRPr="0066448F">
        <w:t xml:space="preserve">  </w:t>
      </w:r>
      <w:r>
        <w:t>Of this number there wer</w:t>
      </w:r>
      <w:r w:rsidRPr="00835723">
        <w:t xml:space="preserve">e </w:t>
      </w:r>
      <w:r w:rsidRPr="00835723">
        <w:t>37, 132 General purpose governments (county</w:t>
      </w:r>
      <w:r>
        <w:rPr>
          <w:rStyle w:val="FootnoteReference"/>
        </w:rPr>
        <w:footnoteReference w:id="402"/>
      </w:r>
      <w:r w:rsidRPr="00835723">
        <w:t>, municipal and town or township</w:t>
      </w:r>
      <w:r>
        <w:rPr>
          <w:rStyle w:val="FootnoteReference"/>
        </w:rPr>
        <w:footnoteReference w:id="403"/>
      </w:r>
      <w:r w:rsidRPr="00835723">
        <w:t>) with populations of less than 50,000 and 12,184 Special purpose governments (independent school districts</w:t>
      </w:r>
      <w:r>
        <w:rPr>
          <w:rStyle w:val="FootnoteReference"/>
        </w:rPr>
        <w:footnoteReference w:id="404"/>
      </w:r>
      <w:r w:rsidRPr="00835723">
        <w:t xml:space="preserve"> and special districts</w:t>
      </w:r>
      <w:r>
        <w:rPr>
          <w:rStyle w:val="FootnoteReference"/>
        </w:rPr>
        <w:footnoteReference w:id="405"/>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406"/>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407"/>
      </w:r>
      <w:r>
        <w:t xml:space="preserve">  </w:t>
      </w:r>
      <w:r>
        <w:rPr>
          <w:szCs w:val="22"/>
        </w:rPr>
        <w:t>Governmental entities are, however, exempt from application fees.</w:t>
      </w:r>
      <w:r>
        <w:rPr>
          <w:rStyle w:val="FootnoteReference"/>
          <w:szCs w:val="22"/>
        </w:rPr>
        <w:footnoteReference w:id="408"/>
      </w:r>
      <w:r w:rsidRPr="00B06F8A">
        <w:rPr>
          <w:szCs w:val="22"/>
        </w:rPr>
        <w:t xml:space="preserve">  </w:t>
      </w:r>
    </w:p>
    <w:p w:rsidR="009C1C1C" w:rsidRPr="003C560E" w:rsidP="008703CF" w14:paraId="6EDBDE3F" w14:textId="77777777">
      <w:pPr>
        <w:pStyle w:val="ParaNum"/>
        <w:widowControl/>
        <w:tabs>
          <w:tab w:val="clear" w:pos="1440"/>
        </w:tabs>
      </w:pPr>
      <w:r w:rsidRPr="00A2541F">
        <w:rPr>
          <w:bCs/>
          <w:i/>
          <w:iCs/>
        </w:rPr>
        <w:t>All Other Telecommunications</w:t>
      </w:r>
      <w:r w:rsidRPr="003C560E">
        <w:t xml:space="preserve">.  </w:t>
      </w:r>
      <w:r w:rsidRPr="003C560E">
        <w:rPr>
          <w:b/>
        </w:rPr>
        <w:t>“</w:t>
      </w:r>
      <w:r w:rsidRPr="003C560E">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409"/>
      </w:r>
      <w:r w:rsidRPr="003C560E">
        <w:t xml:space="preserve">  The SBA has developed a small business size standard for “All Other Telecommunications,” which consists of all such firms with gross annual receipts of $35 million or less.</w:t>
      </w:r>
      <w:r>
        <w:rPr>
          <w:rStyle w:val="FootnoteReference"/>
          <w:szCs w:val="22"/>
        </w:rPr>
        <w:footnoteReference w:id="410"/>
      </w:r>
      <w:r w:rsidRPr="003C560E">
        <w:t xml:space="preserve">  For this category, census data for 2012 show that there were 1,442 firms that operated for the entire year.  Of these firms, a total of 1,400 had gross annual receipts of less than $25 million.</w:t>
      </w:r>
      <w:r>
        <w:rPr>
          <w:rStyle w:val="FootnoteReference"/>
          <w:szCs w:val="22"/>
        </w:rPr>
        <w:footnoteReference w:id="411"/>
      </w:r>
      <w:r w:rsidRPr="003C560E">
        <w:t xml:space="preserve">  Thus, a majority of “All Other Telecommunications” firms potentially affected by the proposals in the </w:t>
      </w:r>
      <w:r w:rsidRPr="00DF3041">
        <w:rPr>
          <w:i/>
          <w:iCs/>
        </w:rPr>
        <w:t>Further</w:t>
      </w:r>
      <w:r>
        <w:t xml:space="preserve"> </w:t>
      </w:r>
      <w:r w:rsidRPr="003C560E">
        <w:rPr>
          <w:i/>
        </w:rPr>
        <w:t>Notice</w:t>
      </w:r>
      <w:r w:rsidRPr="003C560E">
        <w:t xml:space="preserve"> can be considered small. </w:t>
      </w:r>
    </w:p>
    <w:p w:rsidR="009C1C1C" w:rsidRPr="00B06F8A" w:rsidP="00593971" w14:paraId="03EA10B9" w14:textId="77777777">
      <w:pPr>
        <w:pStyle w:val="Heading2"/>
      </w:pPr>
      <w:bookmarkStart w:id="157" w:name="_Toc6326159"/>
      <w:bookmarkStart w:id="158" w:name="_Toc28005137"/>
      <w:r w:rsidRPr="00B06F8A">
        <w:t>Description of Projected Reporting, Recordkeeping and Other Compliance Requirements</w:t>
      </w:r>
      <w:bookmarkEnd w:id="157"/>
      <w:r>
        <w:t xml:space="preserve"> for Small Entities</w:t>
      </w:r>
      <w:bookmarkEnd w:id="158"/>
    </w:p>
    <w:p w:rsidR="009C1C1C" w:rsidRPr="00B06F8A" w:rsidP="009C1C1C" w14:paraId="45904A2B" w14:textId="77777777">
      <w:pPr>
        <w:pStyle w:val="ParaNum"/>
        <w:tabs>
          <w:tab w:val="clear" w:pos="1440"/>
        </w:tabs>
      </w:pPr>
      <w:r w:rsidRPr="00B06F8A">
        <w:t>This</w:t>
      </w:r>
      <w:r w:rsidRPr="00B06F8A">
        <w:rPr>
          <w:i/>
        </w:rPr>
        <w:t xml:space="preserve"> </w:t>
      </w:r>
      <w:r>
        <w:rPr>
          <w:i/>
        </w:rPr>
        <w:t xml:space="preserve">Further </w:t>
      </w:r>
      <w:r w:rsidRPr="00B06F8A">
        <w:rPr>
          <w:i/>
        </w:rPr>
        <w:t>Notice</w:t>
      </w:r>
      <w:r w:rsidRPr="00B06F8A">
        <w:t xml:space="preserve"> does not propose any changes to the Commission’s current information collection, reporting, recordkeeping, or compliance requirements. </w:t>
      </w:r>
      <w:r>
        <w:t xml:space="preserve">  </w:t>
      </w:r>
    </w:p>
    <w:p w:rsidR="009C1C1C" w:rsidRPr="00B06F8A" w:rsidP="00593971" w14:paraId="4B7A3FF8" w14:textId="77777777">
      <w:pPr>
        <w:pStyle w:val="Heading2"/>
      </w:pPr>
      <w:bookmarkStart w:id="159" w:name="_Toc6326160"/>
      <w:bookmarkStart w:id="160" w:name="_Toc28005138"/>
      <w:r w:rsidRPr="00B06F8A">
        <w:t>Steps Taken to Minimize Significant Economic Impact on Small Entities, and Significant Alternatives Considered</w:t>
      </w:r>
      <w:bookmarkEnd w:id="159"/>
      <w:bookmarkEnd w:id="160"/>
    </w:p>
    <w:p w:rsidR="009C1C1C" w:rsidRPr="00B06F8A" w:rsidP="009C1C1C" w14:paraId="2BF4D999" w14:textId="77777777">
      <w:pPr>
        <w:pStyle w:val="ParaNum"/>
        <w:tabs>
          <w:tab w:val="clear" w:pos="1440"/>
        </w:tabs>
      </w:pPr>
      <w:r w:rsidRPr="00B06F8A">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412"/>
      </w:r>
      <w:r w:rsidRPr="00B06F8A">
        <w:t xml:space="preserve">  </w:t>
      </w:r>
    </w:p>
    <w:p w:rsidR="009C1C1C" w:rsidRPr="00AB1D3A" w:rsidP="009C1C1C" w14:paraId="6B4C8784" w14:textId="77777777">
      <w:pPr>
        <w:pStyle w:val="ParaNum"/>
        <w:tabs>
          <w:tab w:val="clear" w:pos="1440"/>
        </w:tabs>
      </w:pPr>
      <w:r w:rsidRPr="003C560E">
        <w:t xml:space="preserve">The </w:t>
      </w:r>
      <w:r w:rsidRPr="00281A08">
        <w:rPr>
          <w:i/>
          <w:iCs/>
        </w:rPr>
        <w:t>Further</w:t>
      </w:r>
      <w:r>
        <w:t xml:space="preserve"> </w:t>
      </w:r>
      <w:r w:rsidRPr="003C560E">
        <w:rPr>
          <w:i/>
        </w:rPr>
        <w:t>Notice</w:t>
      </w:r>
      <w:r w:rsidRPr="003C560E">
        <w:t xml:space="preserve"> seeks comment on </w:t>
      </w:r>
      <w:r>
        <w:t>four proposals for NGSO regulatory fee categories for FY 2021. The Commission will release a Notice of Proposed Rulemaking for all regulatory fees for fiscal year 2021; the Further Notice will give parties an opportunity to file comments on this issue prior to the annual Notice of Proposed Rulemaking.  If any of these proposals are adopted, it may reduce the regulatory fee burden on some satellite entities.  In addition, the section 9(e)(2) annual regulatory fee exemption of $1,000 will reduce burdens on small entities with annual regulatory fees that total $1,000 or less.</w:t>
      </w:r>
    </w:p>
    <w:p w:rsidR="009C1C1C" w:rsidRPr="00B06F8A" w:rsidP="00593971" w14:paraId="71F7B0FC" w14:textId="77777777">
      <w:pPr>
        <w:pStyle w:val="Heading2"/>
      </w:pPr>
      <w:bookmarkStart w:id="161" w:name="_Toc6326161"/>
      <w:bookmarkStart w:id="162" w:name="_Toc28005139"/>
      <w:r w:rsidRPr="00B06F8A">
        <w:t>Federal Rules that May Duplicate, Overlap, or Conflict with the Proposed Rules</w:t>
      </w:r>
      <w:bookmarkEnd w:id="161"/>
      <w:bookmarkEnd w:id="162"/>
    </w:p>
    <w:p w:rsidR="009C1C1C" w:rsidP="009C1C1C" w14:paraId="464DB240" w14:textId="77777777">
      <w:pPr>
        <w:pStyle w:val="ParaNum"/>
        <w:tabs>
          <w:tab w:val="clear" w:pos="1440"/>
        </w:tabs>
      </w:pPr>
      <w:r w:rsidRPr="00B06F8A">
        <w:t>None.</w:t>
      </w:r>
    </w:p>
    <w:p w:rsidR="009C1C1C" w:rsidP="009C1C1C" w14:paraId="2DBC2116" w14:textId="77777777">
      <w:pPr>
        <w:widowControl/>
        <w:rPr>
          <w:b/>
          <w:spacing w:val="-2"/>
        </w:rPr>
      </w:pPr>
    </w:p>
    <w:p w:rsidR="009C1C1C" w:rsidP="009C1C1C" w14:paraId="254E08AF" w14:textId="77777777">
      <w:pPr>
        <w:widowControl/>
        <w:rPr>
          <w:b/>
          <w:spacing w:val="-2"/>
        </w:rPr>
      </w:pPr>
      <w:r>
        <w:rPr>
          <w:b/>
          <w:spacing w:val="-2"/>
        </w:rPr>
        <w:br w:type="page"/>
      </w:r>
    </w:p>
    <w:p w:rsidR="009C1C1C" w:rsidRPr="007061BD" w:rsidP="008703CF" w14:paraId="1FD1CB46" w14:textId="77777777">
      <w:pPr>
        <w:pStyle w:val="ParaNum"/>
        <w:numPr>
          <w:ilvl w:val="0"/>
          <w:numId w:val="0"/>
        </w:numPr>
        <w:jc w:val="center"/>
        <w:rPr>
          <w:b/>
          <w:bCs/>
        </w:rPr>
      </w:pPr>
      <w:r w:rsidRPr="007061BD">
        <w:rPr>
          <w:b/>
          <w:bCs/>
        </w:rPr>
        <w:t>APPENDIX K</w:t>
      </w:r>
    </w:p>
    <w:p w:rsidR="009C1C1C" w:rsidRPr="005F6BC2" w:rsidP="009C1C1C" w14:paraId="4E6FFAFF" w14:textId="77777777">
      <w:pPr>
        <w:pStyle w:val="EndnoteText"/>
        <w:jc w:val="center"/>
        <w:rPr>
          <w:b/>
          <w:sz w:val="22"/>
          <w:szCs w:val="22"/>
        </w:rPr>
      </w:pPr>
      <w:r w:rsidRPr="005F6BC2">
        <w:rPr>
          <w:b/>
          <w:sz w:val="22"/>
          <w:szCs w:val="22"/>
        </w:rPr>
        <w:t>Rule Changes</w:t>
      </w:r>
    </w:p>
    <w:p w:rsidR="009C1C1C" w:rsidRPr="005F6BC2" w:rsidP="009C1C1C" w14:paraId="38FCD5D0" w14:textId="77777777">
      <w:pPr>
        <w:pStyle w:val="EndnoteText"/>
        <w:rPr>
          <w:sz w:val="22"/>
          <w:szCs w:val="22"/>
        </w:rPr>
      </w:pPr>
    </w:p>
    <w:p w:rsidR="009C1C1C" w:rsidRPr="005F6BC2" w:rsidP="009C1C1C" w14:paraId="56A369D9" w14:textId="77777777">
      <w:pPr>
        <w:pStyle w:val="EndnoteText"/>
        <w:rPr>
          <w:sz w:val="22"/>
          <w:szCs w:val="22"/>
        </w:rPr>
      </w:pPr>
      <w:r w:rsidRPr="005F6BC2">
        <w:rPr>
          <w:sz w:val="22"/>
          <w:szCs w:val="22"/>
        </w:rPr>
        <w:t>Part 1 of Title 47 of the Code of Federal Regulations is amended to read as follows:</w:t>
      </w:r>
    </w:p>
    <w:p w:rsidR="009C1C1C" w:rsidRPr="005F6BC2" w:rsidP="009C1C1C" w14:paraId="56208924" w14:textId="77777777">
      <w:pPr>
        <w:pStyle w:val="EndnoteText"/>
        <w:rPr>
          <w:sz w:val="22"/>
          <w:szCs w:val="22"/>
        </w:rPr>
      </w:pPr>
    </w:p>
    <w:p w:rsidR="009C1C1C" w:rsidRPr="005F6BC2" w:rsidP="009C1C1C" w14:paraId="393A05B7" w14:textId="77777777">
      <w:pPr>
        <w:pStyle w:val="EndnoteText"/>
        <w:rPr>
          <w:b/>
          <w:sz w:val="22"/>
          <w:szCs w:val="22"/>
        </w:rPr>
      </w:pPr>
      <w:r w:rsidRPr="005F6BC2">
        <w:rPr>
          <w:b/>
          <w:sz w:val="22"/>
          <w:szCs w:val="22"/>
        </w:rPr>
        <w:t>PART 1 – PRACTICE AND PROCEDURE</w:t>
      </w:r>
    </w:p>
    <w:p w:rsidR="009C1C1C" w:rsidRPr="005F6BC2" w:rsidP="009C1C1C" w14:paraId="01FA1CF1" w14:textId="77777777">
      <w:pPr>
        <w:pStyle w:val="EndnoteText"/>
        <w:rPr>
          <w:sz w:val="22"/>
          <w:szCs w:val="22"/>
        </w:rPr>
      </w:pPr>
    </w:p>
    <w:p w:rsidR="009C1C1C" w:rsidRPr="005F6BC2" w:rsidP="009C1C1C" w14:paraId="73350CC2" w14:textId="77777777">
      <w:pPr>
        <w:pStyle w:val="EndnoteText"/>
        <w:tabs>
          <w:tab w:val="left" w:pos="720"/>
        </w:tabs>
        <w:rPr>
          <w:sz w:val="22"/>
          <w:szCs w:val="22"/>
        </w:rPr>
      </w:pPr>
      <w:r w:rsidRPr="005F6BC2">
        <w:rPr>
          <w:sz w:val="22"/>
          <w:szCs w:val="22"/>
        </w:rPr>
        <w:t>The authority citation for part 1 continues to read as follows:</w:t>
      </w:r>
    </w:p>
    <w:p w:rsidR="009C1C1C" w:rsidRPr="005F6BC2" w:rsidP="009C1C1C" w14:paraId="55376C0F" w14:textId="77777777">
      <w:pPr>
        <w:pStyle w:val="EndnoteText"/>
        <w:tabs>
          <w:tab w:val="left" w:pos="720"/>
        </w:tabs>
        <w:rPr>
          <w:sz w:val="22"/>
          <w:szCs w:val="22"/>
        </w:rPr>
      </w:pPr>
    </w:p>
    <w:p w:rsidR="009C1C1C" w:rsidP="009C1C1C" w14:paraId="4A39567D" w14:textId="77777777">
      <w:pPr>
        <w:pStyle w:val="EndnoteText"/>
        <w:rPr>
          <w:sz w:val="22"/>
          <w:szCs w:val="22"/>
          <w:shd w:val="clear" w:color="auto" w:fill="FFFFFF"/>
        </w:rPr>
      </w:pPr>
      <w:r w:rsidRPr="005F6BC2">
        <w:rPr>
          <w:sz w:val="22"/>
          <w:szCs w:val="22"/>
        </w:rPr>
        <w:tab/>
      </w:r>
      <w:r w:rsidRPr="00A555F7">
        <w:rPr>
          <w:sz w:val="22"/>
        </w:rPr>
        <w:t xml:space="preserve">Authority:  </w:t>
      </w:r>
      <w:r w:rsidRPr="00A555F7">
        <w:rPr>
          <w:sz w:val="22"/>
          <w:shd w:val="clear" w:color="auto" w:fill="FFFFFF"/>
        </w:rPr>
        <w:t>47 U.S.C. 151, 154(</w:t>
      </w:r>
      <w:r w:rsidRPr="00A555F7">
        <w:rPr>
          <w:sz w:val="22"/>
          <w:shd w:val="clear" w:color="auto" w:fill="FFFFFF"/>
        </w:rPr>
        <w:t>i</w:t>
      </w:r>
      <w:r w:rsidRPr="00A555F7">
        <w:rPr>
          <w:sz w:val="22"/>
          <w:shd w:val="clear" w:color="auto" w:fill="FFFFFF"/>
        </w:rPr>
        <w:t>), 155, 157, 160, 201, 225, 227, 303, 309, 332, 1403, 1404, 1451, 1452, and 1455; Sec. 102(c), Div. P, Pub. L. 115-141, 132 Stat. 1084, unless otherwise noted.</w:t>
      </w:r>
    </w:p>
    <w:p w:rsidR="009C1C1C" w:rsidP="009C1C1C" w14:paraId="14B7C77D" w14:textId="77777777">
      <w:pPr>
        <w:pStyle w:val="EndnoteText"/>
        <w:rPr>
          <w:sz w:val="22"/>
          <w:szCs w:val="22"/>
          <w:shd w:val="clear" w:color="auto" w:fill="FFFFFF"/>
        </w:rPr>
      </w:pPr>
    </w:p>
    <w:p w:rsidR="009C1C1C" w:rsidP="009C1C1C" w14:paraId="696CC439" w14:textId="77777777">
      <w:pPr>
        <w:pStyle w:val="ParaNum"/>
        <w:numPr>
          <w:ilvl w:val="0"/>
          <w:numId w:val="0"/>
        </w:numPr>
      </w:pPr>
      <w:r>
        <w:t xml:space="preserve">1.          </w:t>
      </w:r>
      <w:r w:rsidRPr="005F6BC2">
        <w:t xml:space="preserve">Section 1.1151 of the Commission’s rules </w:t>
      </w:r>
      <w:r>
        <w:t xml:space="preserve">is revised to read as follows:  </w:t>
      </w:r>
    </w:p>
    <w:p w:rsidR="009C1C1C" w:rsidRPr="00BA38BD" w:rsidP="009C1C1C" w14:paraId="0CB0B94B" w14:textId="77777777">
      <w:pPr>
        <w:pStyle w:val="ParaNum"/>
        <w:numPr>
          <w:ilvl w:val="0"/>
          <w:numId w:val="0"/>
        </w:numPr>
      </w:pPr>
      <w:r w:rsidRPr="00BA38BD">
        <w:t>§1.1151</w:t>
      </w:r>
      <w:r>
        <w:t xml:space="preserve">    A</w:t>
      </w:r>
      <w:r w:rsidRPr="00BA38BD">
        <w:t>uthority to prescribe and collect regulatory fees.</w:t>
      </w:r>
    </w:p>
    <w:p w:rsidR="009C1C1C" w:rsidRPr="004163A7" w:rsidP="009C1C1C" w14:paraId="72C12C03" w14:textId="77777777">
      <w:pPr>
        <w:pStyle w:val="ParaNum"/>
        <w:numPr>
          <w:ilvl w:val="0"/>
          <w:numId w:val="0"/>
        </w:numPr>
      </w:pPr>
      <w:r w:rsidRPr="005F6BC2">
        <w:t xml:space="preserve">Authority to impose and collect regulatory fees is contained in section 9 of the Communications Act, </w:t>
      </w:r>
      <w:r w:rsidRPr="00B73B5E">
        <w:t>as amended by sections 101-103 of title I of the Consolidated Appropriations Act of 2018 (Pub. L 115-141, 132 Stat. 1084), 47 U.S.C. 159, which directs the Commission to prescribe and collect annual regulatory fees to recover the cost of carrying out the functions of the Commission</w:t>
      </w:r>
      <w:r w:rsidRPr="005F6BC2">
        <w:t xml:space="preserve">.  </w:t>
      </w:r>
    </w:p>
    <w:p w:rsidR="009C1C1C" w:rsidRPr="005F6BC2" w:rsidP="009C1C1C" w14:paraId="77C27103" w14:textId="77777777">
      <w:pPr>
        <w:pStyle w:val="EndnoteText"/>
        <w:rPr>
          <w:sz w:val="22"/>
          <w:szCs w:val="22"/>
        </w:rPr>
      </w:pPr>
    </w:p>
    <w:p w:rsidR="009C1C1C" w:rsidRPr="005F6BC2" w:rsidP="009C1C1C" w14:paraId="79767F17" w14:textId="77777777">
      <w:pPr>
        <w:pStyle w:val="EndnoteText"/>
        <w:tabs>
          <w:tab w:val="left" w:pos="720"/>
        </w:tabs>
        <w:rPr>
          <w:sz w:val="22"/>
          <w:szCs w:val="22"/>
        </w:rPr>
      </w:pPr>
      <w:r w:rsidRPr="005F6BC2">
        <w:rPr>
          <w:sz w:val="22"/>
          <w:szCs w:val="22"/>
        </w:rPr>
        <w:t xml:space="preserve">2.   </w:t>
      </w:r>
      <w:r w:rsidRPr="005F6BC2">
        <w:rPr>
          <w:sz w:val="22"/>
          <w:szCs w:val="22"/>
        </w:rPr>
        <w:tab/>
        <w:t>Section 1.1152 is revised to read as follows:</w:t>
      </w:r>
    </w:p>
    <w:p w:rsidR="009C1C1C" w:rsidRPr="005F6BC2" w:rsidP="009C1C1C" w14:paraId="51F691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pacing w:val="-3"/>
          <w:szCs w:val="22"/>
        </w:rPr>
        <w:t xml:space="preserve">   </w:t>
      </w:r>
    </w:p>
    <w:p w:rsidR="009C1C1C" w:rsidRPr="002F0F38" w:rsidP="009C1C1C" w14:paraId="7B27E8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2F0F38">
        <w:rPr>
          <w:b/>
          <w:spacing w:val="-3"/>
          <w:szCs w:val="22"/>
        </w:rPr>
        <w:t>§ 1.1152  Schedule of annual regulatory fees for wireless radio services.</w:t>
      </w:r>
    </w:p>
    <w:p w:rsidR="009C1C1C" w:rsidRPr="005F6BC2" w:rsidP="009C1C1C" w14:paraId="450D9B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pacing w:val="-3"/>
          <w:szCs w:val="22"/>
        </w:rPr>
        <w:t xml:space="preserve">                     </w:t>
      </w:r>
    </w:p>
    <w:p w:rsidR="009C1C1C" w:rsidRPr="005F6BC2" w:rsidP="009C1C1C" w14:paraId="36167D45" w14:textId="77777777">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sidRPr="005F6BC2">
        <w:rPr>
          <w:b/>
          <w:spacing w:val="-3"/>
          <w:szCs w:val="22"/>
        </w:rPr>
        <w:t>Exclusive use services (per license)</w:t>
      </w:r>
      <w:r w:rsidRPr="005F6BC2">
        <w:rPr>
          <w:b/>
          <w:spacing w:val="-3"/>
          <w:szCs w:val="22"/>
        </w:rPr>
        <w:tab/>
      </w:r>
      <w:r w:rsidRPr="005F6BC2">
        <w:rPr>
          <w:b/>
          <w:spacing w:val="-3"/>
          <w:szCs w:val="22"/>
        </w:rPr>
        <w:tab/>
      </w:r>
      <w:r w:rsidRPr="005F6BC2">
        <w:rPr>
          <w:b/>
          <w:spacing w:val="-3"/>
          <w:szCs w:val="22"/>
        </w:rPr>
        <w:tab/>
        <w:t>Fee Amount</w:t>
      </w:r>
      <w:r>
        <w:rPr>
          <w:rStyle w:val="FootnoteReference"/>
          <w:spacing w:val="-3"/>
          <w:szCs w:val="22"/>
        </w:rPr>
        <w:footnoteReference w:id="413"/>
      </w:r>
      <w:r w:rsidRPr="005F6BC2">
        <w:rPr>
          <w:b/>
          <w:spacing w:val="-3"/>
          <w:szCs w:val="22"/>
        </w:rPr>
        <w:tab/>
      </w:r>
      <w:r w:rsidRPr="005F6BC2">
        <w:rPr>
          <w:spacing w:val="-3"/>
          <w:szCs w:val="22"/>
        </w:rPr>
        <w:t xml:space="preserve">  </w:t>
      </w:r>
    </w:p>
    <w:p w:rsidR="009C1C1C" w:rsidRPr="005F6BC2" w:rsidP="009C1C1C" w14:paraId="17D08740"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9C1C1C" w:rsidRPr="005F6BC2" w:rsidP="009C1C1C" w14:paraId="35E16B28"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163" w:name="_Toc491865076"/>
      <w:bookmarkStart w:id="164" w:name="_Toc491865491"/>
      <w:r w:rsidRPr="005F6BC2">
        <w:rPr>
          <w:b/>
          <w:spacing w:val="-3"/>
          <w:szCs w:val="22"/>
        </w:rPr>
        <w:t>1.</w:t>
      </w:r>
      <w:r w:rsidRPr="005F6BC2">
        <w:rPr>
          <w:b/>
          <w:spacing w:val="-3"/>
          <w:szCs w:val="22"/>
        </w:rPr>
        <w:tab/>
        <w:t>Land Mobile (Above 470</w:t>
      </w:r>
      <w:bookmarkEnd w:id="163"/>
      <w:bookmarkEnd w:id="164"/>
    </w:p>
    <w:p w:rsidR="009C1C1C" w:rsidRPr="005F6BC2" w:rsidP="009C1C1C" w14:paraId="23D8AD42"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165" w:name="_Toc491865077"/>
      <w:bookmarkStart w:id="166" w:name="_Toc491865492"/>
      <w:r w:rsidRPr="005F6BC2">
        <w:rPr>
          <w:b/>
          <w:spacing w:val="-3"/>
          <w:szCs w:val="22"/>
        </w:rPr>
        <w:t>MHz and 220 MHz Local,</w:t>
      </w:r>
      <w:bookmarkEnd w:id="165"/>
      <w:bookmarkEnd w:id="166"/>
    </w:p>
    <w:p w:rsidR="009C1C1C" w:rsidRPr="005F6BC2" w:rsidP="009C1C1C" w14:paraId="4A7B7AA4"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167" w:name="_Toc491865078"/>
      <w:bookmarkStart w:id="168" w:name="_Toc491865493"/>
      <w:r w:rsidRPr="005F6BC2">
        <w:rPr>
          <w:b/>
          <w:spacing w:val="-3"/>
          <w:szCs w:val="22"/>
        </w:rPr>
        <w:t>Base Station &amp; SMRS)</w:t>
      </w:r>
      <w:bookmarkEnd w:id="167"/>
      <w:bookmarkEnd w:id="168"/>
    </w:p>
    <w:p w:rsidR="009C1C1C" w:rsidRPr="005F6BC2" w:rsidP="009C1C1C" w14:paraId="7E1CD238"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sidRPr="005F6BC2">
        <w:rPr>
          <w:b/>
          <w:spacing w:val="-3"/>
          <w:szCs w:val="22"/>
        </w:rPr>
        <w:tab/>
        <w:t>(47 CFR part 90)</w:t>
      </w:r>
    </w:p>
    <w:p w:rsidR="009C1C1C" w:rsidRPr="005F6BC2" w:rsidP="009C1C1C" w14:paraId="32B9BD15"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9C1C1C" w:rsidRPr="005F6BC2" w:rsidP="009C1C1C" w14:paraId="1A97A985"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$25.00</w:t>
      </w:r>
      <w:r w:rsidRPr="005F6BC2">
        <w:rPr>
          <w:spacing w:val="-3"/>
          <w:szCs w:val="22"/>
        </w:rPr>
        <w:tab/>
      </w:r>
    </w:p>
    <w:p w:rsidR="009C1C1C" w:rsidRPr="005F6BC2" w:rsidP="009C1C1C" w14:paraId="474F1374"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p>
    <w:p w:rsidR="009C1C1C" w:rsidRPr="005F6BC2" w:rsidP="009C1C1C" w14:paraId="3FAA3590"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7FD5A8C7" w14:textId="77777777">
      <w:pPr>
        <w:tabs>
          <w:tab w:val="left" w:pos="540"/>
          <w:tab w:val="left" w:pos="4860"/>
          <w:tab w:val="left" w:pos="6840"/>
        </w:tabs>
        <w:suppressAutoHyphens/>
        <w:jc w:val="both"/>
        <w:rPr>
          <w:spacing w:val="-3"/>
          <w:szCs w:val="22"/>
        </w:rPr>
      </w:pPr>
    </w:p>
    <w:p w:rsidR="009C1C1C" w:rsidRPr="005F6BC2" w:rsidP="009C1C1C" w14:paraId="42B8E7D5" w14:textId="77777777">
      <w:pPr>
        <w:tabs>
          <w:tab w:val="left" w:pos="540"/>
          <w:tab w:val="left" w:pos="4860"/>
          <w:tab w:val="left" w:pos="6840"/>
        </w:tabs>
        <w:suppressAutoHyphens/>
        <w:jc w:val="both"/>
        <w:rPr>
          <w:spacing w:val="-3"/>
          <w:szCs w:val="22"/>
        </w:rPr>
      </w:pPr>
      <w:r w:rsidRPr="005F6BC2">
        <w:rPr>
          <w:spacing w:val="-3"/>
          <w:szCs w:val="22"/>
        </w:rPr>
        <w:tab/>
        <w:t>b) New, Renew/Mod</w:t>
      </w:r>
      <w:r w:rsidRPr="005F6BC2">
        <w:rPr>
          <w:spacing w:val="-3"/>
          <w:szCs w:val="22"/>
        </w:rPr>
        <w:tab/>
        <w:t>$25.00</w:t>
      </w:r>
      <w:r w:rsidRPr="005F6BC2">
        <w:rPr>
          <w:spacing w:val="-3"/>
          <w:szCs w:val="22"/>
        </w:rPr>
        <w:tab/>
      </w:r>
    </w:p>
    <w:p w:rsidR="009C1C1C" w:rsidRPr="005F6BC2" w:rsidP="009C1C1C" w14:paraId="4AA2B4DD"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5F015DFF"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527FE610"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9C1C1C" w:rsidRPr="005F6BC2" w:rsidP="009C1C1C" w14:paraId="0FA9D945"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$25.00</w:t>
      </w:r>
      <w:r w:rsidRPr="005F6BC2">
        <w:rPr>
          <w:spacing w:val="-3"/>
          <w:szCs w:val="22"/>
        </w:rPr>
        <w:tab/>
      </w:r>
    </w:p>
    <w:p w:rsidR="009C1C1C" w:rsidRPr="005F6BC2" w:rsidP="009C1C1C" w14:paraId="0200DD4C" w14:textId="77777777">
      <w:pPr>
        <w:tabs>
          <w:tab w:val="left" w:pos="540"/>
          <w:tab w:val="left" w:pos="4860"/>
          <w:tab w:val="left" w:pos="6840"/>
        </w:tabs>
        <w:suppressAutoHyphens/>
        <w:jc w:val="both"/>
        <w:rPr>
          <w:spacing w:val="-3"/>
          <w:szCs w:val="22"/>
        </w:rPr>
      </w:pPr>
      <w:r w:rsidRPr="005F6BC2">
        <w:rPr>
          <w:spacing w:val="-3"/>
          <w:szCs w:val="22"/>
        </w:rPr>
        <w:t xml:space="preserve">            (FCC 601 &amp; 159)</w:t>
      </w:r>
      <w:r w:rsidRPr="005F6BC2">
        <w:rPr>
          <w:spacing w:val="-3"/>
          <w:szCs w:val="22"/>
        </w:rPr>
        <w:tab/>
      </w:r>
      <w:r w:rsidRPr="005F6BC2">
        <w:rPr>
          <w:spacing w:val="-3"/>
          <w:szCs w:val="22"/>
        </w:rPr>
        <w:tab/>
      </w:r>
    </w:p>
    <w:p w:rsidR="009C1C1C" w:rsidRPr="005F6BC2" w:rsidP="009C1C1C" w14:paraId="76366D0B"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2102474C"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6F75E23B" w14:textId="77777777">
      <w:pPr>
        <w:keepNext/>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$25.00</w:t>
      </w:r>
      <w:r w:rsidRPr="005F6BC2">
        <w:rPr>
          <w:spacing w:val="-3"/>
          <w:szCs w:val="22"/>
        </w:rPr>
        <w:tab/>
      </w:r>
    </w:p>
    <w:p w:rsidR="009C1C1C" w:rsidRPr="005F6BC2" w:rsidP="009C1C1C" w14:paraId="1874F768" w14:textId="77777777">
      <w:pPr>
        <w:keepNext/>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5A4421ED"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02D67670"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788A6B65" w14:textId="77777777">
      <w:pPr>
        <w:tabs>
          <w:tab w:val="left" w:pos="540"/>
          <w:tab w:val="left" w:pos="4860"/>
          <w:tab w:val="left" w:pos="6840"/>
        </w:tabs>
        <w:suppressAutoHyphens/>
        <w:jc w:val="both"/>
        <w:rPr>
          <w:spacing w:val="-3"/>
          <w:szCs w:val="22"/>
        </w:rPr>
      </w:pPr>
      <w:r w:rsidRPr="005F6BC2">
        <w:rPr>
          <w:spacing w:val="-3"/>
          <w:szCs w:val="22"/>
        </w:rPr>
        <w:tab/>
        <w:t xml:space="preserve"> </w:t>
      </w:r>
      <w:r w:rsidRPr="005F6BC2">
        <w:rPr>
          <w:b/>
          <w:spacing w:val="-3"/>
          <w:szCs w:val="22"/>
        </w:rPr>
        <w:t>220 MHz Nationwide</w:t>
      </w:r>
      <w:r w:rsidRPr="005F6BC2">
        <w:rPr>
          <w:spacing w:val="-3"/>
          <w:szCs w:val="22"/>
        </w:rPr>
        <w:tab/>
        <w:t>$25.00</w:t>
      </w:r>
      <w:r w:rsidRPr="005F6BC2">
        <w:rPr>
          <w:spacing w:val="-3"/>
          <w:szCs w:val="22"/>
        </w:rPr>
        <w:tab/>
      </w:r>
    </w:p>
    <w:p w:rsidR="009C1C1C" w:rsidRPr="005F6BC2" w:rsidP="009C1C1C" w14:paraId="7146F12F"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r>
      <w:r w:rsidRPr="005F6BC2">
        <w:rPr>
          <w:spacing w:val="-3"/>
          <w:szCs w:val="22"/>
        </w:rPr>
        <w:tab/>
      </w:r>
    </w:p>
    <w:p w:rsidR="009C1C1C" w:rsidRPr="005F6BC2" w:rsidP="009C1C1C" w14:paraId="499F93C8"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09F5354E"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1F0A960E"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$25.00</w:t>
      </w:r>
      <w:r w:rsidRPr="005F6BC2">
        <w:rPr>
          <w:spacing w:val="-3"/>
          <w:szCs w:val="22"/>
        </w:rPr>
        <w:tab/>
      </w:r>
    </w:p>
    <w:p w:rsidR="009C1C1C" w:rsidRPr="005F6BC2" w:rsidP="009C1C1C" w14:paraId="742B4AB5"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3BDE07B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4FDB3BB8"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288ED0D2"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$25.00</w:t>
      </w:r>
      <w:r w:rsidRPr="005F6BC2">
        <w:rPr>
          <w:spacing w:val="-3"/>
          <w:szCs w:val="22"/>
        </w:rPr>
        <w:tab/>
      </w:r>
    </w:p>
    <w:p w:rsidR="009C1C1C" w:rsidRPr="005F6BC2" w:rsidP="009C1C1C" w14:paraId="09EDCD00"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9C1C1C" w:rsidRPr="005F6BC2" w:rsidP="009C1C1C" w14:paraId="02DE4222" w14:textId="77777777">
      <w:pPr>
        <w:tabs>
          <w:tab w:val="left" w:pos="540"/>
          <w:tab w:val="left" w:pos="4860"/>
          <w:tab w:val="left" w:pos="6840"/>
        </w:tabs>
        <w:suppressAutoHyphens/>
        <w:jc w:val="both"/>
        <w:rPr>
          <w:spacing w:val="-3"/>
          <w:szCs w:val="22"/>
        </w:rPr>
      </w:pPr>
    </w:p>
    <w:p w:rsidR="009C1C1C" w:rsidRPr="005F6BC2" w:rsidP="009C1C1C" w14:paraId="239BD09E" w14:textId="77777777">
      <w:pPr>
        <w:tabs>
          <w:tab w:val="left" w:pos="540"/>
          <w:tab w:val="left" w:pos="4860"/>
          <w:tab w:val="left" w:pos="6840"/>
        </w:tabs>
        <w:suppressAutoHyphens/>
        <w:jc w:val="both"/>
        <w:rPr>
          <w:spacing w:val="-3"/>
          <w:szCs w:val="22"/>
        </w:rPr>
      </w:pPr>
      <w:r w:rsidRPr="005F6BC2">
        <w:rPr>
          <w:spacing w:val="-3"/>
          <w:szCs w:val="22"/>
        </w:rPr>
        <w:t xml:space="preserve">          d)Renewal Only</w:t>
      </w:r>
      <w:r w:rsidRPr="005F6BC2">
        <w:rPr>
          <w:spacing w:val="-3"/>
          <w:szCs w:val="22"/>
        </w:rPr>
        <w:tab/>
        <w:t>$25.00</w:t>
      </w:r>
      <w:r w:rsidRPr="005F6BC2">
        <w:rPr>
          <w:spacing w:val="-3"/>
          <w:szCs w:val="22"/>
        </w:rPr>
        <w:tab/>
      </w:r>
    </w:p>
    <w:p w:rsidR="009C1C1C" w:rsidRPr="005F6BC2" w:rsidP="009C1C1C" w14:paraId="2B9F1512"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10F80B97"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16E14E3D"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5C833E58" w14:textId="77777777">
      <w:pPr>
        <w:tabs>
          <w:tab w:val="left" w:pos="540"/>
          <w:tab w:val="left" w:pos="4860"/>
          <w:tab w:val="left" w:pos="6840"/>
        </w:tabs>
        <w:suppressAutoHyphens/>
        <w:jc w:val="both"/>
        <w:outlineLvl w:val="0"/>
        <w:rPr>
          <w:spacing w:val="-3"/>
          <w:szCs w:val="22"/>
        </w:rPr>
      </w:pPr>
      <w:bookmarkStart w:id="169" w:name="_Toc491865079"/>
      <w:bookmarkStart w:id="170" w:name="_Toc491865494"/>
      <w:r w:rsidRPr="005F6BC2">
        <w:rPr>
          <w:b/>
          <w:spacing w:val="-3"/>
          <w:szCs w:val="22"/>
        </w:rPr>
        <w:t>2.</w:t>
      </w:r>
      <w:r w:rsidRPr="005F6BC2">
        <w:rPr>
          <w:b/>
          <w:spacing w:val="-3"/>
          <w:szCs w:val="22"/>
        </w:rPr>
        <w:tab/>
        <w:t>Microwave (47 CFR Pt. 101) (Private)</w:t>
      </w:r>
      <w:bookmarkEnd w:id="169"/>
      <w:bookmarkEnd w:id="170"/>
    </w:p>
    <w:p w:rsidR="009C1C1C" w:rsidRPr="005F6BC2" w:rsidP="009C1C1C" w14:paraId="31FB9B0C" w14:textId="77777777">
      <w:pPr>
        <w:tabs>
          <w:tab w:val="left" w:pos="540"/>
          <w:tab w:val="left" w:pos="4860"/>
          <w:tab w:val="left" w:pos="6840"/>
        </w:tabs>
        <w:suppressAutoHyphens/>
        <w:jc w:val="both"/>
        <w:rPr>
          <w:spacing w:val="-3"/>
          <w:szCs w:val="22"/>
        </w:rPr>
      </w:pPr>
      <w:r w:rsidRPr="005F6BC2">
        <w:rPr>
          <w:spacing w:val="-3"/>
          <w:szCs w:val="22"/>
        </w:rPr>
        <w:t xml:space="preserve">         </w:t>
      </w:r>
      <w:r w:rsidRPr="005F6BC2">
        <w:rPr>
          <w:spacing w:val="-3"/>
          <w:szCs w:val="22"/>
        </w:rPr>
        <w:tab/>
        <w:t>a)New, Renew/Mod</w:t>
      </w:r>
      <w:r w:rsidRPr="005F6BC2">
        <w:rPr>
          <w:spacing w:val="-3"/>
          <w:szCs w:val="22"/>
        </w:rPr>
        <w:tab/>
        <w:t>$25.00</w:t>
      </w:r>
      <w:r w:rsidRPr="005F6BC2">
        <w:rPr>
          <w:spacing w:val="-3"/>
          <w:szCs w:val="22"/>
        </w:rPr>
        <w:tab/>
      </w:r>
    </w:p>
    <w:p w:rsidR="009C1C1C" w:rsidRPr="005F6BC2" w:rsidP="009C1C1C" w14:paraId="1C77F67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41375500"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02C4C110"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$25.00</w:t>
      </w:r>
      <w:r w:rsidRPr="005F6BC2">
        <w:rPr>
          <w:spacing w:val="-3"/>
          <w:szCs w:val="22"/>
        </w:rPr>
        <w:tab/>
      </w:r>
    </w:p>
    <w:p w:rsidR="009C1C1C" w:rsidRPr="005F6BC2" w:rsidP="009C1C1C" w14:paraId="512F310B"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1A794F9D"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3AEFF1A2"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9C1C1C" w:rsidRPr="005F6BC2" w:rsidP="009C1C1C" w14:paraId="2215A527"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$25.00</w:t>
      </w:r>
      <w:r w:rsidRPr="005F6BC2">
        <w:rPr>
          <w:spacing w:val="-3"/>
          <w:szCs w:val="22"/>
        </w:rPr>
        <w:tab/>
      </w:r>
    </w:p>
    <w:p w:rsidR="009C1C1C" w:rsidRPr="005F6BC2" w:rsidP="009C1C1C" w14:paraId="336D7FB8"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0AC97251"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6D3330F0" w14:textId="77777777">
      <w:pPr>
        <w:tabs>
          <w:tab w:val="left" w:pos="540"/>
          <w:tab w:val="left" w:pos="4860"/>
          <w:tab w:val="left" w:pos="6840"/>
        </w:tabs>
        <w:suppressAutoHyphens/>
        <w:jc w:val="both"/>
        <w:rPr>
          <w:spacing w:val="-3"/>
          <w:szCs w:val="22"/>
        </w:rPr>
      </w:pPr>
    </w:p>
    <w:p w:rsidR="009C1C1C" w:rsidRPr="005F6BC2" w:rsidP="009C1C1C" w14:paraId="5FE96B22" w14:textId="77777777">
      <w:pPr>
        <w:tabs>
          <w:tab w:val="left" w:pos="540"/>
          <w:tab w:val="left" w:pos="4860"/>
          <w:tab w:val="left" w:pos="6840"/>
        </w:tabs>
        <w:suppressAutoHyphens/>
        <w:jc w:val="both"/>
        <w:rPr>
          <w:spacing w:val="-3"/>
          <w:szCs w:val="22"/>
        </w:rPr>
      </w:pPr>
      <w:r w:rsidRPr="005F6BC2">
        <w:rPr>
          <w:spacing w:val="-3"/>
          <w:szCs w:val="22"/>
        </w:rPr>
        <w:t xml:space="preserve">          d)Renewal Only</w:t>
      </w:r>
      <w:r w:rsidRPr="005F6BC2">
        <w:rPr>
          <w:spacing w:val="-3"/>
          <w:szCs w:val="22"/>
        </w:rPr>
        <w:tab/>
        <w:t>$25.00</w:t>
      </w:r>
      <w:r w:rsidRPr="005F6BC2">
        <w:rPr>
          <w:spacing w:val="-3"/>
          <w:szCs w:val="22"/>
        </w:rPr>
        <w:tab/>
      </w:r>
    </w:p>
    <w:p w:rsidR="009C1C1C" w:rsidRPr="005F6BC2" w:rsidP="009C1C1C" w14:paraId="18BFF29C"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16CB1CCC"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091C7496"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23B153FE" w14:textId="77777777">
      <w:pPr>
        <w:tabs>
          <w:tab w:val="left" w:pos="540"/>
          <w:tab w:val="left" w:pos="4860"/>
          <w:tab w:val="left" w:pos="6840"/>
        </w:tabs>
        <w:suppressAutoHyphens/>
        <w:jc w:val="both"/>
        <w:outlineLvl w:val="0"/>
        <w:rPr>
          <w:spacing w:val="-3"/>
          <w:szCs w:val="22"/>
        </w:rPr>
      </w:pPr>
      <w:bookmarkStart w:id="171" w:name="_Toc491865080"/>
      <w:bookmarkStart w:id="172" w:name="_Toc491865495"/>
      <w:r w:rsidRPr="005F6BC2">
        <w:rPr>
          <w:b/>
          <w:spacing w:val="-3"/>
          <w:szCs w:val="22"/>
        </w:rPr>
        <w:t>3.  Shared Use Services</w:t>
      </w:r>
      <w:bookmarkEnd w:id="171"/>
      <w:bookmarkEnd w:id="172"/>
    </w:p>
    <w:p w:rsidR="009C1C1C" w:rsidRPr="005F6BC2" w:rsidP="009C1C1C" w14:paraId="64F00546" w14:textId="77777777">
      <w:pPr>
        <w:tabs>
          <w:tab w:val="left" w:pos="540"/>
          <w:tab w:val="left" w:pos="4860"/>
          <w:tab w:val="left" w:pos="6840"/>
        </w:tabs>
        <w:suppressAutoHyphens/>
        <w:jc w:val="both"/>
        <w:rPr>
          <w:spacing w:val="-3"/>
          <w:szCs w:val="22"/>
        </w:rPr>
      </w:pPr>
    </w:p>
    <w:p w:rsidR="009C1C1C" w:rsidRPr="005F6BC2" w:rsidP="009C1C1C" w14:paraId="67072BA3" w14:textId="77777777">
      <w:pPr>
        <w:tabs>
          <w:tab w:val="left" w:pos="540"/>
          <w:tab w:val="left" w:pos="4860"/>
          <w:tab w:val="left" w:pos="6840"/>
        </w:tabs>
        <w:suppressAutoHyphens/>
        <w:jc w:val="both"/>
        <w:outlineLvl w:val="0"/>
        <w:rPr>
          <w:b/>
          <w:spacing w:val="-3"/>
          <w:szCs w:val="22"/>
        </w:rPr>
      </w:pPr>
      <w:r w:rsidRPr="005F6BC2">
        <w:rPr>
          <w:spacing w:val="-3"/>
          <w:szCs w:val="22"/>
        </w:rPr>
        <w:t xml:space="preserve">          </w:t>
      </w:r>
      <w:bookmarkStart w:id="173" w:name="_Toc491865081"/>
      <w:bookmarkStart w:id="174" w:name="_Toc491865496"/>
      <w:r w:rsidRPr="005F6BC2">
        <w:rPr>
          <w:b/>
          <w:spacing w:val="-3"/>
          <w:szCs w:val="22"/>
        </w:rPr>
        <w:t>Land Mobile (Frequencies</w:t>
      </w:r>
      <w:bookmarkEnd w:id="173"/>
      <w:bookmarkEnd w:id="174"/>
    </w:p>
    <w:p w:rsidR="009C1C1C" w:rsidRPr="005F6BC2" w:rsidP="009C1C1C" w14:paraId="19220AEC" w14:textId="77777777">
      <w:pPr>
        <w:tabs>
          <w:tab w:val="left" w:pos="540"/>
          <w:tab w:val="left" w:pos="4860"/>
          <w:tab w:val="left" w:pos="6840"/>
        </w:tabs>
        <w:suppressAutoHyphens/>
        <w:jc w:val="both"/>
        <w:outlineLvl w:val="0"/>
        <w:rPr>
          <w:b/>
          <w:spacing w:val="-3"/>
          <w:szCs w:val="22"/>
        </w:rPr>
      </w:pPr>
      <w:r w:rsidRPr="005F6BC2">
        <w:rPr>
          <w:spacing w:val="-3"/>
          <w:szCs w:val="22"/>
        </w:rPr>
        <w:t xml:space="preserve">          </w:t>
      </w:r>
      <w:bookmarkStart w:id="175" w:name="_Toc491865082"/>
      <w:bookmarkStart w:id="176" w:name="_Toc491865497"/>
      <w:r w:rsidRPr="005F6BC2">
        <w:rPr>
          <w:b/>
          <w:spacing w:val="-3"/>
          <w:szCs w:val="22"/>
        </w:rPr>
        <w:t>Below 470 MHz – except</w:t>
      </w:r>
      <w:bookmarkEnd w:id="175"/>
      <w:bookmarkEnd w:id="176"/>
    </w:p>
    <w:p w:rsidR="009C1C1C" w:rsidRPr="005F6BC2" w:rsidP="009C1C1C" w14:paraId="4A09B921" w14:textId="77777777">
      <w:pPr>
        <w:tabs>
          <w:tab w:val="left" w:pos="540"/>
          <w:tab w:val="left" w:pos="4860"/>
          <w:tab w:val="left" w:pos="6840"/>
        </w:tabs>
        <w:suppressAutoHyphens/>
        <w:jc w:val="both"/>
        <w:outlineLvl w:val="0"/>
        <w:rPr>
          <w:b/>
          <w:spacing w:val="-3"/>
          <w:szCs w:val="22"/>
        </w:rPr>
      </w:pPr>
      <w:r w:rsidRPr="005F6BC2">
        <w:rPr>
          <w:b/>
          <w:spacing w:val="-3"/>
          <w:szCs w:val="22"/>
        </w:rPr>
        <w:t xml:space="preserve">           </w:t>
      </w:r>
      <w:bookmarkStart w:id="177" w:name="_Toc491865083"/>
      <w:bookmarkStart w:id="178" w:name="_Toc491865498"/>
      <w:r w:rsidRPr="005F6BC2">
        <w:rPr>
          <w:b/>
          <w:spacing w:val="-3"/>
          <w:szCs w:val="22"/>
        </w:rPr>
        <w:t>220 MHz)</w:t>
      </w:r>
      <w:bookmarkEnd w:id="177"/>
      <w:bookmarkEnd w:id="178"/>
    </w:p>
    <w:p w:rsidR="009C1C1C" w:rsidRPr="005F6BC2" w:rsidP="009C1C1C" w14:paraId="72100612"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$10.00</w:t>
      </w:r>
      <w:r w:rsidRPr="005F6BC2">
        <w:rPr>
          <w:spacing w:val="-3"/>
          <w:szCs w:val="22"/>
        </w:rPr>
        <w:tab/>
      </w:r>
    </w:p>
    <w:p w:rsidR="009C1C1C" w:rsidRPr="005F6BC2" w:rsidP="009C1C1C" w14:paraId="6BC5CDA2"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9C1C1C" w:rsidRPr="005F6BC2" w:rsidP="009C1C1C" w14:paraId="1E6EABAD"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16BCCE03" w14:textId="77777777">
      <w:pPr>
        <w:tabs>
          <w:tab w:val="left" w:pos="540"/>
          <w:tab w:val="left" w:pos="4860"/>
          <w:tab w:val="left" w:pos="6840"/>
        </w:tabs>
        <w:suppressAutoHyphens/>
        <w:jc w:val="both"/>
        <w:rPr>
          <w:spacing w:val="-3"/>
          <w:szCs w:val="22"/>
        </w:rPr>
      </w:pPr>
      <w:r w:rsidRPr="005F6BC2">
        <w:rPr>
          <w:spacing w:val="-3"/>
          <w:szCs w:val="22"/>
        </w:rPr>
        <w:tab/>
        <w:t>b) New, Renew/Mod</w:t>
      </w:r>
      <w:r w:rsidRPr="005F6BC2">
        <w:rPr>
          <w:spacing w:val="-3"/>
          <w:szCs w:val="22"/>
        </w:rPr>
        <w:tab/>
        <w:t>$10.00</w:t>
      </w:r>
      <w:r w:rsidRPr="005F6BC2">
        <w:rPr>
          <w:spacing w:val="-3"/>
          <w:szCs w:val="22"/>
        </w:rPr>
        <w:tab/>
      </w:r>
    </w:p>
    <w:p w:rsidR="009C1C1C" w:rsidRPr="005F6BC2" w:rsidP="009C1C1C" w14:paraId="64380B79"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551D1E9C"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592C37F6"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106BCAC9"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$10.00</w:t>
      </w:r>
      <w:r w:rsidRPr="005F6BC2">
        <w:rPr>
          <w:spacing w:val="-3"/>
          <w:szCs w:val="22"/>
        </w:rPr>
        <w:tab/>
      </w:r>
    </w:p>
    <w:p w:rsidR="009C1C1C" w:rsidRPr="005F6BC2" w:rsidP="009C1C1C" w14:paraId="124F4283"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9C1C1C" w:rsidRPr="005F6BC2" w:rsidP="009C1C1C" w14:paraId="05B745A1" w14:textId="77777777">
      <w:pPr>
        <w:tabs>
          <w:tab w:val="left" w:pos="540"/>
          <w:tab w:val="left" w:pos="4860"/>
          <w:tab w:val="left" w:pos="6840"/>
        </w:tabs>
        <w:suppressAutoHyphens/>
        <w:jc w:val="both"/>
        <w:rPr>
          <w:spacing w:val="-3"/>
          <w:szCs w:val="22"/>
        </w:rPr>
      </w:pPr>
    </w:p>
    <w:p w:rsidR="009C1C1C" w:rsidRPr="005F6BC2" w:rsidP="009C1C1C" w14:paraId="62F6E124"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$10.00</w:t>
      </w:r>
      <w:r w:rsidRPr="005F6BC2">
        <w:rPr>
          <w:spacing w:val="-3"/>
          <w:szCs w:val="22"/>
        </w:rPr>
        <w:tab/>
      </w:r>
    </w:p>
    <w:p w:rsidR="009C1C1C" w:rsidRPr="005F6BC2" w:rsidP="009C1C1C" w14:paraId="34281000"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7FFA9561"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4B41B215"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3259B59C" w14:textId="77777777">
      <w:pPr>
        <w:keepNext/>
        <w:tabs>
          <w:tab w:val="left" w:pos="540"/>
          <w:tab w:val="left" w:pos="4860"/>
          <w:tab w:val="left" w:pos="6840"/>
        </w:tabs>
        <w:suppressAutoHyphens/>
        <w:jc w:val="both"/>
        <w:outlineLvl w:val="0"/>
        <w:rPr>
          <w:spacing w:val="-3"/>
          <w:szCs w:val="22"/>
        </w:rPr>
      </w:pPr>
      <w:r w:rsidRPr="005F6BC2">
        <w:rPr>
          <w:b/>
          <w:spacing w:val="-3"/>
          <w:szCs w:val="22"/>
        </w:rPr>
        <w:tab/>
      </w:r>
      <w:bookmarkStart w:id="179" w:name="_Toc491865084"/>
      <w:bookmarkStart w:id="180" w:name="_Toc491865499"/>
      <w:r w:rsidRPr="005F6BC2">
        <w:rPr>
          <w:b/>
          <w:spacing w:val="-3"/>
          <w:szCs w:val="22"/>
        </w:rPr>
        <w:t>Rural Radio (Part 22)</w:t>
      </w:r>
      <w:bookmarkEnd w:id="179"/>
      <w:bookmarkEnd w:id="180"/>
    </w:p>
    <w:p w:rsidR="009C1C1C" w:rsidRPr="005F6BC2" w:rsidP="009C1C1C" w14:paraId="3698DD51" w14:textId="77777777">
      <w:pPr>
        <w:tabs>
          <w:tab w:val="left" w:pos="540"/>
          <w:tab w:val="left" w:pos="4860"/>
          <w:tab w:val="left" w:pos="6840"/>
        </w:tabs>
        <w:suppressAutoHyphens/>
        <w:jc w:val="both"/>
        <w:rPr>
          <w:spacing w:val="-3"/>
          <w:szCs w:val="22"/>
        </w:rPr>
      </w:pPr>
      <w:r w:rsidRPr="005F6BC2">
        <w:rPr>
          <w:spacing w:val="-3"/>
          <w:szCs w:val="22"/>
        </w:rPr>
        <w:tab/>
        <w:t>a)New, Additional Facility,</w:t>
      </w:r>
      <w:r w:rsidRPr="005F6BC2">
        <w:rPr>
          <w:spacing w:val="-3"/>
          <w:szCs w:val="22"/>
        </w:rPr>
        <w:tab/>
        <w:t>$10.00</w:t>
      </w:r>
      <w:r w:rsidRPr="005F6BC2">
        <w:rPr>
          <w:spacing w:val="-3"/>
          <w:szCs w:val="22"/>
        </w:rPr>
        <w:tab/>
      </w:r>
    </w:p>
    <w:p w:rsidR="009C1C1C" w:rsidRPr="005F6BC2" w:rsidP="009C1C1C" w14:paraId="216F3662" w14:textId="77777777">
      <w:pPr>
        <w:tabs>
          <w:tab w:val="left" w:pos="540"/>
          <w:tab w:val="left" w:pos="4860"/>
          <w:tab w:val="left" w:pos="6840"/>
        </w:tabs>
        <w:suppressAutoHyphens/>
        <w:jc w:val="both"/>
        <w:rPr>
          <w:spacing w:val="-3"/>
          <w:szCs w:val="22"/>
        </w:rPr>
      </w:pPr>
      <w:r w:rsidRPr="005F6BC2">
        <w:rPr>
          <w:spacing w:val="-3"/>
          <w:szCs w:val="22"/>
        </w:rPr>
        <w:tab/>
        <w:t xml:space="preserve">   Major Renew/Mod</w:t>
      </w:r>
      <w:r w:rsidRPr="005F6BC2">
        <w:rPr>
          <w:spacing w:val="-3"/>
          <w:szCs w:val="22"/>
        </w:rPr>
        <w:tab/>
      </w:r>
      <w:r w:rsidRPr="005F6BC2">
        <w:rPr>
          <w:spacing w:val="-3"/>
          <w:szCs w:val="22"/>
        </w:rPr>
        <w:tab/>
      </w:r>
    </w:p>
    <w:p w:rsidR="009C1C1C" w:rsidRPr="005F6BC2" w:rsidP="009C1C1C" w14:paraId="42860BCB"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2B7F3B72"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4B184FF1" w14:textId="77777777">
      <w:pPr>
        <w:tabs>
          <w:tab w:val="left" w:pos="540"/>
          <w:tab w:val="left" w:pos="4860"/>
          <w:tab w:val="left" w:pos="6840"/>
        </w:tabs>
        <w:suppressAutoHyphens/>
        <w:jc w:val="both"/>
        <w:rPr>
          <w:spacing w:val="-3"/>
          <w:szCs w:val="22"/>
        </w:rPr>
      </w:pPr>
    </w:p>
    <w:p w:rsidR="009C1C1C" w:rsidRPr="005F6BC2" w:rsidP="009C1C1C" w14:paraId="7EBFADFC" w14:textId="77777777">
      <w:pPr>
        <w:tabs>
          <w:tab w:val="left" w:pos="540"/>
          <w:tab w:val="left" w:pos="4860"/>
          <w:tab w:val="left" w:pos="6840"/>
        </w:tabs>
        <w:suppressAutoHyphens/>
        <w:jc w:val="both"/>
        <w:rPr>
          <w:spacing w:val="-3"/>
          <w:szCs w:val="22"/>
        </w:rPr>
      </w:pPr>
      <w:r w:rsidRPr="005F6BC2">
        <w:rPr>
          <w:spacing w:val="-3"/>
          <w:szCs w:val="22"/>
        </w:rPr>
        <w:tab/>
        <w:t>b)Renewal, Minor Renew/Mod</w:t>
      </w:r>
      <w:r w:rsidRPr="005F6BC2">
        <w:rPr>
          <w:spacing w:val="-3"/>
          <w:szCs w:val="22"/>
        </w:rPr>
        <w:tab/>
        <w:t>$10.00</w:t>
      </w:r>
      <w:r w:rsidRPr="005F6BC2">
        <w:rPr>
          <w:spacing w:val="-3"/>
          <w:szCs w:val="22"/>
        </w:rPr>
        <w:tab/>
      </w:r>
    </w:p>
    <w:p w:rsidR="009C1C1C" w:rsidRPr="005F6BC2" w:rsidP="009C1C1C" w14:paraId="1A8289CC"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1CED044B"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4BCA7907"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3191DBD5" w14:textId="77777777">
      <w:pPr>
        <w:tabs>
          <w:tab w:val="left" w:pos="540"/>
          <w:tab w:val="left" w:pos="4860"/>
          <w:tab w:val="left" w:pos="6840"/>
        </w:tabs>
        <w:suppressAutoHyphens/>
        <w:jc w:val="both"/>
        <w:outlineLvl w:val="0"/>
        <w:rPr>
          <w:b/>
          <w:spacing w:val="-3"/>
          <w:szCs w:val="22"/>
        </w:rPr>
      </w:pPr>
      <w:r w:rsidRPr="005F6BC2">
        <w:rPr>
          <w:b/>
          <w:spacing w:val="-3"/>
          <w:szCs w:val="22"/>
        </w:rPr>
        <w:tab/>
      </w:r>
      <w:bookmarkStart w:id="181" w:name="_Toc491865085"/>
      <w:bookmarkStart w:id="182" w:name="_Toc491865500"/>
      <w:r w:rsidRPr="005F6BC2">
        <w:rPr>
          <w:b/>
          <w:spacing w:val="-3"/>
          <w:szCs w:val="22"/>
        </w:rPr>
        <w:t>Marine Coast</w:t>
      </w:r>
      <w:bookmarkEnd w:id="181"/>
      <w:bookmarkEnd w:id="182"/>
    </w:p>
    <w:p w:rsidR="009C1C1C" w:rsidRPr="005F6BC2" w:rsidP="009C1C1C" w14:paraId="43AB4F7F"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$40.00</w:t>
      </w:r>
      <w:r w:rsidRPr="005F6BC2">
        <w:rPr>
          <w:spacing w:val="-3"/>
          <w:szCs w:val="22"/>
        </w:rPr>
        <w:tab/>
      </w:r>
    </w:p>
    <w:p w:rsidR="009C1C1C" w:rsidRPr="005F6BC2" w:rsidP="009C1C1C" w14:paraId="1E15A22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3EFAF5BB"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3CB1E3EC" w14:textId="77777777">
      <w:pPr>
        <w:tabs>
          <w:tab w:val="left" w:pos="540"/>
          <w:tab w:val="left" w:pos="4860"/>
          <w:tab w:val="left" w:pos="6840"/>
        </w:tabs>
        <w:suppressAutoHyphens/>
        <w:jc w:val="both"/>
        <w:rPr>
          <w:spacing w:val="-3"/>
          <w:szCs w:val="22"/>
        </w:rPr>
      </w:pPr>
    </w:p>
    <w:p w:rsidR="009C1C1C" w:rsidRPr="005F6BC2" w:rsidP="009C1C1C" w14:paraId="0F81982C"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$40.00</w:t>
      </w:r>
      <w:r w:rsidRPr="005F6BC2">
        <w:rPr>
          <w:spacing w:val="-3"/>
          <w:szCs w:val="22"/>
        </w:rPr>
        <w:tab/>
      </w:r>
    </w:p>
    <w:p w:rsidR="009C1C1C" w:rsidRPr="005F6BC2" w:rsidP="009C1C1C" w14:paraId="79B795BD"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12F877FD"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611FCFFE"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9C1C1C" w:rsidRPr="005F6BC2" w:rsidP="009C1C1C" w14:paraId="1C7B2E20"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$40.00</w:t>
      </w:r>
      <w:r w:rsidRPr="005F6BC2">
        <w:rPr>
          <w:spacing w:val="-3"/>
          <w:szCs w:val="22"/>
        </w:rPr>
        <w:tab/>
      </w:r>
    </w:p>
    <w:p w:rsidR="009C1C1C" w:rsidRPr="005F6BC2" w:rsidP="009C1C1C" w14:paraId="3CA535D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290FB6D3" w14:textId="77777777">
      <w:pPr>
        <w:tabs>
          <w:tab w:val="left" w:pos="540"/>
          <w:tab w:val="left" w:pos="4860"/>
          <w:tab w:val="left" w:pos="6840"/>
        </w:tabs>
        <w:suppressAutoHyphens/>
        <w:jc w:val="both"/>
        <w:rPr>
          <w:spacing w:val="-3"/>
          <w:szCs w:val="22"/>
        </w:rPr>
      </w:pPr>
      <w:r w:rsidRPr="005F6BC2">
        <w:rPr>
          <w:spacing w:val="-3"/>
          <w:szCs w:val="22"/>
        </w:rPr>
        <w:tab/>
        <w:t xml:space="preserve">  </w:t>
      </w:r>
      <w:r w:rsidRPr="005F6BC2">
        <w:rPr>
          <w:spacing w:val="-3"/>
          <w:szCs w:val="22"/>
        </w:rPr>
        <w:tab/>
      </w:r>
      <w:r w:rsidRPr="005F6BC2">
        <w:rPr>
          <w:spacing w:val="-3"/>
          <w:szCs w:val="22"/>
        </w:rPr>
        <w:tab/>
      </w:r>
    </w:p>
    <w:p w:rsidR="009C1C1C" w:rsidRPr="005F6BC2" w:rsidP="009C1C1C" w14:paraId="5AE59331" w14:textId="77777777">
      <w:pPr>
        <w:tabs>
          <w:tab w:val="left" w:pos="540"/>
          <w:tab w:val="left" w:pos="4860"/>
          <w:tab w:val="left" w:pos="6840"/>
        </w:tabs>
        <w:suppressAutoHyphens/>
        <w:jc w:val="both"/>
        <w:rPr>
          <w:spacing w:val="-3"/>
          <w:szCs w:val="22"/>
        </w:rPr>
      </w:pPr>
    </w:p>
    <w:p w:rsidR="009C1C1C" w:rsidRPr="005F6BC2" w:rsidP="009C1C1C" w14:paraId="344CB723"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$40.00</w:t>
      </w:r>
      <w:r w:rsidRPr="005F6BC2">
        <w:rPr>
          <w:spacing w:val="-3"/>
          <w:szCs w:val="22"/>
        </w:rPr>
        <w:tab/>
      </w:r>
    </w:p>
    <w:p w:rsidR="009C1C1C" w:rsidRPr="005F6BC2" w:rsidP="009C1C1C" w14:paraId="7E1A889C"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5AF7D323"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706BD954"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747D4FC4" w14:textId="77777777">
      <w:pPr>
        <w:tabs>
          <w:tab w:val="left" w:pos="540"/>
          <w:tab w:val="left" w:pos="4860"/>
          <w:tab w:val="left" w:pos="6840"/>
        </w:tabs>
        <w:suppressAutoHyphens/>
        <w:jc w:val="both"/>
        <w:outlineLvl w:val="0"/>
        <w:rPr>
          <w:b/>
          <w:spacing w:val="-3"/>
          <w:szCs w:val="22"/>
        </w:rPr>
      </w:pPr>
      <w:r w:rsidRPr="005F6BC2">
        <w:rPr>
          <w:b/>
          <w:spacing w:val="-3"/>
          <w:szCs w:val="22"/>
        </w:rPr>
        <w:tab/>
      </w:r>
      <w:bookmarkStart w:id="183" w:name="_Toc491865086"/>
      <w:bookmarkStart w:id="184" w:name="_Toc491865501"/>
      <w:r w:rsidRPr="005F6BC2">
        <w:rPr>
          <w:b/>
          <w:spacing w:val="-3"/>
          <w:szCs w:val="22"/>
        </w:rPr>
        <w:t>Aviation Ground</w:t>
      </w:r>
      <w:bookmarkEnd w:id="183"/>
      <w:bookmarkEnd w:id="184"/>
    </w:p>
    <w:p w:rsidR="009C1C1C" w:rsidRPr="005F6BC2" w:rsidP="009C1C1C" w14:paraId="066A13E8"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$20.00</w:t>
      </w:r>
      <w:r w:rsidRPr="005F6BC2">
        <w:rPr>
          <w:spacing w:val="-3"/>
          <w:szCs w:val="22"/>
        </w:rPr>
        <w:tab/>
      </w:r>
    </w:p>
    <w:p w:rsidR="009C1C1C" w:rsidRPr="005F6BC2" w:rsidP="009C1C1C" w14:paraId="2E8A6EF1"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0FCEEE38"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10958595" w14:textId="77777777">
      <w:pPr>
        <w:tabs>
          <w:tab w:val="left" w:pos="540"/>
          <w:tab w:val="left" w:pos="4860"/>
          <w:tab w:val="left" w:pos="6840"/>
        </w:tabs>
        <w:suppressAutoHyphens/>
        <w:jc w:val="both"/>
        <w:rPr>
          <w:spacing w:val="-3"/>
          <w:szCs w:val="22"/>
        </w:rPr>
      </w:pPr>
    </w:p>
    <w:p w:rsidR="009C1C1C" w:rsidRPr="005F6BC2" w:rsidP="009C1C1C" w14:paraId="53325130"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$20.00</w:t>
      </w:r>
      <w:r w:rsidRPr="005F6BC2">
        <w:rPr>
          <w:spacing w:val="-3"/>
          <w:szCs w:val="22"/>
        </w:rPr>
        <w:tab/>
      </w:r>
    </w:p>
    <w:p w:rsidR="009C1C1C" w:rsidRPr="005F6BC2" w:rsidP="009C1C1C" w14:paraId="4C6170C9"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51309A66"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50A00A8E"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26C1B8B6"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$20.00</w:t>
      </w:r>
      <w:r w:rsidRPr="005F6BC2">
        <w:rPr>
          <w:spacing w:val="-3"/>
          <w:szCs w:val="22"/>
        </w:rPr>
        <w:tab/>
      </w:r>
    </w:p>
    <w:p w:rsidR="009C1C1C" w:rsidRPr="005F6BC2" w:rsidP="009C1C1C" w14:paraId="70D7F0C3"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273C5018"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4FD967E2"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$20.00</w:t>
      </w:r>
      <w:r w:rsidRPr="005F6BC2">
        <w:rPr>
          <w:spacing w:val="-3"/>
          <w:szCs w:val="22"/>
        </w:rPr>
        <w:tab/>
      </w:r>
    </w:p>
    <w:p w:rsidR="009C1C1C" w:rsidRPr="005F6BC2" w:rsidP="009C1C1C" w14:paraId="627327A9" w14:textId="77777777">
      <w:pPr>
        <w:tabs>
          <w:tab w:val="left" w:pos="540"/>
          <w:tab w:val="left" w:pos="4860"/>
          <w:tab w:val="left" w:pos="6840"/>
        </w:tabs>
        <w:suppressAutoHyphens/>
        <w:jc w:val="both"/>
        <w:rPr>
          <w:spacing w:val="-3"/>
          <w:szCs w:val="22"/>
        </w:rPr>
      </w:pPr>
      <w:r w:rsidRPr="005F6BC2">
        <w:rPr>
          <w:spacing w:val="-3"/>
          <w:szCs w:val="22"/>
        </w:rPr>
        <w:tab/>
        <w:t xml:space="preserve">  (Electronic Only)</w:t>
      </w:r>
      <w:r w:rsidRPr="005F6BC2">
        <w:rPr>
          <w:spacing w:val="-3"/>
          <w:szCs w:val="22"/>
        </w:rPr>
        <w:tab/>
      </w:r>
      <w:r w:rsidRPr="005F6BC2">
        <w:rPr>
          <w:spacing w:val="-3"/>
          <w:szCs w:val="22"/>
        </w:rPr>
        <w:tab/>
      </w:r>
    </w:p>
    <w:p w:rsidR="009C1C1C" w:rsidRPr="005F6BC2" w:rsidP="009C1C1C" w14:paraId="76C56112"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9C1C1C" w:rsidRPr="005F6BC2" w:rsidP="009C1C1C" w14:paraId="0D29F836"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1E23EF15" w14:textId="77777777">
      <w:pPr>
        <w:tabs>
          <w:tab w:val="left" w:pos="540"/>
          <w:tab w:val="left" w:pos="4860"/>
          <w:tab w:val="left" w:pos="6840"/>
        </w:tabs>
        <w:suppressAutoHyphens/>
        <w:jc w:val="both"/>
        <w:outlineLvl w:val="0"/>
        <w:rPr>
          <w:spacing w:val="-3"/>
          <w:szCs w:val="22"/>
        </w:rPr>
      </w:pPr>
      <w:r w:rsidRPr="005F6BC2">
        <w:rPr>
          <w:b/>
          <w:spacing w:val="-3"/>
          <w:szCs w:val="22"/>
        </w:rPr>
        <w:tab/>
      </w:r>
      <w:bookmarkStart w:id="185" w:name="_Toc491865087"/>
      <w:bookmarkStart w:id="186" w:name="_Toc491865502"/>
      <w:r w:rsidRPr="005F6BC2">
        <w:rPr>
          <w:b/>
          <w:spacing w:val="-3"/>
          <w:szCs w:val="22"/>
        </w:rPr>
        <w:t>Marine Ship</w:t>
      </w:r>
      <w:bookmarkEnd w:id="185"/>
      <w:bookmarkEnd w:id="186"/>
    </w:p>
    <w:p w:rsidR="009C1C1C" w:rsidRPr="005F6BC2" w:rsidP="009C1C1C" w14:paraId="6397CCB2"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$15.00</w:t>
      </w:r>
      <w:r w:rsidRPr="005F6BC2">
        <w:rPr>
          <w:spacing w:val="-3"/>
          <w:szCs w:val="22"/>
        </w:rPr>
        <w:tab/>
      </w:r>
    </w:p>
    <w:p w:rsidR="009C1C1C" w:rsidRPr="005F6BC2" w:rsidP="009C1C1C" w14:paraId="5194C139"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9C1C1C" w:rsidRPr="005F6BC2" w:rsidP="009C1C1C" w14:paraId="52C58B83"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7F85F854" w14:textId="77777777">
      <w:pPr>
        <w:tabs>
          <w:tab w:val="left" w:pos="540"/>
          <w:tab w:val="left" w:pos="4860"/>
          <w:tab w:val="left" w:pos="6840"/>
        </w:tabs>
        <w:suppressAutoHyphens/>
        <w:jc w:val="both"/>
        <w:rPr>
          <w:spacing w:val="-3"/>
          <w:szCs w:val="22"/>
        </w:rPr>
      </w:pPr>
    </w:p>
    <w:p w:rsidR="009C1C1C" w:rsidRPr="005F6BC2" w:rsidP="009C1C1C" w14:paraId="5194A341"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$15.00</w:t>
      </w:r>
      <w:r w:rsidRPr="005F6BC2">
        <w:rPr>
          <w:spacing w:val="-3"/>
          <w:szCs w:val="22"/>
        </w:rPr>
        <w:tab/>
      </w:r>
    </w:p>
    <w:p w:rsidR="009C1C1C" w:rsidRPr="005F6BC2" w:rsidP="009C1C1C" w14:paraId="4E47CE74" w14:textId="77777777">
      <w:pPr>
        <w:tabs>
          <w:tab w:val="left" w:pos="540"/>
          <w:tab w:val="left" w:pos="4860"/>
          <w:tab w:val="left" w:pos="684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9C1C1C" w:rsidRPr="005F6BC2" w:rsidP="009C1C1C" w14:paraId="33C809D0" w14:textId="77777777">
      <w:pPr>
        <w:tabs>
          <w:tab w:val="left" w:pos="540"/>
          <w:tab w:val="left" w:pos="4860"/>
          <w:tab w:val="left" w:pos="6840"/>
        </w:tabs>
        <w:suppressAutoHyphens/>
        <w:jc w:val="both"/>
        <w:rPr>
          <w:spacing w:val="-3"/>
          <w:szCs w:val="22"/>
        </w:rPr>
      </w:pPr>
      <w:r w:rsidRPr="005F6BC2">
        <w:rPr>
          <w:spacing w:val="-3"/>
          <w:szCs w:val="22"/>
        </w:rPr>
        <w:tab/>
        <w:t>(FCC 605 &amp; 159)</w:t>
      </w:r>
      <w:r w:rsidRPr="005F6BC2">
        <w:rPr>
          <w:spacing w:val="-3"/>
          <w:szCs w:val="22"/>
        </w:rPr>
        <w:tab/>
      </w:r>
      <w:r w:rsidRPr="005F6BC2">
        <w:rPr>
          <w:spacing w:val="-3"/>
          <w:szCs w:val="22"/>
        </w:rPr>
        <w:tab/>
      </w:r>
    </w:p>
    <w:p w:rsidR="009C1C1C" w:rsidRPr="005F6BC2" w:rsidP="009C1C1C" w14:paraId="1C2D49F4" w14:textId="77777777">
      <w:pPr>
        <w:tabs>
          <w:tab w:val="left" w:pos="540"/>
          <w:tab w:val="left" w:pos="4860"/>
          <w:tab w:val="left" w:pos="6840"/>
        </w:tabs>
        <w:suppressAutoHyphens/>
        <w:jc w:val="both"/>
        <w:rPr>
          <w:spacing w:val="-3"/>
          <w:szCs w:val="22"/>
        </w:rPr>
      </w:pPr>
    </w:p>
    <w:p w:rsidR="009C1C1C" w:rsidRPr="005F6BC2" w:rsidP="009C1C1C" w14:paraId="107AE3DE" w14:textId="77777777">
      <w:pPr>
        <w:tabs>
          <w:tab w:val="left" w:pos="540"/>
          <w:tab w:val="left" w:pos="4860"/>
          <w:tab w:val="left" w:pos="6840"/>
        </w:tabs>
        <w:suppressAutoHyphens/>
        <w:jc w:val="both"/>
        <w:rPr>
          <w:spacing w:val="-3"/>
          <w:szCs w:val="22"/>
        </w:rPr>
      </w:pPr>
      <w:r w:rsidRPr="005F6BC2">
        <w:rPr>
          <w:spacing w:val="-3"/>
          <w:szCs w:val="22"/>
        </w:rPr>
        <w:tab/>
      </w:r>
    </w:p>
    <w:p w:rsidR="009C1C1C" w:rsidRPr="005F6BC2" w:rsidP="009C1C1C" w14:paraId="55848766"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$15.00</w:t>
      </w:r>
      <w:r w:rsidRPr="005F6BC2">
        <w:rPr>
          <w:spacing w:val="-3"/>
          <w:szCs w:val="22"/>
        </w:rPr>
        <w:tab/>
      </w:r>
    </w:p>
    <w:p w:rsidR="009C1C1C" w:rsidRPr="005F6BC2" w:rsidP="009C1C1C" w14:paraId="584B4665"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9C1C1C" w:rsidRPr="005F6BC2" w:rsidP="009C1C1C" w14:paraId="5AD87193"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3C89E8EC" w14:textId="77777777">
      <w:pPr>
        <w:tabs>
          <w:tab w:val="left" w:pos="540"/>
          <w:tab w:val="left" w:pos="4860"/>
          <w:tab w:val="left" w:pos="6840"/>
        </w:tabs>
        <w:suppressAutoHyphens/>
        <w:jc w:val="both"/>
        <w:rPr>
          <w:spacing w:val="-3"/>
          <w:szCs w:val="22"/>
        </w:rPr>
      </w:pPr>
    </w:p>
    <w:p w:rsidR="009C1C1C" w:rsidRPr="005F6BC2" w:rsidP="009C1C1C" w14:paraId="11B97B61"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$15.00</w:t>
      </w:r>
      <w:r w:rsidRPr="005F6BC2">
        <w:rPr>
          <w:spacing w:val="-3"/>
          <w:szCs w:val="22"/>
        </w:rPr>
        <w:tab/>
      </w:r>
    </w:p>
    <w:p w:rsidR="009C1C1C" w:rsidRPr="005F6BC2" w:rsidP="009C1C1C" w14:paraId="13BF0352" w14:textId="77777777">
      <w:pPr>
        <w:tabs>
          <w:tab w:val="left" w:pos="540"/>
          <w:tab w:val="left" w:pos="4860"/>
          <w:tab w:val="left" w:pos="684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9C1C1C" w:rsidRPr="005F6BC2" w:rsidP="009C1C1C" w14:paraId="21EF146B" w14:textId="77777777">
      <w:pPr>
        <w:tabs>
          <w:tab w:val="left" w:pos="540"/>
          <w:tab w:val="left" w:pos="4860"/>
          <w:tab w:val="left" w:pos="6840"/>
        </w:tabs>
        <w:suppressAutoHyphens/>
        <w:jc w:val="both"/>
        <w:rPr>
          <w:spacing w:val="-3"/>
          <w:szCs w:val="22"/>
        </w:rPr>
      </w:pPr>
      <w:r w:rsidRPr="005F6BC2">
        <w:rPr>
          <w:spacing w:val="-3"/>
          <w:szCs w:val="22"/>
        </w:rPr>
        <w:tab/>
        <w:t>(FCC 605 &amp; 159)</w:t>
      </w:r>
      <w:r w:rsidRPr="005F6BC2">
        <w:rPr>
          <w:spacing w:val="-3"/>
          <w:szCs w:val="22"/>
        </w:rPr>
        <w:tab/>
      </w:r>
      <w:r w:rsidRPr="005F6BC2">
        <w:rPr>
          <w:spacing w:val="-3"/>
          <w:szCs w:val="22"/>
        </w:rPr>
        <w:tab/>
      </w:r>
    </w:p>
    <w:p w:rsidR="009C1C1C" w:rsidRPr="005F6BC2" w:rsidP="009C1C1C" w14:paraId="6BEF061D"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9C1C1C" w:rsidRPr="005F6BC2" w:rsidP="009C1C1C" w14:paraId="4BCA7E0C" w14:textId="77777777">
      <w:pPr>
        <w:widowControl/>
        <w:rPr>
          <w:spacing w:val="-3"/>
          <w:szCs w:val="22"/>
        </w:rPr>
      </w:pPr>
    </w:p>
    <w:p w:rsidR="009C1C1C" w:rsidRPr="005F6BC2" w:rsidP="009C1C1C" w14:paraId="32526169" w14:textId="77777777">
      <w:pPr>
        <w:tabs>
          <w:tab w:val="left" w:pos="540"/>
          <w:tab w:val="left" w:pos="4860"/>
          <w:tab w:val="left" w:pos="6840"/>
        </w:tabs>
        <w:suppressAutoHyphens/>
        <w:jc w:val="both"/>
        <w:outlineLvl w:val="0"/>
        <w:rPr>
          <w:spacing w:val="-3"/>
          <w:szCs w:val="22"/>
        </w:rPr>
      </w:pPr>
      <w:r w:rsidRPr="005F6BC2">
        <w:rPr>
          <w:b/>
          <w:spacing w:val="-3"/>
          <w:szCs w:val="22"/>
        </w:rPr>
        <w:tab/>
      </w:r>
      <w:bookmarkStart w:id="187" w:name="_Toc491865088"/>
      <w:bookmarkStart w:id="188" w:name="_Toc491865503"/>
      <w:r w:rsidRPr="005F6BC2">
        <w:rPr>
          <w:b/>
          <w:spacing w:val="-3"/>
          <w:szCs w:val="22"/>
        </w:rPr>
        <w:t>Aviation Aircraft</w:t>
      </w:r>
      <w:bookmarkEnd w:id="187"/>
      <w:bookmarkEnd w:id="188"/>
    </w:p>
    <w:p w:rsidR="009C1C1C" w:rsidRPr="005F6BC2" w:rsidP="009C1C1C" w14:paraId="1D6FC4D3"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$10.00</w:t>
      </w:r>
      <w:r w:rsidRPr="005F6BC2">
        <w:rPr>
          <w:spacing w:val="-3"/>
          <w:szCs w:val="22"/>
        </w:rPr>
        <w:tab/>
      </w:r>
    </w:p>
    <w:p w:rsidR="009C1C1C" w:rsidRPr="005F6BC2" w:rsidP="009C1C1C" w14:paraId="63DE97A9"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9C1C1C" w:rsidRPr="005F6BC2" w:rsidP="009C1C1C" w14:paraId="6D6D1365" w14:textId="77777777">
      <w:pPr>
        <w:tabs>
          <w:tab w:val="left" w:pos="540"/>
          <w:tab w:val="left" w:pos="4860"/>
          <w:tab w:val="left" w:pos="6840"/>
        </w:tabs>
        <w:suppressAutoHyphens/>
        <w:jc w:val="both"/>
        <w:rPr>
          <w:spacing w:val="-3"/>
          <w:szCs w:val="22"/>
        </w:rPr>
      </w:pPr>
    </w:p>
    <w:p w:rsidR="009C1C1C" w:rsidRPr="005F6BC2" w:rsidP="009C1C1C" w14:paraId="0C8E0434"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$10.00</w:t>
      </w:r>
      <w:r w:rsidRPr="005F6BC2">
        <w:rPr>
          <w:spacing w:val="-3"/>
          <w:szCs w:val="22"/>
        </w:rPr>
        <w:tab/>
      </w:r>
    </w:p>
    <w:p w:rsidR="009C1C1C" w:rsidRPr="005F6BC2" w:rsidP="009C1C1C" w14:paraId="3F43F1C4"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2C9ED2DB"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9C1C1C" w:rsidRPr="005F6BC2" w:rsidP="009C1C1C" w14:paraId="640BEF8D" w14:textId="77777777">
      <w:pPr>
        <w:tabs>
          <w:tab w:val="left" w:pos="540"/>
          <w:tab w:val="left" w:pos="4860"/>
          <w:tab w:val="left" w:pos="6840"/>
        </w:tabs>
        <w:suppressAutoHyphens/>
        <w:jc w:val="both"/>
        <w:rPr>
          <w:spacing w:val="-3"/>
          <w:szCs w:val="22"/>
        </w:rPr>
      </w:pPr>
    </w:p>
    <w:p w:rsidR="009C1C1C" w:rsidRPr="005F6BC2" w:rsidP="009C1C1C" w14:paraId="38F1E5D1"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$10.00</w:t>
      </w:r>
      <w:r w:rsidRPr="005F6BC2">
        <w:rPr>
          <w:spacing w:val="-3"/>
          <w:szCs w:val="22"/>
        </w:rPr>
        <w:tab/>
      </w:r>
    </w:p>
    <w:p w:rsidR="009C1C1C" w:rsidRPr="005F6BC2" w:rsidP="009C1C1C" w14:paraId="330A447D"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9C1C1C" w:rsidRPr="005F6BC2" w:rsidP="009C1C1C" w14:paraId="2BF246C7"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08921231" w14:textId="77777777">
      <w:pPr>
        <w:tabs>
          <w:tab w:val="left" w:pos="540"/>
          <w:tab w:val="left" w:pos="4860"/>
          <w:tab w:val="left" w:pos="6840"/>
        </w:tabs>
        <w:suppressAutoHyphens/>
        <w:jc w:val="both"/>
        <w:rPr>
          <w:spacing w:val="-3"/>
          <w:szCs w:val="22"/>
        </w:rPr>
      </w:pPr>
    </w:p>
    <w:p w:rsidR="009C1C1C" w:rsidRPr="005F6BC2" w:rsidP="009C1C1C" w14:paraId="66D0A9BB"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$10.00</w:t>
      </w:r>
      <w:r w:rsidRPr="005F6BC2">
        <w:rPr>
          <w:spacing w:val="-3"/>
          <w:szCs w:val="22"/>
        </w:rPr>
        <w:tab/>
      </w:r>
    </w:p>
    <w:p w:rsidR="009C1C1C" w:rsidRPr="005F6BC2" w:rsidP="009C1C1C" w14:paraId="6E0C5328"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9C1C1C" w:rsidRPr="005F6BC2" w:rsidP="009C1C1C" w14:paraId="69DF18C5"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9C1C1C" w:rsidRPr="005F6BC2" w:rsidP="009C1C1C" w14:paraId="2EC6257E" w14:textId="77777777">
      <w:pPr>
        <w:tabs>
          <w:tab w:val="left" w:pos="540"/>
          <w:tab w:val="left" w:pos="4860"/>
          <w:tab w:val="left" w:pos="6840"/>
        </w:tabs>
        <w:suppressAutoHyphens/>
        <w:jc w:val="both"/>
        <w:rPr>
          <w:spacing w:val="-3"/>
          <w:szCs w:val="22"/>
        </w:rPr>
      </w:pPr>
    </w:p>
    <w:p w:rsidR="009C1C1C" w:rsidRPr="005F6BC2" w:rsidP="009C1C1C" w14:paraId="02992A25" w14:textId="77777777">
      <w:pPr>
        <w:tabs>
          <w:tab w:val="left" w:pos="540"/>
          <w:tab w:val="left" w:pos="4860"/>
          <w:tab w:val="left" w:pos="6840"/>
        </w:tabs>
        <w:suppressAutoHyphens/>
        <w:jc w:val="both"/>
        <w:rPr>
          <w:spacing w:val="-3"/>
          <w:szCs w:val="22"/>
        </w:rPr>
      </w:pPr>
      <w:r w:rsidRPr="005F6BC2">
        <w:rPr>
          <w:b/>
          <w:spacing w:val="-3"/>
          <w:szCs w:val="22"/>
        </w:rPr>
        <w:t>4.  CMRS Cellular/Mobile Services</w:t>
      </w:r>
      <w:r w:rsidRPr="005F6BC2">
        <w:rPr>
          <w:spacing w:val="-3"/>
          <w:szCs w:val="22"/>
        </w:rPr>
        <w:tab/>
        <w:t>$ .1</w:t>
      </w:r>
      <w:r>
        <w:rPr>
          <w:spacing w:val="-3"/>
          <w:szCs w:val="22"/>
        </w:rPr>
        <w:t>7</w:t>
      </w:r>
      <w:r>
        <w:rPr>
          <w:rStyle w:val="FootnoteReference"/>
          <w:spacing w:val="-3"/>
          <w:szCs w:val="22"/>
        </w:rPr>
        <w:footnoteReference w:id="414"/>
      </w:r>
      <w:r w:rsidRPr="005F6BC2">
        <w:rPr>
          <w:spacing w:val="-3"/>
          <w:szCs w:val="22"/>
        </w:rPr>
        <w:tab/>
      </w:r>
    </w:p>
    <w:p w:rsidR="009C1C1C" w:rsidRPr="005F6BC2" w:rsidP="009C1C1C" w14:paraId="48F278F9" w14:textId="77777777">
      <w:pPr>
        <w:tabs>
          <w:tab w:val="left" w:pos="540"/>
          <w:tab w:val="left" w:pos="4860"/>
          <w:tab w:val="left" w:pos="6840"/>
        </w:tabs>
        <w:suppressAutoHyphens/>
        <w:jc w:val="both"/>
        <w:rPr>
          <w:spacing w:val="-3"/>
          <w:szCs w:val="22"/>
        </w:rPr>
      </w:pPr>
      <w:r w:rsidRPr="005F6BC2">
        <w:rPr>
          <w:b/>
          <w:spacing w:val="-3"/>
          <w:szCs w:val="22"/>
        </w:rPr>
        <w:t xml:space="preserve">     (per unit)</w:t>
      </w:r>
      <w:r w:rsidRPr="005F6BC2">
        <w:rPr>
          <w:spacing w:val="-3"/>
          <w:szCs w:val="22"/>
        </w:rPr>
        <w:tab/>
      </w:r>
      <w:r w:rsidRPr="005F6BC2">
        <w:rPr>
          <w:spacing w:val="-3"/>
          <w:szCs w:val="22"/>
        </w:rPr>
        <w:tab/>
      </w:r>
    </w:p>
    <w:p w:rsidR="009C1C1C" w:rsidRPr="005F6BC2" w:rsidP="009C1C1C" w14:paraId="1917D6C2" w14:textId="77777777">
      <w:pPr>
        <w:tabs>
          <w:tab w:val="left" w:pos="540"/>
          <w:tab w:val="left" w:pos="4860"/>
          <w:tab w:val="left" w:pos="6840"/>
        </w:tabs>
        <w:suppressAutoHyphens/>
        <w:jc w:val="both"/>
        <w:rPr>
          <w:spacing w:val="-3"/>
          <w:szCs w:val="22"/>
        </w:rPr>
      </w:pPr>
      <w:r w:rsidRPr="005F6BC2">
        <w:rPr>
          <w:spacing w:val="-3"/>
          <w:szCs w:val="22"/>
        </w:rPr>
        <w:t xml:space="preserve">     (FCC 159)</w:t>
      </w:r>
      <w:r w:rsidRPr="005F6BC2">
        <w:rPr>
          <w:spacing w:val="-3"/>
          <w:szCs w:val="22"/>
        </w:rPr>
        <w:tab/>
      </w:r>
      <w:r w:rsidRPr="005F6BC2">
        <w:rPr>
          <w:spacing w:val="-3"/>
          <w:szCs w:val="22"/>
        </w:rPr>
        <w:tab/>
      </w:r>
    </w:p>
    <w:p w:rsidR="009C1C1C" w:rsidRPr="005F6BC2" w:rsidP="009C1C1C" w14:paraId="429682FA" w14:textId="77777777">
      <w:pPr>
        <w:tabs>
          <w:tab w:val="left" w:pos="540"/>
          <w:tab w:val="left" w:pos="4860"/>
          <w:tab w:val="left" w:pos="6840"/>
        </w:tabs>
        <w:suppressAutoHyphens/>
        <w:jc w:val="both"/>
        <w:rPr>
          <w:spacing w:val="-3"/>
          <w:szCs w:val="22"/>
        </w:rPr>
      </w:pPr>
    </w:p>
    <w:p w:rsidR="009C1C1C" w:rsidRPr="005F6BC2" w:rsidP="009C1C1C" w14:paraId="232B9AFF" w14:textId="77777777">
      <w:pPr>
        <w:tabs>
          <w:tab w:val="left" w:pos="540"/>
          <w:tab w:val="left" w:pos="4860"/>
          <w:tab w:val="left" w:pos="6840"/>
        </w:tabs>
        <w:suppressAutoHyphens/>
        <w:jc w:val="both"/>
        <w:rPr>
          <w:spacing w:val="-3"/>
          <w:szCs w:val="22"/>
        </w:rPr>
      </w:pPr>
      <w:r w:rsidRPr="005F6BC2">
        <w:rPr>
          <w:b/>
          <w:spacing w:val="-3"/>
          <w:szCs w:val="22"/>
        </w:rPr>
        <w:t>5.  CMRS Messaging Services</w:t>
      </w:r>
      <w:r w:rsidRPr="005F6BC2">
        <w:rPr>
          <w:spacing w:val="-3"/>
          <w:szCs w:val="22"/>
        </w:rPr>
        <w:tab/>
        <w:t>$ .08</w:t>
      </w:r>
      <w:r>
        <w:rPr>
          <w:rStyle w:val="FootnoteReference"/>
          <w:spacing w:val="-3"/>
          <w:szCs w:val="22"/>
        </w:rPr>
        <w:footnoteReference w:id="415"/>
      </w:r>
      <w:r w:rsidRPr="005F6BC2">
        <w:rPr>
          <w:spacing w:val="-3"/>
          <w:szCs w:val="22"/>
        </w:rPr>
        <w:tab/>
      </w:r>
    </w:p>
    <w:p w:rsidR="009C1C1C" w:rsidRPr="005F6BC2" w:rsidP="009C1C1C" w14:paraId="5AE5EADF" w14:textId="77777777">
      <w:pPr>
        <w:tabs>
          <w:tab w:val="left" w:pos="540"/>
          <w:tab w:val="left" w:pos="4860"/>
          <w:tab w:val="left" w:pos="6840"/>
        </w:tabs>
        <w:suppressAutoHyphens/>
        <w:jc w:val="both"/>
        <w:rPr>
          <w:spacing w:val="-3"/>
          <w:szCs w:val="22"/>
        </w:rPr>
      </w:pPr>
      <w:r w:rsidRPr="005F6BC2">
        <w:rPr>
          <w:b/>
          <w:spacing w:val="-3"/>
          <w:szCs w:val="22"/>
        </w:rPr>
        <w:t xml:space="preserve">     (per unit)</w:t>
      </w:r>
      <w:r w:rsidRPr="005F6BC2">
        <w:rPr>
          <w:spacing w:val="-3"/>
          <w:szCs w:val="22"/>
        </w:rPr>
        <w:tab/>
      </w:r>
      <w:r w:rsidRPr="005F6BC2">
        <w:rPr>
          <w:spacing w:val="-3"/>
          <w:szCs w:val="22"/>
        </w:rPr>
        <w:tab/>
      </w:r>
    </w:p>
    <w:p w:rsidR="009C1C1C" w:rsidRPr="005F6BC2" w:rsidP="009C1C1C" w14:paraId="41705CBB" w14:textId="77777777">
      <w:pPr>
        <w:tabs>
          <w:tab w:val="left" w:pos="540"/>
          <w:tab w:val="left" w:pos="4860"/>
          <w:tab w:val="left" w:pos="6840"/>
        </w:tabs>
        <w:suppressAutoHyphens/>
        <w:jc w:val="both"/>
        <w:rPr>
          <w:spacing w:val="-3"/>
          <w:szCs w:val="22"/>
        </w:rPr>
      </w:pPr>
      <w:r w:rsidRPr="005F6BC2">
        <w:rPr>
          <w:spacing w:val="-3"/>
          <w:szCs w:val="22"/>
        </w:rPr>
        <w:t xml:space="preserve">     (FCC 159)</w:t>
      </w:r>
      <w:r w:rsidRPr="005F6BC2">
        <w:rPr>
          <w:spacing w:val="-3"/>
          <w:szCs w:val="22"/>
        </w:rPr>
        <w:tab/>
      </w:r>
      <w:r w:rsidRPr="005F6BC2">
        <w:rPr>
          <w:spacing w:val="-3"/>
          <w:szCs w:val="22"/>
        </w:rPr>
        <w:tab/>
      </w:r>
    </w:p>
    <w:p w:rsidR="009C1C1C" w:rsidRPr="005F6BC2" w:rsidP="009C1C1C" w14:paraId="0EA2451B" w14:textId="77777777">
      <w:pPr>
        <w:tabs>
          <w:tab w:val="left" w:pos="540"/>
          <w:tab w:val="left" w:pos="4860"/>
          <w:tab w:val="left" w:pos="6840"/>
        </w:tabs>
        <w:suppressAutoHyphens/>
        <w:jc w:val="both"/>
        <w:rPr>
          <w:spacing w:val="-3"/>
          <w:szCs w:val="22"/>
        </w:rPr>
      </w:pPr>
    </w:p>
    <w:p w:rsidR="009C1C1C" w:rsidRPr="005F6BC2" w:rsidP="009C1C1C" w14:paraId="0241E81E"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6. Broadband Radio Service</w:t>
      </w:r>
      <w:r w:rsidRPr="005F6BC2">
        <w:rPr>
          <w:spacing w:val="-3"/>
          <w:szCs w:val="22"/>
        </w:rPr>
        <w:tab/>
        <w:t xml:space="preserve">     $  </w:t>
      </w:r>
      <w:r>
        <w:rPr>
          <w:spacing w:val="-3"/>
          <w:szCs w:val="22"/>
        </w:rPr>
        <w:t>560</w:t>
      </w:r>
      <w:r w:rsidRPr="005F6BC2">
        <w:rPr>
          <w:spacing w:val="-3"/>
          <w:szCs w:val="22"/>
        </w:rPr>
        <w:tab/>
        <w:t xml:space="preserve">       </w:t>
      </w:r>
    </w:p>
    <w:p w:rsidR="009C1C1C" w:rsidRPr="005F6BC2" w:rsidP="009C1C1C" w14:paraId="35726911"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 xml:space="preserve">    (formerly MMDS and  MDS)</w:t>
      </w:r>
      <w:r w:rsidRPr="005F6BC2">
        <w:rPr>
          <w:spacing w:val="-3"/>
          <w:szCs w:val="22"/>
        </w:rPr>
        <w:tab/>
      </w:r>
      <w:r w:rsidRPr="005F6BC2">
        <w:rPr>
          <w:spacing w:val="-3"/>
          <w:szCs w:val="22"/>
        </w:rPr>
        <w:tab/>
        <w:t xml:space="preserve">       </w:t>
      </w:r>
    </w:p>
    <w:p w:rsidR="009C1C1C" w:rsidRPr="005F6BC2" w:rsidP="009C1C1C" w14:paraId="0135846D"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t xml:space="preserve">       </w:t>
      </w:r>
    </w:p>
    <w:p w:rsidR="009C1C1C" w:rsidRPr="005F6BC2" w:rsidP="009C1C1C" w14:paraId="7D260C81" w14:textId="77777777">
      <w:pPr>
        <w:widowControl/>
        <w:rPr>
          <w:b/>
          <w:spacing w:val="-3"/>
          <w:szCs w:val="22"/>
        </w:rPr>
      </w:pPr>
    </w:p>
    <w:p w:rsidR="009C1C1C" w:rsidRPr="005F6BC2" w:rsidP="009C1C1C" w14:paraId="37BAB8EF"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7. Local Multipoint Distribution Service</w:t>
      </w:r>
      <w:r w:rsidRPr="005F6BC2">
        <w:rPr>
          <w:spacing w:val="-3"/>
          <w:szCs w:val="22"/>
        </w:rPr>
        <w:tab/>
        <w:t xml:space="preserve">     $  </w:t>
      </w:r>
      <w:r>
        <w:rPr>
          <w:spacing w:val="-3"/>
          <w:szCs w:val="22"/>
        </w:rPr>
        <w:t>560</w:t>
      </w:r>
      <w:r w:rsidRPr="005F6BC2">
        <w:rPr>
          <w:spacing w:val="-3"/>
          <w:szCs w:val="22"/>
        </w:rPr>
        <w:tab/>
        <w:t xml:space="preserve">       </w:t>
      </w:r>
    </w:p>
    <w:p w:rsidR="009C1C1C" w:rsidRPr="005F6BC2" w:rsidP="009C1C1C" w14:paraId="115588CF"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 xml:space="preserve">    </w:t>
      </w:r>
      <w:r w:rsidRPr="005F6BC2">
        <w:rPr>
          <w:spacing w:val="-3"/>
          <w:szCs w:val="22"/>
        </w:rPr>
        <w:tab/>
      </w:r>
      <w:r w:rsidRPr="005F6BC2">
        <w:rPr>
          <w:spacing w:val="-3"/>
          <w:szCs w:val="22"/>
        </w:rPr>
        <w:tab/>
      </w:r>
      <w:r w:rsidRPr="005F6BC2">
        <w:rPr>
          <w:spacing w:val="-3"/>
          <w:szCs w:val="22"/>
        </w:rPr>
        <w:tab/>
        <w:t xml:space="preserve">       </w:t>
      </w:r>
      <w:r w:rsidRPr="005F6BC2">
        <w:rPr>
          <w:spacing w:val="-3"/>
          <w:szCs w:val="22"/>
        </w:rPr>
        <w:tab/>
      </w:r>
      <w:r w:rsidRPr="005F6BC2">
        <w:rPr>
          <w:spacing w:val="-3"/>
          <w:szCs w:val="22"/>
        </w:rPr>
        <w:tab/>
        <w:t xml:space="preserve">       </w:t>
      </w:r>
    </w:p>
    <w:p w:rsidR="009C1C1C" w:rsidRPr="005F6BC2" w:rsidP="009C1C1C" w14:paraId="196E3AD4"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34D39163" w14:textId="77777777">
      <w:pPr>
        <w:tabs>
          <w:tab w:val="left" w:pos="720"/>
          <w:tab w:val="left" w:pos="4860"/>
          <w:tab w:val="left" w:pos="6840"/>
        </w:tabs>
        <w:suppressAutoHyphens/>
        <w:jc w:val="both"/>
        <w:rPr>
          <w:spacing w:val="-3"/>
          <w:szCs w:val="22"/>
        </w:rPr>
      </w:pPr>
      <w:r w:rsidRPr="005F6BC2">
        <w:rPr>
          <w:spacing w:val="-3"/>
          <w:szCs w:val="22"/>
        </w:rPr>
        <w:t>3.   Section 1.1153 is revised to read as follows:</w:t>
      </w:r>
    </w:p>
    <w:p w:rsidR="009C1C1C" w:rsidRPr="005F6BC2" w:rsidP="009C1C1C" w14:paraId="337D498C" w14:textId="77777777">
      <w:pPr>
        <w:tabs>
          <w:tab w:val="left" w:pos="540"/>
          <w:tab w:val="left" w:pos="4860"/>
          <w:tab w:val="left" w:pos="6840"/>
        </w:tabs>
        <w:suppressAutoHyphens/>
        <w:rPr>
          <w:b/>
          <w:szCs w:val="22"/>
        </w:rPr>
      </w:pPr>
    </w:p>
    <w:p w:rsidR="009C1C1C" w:rsidRPr="005F6BC2" w:rsidP="009C1C1C" w14:paraId="687B5DBE" w14:textId="77777777">
      <w:pPr>
        <w:tabs>
          <w:tab w:val="left" w:pos="540"/>
          <w:tab w:val="left" w:pos="4860"/>
          <w:tab w:val="left" w:pos="6840"/>
        </w:tabs>
        <w:suppressAutoHyphens/>
        <w:rPr>
          <w:szCs w:val="22"/>
        </w:rPr>
      </w:pPr>
      <w:r w:rsidRPr="005F6BC2">
        <w:rPr>
          <w:szCs w:val="22"/>
        </w:rPr>
        <w:t xml:space="preserve">§ 1.1153  Schedule of annual regulatory fees and filing locations for mass media services. </w:t>
      </w:r>
    </w:p>
    <w:p w:rsidR="009C1C1C" w:rsidRPr="005F6BC2" w:rsidP="009C1C1C" w14:paraId="5FC832B7" w14:textId="77777777">
      <w:pPr>
        <w:tabs>
          <w:tab w:val="left" w:pos="540"/>
          <w:tab w:val="left" w:pos="4860"/>
          <w:tab w:val="left" w:pos="6840"/>
        </w:tabs>
        <w:suppressAutoHyphens/>
        <w:jc w:val="both"/>
        <w:rPr>
          <w:spacing w:val="-3"/>
          <w:szCs w:val="22"/>
        </w:rPr>
      </w:pPr>
    </w:p>
    <w:p w:rsidR="009C1C1C" w:rsidRPr="005F6BC2" w:rsidP="009C1C1C" w14:paraId="1E4E7784" w14:textId="77777777">
      <w:pPr>
        <w:tabs>
          <w:tab w:val="left" w:pos="540"/>
          <w:tab w:val="left" w:pos="4860"/>
          <w:tab w:val="left" w:pos="6840"/>
        </w:tabs>
        <w:suppressAutoHyphens/>
        <w:jc w:val="both"/>
        <w:rPr>
          <w:spacing w:val="-3"/>
          <w:szCs w:val="22"/>
        </w:rPr>
      </w:pPr>
    </w:p>
    <w:p w:rsidR="009C1C1C" w:rsidRPr="005F6BC2" w:rsidP="009C1C1C" w14:paraId="434BBF0C" w14:textId="77777777">
      <w:pPr>
        <w:keepNext/>
        <w:tabs>
          <w:tab w:val="left" w:pos="540"/>
          <w:tab w:val="left" w:pos="4860"/>
          <w:tab w:val="left" w:pos="6840"/>
        </w:tabs>
        <w:suppressAutoHyphens/>
        <w:jc w:val="both"/>
        <w:rPr>
          <w:spacing w:val="-3"/>
          <w:szCs w:val="22"/>
        </w:rPr>
      </w:pPr>
      <w:r w:rsidRPr="005F6BC2">
        <w:rPr>
          <w:b/>
          <w:spacing w:val="-3"/>
          <w:szCs w:val="22"/>
        </w:rPr>
        <w:t>Radio [AM and FM] (47 CFR part 73)</w:t>
      </w:r>
      <w:r w:rsidRPr="005F6BC2">
        <w:rPr>
          <w:b/>
          <w:spacing w:val="-3"/>
          <w:szCs w:val="22"/>
        </w:rPr>
        <w:tab/>
        <w:t>Fee Amount</w:t>
      </w:r>
      <w:r w:rsidRPr="005F6BC2">
        <w:rPr>
          <w:b/>
          <w:spacing w:val="-3"/>
          <w:szCs w:val="22"/>
        </w:rPr>
        <w:tab/>
      </w:r>
    </w:p>
    <w:p w:rsidR="009C1C1C" w:rsidRPr="005F6BC2" w:rsidP="009C1C1C" w14:paraId="4BECFCC3"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5DA990AA" w14:textId="77777777">
      <w:pPr>
        <w:tabs>
          <w:tab w:val="left" w:pos="-1440"/>
          <w:tab w:val="left" w:pos="-720"/>
          <w:tab w:val="left" w:pos="540"/>
          <w:tab w:val="left" w:pos="4590"/>
          <w:tab w:val="left" w:pos="6480"/>
        </w:tabs>
        <w:suppressAutoHyphens/>
        <w:jc w:val="both"/>
        <w:outlineLvl w:val="0"/>
        <w:rPr>
          <w:spacing w:val="-3"/>
          <w:szCs w:val="22"/>
        </w:rPr>
      </w:pPr>
      <w:bookmarkStart w:id="189" w:name="_Toc491865089"/>
      <w:bookmarkStart w:id="190" w:name="_Toc491865504"/>
      <w:r w:rsidRPr="005F6BC2">
        <w:rPr>
          <w:spacing w:val="-3"/>
          <w:szCs w:val="22"/>
        </w:rPr>
        <w:t>1.</w:t>
      </w:r>
      <w:r w:rsidRPr="005F6BC2">
        <w:rPr>
          <w:spacing w:val="-3"/>
          <w:szCs w:val="22"/>
        </w:rPr>
        <w:tab/>
      </w:r>
      <w:r w:rsidRPr="005F6BC2">
        <w:rPr>
          <w:spacing w:val="-3"/>
          <w:szCs w:val="22"/>
          <w:u w:val="single"/>
        </w:rPr>
        <w:t>AM Class A</w:t>
      </w:r>
      <w:bookmarkEnd w:id="189"/>
      <w:bookmarkEnd w:id="190"/>
    </w:p>
    <w:p w:rsidR="009C1C1C" w:rsidRPr="005F6BC2" w:rsidP="009C1C1C" w14:paraId="4D1FC311"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&lt;=25,000 population</w:t>
      </w:r>
      <w:r w:rsidRPr="005F6BC2">
        <w:rPr>
          <w:spacing w:val="-3"/>
          <w:szCs w:val="22"/>
        </w:rPr>
        <w:tab/>
        <w:t>$</w:t>
      </w:r>
      <w:r>
        <w:rPr>
          <w:spacing w:val="-3"/>
          <w:szCs w:val="22"/>
        </w:rPr>
        <w:t>975</w:t>
      </w:r>
      <w:r w:rsidRPr="005F6BC2">
        <w:rPr>
          <w:spacing w:val="-3"/>
          <w:szCs w:val="22"/>
        </w:rPr>
        <w:tab/>
      </w:r>
    </w:p>
    <w:p w:rsidR="009C1C1C" w:rsidRPr="005F6BC2" w:rsidP="009C1C1C" w14:paraId="568B3FF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rPr>
        <w:tab/>
      </w:r>
      <w:r w:rsidRPr="005F6BC2">
        <w:rPr>
          <w:spacing w:val="-3"/>
          <w:szCs w:val="22"/>
          <w:lang w:val="fr-FR"/>
        </w:rPr>
        <w:t>25,001-75,000 population</w:t>
      </w:r>
      <w:r w:rsidRPr="005F6BC2">
        <w:rPr>
          <w:spacing w:val="-3"/>
          <w:szCs w:val="22"/>
          <w:lang w:val="fr-FR"/>
        </w:rPr>
        <w:tab/>
        <w:t>$1,</w:t>
      </w:r>
      <w:r>
        <w:rPr>
          <w:spacing w:val="-3"/>
          <w:szCs w:val="22"/>
          <w:lang w:val="fr-FR"/>
        </w:rPr>
        <w:t>475</w:t>
      </w:r>
      <w:r w:rsidRPr="005F6BC2">
        <w:rPr>
          <w:spacing w:val="-3"/>
          <w:szCs w:val="22"/>
          <w:lang w:val="fr-FR"/>
        </w:rPr>
        <w:tab/>
      </w:r>
    </w:p>
    <w:p w:rsidR="009C1C1C" w:rsidRPr="005F6BC2" w:rsidP="009C1C1C" w14:paraId="3720AF15"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20</w:t>
      </w:r>
      <w:r w:rsidRPr="005F6BC2">
        <w:rPr>
          <w:spacing w:val="-3"/>
          <w:szCs w:val="22"/>
          <w:lang w:val="fr-FR"/>
        </w:rPr>
        <w:t>0</w:t>
      </w:r>
      <w:r w:rsidRPr="005F6BC2">
        <w:rPr>
          <w:spacing w:val="-3"/>
          <w:szCs w:val="22"/>
          <w:lang w:val="fr-FR"/>
        </w:rPr>
        <w:tab/>
      </w:r>
    </w:p>
    <w:p w:rsidR="009C1C1C" w:rsidRPr="005F6BC2" w:rsidP="009C1C1C" w14:paraId="7BE98AB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$3,</w:t>
      </w:r>
      <w:r>
        <w:rPr>
          <w:spacing w:val="-3"/>
          <w:szCs w:val="22"/>
          <w:lang w:val="fr-FR"/>
        </w:rPr>
        <w:t>300</w:t>
      </w:r>
      <w:r w:rsidRPr="005F6BC2">
        <w:rPr>
          <w:spacing w:val="-3"/>
          <w:szCs w:val="22"/>
          <w:lang w:val="fr-FR"/>
        </w:rPr>
        <w:tab/>
      </w:r>
    </w:p>
    <w:p w:rsidR="009C1C1C" w:rsidRPr="005F6BC2" w:rsidP="009C1C1C" w14:paraId="497CC49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w:t>
      </w:r>
      <w:r>
        <w:rPr>
          <w:spacing w:val="-3"/>
          <w:szCs w:val="22"/>
          <w:lang w:val="fr-FR"/>
        </w:rPr>
        <w:t>4,925</w:t>
      </w:r>
    </w:p>
    <w:p w:rsidR="009C1C1C" w:rsidRPr="005F6BC2" w:rsidP="009C1C1C" w14:paraId="528E8A6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$7,</w:t>
      </w:r>
      <w:r>
        <w:rPr>
          <w:spacing w:val="-3"/>
          <w:szCs w:val="22"/>
          <w:lang w:val="fr-FR"/>
        </w:rPr>
        <w:t>400</w:t>
      </w:r>
    </w:p>
    <w:p w:rsidR="009C1C1C" w:rsidRPr="005F6BC2" w:rsidP="009C1C1C" w14:paraId="416172E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1,100</w:t>
      </w:r>
    </w:p>
    <w:p w:rsidR="009C1C1C" w:rsidRPr="005F6BC2" w:rsidP="009C1C1C" w14:paraId="5282ED8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6,675</w:t>
      </w:r>
    </w:p>
    <w:p w:rsidR="009C1C1C" w:rsidRPr="005F6BC2" w:rsidP="009C1C1C" w14:paraId="03E012F1" w14:textId="77777777">
      <w:pPr>
        <w:tabs>
          <w:tab w:val="left" w:pos="-1440"/>
          <w:tab w:val="left" w:pos="-720"/>
          <w:tab w:val="left" w:pos="540"/>
          <w:tab w:val="left" w:pos="4590"/>
          <w:tab w:val="left" w:pos="6480"/>
        </w:tabs>
        <w:suppressAutoHyphens/>
        <w:jc w:val="both"/>
        <w:rPr>
          <w:spacing w:val="-3"/>
          <w:szCs w:val="22"/>
          <w:lang w:val="fr-FR"/>
        </w:rPr>
      </w:pPr>
    </w:p>
    <w:p w:rsidR="009C1C1C" w:rsidRPr="005F6BC2" w:rsidP="009C1C1C" w14:paraId="46435D6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2.</w:t>
      </w:r>
      <w:r w:rsidRPr="005F6BC2">
        <w:rPr>
          <w:spacing w:val="-3"/>
          <w:szCs w:val="22"/>
          <w:lang w:val="fr-FR"/>
        </w:rPr>
        <w:tab/>
      </w:r>
      <w:r w:rsidRPr="005F6BC2">
        <w:rPr>
          <w:spacing w:val="-3"/>
          <w:szCs w:val="22"/>
          <w:u w:val="single"/>
          <w:lang w:val="fr-FR"/>
        </w:rPr>
        <w:t>AM Class B</w:t>
      </w:r>
    </w:p>
    <w:p w:rsidR="009C1C1C" w:rsidRPr="005F6BC2" w:rsidP="009C1C1C" w14:paraId="2163E91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 xml:space="preserve">&lt;=25,000 </w:t>
      </w:r>
      <w:r w:rsidRPr="005F6BC2">
        <w:rPr>
          <w:spacing w:val="-3"/>
          <w:szCs w:val="22"/>
          <w:lang w:val="fr-FR"/>
        </w:rPr>
        <w:t>population</w:t>
      </w:r>
      <w:r w:rsidRPr="005F6BC2">
        <w:rPr>
          <w:spacing w:val="-3"/>
          <w:szCs w:val="22"/>
          <w:lang w:val="fr-FR"/>
        </w:rPr>
        <w:tab/>
        <w:t xml:space="preserve">   $</w:t>
      </w:r>
      <w:r>
        <w:rPr>
          <w:spacing w:val="-3"/>
          <w:szCs w:val="22"/>
          <w:lang w:val="fr-FR"/>
        </w:rPr>
        <w:t>700</w:t>
      </w:r>
      <w:r w:rsidRPr="005F6BC2">
        <w:rPr>
          <w:spacing w:val="-3"/>
          <w:szCs w:val="22"/>
          <w:lang w:val="fr-FR"/>
        </w:rPr>
        <w:tab/>
      </w:r>
    </w:p>
    <w:p w:rsidR="009C1C1C" w:rsidRPr="005F6BC2" w:rsidP="009C1C1C" w14:paraId="10F16CE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$1,0</w:t>
      </w:r>
      <w:r>
        <w:rPr>
          <w:spacing w:val="-3"/>
          <w:szCs w:val="22"/>
          <w:lang w:val="fr-FR"/>
        </w:rPr>
        <w:t>5</w:t>
      </w:r>
      <w:r w:rsidRPr="005F6BC2">
        <w:rPr>
          <w:spacing w:val="-3"/>
          <w:szCs w:val="22"/>
          <w:lang w:val="fr-FR"/>
        </w:rPr>
        <w:t>0</w:t>
      </w:r>
      <w:r w:rsidRPr="005F6BC2">
        <w:rPr>
          <w:spacing w:val="-3"/>
          <w:szCs w:val="22"/>
          <w:lang w:val="fr-FR"/>
        </w:rPr>
        <w:tab/>
      </w:r>
    </w:p>
    <w:p w:rsidR="009C1C1C" w:rsidRPr="005F6BC2" w:rsidP="009C1C1C" w14:paraId="18EA813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575</w:t>
      </w:r>
      <w:r w:rsidRPr="005F6BC2">
        <w:rPr>
          <w:spacing w:val="-3"/>
          <w:szCs w:val="22"/>
          <w:lang w:val="fr-FR"/>
        </w:rPr>
        <w:tab/>
      </w:r>
    </w:p>
    <w:p w:rsidR="009C1C1C" w:rsidRPr="005F6BC2" w:rsidP="009C1C1C" w14:paraId="776C5C3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375</w:t>
      </w:r>
    </w:p>
    <w:p w:rsidR="009C1C1C" w:rsidRPr="005F6BC2" w:rsidP="009C1C1C" w14:paraId="131ABB7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550</w:t>
      </w:r>
    </w:p>
    <w:p w:rsidR="009C1C1C" w:rsidRPr="005F6BC2" w:rsidP="009C1C1C" w14:paraId="0397A10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$5,</w:t>
      </w:r>
      <w:r>
        <w:rPr>
          <w:spacing w:val="-3"/>
          <w:szCs w:val="22"/>
          <w:lang w:val="fr-FR"/>
        </w:rPr>
        <w:t>325</w:t>
      </w:r>
    </w:p>
    <w:p w:rsidR="009C1C1C" w:rsidRPr="005F6BC2" w:rsidP="009C1C1C" w14:paraId="6B092B4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7,975</w:t>
      </w:r>
    </w:p>
    <w:p w:rsidR="009C1C1C" w:rsidRPr="005F6BC2" w:rsidP="009C1C1C" w14:paraId="59CD7923"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1,975</w:t>
      </w:r>
    </w:p>
    <w:p w:rsidR="009C1C1C" w:rsidRPr="005F6BC2" w:rsidP="009C1C1C" w14:paraId="3AAD1ECA" w14:textId="77777777">
      <w:pPr>
        <w:tabs>
          <w:tab w:val="left" w:pos="-1440"/>
          <w:tab w:val="left" w:pos="-720"/>
          <w:tab w:val="left" w:pos="540"/>
          <w:tab w:val="left" w:pos="4590"/>
          <w:tab w:val="left" w:pos="6480"/>
        </w:tabs>
        <w:suppressAutoHyphens/>
        <w:jc w:val="both"/>
        <w:rPr>
          <w:spacing w:val="-3"/>
          <w:szCs w:val="22"/>
          <w:lang w:val="fr-FR"/>
        </w:rPr>
      </w:pPr>
    </w:p>
    <w:p w:rsidR="009C1C1C" w:rsidRPr="005F6BC2" w:rsidP="009C1C1C" w14:paraId="1E82F484" w14:textId="77777777">
      <w:pPr>
        <w:tabs>
          <w:tab w:val="left" w:pos="-1440"/>
          <w:tab w:val="left" w:pos="-720"/>
          <w:tab w:val="left" w:pos="540"/>
          <w:tab w:val="left" w:pos="4590"/>
          <w:tab w:val="left" w:pos="6480"/>
        </w:tabs>
        <w:suppressAutoHyphens/>
        <w:jc w:val="both"/>
        <w:outlineLvl w:val="0"/>
        <w:rPr>
          <w:spacing w:val="-3"/>
          <w:szCs w:val="22"/>
          <w:lang w:val="fr-FR"/>
        </w:rPr>
      </w:pPr>
      <w:bookmarkStart w:id="191" w:name="_Toc491865090"/>
      <w:bookmarkStart w:id="192" w:name="_Toc491865505"/>
      <w:r w:rsidRPr="005F6BC2">
        <w:rPr>
          <w:spacing w:val="-3"/>
          <w:szCs w:val="22"/>
          <w:lang w:val="fr-FR"/>
        </w:rPr>
        <w:t>3.</w:t>
      </w:r>
      <w:r w:rsidRPr="005F6BC2">
        <w:rPr>
          <w:spacing w:val="-3"/>
          <w:szCs w:val="22"/>
          <w:lang w:val="fr-FR"/>
        </w:rPr>
        <w:tab/>
      </w:r>
      <w:r w:rsidRPr="005F6BC2">
        <w:rPr>
          <w:spacing w:val="-3"/>
          <w:szCs w:val="22"/>
          <w:u w:val="single"/>
          <w:lang w:val="fr-FR"/>
        </w:rPr>
        <w:t>AM Class C</w:t>
      </w:r>
      <w:bookmarkEnd w:id="191"/>
      <w:bookmarkEnd w:id="192"/>
    </w:p>
    <w:p w:rsidR="009C1C1C" w:rsidRPr="005F6BC2" w:rsidP="009C1C1C" w14:paraId="20EB2A3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 xml:space="preserve">&lt;=25,000 </w:t>
      </w:r>
      <w:r w:rsidRPr="005F6BC2">
        <w:rPr>
          <w:spacing w:val="-3"/>
          <w:szCs w:val="22"/>
          <w:lang w:val="fr-FR"/>
        </w:rPr>
        <w:t>population</w:t>
      </w:r>
      <w:r w:rsidRPr="005F6BC2">
        <w:rPr>
          <w:spacing w:val="-3"/>
          <w:szCs w:val="22"/>
          <w:lang w:val="fr-FR"/>
        </w:rPr>
        <w:tab/>
        <w:t xml:space="preserve">   $</w:t>
      </w:r>
      <w:r>
        <w:rPr>
          <w:spacing w:val="-3"/>
          <w:szCs w:val="22"/>
          <w:lang w:val="fr-FR"/>
        </w:rPr>
        <w:t>610</w:t>
      </w:r>
      <w:r w:rsidRPr="005F6BC2">
        <w:rPr>
          <w:spacing w:val="-3"/>
          <w:szCs w:val="22"/>
          <w:lang w:val="fr-FR"/>
        </w:rPr>
        <w:tab/>
      </w:r>
    </w:p>
    <w:p w:rsidR="009C1C1C" w:rsidRPr="005F6BC2" w:rsidP="009C1C1C" w14:paraId="78BF7E0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 xml:space="preserve">   $</w:t>
      </w:r>
      <w:r>
        <w:rPr>
          <w:spacing w:val="-3"/>
          <w:szCs w:val="22"/>
          <w:lang w:val="fr-FR"/>
        </w:rPr>
        <w:t>915</w:t>
      </w:r>
      <w:r w:rsidRPr="005F6BC2">
        <w:rPr>
          <w:spacing w:val="-3"/>
          <w:szCs w:val="22"/>
          <w:lang w:val="fr-FR"/>
        </w:rPr>
        <w:tab/>
      </w:r>
    </w:p>
    <w:p w:rsidR="009C1C1C" w:rsidRPr="005F6BC2" w:rsidP="009C1C1C" w14:paraId="6552007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375</w:t>
      </w:r>
      <w:r w:rsidRPr="005F6BC2">
        <w:rPr>
          <w:spacing w:val="-3"/>
          <w:szCs w:val="22"/>
          <w:lang w:val="fr-FR"/>
        </w:rPr>
        <w:tab/>
      </w:r>
    </w:p>
    <w:p w:rsidR="009C1C1C" w:rsidRPr="005F6BC2" w:rsidP="009C1C1C" w14:paraId="15E9E60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050</w:t>
      </w:r>
      <w:r w:rsidRPr="005F6BC2">
        <w:rPr>
          <w:spacing w:val="-3"/>
          <w:szCs w:val="22"/>
          <w:lang w:val="fr-FR"/>
        </w:rPr>
        <w:tab/>
      </w:r>
    </w:p>
    <w:p w:rsidR="009C1C1C" w:rsidRPr="005F6BC2" w:rsidP="009C1C1C" w14:paraId="492A3E8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075</w:t>
      </w:r>
    </w:p>
    <w:p w:rsidR="009C1C1C" w:rsidRPr="005F6BC2" w:rsidP="009C1C1C" w14:paraId="74ACE24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$4,</w:t>
      </w:r>
      <w:r>
        <w:rPr>
          <w:spacing w:val="-3"/>
          <w:szCs w:val="22"/>
          <w:lang w:val="fr-FR"/>
        </w:rPr>
        <w:t>625</w:t>
      </w:r>
    </w:p>
    <w:p w:rsidR="009C1C1C" w:rsidRPr="005F6BC2" w:rsidP="009C1C1C" w14:paraId="2770E06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6,950</w:t>
      </w:r>
    </w:p>
    <w:p w:rsidR="009C1C1C" w:rsidRPr="005F6BC2" w:rsidP="009C1C1C" w14:paraId="305ECFE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$10,</w:t>
      </w:r>
      <w:r>
        <w:rPr>
          <w:spacing w:val="-3"/>
          <w:szCs w:val="22"/>
          <w:lang w:val="fr-FR"/>
        </w:rPr>
        <w:t>425</w:t>
      </w:r>
    </w:p>
    <w:p w:rsidR="009C1C1C" w:rsidRPr="005F6BC2" w:rsidP="009C1C1C" w14:paraId="40599E24" w14:textId="77777777">
      <w:pPr>
        <w:tabs>
          <w:tab w:val="left" w:pos="-1440"/>
          <w:tab w:val="left" w:pos="-720"/>
          <w:tab w:val="left" w:pos="540"/>
          <w:tab w:val="left" w:pos="4590"/>
          <w:tab w:val="left" w:pos="6480"/>
        </w:tabs>
        <w:suppressAutoHyphens/>
        <w:jc w:val="both"/>
        <w:rPr>
          <w:spacing w:val="-3"/>
          <w:szCs w:val="22"/>
          <w:lang w:val="fr-FR"/>
        </w:rPr>
      </w:pPr>
    </w:p>
    <w:p w:rsidR="009C1C1C" w:rsidRPr="005F6BC2" w:rsidP="009C1C1C" w14:paraId="491495C8" w14:textId="77777777">
      <w:pPr>
        <w:tabs>
          <w:tab w:val="left" w:pos="-1440"/>
          <w:tab w:val="left" w:pos="-720"/>
          <w:tab w:val="left" w:pos="540"/>
          <w:tab w:val="left" w:pos="4590"/>
          <w:tab w:val="left" w:pos="6480"/>
        </w:tabs>
        <w:suppressAutoHyphens/>
        <w:jc w:val="both"/>
        <w:outlineLvl w:val="0"/>
        <w:rPr>
          <w:spacing w:val="-3"/>
          <w:szCs w:val="22"/>
          <w:lang w:val="fr-FR"/>
        </w:rPr>
      </w:pPr>
      <w:bookmarkStart w:id="193" w:name="_Toc491865091"/>
      <w:bookmarkStart w:id="194" w:name="_Toc491865506"/>
      <w:r w:rsidRPr="005F6BC2">
        <w:rPr>
          <w:spacing w:val="-3"/>
          <w:szCs w:val="22"/>
          <w:lang w:val="fr-FR"/>
        </w:rPr>
        <w:t>4.</w:t>
      </w:r>
      <w:r w:rsidRPr="005F6BC2">
        <w:rPr>
          <w:spacing w:val="-3"/>
          <w:szCs w:val="22"/>
          <w:lang w:val="fr-FR"/>
        </w:rPr>
        <w:tab/>
      </w:r>
      <w:r w:rsidRPr="005F6BC2">
        <w:rPr>
          <w:spacing w:val="-3"/>
          <w:szCs w:val="22"/>
          <w:u w:val="single"/>
          <w:lang w:val="fr-FR"/>
        </w:rPr>
        <w:t>AM Class D</w:t>
      </w:r>
      <w:bookmarkEnd w:id="193"/>
      <w:bookmarkEnd w:id="194"/>
    </w:p>
    <w:p w:rsidR="009C1C1C" w:rsidRPr="005F6BC2" w:rsidP="009C1C1C" w14:paraId="35C2F72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 xml:space="preserve">&lt;=25,000 </w:t>
      </w:r>
      <w:r w:rsidRPr="005F6BC2">
        <w:rPr>
          <w:spacing w:val="-3"/>
          <w:szCs w:val="22"/>
          <w:lang w:val="fr-FR"/>
        </w:rPr>
        <w:t>population</w:t>
      </w:r>
      <w:r w:rsidRPr="005F6BC2">
        <w:rPr>
          <w:spacing w:val="-3"/>
          <w:szCs w:val="22"/>
          <w:lang w:val="fr-FR"/>
        </w:rPr>
        <w:tab/>
        <w:t xml:space="preserve">   $6</w:t>
      </w:r>
      <w:r>
        <w:rPr>
          <w:spacing w:val="-3"/>
          <w:szCs w:val="22"/>
          <w:lang w:val="fr-FR"/>
        </w:rPr>
        <w:t>70</w:t>
      </w:r>
      <w:r w:rsidRPr="005F6BC2">
        <w:rPr>
          <w:spacing w:val="-3"/>
          <w:szCs w:val="22"/>
          <w:lang w:val="fr-FR"/>
        </w:rPr>
        <w:tab/>
      </w:r>
    </w:p>
    <w:p w:rsidR="009C1C1C" w:rsidRPr="005F6BC2" w:rsidP="009C1C1C" w14:paraId="1390FA7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 xml:space="preserve"> $</w:t>
      </w:r>
      <w:r>
        <w:rPr>
          <w:spacing w:val="-3"/>
          <w:szCs w:val="22"/>
          <w:lang w:val="fr-FR"/>
        </w:rPr>
        <w:t>1,000</w:t>
      </w:r>
      <w:r w:rsidRPr="005F6BC2">
        <w:rPr>
          <w:spacing w:val="-3"/>
          <w:szCs w:val="22"/>
          <w:lang w:val="fr-FR"/>
        </w:rPr>
        <w:tab/>
      </w:r>
    </w:p>
    <w:p w:rsidR="009C1C1C" w:rsidRPr="005F6BC2" w:rsidP="009C1C1C" w14:paraId="3BE5C33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500</w:t>
      </w:r>
      <w:r w:rsidRPr="005F6BC2">
        <w:rPr>
          <w:spacing w:val="-3"/>
          <w:szCs w:val="22"/>
          <w:lang w:val="fr-FR"/>
        </w:rPr>
        <w:tab/>
      </w:r>
    </w:p>
    <w:p w:rsidR="009C1C1C" w:rsidRPr="005F6BC2" w:rsidP="009C1C1C" w14:paraId="787F8F03"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275</w:t>
      </w:r>
      <w:r w:rsidRPr="005F6BC2">
        <w:rPr>
          <w:spacing w:val="-3"/>
          <w:szCs w:val="22"/>
          <w:lang w:val="fr-FR"/>
        </w:rPr>
        <w:tab/>
      </w:r>
    </w:p>
    <w:p w:rsidR="009C1C1C" w:rsidRPr="005F6BC2" w:rsidP="009C1C1C" w14:paraId="509E6B7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400</w:t>
      </w:r>
    </w:p>
    <w:p w:rsidR="009C1C1C" w:rsidRPr="005F6BC2" w:rsidP="009C1C1C" w14:paraId="688D73F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5,100</w:t>
      </w:r>
    </w:p>
    <w:p w:rsidR="009C1C1C" w:rsidRPr="005F6BC2" w:rsidP="009C1C1C" w14:paraId="15A7C73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$7,</w:t>
      </w:r>
      <w:r>
        <w:rPr>
          <w:spacing w:val="-3"/>
          <w:szCs w:val="22"/>
          <w:lang w:val="fr-FR"/>
        </w:rPr>
        <w:t>625</w:t>
      </w:r>
    </w:p>
    <w:p w:rsidR="009C1C1C" w:rsidRPr="005F6BC2" w:rsidP="009C1C1C" w14:paraId="6092710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$11,</w:t>
      </w:r>
      <w:r>
        <w:rPr>
          <w:spacing w:val="-3"/>
          <w:szCs w:val="22"/>
          <w:lang w:val="fr-FR"/>
        </w:rPr>
        <w:t>450</w:t>
      </w:r>
    </w:p>
    <w:p w:rsidR="009C1C1C" w:rsidRPr="005F6BC2" w:rsidP="009C1C1C" w14:paraId="6D080B63" w14:textId="77777777">
      <w:pPr>
        <w:tabs>
          <w:tab w:val="left" w:pos="-1440"/>
          <w:tab w:val="left" w:pos="-720"/>
          <w:tab w:val="left" w:pos="540"/>
          <w:tab w:val="left" w:pos="4590"/>
          <w:tab w:val="left" w:pos="6480"/>
        </w:tabs>
        <w:suppressAutoHyphens/>
        <w:jc w:val="both"/>
        <w:rPr>
          <w:spacing w:val="-3"/>
          <w:szCs w:val="22"/>
          <w:lang w:val="fr-FR"/>
        </w:rPr>
      </w:pPr>
    </w:p>
    <w:p w:rsidR="009C1C1C" w:rsidRPr="005F6BC2" w:rsidP="009C1C1C" w14:paraId="68A9C4F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5.</w:t>
      </w:r>
      <w:r w:rsidRPr="005F6BC2">
        <w:rPr>
          <w:spacing w:val="-3"/>
          <w:szCs w:val="22"/>
          <w:lang w:val="fr-FR"/>
        </w:rPr>
        <w:tab/>
        <w:t>AM Construction Permit</w:t>
      </w:r>
      <w:r w:rsidRPr="005F6BC2">
        <w:rPr>
          <w:spacing w:val="-3"/>
          <w:szCs w:val="22"/>
          <w:lang w:val="fr-FR"/>
        </w:rPr>
        <w:tab/>
        <w:t xml:space="preserve">   $</w:t>
      </w:r>
      <w:r>
        <w:rPr>
          <w:spacing w:val="-3"/>
          <w:szCs w:val="22"/>
          <w:lang w:val="fr-FR"/>
        </w:rPr>
        <w:t>610</w:t>
      </w:r>
      <w:r w:rsidRPr="005F6BC2">
        <w:rPr>
          <w:spacing w:val="-3"/>
          <w:szCs w:val="22"/>
          <w:lang w:val="fr-FR"/>
        </w:rPr>
        <w:tab/>
      </w:r>
      <w:r w:rsidRPr="005F6BC2">
        <w:rPr>
          <w:spacing w:val="-3"/>
          <w:szCs w:val="22"/>
          <w:lang w:val="fr-FR"/>
        </w:rPr>
        <w:tab/>
      </w:r>
      <w:r w:rsidRPr="005F6BC2">
        <w:rPr>
          <w:spacing w:val="-3"/>
          <w:szCs w:val="22"/>
          <w:lang w:val="fr-FR"/>
        </w:rPr>
        <w:tab/>
      </w:r>
    </w:p>
    <w:p w:rsidR="009C1C1C" w:rsidRPr="005F6BC2" w:rsidP="009C1C1C" w14:paraId="53F6C04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r>
      <w:r w:rsidRPr="005F6BC2">
        <w:rPr>
          <w:spacing w:val="-3"/>
          <w:szCs w:val="22"/>
          <w:lang w:val="fr-FR"/>
        </w:rPr>
        <w:tab/>
      </w:r>
      <w:r w:rsidRPr="005F6BC2">
        <w:rPr>
          <w:spacing w:val="-3"/>
          <w:szCs w:val="22"/>
          <w:lang w:val="fr-FR"/>
        </w:rPr>
        <w:tab/>
      </w:r>
    </w:p>
    <w:p w:rsidR="009C1C1C" w:rsidRPr="005F6BC2" w:rsidP="009C1C1C" w14:paraId="3C3C3220" w14:textId="77777777">
      <w:pPr>
        <w:tabs>
          <w:tab w:val="left" w:pos="-1440"/>
          <w:tab w:val="left" w:pos="-720"/>
          <w:tab w:val="left" w:pos="540"/>
          <w:tab w:val="left" w:pos="4590"/>
          <w:tab w:val="left" w:pos="6480"/>
        </w:tabs>
        <w:suppressAutoHyphens/>
        <w:jc w:val="both"/>
        <w:outlineLvl w:val="0"/>
        <w:rPr>
          <w:spacing w:val="-3"/>
          <w:szCs w:val="22"/>
          <w:lang w:val="fr-FR"/>
        </w:rPr>
      </w:pPr>
      <w:bookmarkStart w:id="195" w:name="_Toc491865092"/>
      <w:bookmarkStart w:id="196" w:name="_Toc491865507"/>
      <w:r w:rsidRPr="005F6BC2">
        <w:rPr>
          <w:spacing w:val="-3"/>
          <w:szCs w:val="22"/>
          <w:lang w:val="fr-FR"/>
        </w:rPr>
        <w:t>6.</w:t>
      </w:r>
      <w:r w:rsidRPr="005F6BC2">
        <w:rPr>
          <w:spacing w:val="-3"/>
          <w:szCs w:val="22"/>
          <w:lang w:val="fr-FR"/>
        </w:rPr>
        <w:tab/>
      </w:r>
      <w:r w:rsidRPr="005F6BC2">
        <w:rPr>
          <w:spacing w:val="-3"/>
          <w:szCs w:val="22"/>
          <w:u w:val="single"/>
          <w:lang w:val="fr-FR"/>
        </w:rPr>
        <w:t>FM Classes A, B1 and C3</w:t>
      </w:r>
      <w:bookmarkEnd w:id="195"/>
      <w:bookmarkEnd w:id="196"/>
    </w:p>
    <w:p w:rsidR="009C1C1C" w:rsidRPr="005F6BC2" w:rsidP="009C1C1C" w14:paraId="6C5BBB8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 xml:space="preserve">&lt;=25,000 </w:t>
      </w:r>
      <w:r w:rsidRPr="005F6BC2">
        <w:rPr>
          <w:spacing w:val="-3"/>
          <w:szCs w:val="22"/>
          <w:lang w:val="fr-FR"/>
        </w:rPr>
        <w:t>population</w:t>
      </w:r>
      <w:r w:rsidRPr="005F6BC2">
        <w:rPr>
          <w:spacing w:val="-3"/>
          <w:szCs w:val="22"/>
          <w:lang w:val="fr-FR"/>
        </w:rPr>
        <w:tab/>
        <w:t>$1,0</w:t>
      </w:r>
      <w:r>
        <w:rPr>
          <w:spacing w:val="-3"/>
          <w:szCs w:val="22"/>
          <w:lang w:val="fr-FR"/>
        </w:rPr>
        <w:t>75</w:t>
      </w:r>
      <w:r w:rsidRPr="005F6BC2">
        <w:rPr>
          <w:spacing w:val="-3"/>
          <w:szCs w:val="22"/>
          <w:lang w:val="fr-FR"/>
        </w:rPr>
        <w:tab/>
      </w:r>
    </w:p>
    <w:p w:rsidR="009C1C1C" w:rsidRPr="005F6BC2" w:rsidP="009C1C1C" w14:paraId="16363C4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w:t>
      </w:r>
      <w:r>
        <w:rPr>
          <w:spacing w:val="-3"/>
          <w:szCs w:val="22"/>
          <w:lang w:val="fr-FR"/>
        </w:rPr>
        <w:t>625</w:t>
      </w:r>
      <w:r w:rsidRPr="005F6BC2">
        <w:rPr>
          <w:spacing w:val="-3"/>
          <w:szCs w:val="22"/>
          <w:lang w:val="fr-FR"/>
        </w:rPr>
        <w:tab/>
      </w:r>
    </w:p>
    <w:p w:rsidR="009C1C1C" w:rsidRPr="005F6BC2" w:rsidP="009C1C1C" w14:paraId="39B4456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425</w:t>
      </w:r>
      <w:r w:rsidRPr="005F6BC2">
        <w:rPr>
          <w:spacing w:val="-3"/>
          <w:szCs w:val="22"/>
          <w:lang w:val="fr-FR"/>
        </w:rPr>
        <w:tab/>
      </w:r>
    </w:p>
    <w:p w:rsidR="009C1C1C" w:rsidRPr="005F6BC2" w:rsidP="009C1C1C" w14:paraId="53D6EAF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$3,</w:t>
      </w:r>
      <w:r>
        <w:rPr>
          <w:spacing w:val="-3"/>
          <w:szCs w:val="22"/>
          <w:lang w:val="fr-FR"/>
        </w:rPr>
        <w:t>625</w:t>
      </w:r>
      <w:r w:rsidRPr="005F6BC2">
        <w:rPr>
          <w:spacing w:val="-3"/>
          <w:szCs w:val="22"/>
          <w:lang w:val="fr-FR"/>
        </w:rPr>
        <w:tab/>
      </w:r>
    </w:p>
    <w:p w:rsidR="009C1C1C" w:rsidRPr="005F6BC2" w:rsidP="009C1C1C" w14:paraId="7701C7B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$5,</w:t>
      </w:r>
      <w:r>
        <w:rPr>
          <w:spacing w:val="-3"/>
          <w:szCs w:val="22"/>
          <w:lang w:val="fr-FR"/>
        </w:rPr>
        <w:t>450</w:t>
      </w:r>
    </w:p>
    <w:p w:rsidR="009C1C1C" w:rsidRPr="005F6BC2" w:rsidP="009C1C1C" w14:paraId="1A56E51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8,175</w:t>
      </w:r>
    </w:p>
    <w:p w:rsidR="009C1C1C" w:rsidRPr="005F6BC2" w:rsidP="009C1C1C" w14:paraId="129E51C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2,250</w:t>
      </w:r>
    </w:p>
    <w:p w:rsidR="009C1C1C" w:rsidRPr="005F6BC2" w:rsidP="009C1C1C" w14:paraId="5EB43D9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8,375</w:t>
      </w:r>
      <w:r w:rsidRPr="005F6BC2">
        <w:rPr>
          <w:spacing w:val="-3"/>
          <w:szCs w:val="22"/>
          <w:lang w:val="fr-FR"/>
        </w:rPr>
        <w:tab/>
      </w:r>
      <w:r w:rsidRPr="005F6BC2">
        <w:rPr>
          <w:spacing w:val="-3"/>
          <w:szCs w:val="22"/>
          <w:lang w:val="fr-FR"/>
        </w:rPr>
        <w:tab/>
      </w:r>
      <w:r w:rsidRPr="005F6BC2">
        <w:rPr>
          <w:spacing w:val="-3"/>
          <w:szCs w:val="22"/>
          <w:lang w:val="fr-FR"/>
        </w:rPr>
        <w:tab/>
      </w:r>
    </w:p>
    <w:p w:rsidR="009C1C1C" w:rsidRPr="005F6BC2" w:rsidP="009C1C1C" w14:paraId="43ACE00B" w14:textId="77777777">
      <w:pPr>
        <w:widowControl/>
        <w:rPr>
          <w:spacing w:val="-3"/>
          <w:szCs w:val="22"/>
          <w:lang w:val="fr-FR"/>
        </w:rPr>
      </w:pPr>
    </w:p>
    <w:p w:rsidR="009C1C1C" w:rsidRPr="005F6BC2" w:rsidP="009C1C1C" w14:paraId="5A1BD352" w14:textId="77777777">
      <w:pPr>
        <w:tabs>
          <w:tab w:val="left" w:pos="-1440"/>
          <w:tab w:val="left" w:pos="-720"/>
          <w:tab w:val="left" w:pos="540"/>
          <w:tab w:val="left" w:pos="4590"/>
          <w:tab w:val="left" w:pos="6480"/>
        </w:tabs>
        <w:suppressAutoHyphens/>
        <w:jc w:val="both"/>
        <w:outlineLvl w:val="0"/>
        <w:rPr>
          <w:spacing w:val="-3"/>
          <w:szCs w:val="22"/>
        </w:rPr>
      </w:pPr>
      <w:bookmarkStart w:id="197" w:name="_Toc491865093"/>
      <w:bookmarkStart w:id="198" w:name="_Toc491865508"/>
      <w:r w:rsidRPr="005F6BC2">
        <w:rPr>
          <w:spacing w:val="-3"/>
          <w:szCs w:val="22"/>
        </w:rPr>
        <w:t>7.</w:t>
      </w:r>
      <w:r w:rsidRPr="005F6BC2">
        <w:rPr>
          <w:spacing w:val="-3"/>
          <w:szCs w:val="22"/>
        </w:rPr>
        <w:tab/>
      </w:r>
      <w:r w:rsidRPr="005F6BC2">
        <w:rPr>
          <w:spacing w:val="-3"/>
          <w:szCs w:val="22"/>
          <w:u w:val="single"/>
        </w:rPr>
        <w:t>FM Classes B, C, C0, C1 and C2</w:t>
      </w:r>
      <w:bookmarkEnd w:id="197"/>
      <w:bookmarkEnd w:id="198"/>
    </w:p>
    <w:p w:rsidR="009C1C1C" w:rsidRPr="005F6BC2" w:rsidP="009C1C1C" w14:paraId="7886DC0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rPr>
        <w:tab/>
      </w:r>
      <w:r w:rsidRPr="005F6BC2">
        <w:rPr>
          <w:spacing w:val="-3"/>
          <w:szCs w:val="22"/>
          <w:lang w:val="fr-FR"/>
        </w:rPr>
        <w:t xml:space="preserve">&lt;=25,000 </w:t>
      </w:r>
      <w:r w:rsidRPr="005F6BC2">
        <w:rPr>
          <w:spacing w:val="-3"/>
          <w:szCs w:val="22"/>
          <w:lang w:val="fr-FR"/>
        </w:rPr>
        <w:t>population</w:t>
      </w:r>
      <w:r w:rsidRPr="005F6BC2">
        <w:rPr>
          <w:spacing w:val="-3"/>
          <w:szCs w:val="22"/>
          <w:lang w:val="fr-FR"/>
        </w:rPr>
        <w:tab/>
        <w:t>$1,2</w:t>
      </w:r>
      <w:r>
        <w:rPr>
          <w:spacing w:val="-3"/>
          <w:szCs w:val="22"/>
          <w:lang w:val="fr-FR"/>
        </w:rPr>
        <w:t>25</w:t>
      </w:r>
      <w:r w:rsidRPr="005F6BC2">
        <w:rPr>
          <w:spacing w:val="-3"/>
          <w:szCs w:val="22"/>
          <w:lang w:val="fr-FR"/>
        </w:rPr>
        <w:tab/>
      </w:r>
    </w:p>
    <w:p w:rsidR="009C1C1C" w:rsidRPr="005F6BC2" w:rsidP="009C1C1C" w14:paraId="68B3362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$1,8</w:t>
      </w:r>
      <w:r>
        <w:rPr>
          <w:spacing w:val="-3"/>
          <w:szCs w:val="22"/>
          <w:lang w:val="fr-FR"/>
        </w:rPr>
        <w:t>50</w:t>
      </w:r>
      <w:r w:rsidRPr="005F6BC2">
        <w:rPr>
          <w:spacing w:val="-3"/>
          <w:szCs w:val="22"/>
          <w:lang w:val="fr-FR"/>
        </w:rPr>
        <w:tab/>
      </w:r>
    </w:p>
    <w:p w:rsidR="009C1C1C" w:rsidRPr="005F6BC2" w:rsidP="009C1C1C" w14:paraId="3E31791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750</w:t>
      </w:r>
      <w:r w:rsidRPr="005F6BC2">
        <w:rPr>
          <w:spacing w:val="-3"/>
          <w:szCs w:val="22"/>
          <w:lang w:val="fr-FR"/>
        </w:rPr>
        <w:tab/>
      </w:r>
    </w:p>
    <w:p w:rsidR="009C1C1C" w:rsidRPr="005F6BC2" w:rsidP="009C1C1C" w14:paraId="0AFE678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$4,</w:t>
      </w:r>
      <w:r>
        <w:rPr>
          <w:spacing w:val="-3"/>
          <w:szCs w:val="22"/>
          <w:lang w:val="fr-FR"/>
        </w:rPr>
        <w:t>150</w:t>
      </w:r>
      <w:r w:rsidRPr="005F6BC2">
        <w:rPr>
          <w:spacing w:val="-3"/>
          <w:szCs w:val="22"/>
          <w:lang w:val="fr-FR"/>
        </w:rPr>
        <w:tab/>
      </w:r>
    </w:p>
    <w:p w:rsidR="009C1C1C" w:rsidRPr="005F6BC2" w:rsidP="009C1C1C" w14:paraId="5CD6848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$6,</w:t>
      </w:r>
      <w:r>
        <w:rPr>
          <w:spacing w:val="-3"/>
          <w:szCs w:val="22"/>
          <w:lang w:val="fr-FR"/>
        </w:rPr>
        <w:t>200</w:t>
      </w:r>
    </w:p>
    <w:p w:rsidR="009C1C1C" w:rsidRPr="005F6BC2" w:rsidP="009C1C1C" w14:paraId="2CA70AC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$9,</w:t>
      </w:r>
      <w:r>
        <w:rPr>
          <w:spacing w:val="-3"/>
          <w:szCs w:val="22"/>
          <w:lang w:val="fr-FR"/>
        </w:rPr>
        <w:t>300</w:t>
      </w:r>
    </w:p>
    <w:p w:rsidR="009C1C1C" w:rsidRPr="005F6BC2" w:rsidP="009C1C1C" w14:paraId="1F54748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3,950</w:t>
      </w:r>
    </w:p>
    <w:p w:rsidR="009C1C1C" w:rsidRPr="005F6BC2" w:rsidP="009C1C1C" w14:paraId="0607B79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$2</w:t>
      </w:r>
      <w:r>
        <w:rPr>
          <w:spacing w:val="-3"/>
          <w:szCs w:val="22"/>
          <w:lang w:val="fr-FR"/>
        </w:rPr>
        <w:t>0,925</w:t>
      </w:r>
    </w:p>
    <w:p w:rsidR="009C1C1C" w:rsidRPr="005F6BC2" w:rsidP="009C1C1C" w14:paraId="711ACD15" w14:textId="77777777">
      <w:pPr>
        <w:tabs>
          <w:tab w:val="left" w:pos="-1440"/>
          <w:tab w:val="left" w:pos="-720"/>
          <w:tab w:val="left" w:pos="540"/>
          <w:tab w:val="left" w:pos="4590"/>
          <w:tab w:val="left" w:pos="6480"/>
        </w:tabs>
        <w:suppressAutoHyphens/>
        <w:jc w:val="both"/>
        <w:rPr>
          <w:spacing w:val="-3"/>
          <w:szCs w:val="22"/>
          <w:lang w:val="fr-FR"/>
        </w:rPr>
      </w:pPr>
    </w:p>
    <w:p w:rsidR="009C1C1C" w:rsidRPr="005F6BC2" w:rsidP="009C1C1C" w14:paraId="2C3A856F"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lang w:val="fr-FR"/>
        </w:rPr>
        <w:t>8.</w:t>
      </w:r>
      <w:r w:rsidRPr="005F6BC2">
        <w:rPr>
          <w:spacing w:val="-3"/>
          <w:szCs w:val="22"/>
          <w:lang w:val="fr-FR"/>
        </w:rPr>
        <w:tab/>
        <w:t xml:space="preserve">FM Construction </w:t>
      </w:r>
      <w:r w:rsidRPr="005F6BC2">
        <w:rPr>
          <w:spacing w:val="-3"/>
          <w:szCs w:val="22"/>
          <w:lang w:val="fr-FR"/>
        </w:rPr>
        <w:t>Permits</w:t>
      </w:r>
      <w:r w:rsidRPr="005F6BC2">
        <w:rPr>
          <w:spacing w:val="-3"/>
          <w:szCs w:val="22"/>
          <w:lang w:val="fr-FR"/>
        </w:rPr>
        <w:tab/>
        <w:t>$1,0</w:t>
      </w:r>
      <w:r>
        <w:rPr>
          <w:spacing w:val="-3"/>
          <w:szCs w:val="22"/>
          <w:lang w:val="fr-FR"/>
        </w:rPr>
        <w:t>75</w:t>
      </w:r>
      <w:r w:rsidRPr="005F6BC2">
        <w:rPr>
          <w:spacing w:val="-3"/>
          <w:szCs w:val="22"/>
          <w:lang w:val="fr-FR"/>
        </w:rPr>
        <w:tab/>
      </w:r>
    </w:p>
    <w:p w:rsidR="009C1C1C" w:rsidRPr="005F6BC2" w:rsidP="009C1C1C" w14:paraId="5C1DAEE4" w14:textId="77777777">
      <w:pPr>
        <w:widowControl/>
        <w:rPr>
          <w:spacing w:val="-3"/>
          <w:szCs w:val="22"/>
          <w:lang w:val="fr-FR"/>
        </w:rPr>
      </w:pPr>
    </w:p>
    <w:p w:rsidR="009C1C1C" w:rsidRPr="005F6BC2" w:rsidP="009C1C1C" w14:paraId="79CB4A2D" w14:textId="77777777">
      <w:pPr>
        <w:widowControl/>
        <w:rPr>
          <w:spacing w:val="-3"/>
          <w:szCs w:val="22"/>
          <w:lang w:val="fr-FR"/>
        </w:rPr>
      </w:pPr>
    </w:p>
    <w:p w:rsidR="009C1C1C" w:rsidRPr="005F6BC2" w:rsidP="009C1C1C" w14:paraId="06E98907" w14:textId="77777777">
      <w:pPr>
        <w:tabs>
          <w:tab w:val="left" w:pos="-1440"/>
          <w:tab w:val="left" w:pos="-720"/>
          <w:tab w:val="left" w:pos="540"/>
          <w:tab w:val="left" w:pos="4590"/>
          <w:tab w:val="left" w:pos="6480"/>
        </w:tabs>
        <w:suppressAutoHyphens/>
        <w:jc w:val="both"/>
        <w:outlineLvl w:val="0"/>
        <w:rPr>
          <w:b/>
          <w:spacing w:val="-3"/>
          <w:szCs w:val="22"/>
        </w:rPr>
      </w:pPr>
      <w:bookmarkStart w:id="199" w:name="_Toc491865094"/>
      <w:bookmarkStart w:id="200" w:name="_Toc491865509"/>
      <w:r w:rsidRPr="005F6BC2">
        <w:rPr>
          <w:b/>
          <w:spacing w:val="-3"/>
          <w:szCs w:val="22"/>
        </w:rPr>
        <w:t>TV (47 CFR, part 73)</w:t>
      </w:r>
      <w:bookmarkEnd w:id="199"/>
      <w:bookmarkEnd w:id="200"/>
    </w:p>
    <w:p w:rsidR="009C1C1C" w:rsidRPr="005F6BC2" w:rsidP="009C1C1C" w14:paraId="483A7B94" w14:textId="77777777">
      <w:pPr>
        <w:tabs>
          <w:tab w:val="left" w:pos="-1440"/>
          <w:tab w:val="left" w:pos="-720"/>
          <w:tab w:val="left" w:pos="540"/>
          <w:tab w:val="left" w:pos="4590"/>
          <w:tab w:val="left" w:pos="6480"/>
        </w:tabs>
        <w:suppressAutoHyphens/>
        <w:jc w:val="both"/>
        <w:outlineLvl w:val="0"/>
        <w:rPr>
          <w:spacing w:val="-3"/>
          <w:szCs w:val="22"/>
        </w:rPr>
      </w:pPr>
      <w:bookmarkStart w:id="201" w:name="_Toc491865095"/>
      <w:bookmarkStart w:id="202" w:name="_Toc491865510"/>
      <w:r w:rsidRPr="005F6BC2">
        <w:rPr>
          <w:b/>
          <w:spacing w:val="-3"/>
          <w:szCs w:val="22"/>
        </w:rPr>
        <w:t>Digital TV (UHF and VHF Commercial Stations)</w:t>
      </w:r>
      <w:bookmarkEnd w:id="201"/>
      <w:bookmarkEnd w:id="202"/>
    </w:p>
    <w:p w:rsidR="009C1C1C" w:rsidRPr="005F6BC2" w:rsidP="009C1C1C" w14:paraId="06A3B2CA"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510E9093" w14:textId="77777777">
      <w:pPr>
        <w:tabs>
          <w:tab w:val="left" w:pos="-1440"/>
          <w:tab w:val="left" w:pos="-720"/>
          <w:tab w:val="left" w:pos="540"/>
          <w:tab w:val="left" w:pos="4590"/>
          <w:tab w:val="left" w:pos="6480"/>
        </w:tabs>
        <w:suppressAutoHyphens/>
        <w:jc w:val="both"/>
        <w:rPr>
          <w:spacing w:val="-3"/>
          <w:szCs w:val="22"/>
        </w:rPr>
      </w:pPr>
      <w:r>
        <w:rPr>
          <w:spacing w:val="-3"/>
          <w:szCs w:val="22"/>
        </w:rPr>
        <w:t>1</w:t>
      </w:r>
      <w:r w:rsidRPr="005F6BC2">
        <w:rPr>
          <w:spacing w:val="-3"/>
          <w:szCs w:val="22"/>
        </w:rPr>
        <w:t>.</w:t>
      </w:r>
      <w:r w:rsidRPr="005F6BC2">
        <w:rPr>
          <w:spacing w:val="-3"/>
          <w:szCs w:val="22"/>
        </w:rPr>
        <w:tab/>
      </w:r>
      <w:r>
        <w:rPr>
          <w:spacing w:val="-3"/>
          <w:szCs w:val="22"/>
        </w:rPr>
        <w:t xml:space="preserve">Digital TV </w:t>
      </w:r>
      <w:r w:rsidRPr="005F6BC2">
        <w:rPr>
          <w:spacing w:val="-3"/>
          <w:szCs w:val="22"/>
        </w:rPr>
        <w:t>Construction Permits</w:t>
      </w:r>
      <w:r w:rsidRPr="005F6BC2">
        <w:rPr>
          <w:spacing w:val="-3"/>
          <w:szCs w:val="22"/>
        </w:rPr>
        <w:tab/>
      </w:r>
      <w:r>
        <w:rPr>
          <w:spacing w:val="-3"/>
          <w:szCs w:val="22"/>
        </w:rPr>
        <w:t xml:space="preserve">     </w:t>
      </w:r>
      <w:r w:rsidRPr="005F6BC2">
        <w:rPr>
          <w:spacing w:val="-3"/>
          <w:szCs w:val="22"/>
        </w:rPr>
        <w:t>$4,</w:t>
      </w:r>
      <w:r>
        <w:rPr>
          <w:spacing w:val="-3"/>
          <w:szCs w:val="22"/>
        </w:rPr>
        <w:t>950</w:t>
      </w:r>
    </w:p>
    <w:p w:rsidR="009C1C1C" w:rsidRPr="005F6BC2" w:rsidP="009C1C1C" w14:paraId="36CD4326"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7B95EA48"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9C1C1C" w:rsidRPr="0091451A" w:rsidP="009C1C1C" w14:paraId="4149D86C" w14:textId="77777777">
      <w:pPr>
        <w:tabs>
          <w:tab w:val="left" w:pos="540"/>
          <w:tab w:val="left" w:pos="4860"/>
          <w:tab w:val="left" w:pos="6840"/>
        </w:tabs>
        <w:suppressAutoHyphens/>
        <w:jc w:val="both"/>
        <w:rPr>
          <w:b/>
          <w:spacing w:val="-3"/>
        </w:rPr>
      </w:pPr>
      <w:r>
        <w:rPr>
          <w:b/>
          <w:spacing w:val="-3"/>
          <w:szCs w:val="22"/>
        </w:rPr>
        <w:t>2.</w:t>
      </w:r>
      <w:r>
        <w:rPr>
          <w:b/>
          <w:spacing w:val="-3"/>
          <w:szCs w:val="22"/>
        </w:rPr>
        <w:tab/>
      </w:r>
      <w:r w:rsidRPr="00CB7298">
        <w:rPr>
          <w:bCs/>
          <w:spacing w:val="-3"/>
          <w:szCs w:val="22"/>
        </w:rPr>
        <w:t xml:space="preserve">Television Fee Factor </w:t>
      </w:r>
      <w:r>
        <w:rPr>
          <w:bCs/>
          <w:spacing w:val="-3"/>
          <w:szCs w:val="22"/>
        </w:rPr>
        <w:tab/>
      </w:r>
      <w:r w:rsidRPr="00CB7298">
        <w:rPr>
          <w:bCs/>
          <w:spacing w:val="-3"/>
          <w:szCs w:val="22"/>
        </w:rPr>
        <w:t>$.007837</w:t>
      </w:r>
      <w:r>
        <w:rPr>
          <w:bCs/>
          <w:spacing w:val="-3"/>
          <w:szCs w:val="22"/>
        </w:rPr>
        <w:t xml:space="preserve"> per population count</w:t>
      </w:r>
      <w:r w:rsidRPr="0091451A">
        <w:rPr>
          <w:b/>
          <w:spacing w:val="-3"/>
        </w:rPr>
        <w:tab/>
      </w:r>
      <w:r w:rsidRPr="0091451A">
        <w:rPr>
          <w:b/>
          <w:spacing w:val="-3"/>
        </w:rPr>
        <w:tab/>
      </w:r>
      <w:r w:rsidRPr="0091451A">
        <w:rPr>
          <w:b/>
          <w:spacing w:val="-3"/>
        </w:rPr>
        <w:tab/>
      </w:r>
    </w:p>
    <w:p w:rsidR="009C1C1C" w:rsidRPr="005F6BC2" w:rsidP="009C1C1C" w14:paraId="49008246" w14:textId="77777777">
      <w:pPr>
        <w:tabs>
          <w:tab w:val="left" w:pos="540"/>
          <w:tab w:val="left" w:pos="4860"/>
          <w:tab w:val="left" w:pos="6840"/>
        </w:tabs>
        <w:suppressAutoHyphens/>
        <w:jc w:val="both"/>
        <w:outlineLvl w:val="0"/>
        <w:rPr>
          <w:spacing w:val="-3"/>
          <w:szCs w:val="22"/>
        </w:rPr>
      </w:pPr>
      <w:r w:rsidRPr="005F6BC2">
        <w:rPr>
          <w:b/>
          <w:spacing w:val="-3"/>
          <w:szCs w:val="22"/>
        </w:rPr>
        <w:tab/>
      </w:r>
    </w:p>
    <w:p w:rsidR="009C1C1C" w:rsidRPr="005F6BC2" w:rsidP="009C1C1C" w14:paraId="33928582"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9C1C1C" w:rsidRPr="005F6BC2" w:rsidP="009C1C1C" w14:paraId="17188A0C"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Low Power TV,  Class A TV, TV/FM</w:t>
      </w:r>
      <w:r w:rsidRPr="005F6BC2">
        <w:rPr>
          <w:spacing w:val="-3"/>
          <w:szCs w:val="22"/>
        </w:rPr>
        <w:tab/>
        <w:t>$  3</w:t>
      </w:r>
      <w:r>
        <w:rPr>
          <w:spacing w:val="-3"/>
          <w:szCs w:val="22"/>
        </w:rPr>
        <w:t>1</w:t>
      </w:r>
      <w:r w:rsidRPr="005F6BC2">
        <w:rPr>
          <w:spacing w:val="-3"/>
          <w:szCs w:val="22"/>
        </w:rPr>
        <w:t>5</w:t>
      </w:r>
      <w:r w:rsidRPr="005F6BC2">
        <w:rPr>
          <w:spacing w:val="-3"/>
          <w:szCs w:val="22"/>
        </w:rPr>
        <w:tab/>
      </w:r>
    </w:p>
    <w:p w:rsidR="009C1C1C" w:rsidRPr="005F6BC2" w:rsidP="009C1C1C" w14:paraId="23749C38"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Translator, &amp; TV/FM Booster</w:t>
      </w:r>
      <w:r w:rsidRPr="005F6BC2">
        <w:rPr>
          <w:spacing w:val="-3"/>
          <w:szCs w:val="22"/>
        </w:rPr>
        <w:t xml:space="preserve"> </w:t>
      </w:r>
      <w:r w:rsidRPr="005F6BC2">
        <w:rPr>
          <w:spacing w:val="-3"/>
          <w:szCs w:val="22"/>
        </w:rPr>
        <w:tab/>
      </w:r>
      <w:r w:rsidRPr="005F6BC2">
        <w:rPr>
          <w:spacing w:val="-3"/>
          <w:szCs w:val="22"/>
        </w:rPr>
        <w:tab/>
      </w:r>
    </w:p>
    <w:p w:rsidR="009C1C1C" w:rsidRPr="005F6BC2" w:rsidP="009C1C1C" w14:paraId="4B99CA1D"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(47 CFR part 74)</w:t>
      </w:r>
      <w:r w:rsidRPr="005F6BC2">
        <w:rPr>
          <w:spacing w:val="-3"/>
          <w:szCs w:val="22"/>
        </w:rPr>
        <w:tab/>
      </w:r>
      <w:r w:rsidRPr="005F6BC2">
        <w:rPr>
          <w:spacing w:val="-3"/>
          <w:szCs w:val="22"/>
        </w:rPr>
        <w:tab/>
      </w:r>
    </w:p>
    <w:p w:rsidR="009C1C1C" w:rsidRPr="005F6BC2" w:rsidP="009C1C1C" w14:paraId="65EB9618"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19EA1593"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4</w:t>
      </w:r>
      <w:r w:rsidRPr="005F6BC2">
        <w:rPr>
          <w:szCs w:val="22"/>
        </w:rPr>
        <w:t>.   Section 1.1154 is revised to read as follows:</w:t>
      </w:r>
    </w:p>
    <w:p w:rsidR="009C1C1C" w:rsidRPr="005F6BC2" w:rsidP="009C1C1C" w14:paraId="444A6FBC" w14:textId="77777777">
      <w:pPr>
        <w:pStyle w:val="BodyText"/>
        <w:rPr>
          <w:rFonts w:ascii="Times New Roman" w:hAnsi="Times New Roman"/>
          <w:szCs w:val="22"/>
        </w:rPr>
      </w:pPr>
    </w:p>
    <w:p w:rsidR="009C1C1C" w:rsidP="009C1C1C" w14:paraId="76AD5623" w14:textId="77777777">
      <w:pPr>
        <w:pStyle w:val="BodyText"/>
        <w:rPr>
          <w:rFonts w:ascii="Times New Roman" w:hAnsi="Times New Roman"/>
          <w:b/>
          <w:szCs w:val="22"/>
        </w:rPr>
      </w:pPr>
      <w:r w:rsidRPr="002F0F38">
        <w:rPr>
          <w:rFonts w:ascii="Times New Roman" w:hAnsi="Times New Roman"/>
          <w:b/>
          <w:szCs w:val="22"/>
        </w:rPr>
        <w:t>§ 1.1154  Schedule of annual regulatory charges for common carrier services.</w:t>
      </w:r>
    </w:p>
    <w:p w:rsidR="009C1C1C" w:rsidRPr="002F0F38" w:rsidP="009C1C1C" w14:paraId="72CE6A8F" w14:textId="77777777">
      <w:pPr>
        <w:pStyle w:val="BodyText"/>
        <w:rPr>
          <w:rFonts w:ascii="Times New Roman" w:hAnsi="Times New Roman"/>
          <w:b/>
          <w:szCs w:val="22"/>
        </w:rPr>
      </w:pPr>
    </w:p>
    <w:p w:rsidR="009C1C1C" w:rsidRPr="005F6BC2" w:rsidP="009C1C1C" w14:paraId="73DAD4E0"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Radio Facilities</w:t>
      </w:r>
      <w:r w:rsidRPr="005F6BC2">
        <w:rPr>
          <w:b/>
          <w:spacing w:val="-3"/>
          <w:szCs w:val="22"/>
        </w:rPr>
        <w:tab/>
        <w:t>Fee Amount</w:t>
      </w:r>
      <w:r w:rsidRPr="005F6BC2">
        <w:rPr>
          <w:b/>
          <w:spacing w:val="-3"/>
          <w:szCs w:val="22"/>
        </w:rPr>
        <w:tab/>
      </w:r>
    </w:p>
    <w:p w:rsidR="009C1C1C" w:rsidRPr="005F6BC2" w:rsidP="009C1C1C" w14:paraId="2D2588FE"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1405363E"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Microwave (Domestic Public Fixed)</w:t>
      </w:r>
      <w:r w:rsidRPr="005F6BC2">
        <w:rPr>
          <w:spacing w:val="-3"/>
          <w:szCs w:val="22"/>
        </w:rPr>
        <w:tab/>
        <w:t>$25.00</w:t>
      </w:r>
      <w:r w:rsidRPr="005F6BC2">
        <w:rPr>
          <w:spacing w:val="-3"/>
          <w:szCs w:val="22"/>
        </w:rPr>
        <w:tab/>
      </w:r>
    </w:p>
    <w:p w:rsidR="009C1C1C" w:rsidRPr="005F6BC2" w:rsidP="009C1C1C" w14:paraId="26FEA451"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9C1C1C" w:rsidRPr="005F6BC2" w:rsidP="009C1C1C" w14:paraId="11F28F52"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(FCC Form 601 &amp; 159)</w:t>
      </w:r>
      <w:r w:rsidRPr="005F6BC2">
        <w:rPr>
          <w:spacing w:val="-3"/>
          <w:szCs w:val="22"/>
        </w:rPr>
        <w:tab/>
      </w:r>
      <w:r w:rsidRPr="005F6BC2">
        <w:rPr>
          <w:spacing w:val="-3"/>
          <w:szCs w:val="22"/>
        </w:rPr>
        <w:tab/>
      </w:r>
    </w:p>
    <w:p w:rsidR="009C1C1C" w:rsidRPr="005F6BC2" w:rsidP="009C1C1C" w14:paraId="2170F2BD"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051D0E1C" w14:textId="77777777">
      <w:pPr>
        <w:tabs>
          <w:tab w:val="left" w:pos="-1440"/>
          <w:tab w:val="left" w:pos="-720"/>
          <w:tab w:val="left" w:pos="540"/>
          <w:tab w:val="left" w:pos="4590"/>
          <w:tab w:val="left" w:pos="6480"/>
        </w:tabs>
        <w:suppressAutoHyphens/>
        <w:jc w:val="both"/>
        <w:outlineLvl w:val="0"/>
        <w:rPr>
          <w:spacing w:val="-3"/>
          <w:szCs w:val="22"/>
        </w:rPr>
      </w:pPr>
      <w:r w:rsidRPr="005F6BC2">
        <w:rPr>
          <w:b/>
          <w:spacing w:val="-3"/>
          <w:szCs w:val="22"/>
        </w:rPr>
        <w:t>Carriers</w:t>
      </w:r>
    </w:p>
    <w:p w:rsidR="009C1C1C" w:rsidRPr="005F6BC2" w:rsidP="009C1C1C" w14:paraId="46B30CA8"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5DF9639E"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Interstate Telephone Service Providers</w:t>
      </w:r>
      <w:r w:rsidRPr="005F6BC2">
        <w:rPr>
          <w:spacing w:val="-3"/>
          <w:szCs w:val="22"/>
        </w:rPr>
        <w:tab/>
        <w:t>$   .003</w:t>
      </w:r>
      <w:r>
        <w:rPr>
          <w:spacing w:val="-3"/>
          <w:szCs w:val="22"/>
        </w:rPr>
        <w:t>21</w:t>
      </w:r>
      <w:r w:rsidRPr="005F6BC2">
        <w:rPr>
          <w:spacing w:val="-3"/>
          <w:szCs w:val="22"/>
        </w:rPr>
        <w:tab/>
      </w:r>
    </w:p>
    <w:p w:rsidR="009C1C1C" w:rsidRPr="005F6BC2" w:rsidP="009C1C1C" w14:paraId="436F9564"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 xml:space="preserve">(per interstate and international end-user </w:t>
      </w:r>
      <w:r w:rsidRPr="005F6BC2">
        <w:rPr>
          <w:spacing w:val="-3"/>
          <w:szCs w:val="22"/>
        </w:rPr>
        <w:tab/>
      </w:r>
      <w:r w:rsidRPr="005F6BC2">
        <w:rPr>
          <w:spacing w:val="-3"/>
          <w:szCs w:val="22"/>
        </w:rPr>
        <w:tab/>
      </w:r>
      <w:r w:rsidRPr="005F6BC2">
        <w:rPr>
          <w:spacing w:val="-3"/>
          <w:szCs w:val="22"/>
        </w:rPr>
        <w:tab/>
      </w:r>
    </w:p>
    <w:p w:rsidR="009C1C1C" w:rsidRPr="005F6BC2" w:rsidP="009C1C1C" w14:paraId="2AC2F3DF"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revenues (see FCC Form 499-A)</w:t>
      </w:r>
    </w:p>
    <w:p w:rsidR="009C1C1C" w:rsidRPr="005F6BC2" w:rsidP="009C1C1C" w14:paraId="141283FC"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sidRPr="005F6BC2">
        <w:rPr>
          <w:spacing w:val="-3"/>
          <w:szCs w:val="22"/>
        </w:rPr>
        <w:tab/>
      </w:r>
    </w:p>
    <w:p w:rsidR="009C1C1C" w:rsidRPr="005F6BC2" w:rsidP="009C1C1C" w14:paraId="255E2973"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2.</w:t>
      </w:r>
      <w:r w:rsidRPr="005F6BC2">
        <w:rPr>
          <w:spacing w:val="-3"/>
          <w:szCs w:val="22"/>
        </w:rPr>
        <w:tab/>
        <w:t>Toll Free Number Fee</w:t>
      </w:r>
      <w:r w:rsidRPr="005F6BC2">
        <w:rPr>
          <w:spacing w:val="-3"/>
          <w:szCs w:val="22"/>
        </w:rPr>
        <w:tab/>
        <w:t>$.12 per Toll Free Number</w:t>
      </w:r>
    </w:p>
    <w:p w:rsidR="009C1C1C" w:rsidRPr="005F6BC2" w:rsidP="009C1C1C" w14:paraId="2868DE85"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5A2D6191" w14:textId="77777777">
      <w:pPr>
        <w:tabs>
          <w:tab w:val="left" w:pos="-1440"/>
          <w:tab w:val="left" w:pos="-720"/>
          <w:tab w:val="left" w:pos="720"/>
          <w:tab w:val="left" w:pos="4590"/>
          <w:tab w:val="left" w:pos="6480"/>
        </w:tabs>
        <w:suppressAutoHyphens/>
        <w:jc w:val="both"/>
        <w:outlineLvl w:val="0"/>
        <w:rPr>
          <w:spacing w:val="-3"/>
          <w:szCs w:val="22"/>
        </w:rPr>
      </w:pPr>
      <w:r w:rsidRPr="005F6BC2">
        <w:rPr>
          <w:spacing w:val="-3"/>
          <w:szCs w:val="22"/>
        </w:rPr>
        <w:t>5.   Section 1.1155 is revised to read as follows:</w:t>
      </w:r>
    </w:p>
    <w:p w:rsidR="009C1C1C" w:rsidRPr="005F6BC2" w:rsidP="009C1C1C" w14:paraId="1A04DBEF" w14:textId="77777777">
      <w:pPr>
        <w:tabs>
          <w:tab w:val="left" w:pos="-1440"/>
          <w:tab w:val="left" w:pos="-720"/>
          <w:tab w:val="left" w:pos="540"/>
          <w:tab w:val="left" w:pos="4590"/>
          <w:tab w:val="left" w:pos="6480"/>
        </w:tabs>
        <w:suppressAutoHyphens/>
        <w:jc w:val="both"/>
        <w:rPr>
          <w:spacing w:val="-3"/>
          <w:szCs w:val="22"/>
        </w:rPr>
      </w:pPr>
    </w:p>
    <w:p w:rsidR="009C1C1C" w:rsidRPr="002F0F38" w:rsidP="009C1C1C" w14:paraId="477614A6" w14:textId="77777777">
      <w:pPr>
        <w:tabs>
          <w:tab w:val="left" w:pos="-1440"/>
          <w:tab w:val="left" w:pos="-720"/>
          <w:tab w:val="left" w:pos="540"/>
          <w:tab w:val="left" w:pos="4590"/>
          <w:tab w:val="left" w:pos="6480"/>
        </w:tabs>
        <w:suppressAutoHyphens/>
        <w:rPr>
          <w:b/>
          <w:szCs w:val="22"/>
        </w:rPr>
      </w:pPr>
      <w:r w:rsidRPr="002F0F38">
        <w:rPr>
          <w:b/>
          <w:szCs w:val="22"/>
        </w:rPr>
        <w:t>§ 1.1155  Schedule of regulatory fees for cable television services.</w:t>
      </w:r>
    </w:p>
    <w:p w:rsidR="009C1C1C" w:rsidRPr="005F6BC2" w:rsidP="009C1C1C" w14:paraId="18030052" w14:textId="77777777">
      <w:pPr>
        <w:tabs>
          <w:tab w:val="left" w:pos="-1440"/>
          <w:tab w:val="left" w:pos="-720"/>
          <w:tab w:val="left" w:pos="540"/>
          <w:tab w:val="left" w:pos="4590"/>
          <w:tab w:val="left" w:pos="6480"/>
        </w:tabs>
        <w:suppressAutoHyphens/>
        <w:jc w:val="both"/>
        <w:rPr>
          <w:b/>
          <w:spacing w:val="-3"/>
          <w:szCs w:val="22"/>
        </w:rPr>
      </w:pPr>
    </w:p>
    <w:p w:rsidR="009C1C1C" w:rsidRPr="005F6BC2" w:rsidP="009C1C1C" w14:paraId="462FFF5D"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ab/>
      </w:r>
      <w:r w:rsidRPr="005F6BC2">
        <w:rPr>
          <w:b/>
          <w:spacing w:val="-3"/>
          <w:szCs w:val="22"/>
        </w:rPr>
        <w:tab/>
        <w:t>Fee Amount</w:t>
      </w:r>
      <w:r w:rsidRPr="005F6BC2">
        <w:rPr>
          <w:b/>
          <w:spacing w:val="-3"/>
          <w:szCs w:val="22"/>
        </w:rPr>
        <w:tab/>
      </w:r>
    </w:p>
    <w:p w:rsidR="009C1C1C" w:rsidRPr="005F6BC2" w:rsidP="009C1C1C" w14:paraId="3A6467C1"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38ED3034"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Cable Television Relay Service</w:t>
      </w:r>
      <w:r w:rsidRPr="005F6BC2">
        <w:rPr>
          <w:spacing w:val="-3"/>
          <w:szCs w:val="22"/>
        </w:rPr>
        <w:tab/>
        <w:t>$1,</w:t>
      </w:r>
      <w:r>
        <w:rPr>
          <w:spacing w:val="-3"/>
          <w:szCs w:val="22"/>
        </w:rPr>
        <w:t>300</w:t>
      </w:r>
    </w:p>
    <w:p w:rsidR="009C1C1C" w:rsidRPr="005F6BC2" w:rsidP="009C1C1C" w14:paraId="7E5F139A"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p>
    <w:p w:rsidR="009C1C1C" w:rsidRPr="005F6BC2" w:rsidP="009C1C1C" w14:paraId="207FFD8C"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2.</w:t>
      </w:r>
      <w:r w:rsidRPr="005F6BC2">
        <w:rPr>
          <w:spacing w:val="-3"/>
          <w:szCs w:val="22"/>
        </w:rPr>
        <w:tab/>
        <w:t>Cable TV System, Including IPTV</w:t>
      </w:r>
      <w:r w:rsidRPr="005F6BC2">
        <w:rPr>
          <w:spacing w:val="-3"/>
          <w:szCs w:val="22"/>
        </w:rPr>
        <w:tab/>
        <w:t>$   .8</w:t>
      </w:r>
      <w:r>
        <w:rPr>
          <w:spacing w:val="-3"/>
          <w:szCs w:val="22"/>
        </w:rPr>
        <w:t>9</w:t>
      </w:r>
      <w:r w:rsidRPr="005F6BC2">
        <w:rPr>
          <w:spacing w:val="-3"/>
          <w:szCs w:val="22"/>
        </w:rPr>
        <w:tab/>
      </w:r>
    </w:p>
    <w:p w:rsidR="009C1C1C" w:rsidRPr="005F6BC2" w:rsidP="009C1C1C" w14:paraId="692EAE69"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(per subscriber)</w:t>
      </w:r>
    </w:p>
    <w:p w:rsidR="009C1C1C" w:rsidRPr="005F6BC2" w:rsidP="009C1C1C" w14:paraId="3EE5E815"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 xml:space="preserve">  </w:t>
      </w:r>
      <w:r w:rsidRPr="005F6BC2">
        <w:rPr>
          <w:spacing w:val="-3"/>
          <w:szCs w:val="22"/>
        </w:rPr>
        <w:tab/>
      </w:r>
    </w:p>
    <w:p w:rsidR="009C1C1C" w:rsidRPr="005F6BC2" w:rsidP="009C1C1C" w14:paraId="150543B9"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3.</w:t>
      </w:r>
      <w:r w:rsidRPr="005F6BC2">
        <w:rPr>
          <w:spacing w:val="-3"/>
          <w:szCs w:val="22"/>
        </w:rPr>
        <w:tab/>
        <w:t>Direct Broadcast Satellite (DBS)</w:t>
      </w:r>
      <w:r w:rsidRPr="005F6BC2">
        <w:rPr>
          <w:b/>
          <w:spacing w:val="-3"/>
          <w:szCs w:val="22"/>
        </w:rPr>
        <w:tab/>
      </w:r>
      <w:r w:rsidRPr="005F6BC2">
        <w:rPr>
          <w:spacing w:val="-3"/>
          <w:szCs w:val="22"/>
        </w:rPr>
        <w:t>$.</w:t>
      </w:r>
      <w:r>
        <w:rPr>
          <w:spacing w:val="-3"/>
          <w:szCs w:val="22"/>
        </w:rPr>
        <w:t>72</w:t>
      </w:r>
      <w:r w:rsidRPr="005F6BC2">
        <w:rPr>
          <w:spacing w:val="-3"/>
          <w:szCs w:val="22"/>
        </w:rPr>
        <w:t xml:space="preserve"> per subscriber</w:t>
      </w:r>
    </w:p>
    <w:p w:rsidR="009C1C1C" w:rsidRPr="005F6BC2" w:rsidP="009C1C1C" w14:paraId="0603DEBC" w14:textId="77777777">
      <w:pPr>
        <w:widowControl/>
        <w:rPr>
          <w:spacing w:val="-3"/>
          <w:szCs w:val="22"/>
        </w:rPr>
      </w:pPr>
    </w:p>
    <w:p w:rsidR="009C1C1C" w:rsidRPr="005F6BC2" w:rsidP="009C1C1C" w14:paraId="5D84938F" w14:textId="77777777">
      <w:pPr>
        <w:widowControl/>
        <w:rPr>
          <w:spacing w:val="-3"/>
          <w:szCs w:val="22"/>
        </w:rPr>
      </w:pPr>
    </w:p>
    <w:p w:rsidR="009C1C1C" w:rsidRPr="005F6BC2" w:rsidP="009C1C1C" w14:paraId="421DB6CE" w14:textId="77777777">
      <w:pPr>
        <w:tabs>
          <w:tab w:val="left" w:pos="-1440"/>
          <w:tab w:val="left" w:pos="-720"/>
          <w:tab w:val="left" w:pos="720"/>
          <w:tab w:val="left" w:pos="4590"/>
          <w:tab w:val="left" w:pos="6480"/>
        </w:tabs>
        <w:suppressAutoHyphens/>
        <w:outlineLvl w:val="0"/>
        <w:rPr>
          <w:szCs w:val="22"/>
        </w:rPr>
      </w:pPr>
      <w:r w:rsidRPr="005F6BC2">
        <w:rPr>
          <w:szCs w:val="22"/>
        </w:rPr>
        <w:t>6.   Section 1.1156 is revised to read as follows:</w:t>
      </w:r>
    </w:p>
    <w:p w:rsidR="009C1C1C" w:rsidRPr="005F6BC2" w:rsidP="009C1C1C" w14:paraId="08FADF38" w14:textId="77777777">
      <w:pPr>
        <w:tabs>
          <w:tab w:val="left" w:pos="-1440"/>
          <w:tab w:val="left" w:pos="-720"/>
          <w:tab w:val="left" w:pos="540"/>
          <w:tab w:val="left" w:pos="4590"/>
          <w:tab w:val="left" w:pos="6480"/>
        </w:tabs>
        <w:suppressAutoHyphens/>
        <w:rPr>
          <w:szCs w:val="22"/>
        </w:rPr>
      </w:pPr>
      <w:r w:rsidRPr="005F6BC2">
        <w:rPr>
          <w:szCs w:val="22"/>
        </w:rPr>
        <w:t xml:space="preserve"> </w:t>
      </w:r>
      <w:r w:rsidRPr="005F6BC2">
        <w:rPr>
          <w:szCs w:val="22"/>
        </w:rPr>
        <w:tab/>
      </w:r>
    </w:p>
    <w:p w:rsidR="009C1C1C" w:rsidRPr="002F0F38" w:rsidP="009C1C1C" w14:paraId="1B522DC7" w14:textId="77777777">
      <w:pPr>
        <w:tabs>
          <w:tab w:val="left" w:pos="-1440"/>
          <w:tab w:val="left" w:pos="-720"/>
          <w:tab w:val="left" w:pos="540"/>
          <w:tab w:val="left" w:pos="4590"/>
          <w:tab w:val="left" w:pos="6480"/>
        </w:tabs>
        <w:suppressAutoHyphens/>
        <w:rPr>
          <w:b/>
          <w:szCs w:val="22"/>
        </w:rPr>
      </w:pPr>
      <w:r w:rsidRPr="002F0F38">
        <w:rPr>
          <w:b/>
          <w:szCs w:val="22"/>
        </w:rPr>
        <w:t>§ 1.1156  Schedule of regulatory fees for international services.</w:t>
      </w:r>
    </w:p>
    <w:p w:rsidR="009C1C1C" w:rsidRPr="005F6BC2" w:rsidP="009C1C1C" w14:paraId="3AB2FB3E" w14:textId="77777777">
      <w:pPr>
        <w:tabs>
          <w:tab w:val="left" w:pos="-1440"/>
          <w:tab w:val="left" w:pos="-720"/>
          <w:tab w:val="left" w:pos="540"/>
          <w:tab w:val="left" w:pos="4590"/>
          <w:tab w:val="left" w:pos="6480"/>
        </w:tabs>
        <w:suppressAutoHyphens/>
        <w:jc w:val="both"/>
        <w:rPr>
          <w:spacing w:val="-3"/>
          <w:szCs w:val="22"/>
        </w:rPr>
      </w:pPr>
    </w:p>
    <w:p w:rsidR="009C1C1C" w:rsidRPr="005F6BC2" w:rsidP="009C1C1C" w14:paraId="7F5D4C17" w14:textId="77777777">
      <w:pPr>
        <w:widowControl/>
        <w:jc w:val="both"/>
        <w:rPr>
          <w:spacing w:val="-3"/>
          <w:kern w:val="0"/>
          <w:szCs w:val="22"/>
        </w:rPr>
      </w:pPr>
      <w:r w:rsidRPr="005F6BC2">
        <w:rPr>
          <w:spacing w:val="-3"/>
          <w:kern w:val="0"/>
          <w:szCs w:val="22"/>
        </w:rPr>
        <w:t>a.         The following schedule applies for the listed services:</w:t>
      </w:r>
    </w:p>
    <w:p w:rsidR="009C1C1C" w:rsidRPr="005F6BC2" w:rsidP="009C1C1C" w14:paraId="393D1501" w14:textId="77777777">
      <w:pPr>
        <w:widowControl/>
        <w:jc w:val="both"/>
        <w:rPr>
          <w:spacing w:val="-3"/>
          <w:kern w:val="0"/>
          <w:szCs w:val="22"/>
        </w:rPr>
      </w:pPr>
    </w:p>
    <w:tbl>
      <w:tblPr>
        <w:tblW w:w="0" w:type="auto"/>
        <w:tblCellMar>
          <w:left w:w="0" w:type="dxa"/>
          <w:right w:w="0" w:type="dxa"/>
        </w:tblCellMar>
        <w:tblLook w:val="0000"/>
      </w:tblPr>
      <w:tblGrid>
        <w:gridCol w:w="5047"/>
        <w:gridCol w:w="1597"/>
      </w:tblGrid>
      <w:tr w14:paraId="658497B8" w14:textId="77777777" w:rsidTr="006B48CA">
        <w:tblPrEx>
          <w:tblW w:w="0" w:type="auto"/>
          <w:tblCellMar>
            <w:left w:w="0" w:type="dxa"/>
            <w:right w:w="0" w:type="dxa"/>
          </w:tblCellMar>
          <w:tblLook w:val="0000"/>
        </w:tblPrEx>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1C1C" w:rsidRPr="005F6BC2" w:rsidP="006B48CA" w14:paraId="775B8A92" w14:textId="77777777">
            <w:pPr>
              <w:widowControl/>
              <w:jc w:val="center"/>
              <w:rPr>
                <w:spacing w:val="-3"/>
                <w:kern w:val="0"/>
                <w:szCs w:val="22"/>
              </w:rPr>
            </w:pPr>
            <w:r w:rsidRPr="005F6BC2">
              <w:rPr>
                <w:spacing w:val="-3"/>
                <w:kern w:val="0"/>
                <w:szCs w:val="22"/>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1C1C" w:rsidRPr="005F6BC2" w:rsidP="006B48CA" w14:paraId="0DE0009F" w14:textId="77777777">
            <w:pPr>
              <w:widowControl/>
              <w:jc w:val="center"/>
              <w:rPr>
                <w:spacing w:val="-3"/>
                <w:kern w:val="0"/>
                <w:szCs w:val="22"/>
              </w:rPr>
            </w:pPr>
            <w:r w:rsidRPr="005F6BC2">
              <w:rPr>
                <w:spacing w:val="-3"/>
                <w:kern w:val="0"/>
                <w:szCs w:val="22"/>
              </w:rPr>
              <w:t>Fee Amount</w:t>
            </w:r>
          </w:p>
        </w:tc>
      </w:tr>
      <w:tr w14:paraId="4CB573E5" w14:textId="77777777" w:rsidTr="006B48CA">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1C1C" w:rsidRPr="005F6BC2" w:rsidP="006B48CA" w14:paraId="2ABD6462" w14:textId="77777777">
            <w:pPr>
              <w:widowControl/>
              <w:rPr>
                <w:spacing w:val="-3"/>
                <w:kern w:val="0"/>
                <w:szCs w:val="22"/>
              </w:rPr>
            </w:pPr>
            <w:r w:rsidRPr="005F6BC2">
              <w:rPr>
                <w:spacing w:val="-3"/>
                <w:kern w:val="0"/>
                <w:szCs w:val="22"/>
              </w:rPr>
              <w:t>Space Stations (Geostationary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9C1C1C" w:rsidRPr="005F6BC2" w:rsidP="006B48CA" w14:paraId="3EC0C4B7" w14:textId="77777777">
            <w:pPr>
              <w:widowControl/>
              <w:jc w:val="center"/>
              <w:rPr>
                <w:spacing w:val="-3"/>
                <w:kern w:val="0"/>
                <w:szCs w:val="22"/>
              </w:rPr>
            </w:pPr>
          </w:p>
          <w:p w:rsidR="009C1C1C" w:rsidRPr="005F6BC2" w:rsidP="006B48CA" w14:paraId="04477467" w14:textId="77777777">
            <w:pPr>
              <w:widowControl/>
              <w:jc w:val="center"/>
              <w:rPr>
                <w:spacing w:val="-3"/>
                <w:kern w:val="0"/>
                <w:szCs w:val="22"/>
              </w:rPr>
            </w:pPr>
            <w:r>
              <w:rPr>
                <w:spacing w:val="-3"/>
                <w:kern w:val="0"/>
                <w:szCs w:val="22"/>
              </w:rPr>
              <w:t>$98,125</w:t>
            </w:r>
          </w:p>
          <w:p w:rsidR="009C1C1C" w:rsidRPr="005F6BC2" w:rsidP="006B48CA" w14:paraId="444957AD" w14:textId="77777777">
            <w:pPr>
              <w:widowControl/>
              <w:jc w:val="center"/>
              <w:rPr>
                <w:spacing w:val="-3"/>
                <w:kern w:val="0"/>
                <w:szCs w:val="22"/>
              </w:rPr>
            </w:pPr>
          </w:p>
        </w:tc>
      </w:tr>
      <w:tr w14:paraId="13634E21" w14:textId="77777777" w:rsidTr="006B48CA">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1C1C" w:rsidRPr="005F6BC2" w:rsidP="006B48CA" w14:paraId="682BEF2E" w14:textId="77777777">
            <w:pPr>
              <w:widowControl/>
              <w:rPr>
                <w:spacing w:val="-3"/>
                <w:kern w:val="0"/>
                <w:szCs w:val="22"/>
              </w:rPr>
            </w:pPr>
            <w:r w:rsidRPr="005F6BC2">
              <w:rPr>
                <w:spacing w:val="-3"/>
                <w:kern w:val="0"/>
                <w:szCs w:val="22"/>
              </w:rPr>
              <w:t>Space Stations (Non-Geostationary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9C1C1C" w:rsidRPr="005F6BC2" w:rsidP="006B48CA" w14:paraId="7883B37D" w14:textId="77777777">
            <w:pPr>
              <w:widowControl/>
              <w:jc w:val="center"/>
              <w:rPr>
                <w:spacing w:val="-3"/>
                <w:kern w:val="0"/>
                <w:szCs w:val="22"/>
              </w:rPr>
            </w:pPr>
          </w:p>
          <w:p w:rsidR="009C1C1C" w:rsidRPr="005F6BC2" w:rsidP="006B48CA" w14:paraId="6F89C54F" w14:textId="77777777">
            <w:pPr>
              <w:widowControl/>
              <w:jc w:val="center"/>
              <w:rPr>
                <w:spacing w:val="-3"/>
                <w:kern w:val="0"/>
                <w:szCs w:val="22"/>
              </w:rPr>
            </w:pPr>
            <w:r w:rsidRPr="005F6BC2">
              <w:rPr>
                <w:spacing w:val="-3"/>
                <w:kern w:val="0"/>
                <w:szCs w:val="22"/>
              </w:rPr>
              <w:t>$</w:t>
            </w:r>
            <w:r>
              <w:rPr>
                <w:spacing w:val="-3"/>
                <w:kern w:val="0"/>
                <w:szCs w:val="22"/>
              </w:rPr>
              <w:t>223,500</w:t>
            </w:r>
          </w:p>
        </w:tc>
      </w:tr>
      <w:tr w14:paraId="26D4FC8F" w14:textId="77777777" w:rsidTr="006B48CA">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1C1C" w:rsidRPr="005F6BC2" w:rsidP="006B48CA" w14:paraId="63B90727" w14:textId="77777777">
            <w:pPr>
              <w:widowControl/>
              <w:rPr>
                <w:spacing w:val="-3"/>
                <w:kern w:val="0"/>
                <w:szCs w:val="22"/>
              </w:rPr>
            </w:pPr>
            <w:r w:rsidRPr="005F6BC2">
              <w:rPr>
                <w:spacing w:val="-3"/>
                <w:kern w:val="0"/>
                <w:szCs w:val="22"/>
              </w:rPr>
              <w:t>Earth Stations:  Transmit/Receive &amp; Transmit only (per authorization  or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9C1C1C" w:rsidRPr="005F6BC2" w:rsidP="006B48CA" w14:paraId="4C5441BA" w14:textId="77777777">
            <w:pPr>
              <w:widowControl/>
              <w:jc w:val="center"/>
              <w:rPr>
                <w:spacing w:val="-3"/>
                <w:kern w:val="0"/>
                <w:szCs w:val="22"/>
              </w:rPr>
            </w:pPr>
          </w:p>
          <w:p w:rsidR="009C1C1C" w:rsidRPr="005F6BC2" w:rsidP="006B48CA" w14:paraId="576A5F40" w14:textId="77777777">
            <w:pPr>
              <w:widowControl/>
              <w:jc w:val="center"/>
              <w:rPr>
                <w:spacing w:val="-3"/>
                <w:kern w:val="0"/>
                <w:szCs w:val="22"/>
              </w:rPr>
            </w:pPr>
            <w:r w:rsidRPr="005F6BC2">
              <w:rPr>
                <w:spacing w:val="-3"/>
                <w:kern w:val="0"/>
                <w:szCs w:val="22"/>
              </w:rPr>
              <w:t>$</w:t>
            </w:r>
            <w:r>
              <w:rPr>
                <w:spacing w:val="-3"/>
                <w:kern w:val="0"/>
                <w:szCs w:val="22"/>
              </w:rPr>
              <w:t>560</w:t>
            </w:r>
          </w:p>
        </w:tc>
      </w:tr>
    </w:tbl>
    <w:p w:rsidR="009C1C1C" w:rsidRPr="005F6BC2" w:rsidP="009C1C1C" w14:paraId="53E9B96A" w14:textId="77777777">
      <w:pPr>
        <w:widowControl/>
        <w:rPr>
          <w:spacing w:val="-3"/>
          <w:kern w:val="0"/>
          <w:szCs w:val="22"/>
        </w:rPr>
      </w:pPr>
    </w:p>
    <w:p w:rsidR="009C1C1C" w:rsidRPr="005F6BC2" w:rsidP="009C1C1C" w14:paraId="487AEB94" w14:textId="77777777">
      <w:pPr>
        <w:widowControl/>
        <w:rPr>
          <w:spacing w:val="-3"/>
          <w:kern w:val="0"/>
          <w:szCs w:val="22"/>
        </w:rPr>
      </w:pPr>
      <w:r w:rsidRPr="005F6BC2">
        <w:rPr>
          <w:spacing w:val="-3"/>
          <w:kern w:val="0"/>
          <w:szCs w:val="22"/>
        </w:rPr>
        <w:t xml:space="preserve">b.         </w:t>
      </w:r>
      <w:r w:rsidRPr="005F6BC2">
        <w:rPr>
          <w:i/>
          <w:iCs/>
          <w:kern w:val="0"/>
          <w:szCs w:val="22"/>
        </w:rPr>
        <w:t>International Terrestrial and Satellite</w:t>
      </w:r>
      <w:r w:rsidRPr="005F6BC2">
        <w:rPr>
          <w:kern w:val="0"/>
          <w:szCs w:val="22"/>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terrestrial and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9C1C1C" w:rsidRPr="005F6BC2" w:rsidP="009C1C1C" w14:paraId="2EAC5EF7" w14:textId="77777777">
      <w:pPr>
        <w:widowControl/>
        <w:rPr>
          <w:spacing w:val="-3"/>
          <w:kern w:val="0"/>
          <w:szCs w:val="22"/>
        </w:rPr>
      </w:pPr>
    </w:p>
    <w:p w:rsidR="009C1C1C" w:rsidRPr="005F6BC2" w:rsidP="009C1C1C" w14:paraId="25C3E72C" w14:textId="77777777">
      <w:pPr>
        <w:widowControl/>
        <w:snapToGrid w:val="0"/>
        <w:rPr>
          <w:kern w:val="0"/>
          <w:szCs w:val="22"/>
        </w:rPr>
      </w:pPr>
      <w:r w:rsidRPr="005F6BC2">
        <w:rPr>
          <w:spacing w:val="-3"/>
          <w:kern w:val="0"/>
          <w:szCs w:val="22"/>
        </w:rPr>
        <w:t xml:space="preserve">The fee amount, per active </w:t>
      </w:r>
      <w:r w:rsidRPr="005F6BC2">
        <w:rPr>
          <w:kern w:val="0"/>
          <w:szCs w:val="22"/>
        </w:rPr>
        <w:t>Gbps circuit</w:t>
      </w:r>
      <w:r w:rsidRPr="005F6BC2">
        <w:rPr>
          <w:spacing w:val="-3"/>
          <w:kern w:val="0"/>
          <w:szCs w:val="22"/>
        </w:rPr>
        <w:t xml:space="preserve"> will be determined for each fiscal year.</w:t>
      </w:r>
      <w:r w:rsidRPr="005F6BC2">
        <w:rPr>
          <w:kern w:val="0"/>
          <w:szCs w:val="22"/>
        </w:rPr>
        <w:t xml:space="preserve"> </w:t>
      </w:r>
    </w:p>
    <w:p w:rsidR="009C1C1C" w:rsidRPr="005F6BC2" w:rsidP="009C1C1C" w14:paraId="67885AB9" w14:textId="77777777">
      <w:pPr>
        <w:widowControl/>
        <w:snapToGrid w:val="0"/>
        <w:rPr>
          <w:kern w:val="0"/>
          <w:szCs w:val="22"/>
        </w:rPr>
      </w:pPr>
    </w:p>
    <w:tbl>
      <w:tblPr>
        <w:tblW w:w="0" w:type="auto"/>
        <w:tblCellMar>
          <w:left w:w="0" w:type="dxa"/>
          <w:right w:w="0" w:type="dxa"/>
        </w:tblCellMar>
        <w:tblLook w:val="0000"/>
      </w:tblPr>
      <w:tblGrid>
        <w:gridCol w:w="5199"/>
        <w:gridCol w:w="1659"/>
      </w:tblGrid>
      <w:tr w14:paraId="6DEC1E1E" w14:textId="77777777" w:rsidTr="006B48CA">
        <w:tblPrEx>
          <w:tblW w:w="0" w:type="auto"/>
          <w:tblCellMar>
            <w:left w:w="0" w:type="dxa"/>
            <w:right w:w="0" w:type="dxa"/>
          </w:tblCellMar>
          <w:tblLook w:val="0000"/>
        </w:tblPrEx>
        <w:trPr>
          <w:cantSplit/>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1C1C" w:rsidRPr="005F6BC2" w:rsidP="006B48CA" w14:paraId="750D5FF1" w14:textId="77777777">
            <w:pPr>
              <w:widowControl/>
              <w:jc w:val="both"/>
              <w:rPr>
                <w:spacing w:val="-3"/>
                <w:kern w:val="0"/>
                <w:szCs w:val="22"/>
              </w:rPr>
            </w:pPr>
            <w:r w:rsidRPr="005F6BC2">
              <w:rPr>
                <w:spacing w:val="-3"/>
                <w:kern w:val="0"/>
                <w:szCs w:val="22"/>
              </w:rPr>
              <w:t xml:space="preserve">International Terrestrial and Satellite </w:t>
            </w:r>
            <w:r w:rsidRPr="005F6BC2">
              <w:rPr>
                <w:kern w:val="0"/>
                <w:szCs w:val="22"/>
              </w:rPr>
              <w:t>(capacity as of December 31, 201</w:t>
            </w:r>
            <w:r>
              <w:rPr>
                <w:kern w:val="0"/>
                <w:szCs w:val="22"/>
              </w:rPr>
              <w:t>9</w:t>
            </w:r>
            <w:r w:rsidRPr="005F6BC2">
              <w:rPr>
                <w:kern w:val="0"/>
                <w:szCs w:val="22"/>
              </w:rPr>
              <w:t>)</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1C1C" w:rsidRPr="005F6BC2" w:rsidP="006B48CA" w14:paraId="1D26A09B" w14:textId="77777777">
            <w:pPr>
              <w:widowControl/>
              <w:jc w:val="center"/>
              <w:rPr>
                <w:spacing w:val="-3"/>
                <w:kern w:val="0"/>
                <w:szCs w:val="22"/>
              </w:rPr>
            </w:pPr>
            <w:r w:rsidRPr="005F6BC2">
              <w:rPr>
                <w:spacing w:val="-3"/>
                <w:kern w:val="0"/>
                <w:szCs w:val="22"/>
              </w:rPr>
              <w:t>Fee Amount</w:t>
            </w:r>
          </w:p>
        </w:tc>
      </w:tr>
      <w:tr w14:paraId="582F327E" w14:textId="77777777" w:rsidTr="006B48CA">
        <w:tblPrEx>
          <w:tblW w:w="0" w:type="auto"/>
          <w:tblCellMar>
            <w:left w:w="0" w:type="dxa"/>
            <w:right w:w="0" w:type="dxa"/>
          </w:tblCellMar>
          <w:tblLook w:val="0000"/>
        </w:tblPrEx>
        <w:trPr>
          <w:cantSplit/>
          <w:trHeight w:val="925"/>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1C1C" w:rsidRPr="005F6BC2" w:rsidP="006B48CA" w14:paraId="164C4D80" w14:textId="77777777">
            <w:pPr>
              <w:widowControl/>
              <w:jc w:val="both"/>
              <w:rPr>
                <w:spacing w:val="-3"/>
                <w:kern w:val="0"/>
                <w:szCs w:val="22"/>
              </w:rPr>
            </w:pPr>
          </w:p>
          <w:p w:rsidR="009C1C1C" w:rsidRPr="005F6BC2" w:rsidP="006B48CA" w14:paraId="0845F0DC" w14:textId="77777777">
            <w:pPr>
              <w:widowControl/>
              <w:rPr>
                <w:spacing w:val="-3"/>
                <w:kern w:val="0"/>
                <w:szCs w:val="22"/>
              </w:rPr>
            </w:pPr>
            <w:r w:rsidRPr="005F6BC2">
              <w:rPr>
                <w:spacing w:val="-3"/>
                <w:kern w:val="0"/>
                <w:szCs w:val="22"/>
              </w:rPr>
              <w:t>Terrestrial Common Carrier and Non Common Carrier</w:t>
            </w:r>
          </w:p>
          <w:p w:rsidR="009C1C1C" w:rsidRPr="005F6BC2" w:rsidP="006B48CA" w14:paraId="7E35D4BA" w14:textId="77777777">
            <w:pPr>
              <w:widowControl/>
              <w:rPr>
                <w:spacing w:val="-3"/>
                <w:kern w:val="0"/>
                <w:szCs w:val="22"/>
              </w:rPr>
            </w:pPr>
            <w:r w:rsidRPr="005F6BC2">
              <w:rPr>
                <w:spacing w:val="-3"/>
                <w:kern w:val="0"/>
                <w:szCs w:val="22"/>
              </w:rPr>
              <w:t>Satellite Common Carrier and  Non-Common Carrier</w:t>
            </w:r>
          </w:p>
          <w:p w:rsidR="009C1C1C" w:rsidRPr="005F6BC2" w:rsidP="006B48CA" w14:paraId="722ED53C" w14:textId="77777777">
            <w:pPr>
              <w:widowControl/>
              <w:jc w:val="both"/>
              <w:rPr>
                <w:spacing w:val="-3"/>
                <w:kern w:val="0"/>
                <w:szCs w:val="22"/>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9C1C1C" w:rsidRPr="005F6BC2" w:rsidP="006B48CA" w14:paraId="09B74DC5" w14:textId="77777777">
            <w:pPr>
              <w:widowControl/>
              <w:jc w:val="center"/>
              <w:rPr>
                <w:spacing w:val="-3"/>
                <w:kern w:val="0"/>
                <w:szCs w:val="22"/>
              </w:rPr>
            </w:pPr>
            <w:r w:rsidRPr="005F6BC2">
              <w:rPr>
                <w:kern w:val="0"/>
                <w:szCs w:val="22"/>
              </w:rPr>
              <w:t>$</w:t>
            </w:r>
            <w:r>
              <w:rPr>
                <w:kern w:val="0"/>
                <w:szCs w:val="22"/>
              </w:rPr>
              <w:t>4</w:t>
            </w:r>
            <w:r w:rsidRPr="005F6BC2">
              <w:rPr>
                <w:kern w:val="0"/>
                <w:szCs w:val="22"/>
              </w:rPr>
              <w:t>1 per Gbps circuit</w:t>
            </w:r>
          </w:p>
        </w:tc>
      </w:tr>
    </w:tbl>
    <w:p w:rsidR="009C1C1C" w:rsidRPr="005F6BC2" w:rsidP="009C1C1C" w14:paraId="25B0E0E5" w14:textId="77777777">
      <w:pPr>
        <w:widowControl/>
        <w:spacing w:before="120"/>
        <w:rPr>
          <w:kern w:val="0"/>
          <w:szCs w:val="22"/>
        </w:rPr>
      </w:pPr>
      <w:r w:rsidRPr="005F6BC2">
        <w:rPr>
          <w:kern w:val="0"/>
          <w:szCs w:val="22"/>
        </w:rPr>
        <w:t xml:space="preserve">c.         </w:t>
      </w:r>
      <w:r w:rsidRPr="005F6BC2">
        <w:rPr>
          <w:i/>
          <w:iCs/>
          <w:kern w:val="0"/>
          <w:szCs w:val="22"/>
        </w:rPr>
        <w:t xml:space="preserve">Submarine cable:  </w:t>
      </w:r>
      <w:r w:rsidRPr="005F6BC2">
        <w:rPr>
          <w:kern w:val="0"/>
          <w:szCs w:val="22"/>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9C1C1C" w:rsidRPr="009B5533" w:rsidP="009C1C1C" w14:paraId="0DB071DC" w14:textId="77777777">
      <w:pPr>
        <w:pStyle w:val="ParaNum"/>
        <w:keepNext/>
        <w:numPr>
          <w:ilvl w:val="0"/>
          <w:numId w:val="0"/>
        </w:numPr>
        <w:ind w:left="720"/>
      </w:pPr>
      <w:r w:rsidRPr="00E3654B">
        <w:t>FY 2020 International Bearer Circuits - Submarine Cable Systems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02F2E822" w14:textId="77777777" w:rsidTr="006B48CA">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9C1C1C" w:rsidRPr="005F6BC2" w:rsidP="006B48CA" w14:paraId="450CAF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9C1C1C" w:rsidRPr="005F6BC2" w:rsidP="006B48CA" w14:paraId="12A3A2E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201</w:t>
            </w:r>
            <w:r>
              <w:rPr>
                <w:b/>
                <w:szCs w:val="22"/>
              </w:rPr>
              <w:t>9</w:t>
            </w:r>
            <w:r w:rsidRPr="005F6BC2">
              <w:rPr>
                <w:b/>
                <w:szCs w:val="22"/>
              </w:rPr>
              <w:t>)</w:t>
            </w:r>
          </w:p>
        </w:tc>
        <w:tc>
          <w:tcPr>
            <w:tcW w:w="2291" w:type="dxa"/>
          </w:tcPr>
          <w:p w:rsidR="009C1C1C" w:rsidP="006B48CA" w14:paraId="2AACEE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9C1C1C" w:rsidRPr="005F6BC2" w:rsidP="006B48CA" w14:paraId="474B5C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9C1C1C" w:rsidRPr="005F6BC2" w:rsidP="006B48CA" w14:paraId="311EBA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20 Regulatory Fees</w:t>
            </w:r>
          </w:p>
        </w:tc>
      </w:tr>
      <w:tr w14:paraId="42D24557" w14:textId="77777777" w:rsidTr="006B48CA">
        <w:tblPrEx>
          <w:tblW w:w="0" w:type="auto"/>
          <w:tblInd w:w="175" w:type="dxa"/>
          <w:tblLook w:val="01E0"/>
        </w:tblPrEx>
        <w:trPr>
          <w:trHeight w:val="576"/>
        </w:trPr>
        <w:tc>
          <w:tcPr>
            <w:tcW w:w="3649" w:type="dxa"/>
            <w:vAlign w:val="center"/>
          </w:tcPr>
          <w:p w:rsidR="009C1C1C" w:rsidRPr="005F6BC2" w:rsidP="006B48CA" w14:paraId="3BC016E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9C1C1C" w:rsidP="006B48CA" w14:paraId="533B586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9C1C1C" w:rsidP="006B48CA" w14:paraId="26BAAE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9C1C1C" w:rsidRPr="005F6BC2" w:rsidP="006B48CA" w14:paraId="62D28F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$13,450</w:t>
            </w:r>
          </w:p>
        </w:tc>
      </w:tr>
      <w:tr w14:paraId="15CA0214" w14:textId="77777777" w:rsidTr="006B48CA">
        <w:tblPrEx>
          <w:tblW w:w="0" w:type="auto"/>
          <w:tblInd w:w="175" w:type="dxa"/>
          <w:tblLook w:val="01E0"/>
        </w:tblPrEx>
        <w:trPr>
          <w:trHeight w:val="576"/>
        </w:trPr>
        <w:tc>
          <w:tcPr>
            <w:tcW w:w="3649" w:type="dxa"/>
            <w:vAlign w:val="center"/>
          </w:tcPr>
          <w:p w:rsidR="009C1C1C" w:rsidRPr="005F6BC2" w:rsidP="006B48CA" w14:paraId="17BAE5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9C1C1C" w:rsidP="006B48CA" w14:paraId="780A44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9C1C1C" w:rsidRPr="005F6BC2" w:rsidP="006B48CA" w14:paraId="3CF527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9C1C1C" w:rsidRPr="005F6BC2" w:rsidP="006B48CA" w14:paraId="240959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Pr>
                <w:bCs/>
                <w:szCs w:val="22"/>
              </w:rPr>
              <w:t>26,875</w:t>
            </w:r>
          </w:p>
        </w:tc>
      </w:tr>
      <w:tr w14:paraId="693F22F8" w14:textId="77777777" w:rsidTr="006B48CA">
        <w:tblPrEx>
          <w:tblW w:w="0" w:type="auto"/>
          <w:tblInd w:w="175" w:type="dxa"/>
          <w:tblLook w:val="01E0"/>
        </w:tblPrEx>
        <w:trPr>
          <w:trHeight w:val="576"/>
        </w:trPr>
        <w:tc>
          <w:tcPr>
            <w:tcW w:w="3649" w:type="dxa"/>
            <w:vAlign w:val="center"/>
          </w:tcPr>
          <w:p w:rsidR="009C1C1C" w:rsidRPr="005F6BC2" w:rsidP="006B48CA" w14:paraId="01BE7D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9C1C1C" w:rsidP="006B48CA" w14:paraId="03F3A8F4" w14:textId="77777777">
            <w:pPr>
              <w:jc w:val="center"/>
              <w:rPr>
                <w:bCs/>
                <w:szCs w:val="22"/>
              </w:rPr>
            </w:pPr>
          </w:p>
          <w:p w:rsidR="009C1C1C" w:rsidRPr="005F6BC2" w:rsidP="006B48CA" w14:paraId="35A556E9" w14:textId="77777777">
            <w:pPr>
              <w:jc w:val="center"/>
              <w:rPr>
                <w:bCs/>
                <w:szCs w:val="22"/>
              </w:rPr>
            </w:pPr>
            <w:r>
              <w:rPr>
                <w:bCs/>
                <w:szCs w:val="22"/>
              </w:rPr>
              <w:t>.25 Units</w:t>
            </w:r>
          </w:p>
        </w:tc>
        <w:tc>
          <w:tcPr>
            <w:tcW w:w="3235" w:type="dxa"/>
            <w:vAlign w:val="center"/>
          </w:tcPr>
          <w:p w:rsidR="009C1C1C" w:rsidRPr="005F6BC2" w:rsidP="006B48CA" w14:paraId="2303F0F1" w14:textId="77777777">
            <w:pPr>
              <w:jc w:val="center"/>
              <w:rPr>
                <w:spacing w:val="-3"/>
                <w:szCs w:val="22"/>
              </w:rPr>
            </w:pPr>
            <w:r w:rsidRPr="005F6BC2">
              <w:rPr>
                <w:bCs/>
                <w:szCs w:val="22"/>
              </w:rPr>
              <w:t>$</w:t>
            </w:r>
            <w:r>
              <w:rPr>
                <w:bCs/>
                <w:szCs w:val="22"/>
              </w:rPr>
              <w:t>53,750</w:t>
            </w:r>
          </w:p>
        </w:tc>
      </w:tr>
      <w:tr w14:paraId="2827711B" w14:textId="77777777" w:rsidTr="006B48CA">
        <w:tblPrEx>
          <w:tblW w:w="0" w:type="auto"/>
          <w:tblInd w:w="175" w:type="dxa"/>
          <w:tblLook w:val="01E0"/>
        </w:tblPrEx>
        <w:trPr>
          <w:trHeight w:val="576"/>
        </w:trPr>
        <w:tc>
          <w:tcPr>
            <w:tcW w:w="3649" w:type="dxa"/>
            <w:vAlign w:val="center"/>
          </w:tcPr>
          <w:p w:rsidR="009C1C1C" w:rsidRPr="005F6BC2" w:rsidP="006B48CA" w14:paraId="362D60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9C1C1C" w:rsidP="006B48CA" w14:paraId="05E0E6D8" w14:textId="77777777">
            <w:pPr>
              <w:jc w:val="center"/>
              <w:rPr>
                <w:bCs/>
                <w:szCs w:val="22"/>
              </w:rPr>
            </w:pPr>
          </w:p>
          <w:p w:rsidR="009C1C1C" w:rsidRPr="005F6BC2" w:rsidP="006B48CA" w14:paraId="2004A498" w14:textId="77777777">
            <w:pPr>
              <w:jc w:val="center"/>
              <w:rPr>
                <w:bCs/>
                <w:szCs w:val="22"/>
              </w:rPr>
            </w:pPr>
            <w:r>
              <w:rPr>
                <w:bCs/>
                <w:szCs w:val="22"/>
              </w:rPr>
              <w:t>.5 Units</w:t>
            </w:r>
          </w:p>
        </w:tc>
        <w:tc>
          <w:tcPr>
            <w:tcW w:w="3235" w:type="dxa"/>
            <w:vAlign w:val="center"/>
          </w:tcPr>
          <w:p w:rsidR="009C1C1C" w:rsidRPr="005F6BC2" w:rsidP="006B48CA" w14:paraId="6D2B1091" w14:textId="77777777">
            <w:pPr>
              <w:jc w:val="center"/>
              <w:rPr>
                <w:spacing w:val="-3"/>
                <w:szCs w:val="22"/>
              </w:rPr>
            </w:pPr>
            <w:r w:rsidRPr="005F6BC2">
              <w:rPr>
                <w:bCs/>
                <w:szCs w:val="22"/>
              </w:rPr>
              <w:t>$</w:t>
            </w:r>
            <w:r>
              <w:rPr>
                <w:bCs/>
                <w:szCs w:val="22"/>
              </w:rPr>
              <w:t>107,500</w:t>
            </w:r>
          </w:p>
        </w:tc>
      </w:tr>
      <w:tr w14:paraId="5719B2DC" w14:textId="77777777" w:rsidTr="006B48CA">
        <w:tblPrEx>
          <w:tblW w:w="0" w:type="auto"/>
          <w:tblInd w:w="175" w:type="dxa"/>
          <w:tblLook w:val="01E0"/>
        </w:tblPrEx>
        <w:trPr>
          <w:trHeight w:val="576"/>
        </w:trPr>
        <w:tc>
          <w:tcPr>
            <w:tcW w:w="3649" w:type="dxa"/>
            <w:vAlign w:val="center"/>
          </w:tcPr>
          <w:p w:rsidR="009C1C1C" w:rsidRPr="005F6BC2" w:rsidP="006B48CA" w14:paraId="0C2AD7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9C1C1C" w:rsidP="006B48CA" w14:paraId="62AC4A04" w14:textId="77777777">
            <w:pPr>
              <w:jc w:val="center"/>
              <w:rPr>
                <w:bCs/>
                <w:szCs w:val="22"/>
              </w:rPr>
            </w:pPr>
          </w:p>
          <w:p w:rsidR="009C1C1C" w:rsidRPr="005F6BC2" w:rsidP="006B48CA" w14:paraId="06A05E23" w14:textId="77777777">
            <w:pPr>
              <w:jc w:val="center"/>
              <w:rPr>
                <w:bCs/>
                <w:szCs w:val="22"/>
              </w:rPr>
            </w:pPr>
            <w:r>
              <w:rPr>
                <w:bCs/>
                <w:szCs w:val="22"/>
              </w:rPr>
              <w:t>1.0 Unit</w:t>
            </w:r>
          </w:p>
        </w:tc>
        <w:tc>
          <w:tcPr>
            <w:tcW w:w="3235" w:type="dxa"/>
            <w:vAlign w:val="center"/>
          </w:tcPr>
          <w:p w:rsidR="009C1C1C" w:rsidRPr="005F6BC2" w:rsidP="006B48CA" w14:paraId="514820A8" w14:textId="77777777">
            <w:pPr>
              <w:jc w:val="center"/>
              <w:rPr>
                <w:spacing w:val="-3"/>
                <w:szCs w:val="22"/>
              </w:rPr>
            </w:pPr>
            <w:r w:rsidRPr="005F6BC2">
              <w:rPr>
                <w:bCs/>
                <w:szCs w:val="22"/>
              </w:rPr>
              <w:t>$</w:t>
            </w:r>
            <w:r>
              <w:rPr>
                <w:bCs/>
                <w:szCs w:val="22"/>
              </w:rPr>
              <w:t>215,000</w:t>
            </w:r>
          </w:p>
        </w:tc>
      </w:tr>
      <w:tr w14:paraId="2123067D" w14:textId="77777777" w:rsidTr="006B48CA">
        <w:tblPrEx>
          <w:tblW w:w="0" w:type="auto"/>
          <w:tblInd w:w="175" w:type="dxa"/>
          <w:tblLook w:val="01E0"/>
        </w:tblPrEx>
        <w:trPr>
          <w:trHeight w:val="576"/>
        </w:trPr>
        <w:tc>
          <w:tcPr>
            <w:tcW w:w="3649" w:type="dxa"/>
            <w:vAlign w:val="center"/>
          </w:tcPr>
          <w:p w:rsidR="009C1C1C" w:rsidRPr="005F6BC2" w:rsidP="006B48CA" w14:paraId="0FEF75F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9C1C1C" w:rsidP="006B48CA" w14:paraId="708E6378" w14:textId="77777777">
            <w:pPr>
              <w:jc w:val="center"/>
              <w:rPr>
                <w:bCs/>
                <w:szCs w:val="22"/>
              </w:rPr>
            </w:pPr>
          </w:p>
          <w:p w:rsidR="009C1C1C" w:rsidRPr="005F6BC2" w:rsidP="006B48CA" w14:paraId="218AD667" w14:textId="77777777">
            <w:pPr>
              <w:jc w:val="center"/>
              <w:rPr>
                <w:bCs/>
                <w:szCs w:val="22"/>
              </w:rPr>
            </w:pPr>
            <w:r w:rsidRPr="0014092A">
              <w:rPr>
                <w:bCs/>
                <w:szCs w:val="22"/>
              </w:rPr>
              <w:t>2.0 Units</w:t>
            </w:r>
          </w:p>
        </w:tc>
        <w:tc>
          <w:tcPr>
            <w:tcW w:w="3235" w:type="dxa"/>
            <w:vAlign w:val="center"/>
          </w:tcPr>
          <w:p w:rsidR="009C1C1C" w:rsidRPr="005F6BC2" w:rsidP="006B48CA" w14:paraId="664FDECB" w14:textId="77777777">
            <w:pPr>
              <w:jc w:val="center"/>
              <w:rPr>
                <w:szCs w:val="22"/>
              </w:rPr>
            </w:pPr>
            <w:r w:rsidRPr="005F6BC2">
              <w:rPr>
                <w:bCs/>
                <w:szCs w:val="22"/>
              </w:rPr>
              <w:t>$</w:t>
            </w:r>
            <w:r>
              <w:rPr>
                <w:bCs/>
                <w:szCs w:val="22"/>
              </w:rPr>
              <w:t>430,000</w:t>
            </w:r>
          </w:p>
        </w:tc>
      </w:tr>
    </w:tbl>
    <w:p w:rsidR="009C1C1C" w:rsidP="009C1C1C" w14:paraId="57BC9CBC" w14:textId="77777777">
      <w:pPr>
        <w:pStyle w:val="ParaNum"/>
        <w:numPr>
          <w:ilvl w:val="0"/>
          <w:numId w:val="0"/>
        </w:numPr>
        <w:rPr>
          <w:highlight w:val="yellow"/>
        </w:rPr>
      </w:pPr>
      <w:r w:rsidRPr="00342331">
        <w:rPr>
          <w:highlight w:val="yellow"/>
        </w:rPr>
        <w:t xml:space="preserve"> </w:t>
      </w:r>
    </w:p>
    <w:p w:rsidR="009C1C1C" w:rsidP="009C1C1C" w14:paraId="79D5C264" w14:textId="77777777"/>
    <w:p w:rsidR="009C1C1C" w:rsidRPr="005336F3" w:rsidP="009C1C1C" w14:paraId="188F7E53" w14:textId="77777777">
      <w:pPr>
        <w:pStyle w:val="ParaNum"/>
        <w:numPr>
          <w:ilvl w:val="0"/>
          <w:numId w:val="0"/>
        </w:numPr>
        <w:ind w:left="720"/>
      </w:pPr>
    </w:p>
    <w:p w:rsidR="00412FC5" w:rsidRPr="00584CDC" w:rsidP="00584CDC" w14:paraId="68BCFE22" w14:textId="621BD9F4"/>
    <w:sectPr w:rsidSect="007E0AA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210" w:rsidP="0055614C" w14:paraId="097324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EA1210" w14:paraId="214FDB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210" w:rsidP="00584CDC" w14:paraId="6B7AA2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210" w14:paraId="33B1607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14:paraId="585B135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rsidP="0055614C" w14:paraId="059B0F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1C1C" w14:paraId="28BB830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14:paraId="6ED356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238B" w14:paraId="3C4A8550" w14:textId="77777777">
      <w:r>
        <w:separator/>
      </w:r>
    </w:p>
  </w:footnote>
  <w:footnote w:type="continuationSeparator" w:id="1">
    <w:p w:rsidR="00F0238B" w:rsidP="00C721AC" w14:paraId="358A9EAC" w14:textId="77777777">
      <w:pPr>
        <w:spacing w:before="120"/>
        <w:rPr>
          <w:sz w:val="20"/>
        </w:rPr>
      </w:pPr>
      <w:r>
        <w:rPr>
          <w:sz w:val="20"/>
        </w:rPr>
        <w:t xml:space="preserve">(Continued from previous page)  </w:t>
      </w:r>
      <w:r>
        <w:rPr>
          <w:sz w:val="20"/>
        </w:rPr>
        <w:separator/>
      </w:r>
    </w:p>
  </w:footnote>
  <w:footnote w:type="continuationNotice" w:id="2">
    <w:p w:rsidR="00F0238B" w:rsidP="00C721AC" w14:paraId="76211289" w14:textId="77777777">
      <w:pPr>
        <w:jc w:val="right"/>
        <w:rPr>
          <w:sz w:val="20"/>
        </w:rPr>
      </w:pPr>
      <w:r>
        <w:rPr>
          <w:sz w:val="20"/>
        </w:rPr>
        <w:t>(continued….)</w:t>
      </w:r>
    </w:p>
  </w:footnote>
  <w:footnote w:id="3">
    <w:p w:rsidR="00EA1210" w:rsidP="00584CDC" w14:paraId="356E46F4" w14:textId="77777777">
      <w:pPr>
        <w:pStyle w:val="FootnoteText"/>
      </w:pPr>
      <w:r>
        <w:rPr>
          <w:rStyle w:val="FootnoteReference"/>
        </w:rPr>
        <w:footnoteRef/>
      </w:r>
      <w:r>
        <w:t xml:space="preserve"> </w:t>
      </w:r>
      <w:r w:rsidRPr="006358BC">
        <w:t>Consolidated Appropriations Act, 20</w:t>
      </w:r>
      <w:r>
        <w:t>20</w:t>
      </w:r>
      <w:r w:rsidRPr="006358BC">
        <w:t>, Pub. L. No. 116-</w:t>
      </w:r>
      <w:r>
        <w:t>93 (appropriating $339,000,000 to the Commission for salaries and expenses and directing the Commission to assess and collect the same amount in offsetting collections) (FY 2020 Appropriation).</w:t>
      </w:r>
    </w:p>
  </w:footnote>
  <w:footnote w:id="4">
    <w:p w:rsidR="00EA1210" w:rsidP="00584CDC" w14:paraId="62A4C7FE" w14:textId="77777777">
      <w:pPr>
        <w:pStyle w:val="FootnoteText"/>
      </w:pPr>
      <w:r>
        <w:rPr>
          <w:rStyle w:val="FootnoteReference"/>
        </w:rPr>
        <w:footnoteRef/>
      </w:r>
      <w:r>
        <w:t xml:space="preserve"> 47 U.S.C. § 159(a), (b); FY 2020 Appropriation.</w:t>
      </w:r>
    </w:p>
  </w:footnote>
  <w:footnote w:id="5">
    <w:p w:rsidR="00EA1210" w:rsidRPr="00A1103B" w:rsidP="00584CDC" w14:paraId="669954CE" w14:textId="77777777">
      <w:pPr>
        <w:pStyle w:val="FootnoteText"/>
      </w:pPr>
      <w:r w:rsidRPr="00A1103B">
        <w:rPr>
          <w:rStyle w:val="FootnoteReference"/>
        </w:rPr>
        <w:footnoteRef/>
      </w:r>
      <w:r w:rsidRPr="00A1103B">
        <w:t xml:space="preserve"> </w:t>
      </w:r>
      <w:r w:rsidRPr="00A1103B">
        <w:rPr>
          <w:i/>
        </w:rPr>
        <w:t>Assessment and Collection of Regulatory Fees for Fiscal Year 2004</w:t>
      </w:r>
      <w:r w:rsidRPr="00A1103B">
        <w:t>, Report and Order, 19 FCC Rcd 11662, 11666, para. 11 (2004) (</w:t>
      </w:r>
      <w:r w:rsidRPr="00A1103B">
        <w:rPr>
          <w:i/>
        </w:rPr>
        <w:t>FY 2004 Report and Order</w:t>
      </w:r>
      <w:r w:rsidRPr="00A1103B">
        <w:t xml:space="preserve">).  </w:t>
      </w:r>
    </w:p>
  </w:footnote>
  <w:footnote w:id="6">
    <w:p w:rsidR="00EA1210" w:rsidP="00584CDC" w14:paraId="23575481" w14:textId="77777777">
      <w:pPr>
        <w:pStyle w:val="FootnoteText"/>
      </w:pPr>
      <w:r>
        <w:rPr>
          <w:rStyle w:val="FootnoteReference"/>
        </w:rPr>
        <w:footnoteRef/>
      </w:r>
      <w:r>
        <w:t xml:space="preserve"> 47 U.S.C. </w:t>
      </w:r>
      <w:r w:rsidRPr="00A1103B">
        <w:t>§</w:t>
      </w:r>
      <w:r>
        <w:t xml:space="preserve"> 159(e)(1).</w:t>
      </w:r>
    </w:p>
  </w:footnote>
  <w:footnote w:id="7">
    <w:p w:rsidR="00EA1210" w:rsidP="00584CDC" w14:paraId="6851A164" w14:textId="77777777">
      <w:pPr>
        <w:pStyle w:val="FootnoteText"/>
      </w:pPr>
      <w:r>
        <w:rPr>
          <w:rStyle w:val="FootnoteReference"/>
        </w:rPr>
        <w:footnoteRef/>
      </w:r>
      <w:r>
        <w:t xml:space="preserve"> 47 U.S.C. </w:t>
      </w:r>
      <w:r w:rsidRPr="00A1103B">
        <w:t>§</w:t>
      </w:r>
      <w:r>
        <w:t xml:space="preserve"> 159(e)(2).</w:t>
      </w:r>
    </w:p>
  </w:footnote>
  <w:footnote w:id="8">
    <w:p w:rsidR="00EA1210" w:rsidP="00584CDC" w14:paraId="1EA972F0" w14:textId="77777777">
      <w:pPr>
        <w:pStyle w:val="FootnoteText"/>
      </w:pPr>
      <w:r>
        <w:rPr>
          <w:rStyle w:val="FootnoteReference"/>
        </w:rPr>
        <w:footnoteRef/>
      </w:r>
      <w:r>
        <w:t xml:space="preserve"> 47 CFR</w:t>
      </w:r>
      <w:r w:rsidRPr="00410E02">
        <w:t xml:space="preserve"> </w:t>
      </w:r>
      <w:r w:rsidRPr="00A1103B">
        <w:t>§</w:t>
      </w:r>
      <w:r>
        <w:t xml:space="preserve"> 1.1166.</w:t>
      </w:r>
    </w:p>
  </w:footnote>
  <w:footnote w:id="9">
    <w:p w:rsidR="00EA1210" w:rsidP="00584CDC" w14:paraId="65AB3375" w14:textId="77777777">
      <w:pPr>
        <w:pStyle w:val="FootnoteText"/>
      </w:pPr>
      <w:r>
        <w:rPr>
          <w:rStyle w:val="FootnoteReference"/>
        </w:rPr>
        <w:footnoteRef/>
      </w:r>
      <w:r>
        <w:t xml:space="preserve"> 47 U.S.C. </w:t>
      </w:r>
      <w:r w:rsidRPr="00A1103B">
        <w:t>§</w:t>
      </w:r>
      <w:r>
        <w:t xml:space="preserve"> 159(d).</w:t>
      </w:r>
    </w:p>
  </w:footnote>
  <w:footnote w:id="10">
    <w:p w:rsidR="00EA1210" w:rsidP="00584CDC" w14:paraId="73E1FA46" w14:textId="77777777">
      <w:pPr>
        <w:pStyle w:val="FootnoteText"/>
      </w:pPr>
      <w:r>
        <w:rPr>
          <w:rStyle w:val="FootnoteReference"/>
        </w:rPr>
        <w:footnoteRef/>
      </w:r>
      <w:r>
        <w:t xml:space="preserve"> One FTE, a “Full Time Equivalent” or “Full Time Employee,” is a unit of measure equal to the work performed annually by a full time person (working a 40-hour workweek for a full year) assigned to the particular job, and subject to agency personnel staffing limitations established by the U.S. Office of Management and Budget.</w:t>
      </w:r>
    </w:p>
  </w:footnote>
  <w:footnote w:id="11">
    <w:p w:rsidR="00EA1210" w:rsidP="00584CDC" w14:paraId="3F4B496A" w14:textId="77777777">
      <w:pPr>
        <w:pStyle w:val="FootnoteText"/>
      </w:pPr>
      <w:r>
        <w:rPr>
          <w:rStyle w:val="FootnoteReference"/>
        </w:rPr>
        <w:footnoteRef/>
      </w:r>
      <w:r>
        <w:t xml:space="preserve"> </w:t>
      </w:r>
      <w:r>
        <w:rPr>
          <w:i/>
        </w:rPr>
        <w:t xml:space="preserve">Procedures for Assessment and Collection of Regulatory </w:t>
      </w:r>
      <w:r w:rsidRPr="00D97D01">
        <w:rPr>
          <w:i/>
        </w:rPr>
        <w:t>Fees</w:t>
      </w:r>
      <w:r>
        <w:t>, Notice of Proposed Rulemaking, 27 FCC Rcd 8458, 8460, para. 5 &amp; n.5 (2012) (</w:t>
      </w:r>
      <w:r w:rsidRPr="00E93795">
        <w:rPr>
          <w:i/>
        </w:rPr>
        <w:t>FY</w:t>
      </w:r>
      <w:r w:rsidRPr="00A1103B">
        <w:rPr>
          <w:i/>
        </w:rPr>
        <w:t xml:space="preserve"> 2012 NPRM</w:t>
      </w:r>
      <w:r>
        <w:t>).</w:t>
      </w:r>
    </w:p>
  </w:footnote>
  <w:footnote w:id="12">
    <w:p w:rsidR="00EA1210" w:rsidP="00584CDC" w14:paraId="464C3642" w14:textId="77777777">
      <w:pPr>
        <w:pStyle w:val="FootnoteText"/>
      </w:pPr>
      <w:r>
        <w:rPr>
          <w:rStyle w:val="FootnoteReference"/>
        </w:rPr>
        <w:footnoteRef/>
      </w:r>
      <w:r>
        <w:t xml:space="preserve"> For a summary of the regulatory fee reforms, </w:t>
      </w:r>
      <w:r w:rsidRPr="008B4DC3">
        <w:rPr>
          <w:i/>
          <w:iCs/>
        </w:rPr>
        <w:t>see</w:t>
      </w:r>
      <w:r>
        <w:rPr>
          <w:i/>
          <w:iCs/>
        </w:rPr>
        <w:t xml:space="preserve"> </w:t>
      </w:r>
      <w:r w:rsidRPr="00593FA6">
        <w:rPr>
          <w:i/>
          <w:iCs/>
        </w:rPr>
        <w:t>Assessment and Collection of Regulatory Fees for Fiscal Year</w:t>
      </w:r>
      <w:r w:rsidRPr="008B4DC3">
        <w:rPr>
          <w:i/>
          <w:iCs/>
        </w:rPr>
        <w:t xml:space="preserve"> 2019</w:t>
      </w:r>
      <w:r>
        <w:t>, Report and Order and Further Notice of Proposed Rulemaking, 34 FCC Rcd 8189, 8191, para. 4 (2019) (</w:t>
      </w:r>
      <w:r w:rsidRPr="00593FA6">
        <w:rPr>
          <w:i/>
          <w:iCs/>
        </w:rPr>
        <w:t>FY 2019 Report and Order</w:t>
      </w:r>
      <w:r>
        <w:t>).</w:t>
      </w:r>
    </w:p>
  </w:footnote>
  <w:footnote w:id="13">
    <w:p w:rsidR="00EA1210" w:rsidP="00584CDC" w14:paraId="74CA5824" w14:textId="77777777">
      <w:pPr>
        <w:pStyle w:val="FootnoteText"/>
      </w:pPr>
      <w:r>
        <w:rPr>
          <w:rStyle w:val="FootnoteReference"/>
        </w:rPr>
        <w:footnoteRef/>
      </w:r>
      <w:r>
        <w:t xml:space="preserve"> </w:t>
      </w:r>
      <w:r w:rsidRPr="0047313F">
        <w:rPr>
          <w:i/>
          <w:iCs/>
        </w:rPr>
        <w:t>Assessment and Collection of Regulatory Rees for Fiscal Year 2020</w:t>
      </w:r>
      <w:r>
        <w:t>, Report and Order and Notice of Proposed Rulemaking, 35 FCC Rcd 4976, 4978-4997, paras. 6-52 (2020) (</w:t>
      </w:r>
      <w:r>
        <w:rPr>
          <w:i/>
          <w:iCs/>
        </w:rPr>
        <w:t>2020 Regulatory Fee Reform Order</w:t>
      </w:r>
      <w:r w:rsidRPr="0047313F">
        <w:rPr>
          <w:i/>
          <w:iCs/>
        </w:rPr>
        <w:t xml:space="preserve"> </w:t>
      </w:r>
      <w:r>
        <w:t xml:space="preserve">and </w:t>
      </w:r>
      <w:r w:rsidRPr="0047313F">
        <w:rPr>
          <w:i/>
          <w:iCs/>
        </w:rPr>
        <w:t>FY 2020 NPRM</w:t>
      </w:r>
      <w:r>
        <w:t xml:space="preserve">), pet. for review pending, </w:t>
      </w:r>
      <w:r w:rsidRPr="00C932C7">
        <w:rPr>
          <w:i/>
        </w:rPr>
        <w:t>Telesat</w:t>
      </w:r>
      <w:r w:rsidRPr="00C932C7">
        <w:rPr>
          <w:i/>
        </w:rPr>
        <w:t xml:space="preserve"> Canada, Eutelsat S.A., </w:t>
      </w:r>
      <w:r w:rsidRPr="00C932C7">
        <w:rPr>
          <w:i/>
        </w:rPr>
        <w:t>Kineis</w:t>
      </w:r>
      <w:r w:rsidRPr="00C932C7">
        <w:rPr>
          <w:i/>
        </w:rPr>
        <w:t xml:space="preserve">, </w:t>
      </w:r>
      <w:r w:rsidRPr="00C932C7">
        <w:rPr>
          <w:i/>
        </w:rPr>
        <w:t>Hiber</w:t>
      </w:r>
      <w:r w:rsidRPr="00C932C7">
        <w:rPr>
          <w:i/>
        </w:rPr>
        <w:t xml:space="preserve">, Inc., and </w:t>
      </w:r>
      <w:r w:rsidRPr="00C932C7">
        <w:rPr>
          <w:i/>
        </w:rPr>
        <w:t>Immarsat</w:t>
      </w:r>
      <w:r w:rsidRPr="00C932C7">
        <w:rPr>
          <w:i/>
        </w:rPr>
        <w:t xml:space="preserve"> Group Holdings Ltd. v FCC &amp; USA</w:t>
      </w:r>
      <w:r>
        <w:t>, No. 20-1234 (D.C. Cir.) (</w:t>
      </w:r>
      <w:bookmarkStart w:id="21" w:name="_Hlk47095032"/>
      <w:r>
        <w:t>Telesat</w:t>
      </w:r>
      <w:r>
        <w:t xml:space="preserve"> Petition for Review</w:t>
      </w:r>
      <w:bookmarkEnd w:id="21"/>
      <w:r>
        <w:t xml:space="preserve">) (Petition for Review filed on July 2, 2020).  In the </w:t>
      </w:r>
      <w:r>
        <w:t>Telesat</w:t>
      </w:r>
      <w:r>
        <w:t xml:space="preserve"> Petition for Review, petitioners challenge the FCC’s decision to assess regulatory fees on operators of non-U.S. licensed space stations granted access to the market in the United States under the space station fee categories.</w:t>
      </w:r>
    </w:p>
  </w:footnote>
  <w:footnote w:id="14">
    <w:p w:rsidR="00EA1210" w:rsidP="00584CDC" w14:paraId="11A458F0" w14:textId="77777777">
      <w:pPr>
        <w:pStyle w:val="FootnoteText"/>
      </w:pPr>
      <w:r>
        <w:rPr>
          <w:rStyle w:val="FootnoteReference"/>
        </w:rPr>
        <w:footnoteRef/>
      </w:r>
      <w:r>
        <w:t xml:space="preserve"> </w:t>
      </w:r>
      <w:r w:rsidRPr="0047313F">
        <w:rPr>
          <w:i/>
          <w:iCs/>
        </w:rPr>
        <w:t>FY 2020 NPRM</w:t>
      </w:r>
      <w:r>
        <w:t>, 35 FCC Rcd at 4997-5005, paras. 53-76.</w:t>
      </w:r>
    </w:p>
  </w:footnote>
  <w:footnote w:id="15">
    <w:p w:rsidR="00EA1210" w:rsidP="00584CDC" w14:paraId="68F4AC67" w14:textId="22B50DD8">
      <w:pPr>
        <w:pStyle w:val="FootnoteText"/>
      </w:pPr>
      <w:r>
        <w:rPr>
          <w:rStyle w:val="FootnoteReference"/>
        </w:rPr>
        <w:footnoteRef/>
      </w:r>
      <w:r>
        <w:rPr>
          <w:i/>
          <w:iCs/>
        </w:rPr>
        <w:t xml:space="preserve"> </w:t>
      </w:r>
      <w:r w:rsidRPr="00DB24AF">
        <w:rPr>
          <w:i/>
          <w:iCs/>
        </w:rPr>
        <w:t>Id.</w:t>
      </w:r>
      <w:r>
        <w:t>.</w:t>
      </w:r>
    </w:p>
  </w:footnote>
  <w:footnote w:id="16">
    <w:p w:rsidR="00EA1210" w:rsidP="00584CDC" w14:paraId="0D86D49F" w14:textId="77777777">
      <w:pPr>
        <w:pStyle w:val="FootnoteText"/>
      </w:pPr>
      <w:r>
        <w:rPr>
          <w:rStyle w:val="FootnoteReference"/>
        </w:rPr>
        <w:footnoteRef/>
      </w:r>
      <w:r>
        <w:t xml:space="preserve"> The list of commenters is in Appendix A.</w:t>
      </w:r>
    </w:p>
  </w:footnote>
  <w:footnote w:id="17">
    <w:p w:rsidR="00EA1210" w14:paraId="77F81EBF" w14:textId="58B33C6E">
      <w:pPr>
        <w:pStyle w:val="FootnoteText"/>
      </w:pPr>
      <w:r>
        <w:rPr>
          <w:rStyle w:val="FootnoteReference"/>
        </w:rPr>
        <w:footnoteRef/>
      </w:r>
      <w:r>
        <w:t xml:space="preserve"> </w:t>
      </w:r>
      <w:r w:rsidRPr="009234F5">
        <w:rPr>
          <w:i/>
          <w:iCs/>
        </w:rPr>
        <w:t>FY 2020 NPRM</w:t>
      </w:r>
      <w:r>
        <w:t>, 35 FCC Rcd at 5015, Appendix C.</w:t>
      </w:r>
    </w:p>
  </w:footnote>
  <w:footnote w:id="18">
    <w:p w:rsidR="00EA1210" w:rsidP="00584CDC" w14:paraId="08978C24" w14:textId="48DF1733">
      <w:pPr>
        <w:pStyle w:val="FootnoteText"/>
      </w:pPr>
      <w:r>
        <w:rPr>
          <w:rStyle w:val="FootnoteReference"/>
        </w:rPr>
        <w:footnoteRef/>
      </w:r>
      <w:r>
        <w:t xml:space="preserve"> </w:t>
      </w:r>
      <w:r>
        <w:rPr>
          <w:i/>
          <w:iCs/>
        </w:rPr>
        <w:t>Id.</w:t>
      </w:r>
      <w:r w:rsidRPr="005A1475">
        <w:rPr>
          <w:i/>
        </w:rPr>
        <w:t xml:space="preserve"> </w:t>
      </w:r>
      <w:r>
        <w:t xml:space="preserve">at 4998, paras. 56-58. </w:t>
      </w:r>
    </w:p>
  </w:footnote>
  <w:footnote w:id="19">
    <w:p w:rsidR="00EA1210" w:rsidP="00584CDC" w14:paraId="38E7F348" w14:textId="1D7BD6C9">
      <w:pPr>
        <w:pStyle w:val="FootnoteText"/>
      </w:pPr>
      <w:r>
        <w:rPr>
          <w:rStyle w:val="FootnoteReference"/>
        </w:rPr>
        <w:footnoteRef/>
      </w:r>
      <w:r>
        <w:t xml:space="preserve"> In 2013, the Commission allocated all FTEs except for 28 in the International Bureau as indirect.  </w:t>
      </w:r>
      <w:r w:rsidRPr="00767BEB">
        <w:rPr>
          <w:i/>
          <w:iCs/>
        </w:rPr>
        <w:t>Assessment and Collection of Regulatory Fees for Fiscal Year 2013</w:t>
      </w:r>
      <w:r>
        <w:t>, Report and Order, 28 FCC Rcd 12351, 12355-356, para. 14 (2013) (</w:t>
      </w:r>
      <w:r w:rsidRPr="00767BEB">
        <w:rPr>
          <w:i/>
          <w:iCs/>
        </w:rPr>
        <w:t>FY 2013 Report and Order</w:t>
      </w:r>
      <w:r>
        <w:t xml:space="preserve">).  Subsequently, the Commission allocated an additional four FTEs, working on market access requests for non-U.S. licensed space stations, as indirect, </w:t>
      </w:r>
      <w:r w:rsidRPr="00A40B88">
        <w:rPr>
          <w:i/>
          <w:iCs/>
        </w:rPr>
        <w:t>Assessment and Collection of Regulatory Fees for Fiscal Year 2015</w:t>
      </w:r>
      <w:r>
        <w:t xml:space="preserve">, </w:t>
      </w:r>
      <w:r w:rsidRPr="00540469">
        <w:t>Report and Ord</w:t>
      </w:r>
      <w:r>
        <w:t>e</w:t>
      </w:r>
      <w:r w:rsidRPr="00540469">
        <w:t>r</w:t>
      </w:r>
      <w:r>
        <w:t xml:space="preserve"> and Further Notice of Proposed Rulemaking, 30 FCC Rcd 10268, 10278, para. 24 (2015) (</w:t>
      </w:r>
      <w:r w:rsidRPr="00A40B88">
        <w:rPr>
          <w:i/>
          <w:iCs/>
        </w:rPr>
        <w:t>FY 2015 Report and Order</w:t>
      </w:r>
      <w:r>
        <w:t>);</w:t>
      </w:r>
      <w:r w:rsidRPr="00A13DC4">
        <w:t xml:space="preserve"> </w:t>
      </w:r>
      <w:r>
        <w:t xml:space="preserve">however, those have since been reclassified as direct.  In 2017, the Commission allocated 38 FTEs in the Wireline Competition Bureau who work on non-high cost programs of the Universal Service Fund as indirect.  </w:t>
      </w:r>
      <w:r w:rsidRPr="00AB6E3F">
        <w:rPr>
          <w:i/>
          <w:iCs/>
        </w:rPr>
        <w:t>Assessment and Collection of Regulatory Fees for Fiscal Year 2017</w:t>
      </w:r>
      <w:r>
        <w:t>, Report and Order and Further Notice of Proposed Rulemaking, 32 FCC Rcd 7057, 7061-64, paras. 10-15 (2017) (</w:t>
      </w:r>
      <w:r w:rsidRPr="00AB6E3F">
        <w:rPr>
          <w:i/>
          <w:iCs/>
        </w:rPr>
        <w:t>FY 2017 Report and Order</w:t>
      </w:r>
      <w:r>
        <w:t>).</w:t>
      </w:r>
    </w:p>
  </w:footnote>
  <w:footnote w:id="20">
    <w:p w:rsidR="00EA1210" w:rsidP="00584CDC" w14:paraId="356CDF75" w14:textId="77777777">
      <w:pPr>
        <w:pStyle w:val="FootnoteText"/>
      </w:pPr>
      <w:r>
        <w:rPr>
          <w:rStyle w:val="FootnoteReference"/>
        </w:rPr>
        <w:footnoteRef/>
      </w:r>
      <w:r>
        <w:t xml:space="preserve"> The phrase core bureaus was first adopted in the </w:t>
      </w:r>
      <w:r w:rsidRPr="00A1340D">
        <w:rPr>
          <w:i/>
        </w:rPr>
        <w:t>FY 2012 NPRM</w:t>
      </w:r>
      <w:r>
        <w:t xml:space="preserve"> where the Commission explained that under (prior) section 9(b)(1)(A), the Commission was instructed to calculate the regulatory fees by determining the FTEs performing the activities enumerated in section 9(a)(1) within the Private Radio Bureau, Mass Media Bureau, and Common Carrier Bureau, and other offices of the Commission, and those bureaus had subsequently been renamed as the Wireless Telecommunications Bureau, Media Bureau, and Wireline Competition Bureau, and a new International Bureau had been formed.  </w:t>
      </w:r>
      <w:r w:rsidRPr="00A1340D">
        <w:rPr>
          <w:i/>
        </w:rPr>
        <w:t>FY 2012 NPRM</w:t>
      </w:r>
      <w:r w:rsidRPr="00A1103B">
        <w:t xml:space="preserve">, </w:t>
      </w:r>
      <w:r>
        <w:t>27</w:t>
      </w:r>
      <w:r w:rsidRPr="00A1103B">
        <w:t xml:space="preserve"> FCC Rcd </w:t>
      </w:r>
      <w:r>
        <w:t xml:space="preserve">at 8460, para. 5 &amp; n.5.  The Commission explained that “[f]or simplicity and ease of reference, in this Notice we will refer to these four bureaus as the ‘core’ bureaus or the ‘core licensing’ bureaus.”  </w:t>
      </w:r>
      <w:r w:rsidRPr="004A56AB">
        <w:rPr>
          <w:i/>
        </w:rPr>
        <w:t>Id.</w:t>
      </w:r>
    </w:p>
  </w:footnote>
  <w:footnote w:id="21">
    <w:p w:rsidR="00EA1210" w:rsidP="00584CDC" w14:paraId="2CC55E3A" w14:textId="77777777">
      <w:pPr>
        <w:pStyle w:val="FootnoteText"/>
      </w:pPr>
      <w:r>
        <w:rPr>
          <w:rStyle w:val="FootnoteReference"/>
        </w:rPr>
        <w:footnoteRef/>
      </w:r>
      <w:r>
        <w:t xml:space="preserve"> The Commission observed in the </w:t>
      </w:r>
      <w:r w:rsidRPr="00D23917">
        <w:rPr>
          <w:i/>
        </w:rPr>
        <w:t>FY 2013 Report and Order</w:t>
      </w:r>
      <w:r>
        <w:t xml:space="preserve"> that “the high percentage of the indirect FTEs is indicative of the fact that many Commission activities and costs are not limited to a particular fee category and instead benefit the Commission as a whole.”  </w:t>
      </w:r>
      <w:r w:rsidRPr="00D23917">
        <w:rPr>
          <w:i/>
        </w:rPr>
        <w:t xml:space="preserve">See </w:t>
      </w:r>
      <w:r>
        <w:rPr>
          <w:i/>
        </w:rPr>
        <w:t>FY 2013</w:t>
      </w:r>
      <w:r w:rsidRPr="008A4B2E">
        <w:rPr>
          <w:i/>
        </w:rPr>
        <w:t xml:space="preserve"> Report and Order</w:t>
      </w:r>
      <w:r>
        <w:t>, 28</w:t>
      </w:r>
      <w:r w:rsidRPr="00A1103B">
        <w:t xml:space="preserve"> FCC Rcd</w:t>
      </w:r>
      <w:r>
        <w:t xml:space="preserve"> at 12357, para. 17</w:t>
      </w:r>
      <w:r w:rsidRPr="00A1103B">
        <w:t>.</w:t>
      </w:r>
      <w:r w:rsidRPr="003216AF">
        <w:rPr>
          <w:szCs w:val="22"/>
        </w:rPr>
        <w:t xml:space="preserve"> </w:t>
      </w:r>
    </w:p>
  </w:footnote>
  <w:footnote w:id="22">
    <w:p w:rsidR="00EA1210" w:rsidRPr="00DB7F63" w:rsidP="00C52DA6" w14:paraId="2F9B055D" w14:textId="522983E8">
      <w:pPr>
        <w:pStyle w:val="FootnoteText"/>
      </w:pPr>
      <w:r w:rsidRPr="00DB7F63">
        <w:rPr>
          <w:rStyle w:val="FootnoteReference"/>
        </w:rPr>
        <w:footnoteRef/>
      </w:r>
      <w:r w:rsidRPr="00DB7F63">
        <w:t xml:space="preserve"> NAB Comments at 4-6 and Reply at 2-5; </w:t>
      </w:r>
      <w:r w:rsidRPr="0082423F">
        <w:t>Letter from Rick Kaplan, General Counsel and Executive Vice President, Legal and Regulatory Affairs, National Association of Broadcasters, to Marlene H. Dortch, Secretary, Federal Communications Commission (Aug. 14, 2020) (NAB Ex Parte)</w:t>
      </w:r>
      <w:r w:rsidRPr="00DB7F63">
        <w:rPr>
          <w:color w:val="201F1E"/>
        </w:rPr>
        <w:t xml:space="preserve"> at 2-3; State Broadcaster Comments at 6-18.</w:t>
      </w:r>
    </w:p>
  </w:footnote>
  <w:footnote w:id="23">
    <w:p w:rsidR="00EA1210" w:rsidRPr="00DB7F63" w:rsidP="00C52DA6" w14:paraId="6929923B" w14:textId="77777777">
      <w:pPr>
        <w:pStyle w:val="FootnoteText"/>
      </w:pPr>
      <w:r w:rsidRPr="00DB7F63">
        <w:rPr>
          <w:rStyle w:val="FootnoteReference"/>
        </w:rPr>
        <w:footnoteRef/>
      </w:r>
      <w:r w:rsidRPr="00DB7F63">
        <w:t xml:space="preserve"> </w:t>
      </w:r>
      <w:r w:rsidRPr="00DB7F63">
        <w:rPr>
          <w:i/>
        </w:rPr>
        <w:t>Assessment and Collection of Regulatory Fees for Fiscal Year 2019</w:t>
      </w:r>
      <w:r w:rsidRPr="00DB7F63">
        <w:t>, Notice of Proposed Rulemaking, 34 FCC Rcd 3272, 3275-79, paras. 6-15 (2019) (</w:t>
      </w:r>
      <w:r w:rsidRPr="00DB7F63">
        <w:rPr>
          <w:i/>
        </w:rPr>
        <w:t>FY 2019 NPRM</w:t>
      </w:r>
      <w:r w:rsidRPr="00DB7F63">
        <w:t>).</w:t>
      </w:r>
      <w:r w:rsidRPr="00DB7F63">
        <w:t xml:space="preserve"> </w:t>
      </w:r>
    </w:p>
  </w:footnote>
  <w:footnote w:id="24">
    <w:p w:rsidR="00EA1210" w:rsidRPr="00DB7F63" w:rsidP="00C52DA6" w14:paraId="7ADBCC47" w14:textId="3CEDDC04">
      <w:pPr>
        <w:pStyle w:val="FootnoteText"/>
      </w:pPr>
      <w:r w:rsidRPr="00DB7F63">
        <w:rPr>
          <w:rStyle w:val="FootnoteReference"/>
        </w:rPr>
        <w:footnoteRef/>
      </w:r>
      <w:r w:rsidRPr="00DB7F63">
        <w:t xml:space="preserve"> </w:t>
      </w:r>
      <w:r w:rsidRPr="00DB7F63">
        <w:rPr>
          <w:i/>
          <w:iCs/>
        </w:rPr>
        <w:t>FY 2019 Report and Order</w:t>
      </w:r>
      <w:r w:rsidRPr="00DB7F63">
        <w:t xml:space="preserve">, 34 FCC Rcd </w:t>
      </w:r>
      <w:r>
        <w:t>at</w:t>
      </w:r>
      <w:r w:rsidRPr="00DB7F63">
        <w:t xml:space="preserve"> 8192-93, para. 7.</w:t>
      </w:r>
    </w:p>
  </w:footnote>
  <w:footnote w:id="25">
    <w:p w:rsidR="00EA1210" w:rsidRPr="00DB7F63" w:rsidP="00C52DA6" w14:paraId="5D38C0BE" w14:textId="14DC9B04">
      <w:pPr>
        <w:pStyle w:val="FootnoteText"/>
      </w:pPr>
      <w:r w:rsidRPr="00DB7F63">
        <w:rPr>
          <w:rStyle w:val="FootnoteReference"/>
        </w:rPr>
        <w:footnoteRef/>
      </w:r>
      <w:r w:rsidRPr="00DB7F63">
        <w:t xml:space="preserve"> </w:t>
      </w:r>
      <w:r w:rsidRPr="008006D1">
        <w:rPr>
          <w:i/>
          <w:iCs/>
        </w:rPr>
        <w:t>Id</w:t>
      </w:r>
      <w:r>
        <w:t xml:space="preserve">. </w:t>
      </w:r>
      <w:r w:rsidRPr="00DB7F63">
        <w:t xml:space="preserve">at 8193, para. 8. </w:t>
      </w:r>
    </w:p>
  </w:footnote>
  <w:footnote w:id="26">
    <w:p w:rsidR="00EA1210" w:rsidRPr="00DB7F63" w:rsidP="004F5D40" w14:paraId="65472A17" w14:textId="37D53142">
      <w:pPr>
        <w:pStyle w:val="FootnoteText"/>
      </w:pPr>
      <w:r w:rsidRPr="00DB7F63">
        <w:rPr>
          <w:rStyle w:val="FootnoteReference"/>
        </w:rPr>
        <w:footnoteRef/>
      </w:r>
      <w:r>
        <w:t xml:space="preserve"> </w:t>
      </w:r>
      <w:r w:rsidRPr="008006D1">
        <w:rPr>
          <w:i/>
          <w:iCs/>
        </w:rPr>
        <w:t>Id</w:t>
      </w:r>
      <w:r>
        <w:t xml:space="preserve">. at 8194-95, para. 14. </w:t>
      </w:r>
      <w:r w:rsidRPr="00DB7F63">
        <w:t xml:space="preserve"> NAB </w:t>
      </w:r>
      <w:r>
        <w:t xml:space="preserve">suggests that </w:t>
      </w:r>
      <w:r w:rsidRPr="00DB7F63">
        <w:t xml:space="preserve">all indirect FTEs in the Office of Engineering and Technology </w:t>
      </w:r>
      <w:r>
        <w:t xml:space="preserve">should be excluded </w:t>
      </w:r>
      <w:r w:rsidRPr="00DB7F63">
        <w:t>from the calculation of the radio industry’s allocation percentage claiming that the industry “receives no benefits whatsoever from OET.”</w:t>
      </w:r>
      <w:r>
        <w:t xml:space="preserve">  </w:t>
      </w:r>
      <w:r w:rsidRPr="00DB7F63">
        <w:t>NAB Ex Parte at 3-4.</w:t>
      </w:r>
      <w:r>
        <w:t xml:space="preserve"> </w:t>
      </w:r>
      <w:r w:rsidRPr="00DB7F63">
        <w:t xml:space="preserve"> NAB’s contention misses the mark, given that the Commission has engaged in numerous proceedings in FY 2020 involving the radio industry, which involve</w:t>
      </w:r>
      <w:r>
        <w:t xml:space="preserve"> a</w:t>
      </w:r>
      <w:r w:rsidRPr="00DB7F63">
        <w:t xml:space="preserve"> large number of employees </w:t>
      </w:r>
      <w:r>
        <w:t xml:space="preserve">generally </w:t>
      </w:r>
      <w:r w:rsidRPr="00DB7F63">
        <w:t xml:space="preserve">in the indirect </w:t>
      </w:r>
      <w:r>
        <w:t xml:space="preserve">FTE </w:t>
      </w:r>
      <w:r w:rsidRPr="00DB7F63">
        <w:t xml:space="preserve">categories, including employees in </w:t>
      </w:r>
      <w:r>
        <w:t>the Office of General Counsel</w:t>
      </w:r>
      <w:r w:rsidRPr="00DB7F63">
        <w:t>, O</w:t>
      </w:r>
      <w:r>
        <w:t>ffice of Economics and Analytics</w:t>
      </w:r>
      <w:r w:rsidRPr="00DB7F63">
        <w:t>, O</w:t>
      </w:r>
      <w:r>
        <w:t>ffice of Communications Business Opportunities</w:t>
      </w:r>
      <w:r w:rsidRPr="00DB7F63">
        <w:t>, and O</w:t>
      </w:r>
      <w:r>
        <w:t>ffice of the Secretary</w:t>
      </w:r>
      <w:r w:rsidRPr="00DB7F63">
        <w:t xml:space="preserve">.  </w:t>
      </w:r>
      <w:r w:rsidRPr="00DB7F63">
        <w:rPr>
          <w:i/>
          <w:iCs/>
        </w:rPr>
        <w:t xml:space="preserve">See, e.g., </w:t>
      </w:r>
      <w:r w:rsidRPr="00DA323B">
        <w:rPr>
          <w:i/>
          <w:iCs/>
        </w:rPr>
        <w:t>Amendment of Section 73.3556 of the Commission’s Rules Regarding Duplication of Programming on Commonly Owned Radio Stations</w:t>
      </w:r>
      <w:r w:rsidRPr="00DB7F63">
        <w:t xml:space="preserve">, MB Docket No. 19-310, Report and Order, FCC 20-109, Statement of Chairman Pai; </w:t>
      </w:r>
      <w:r w:rsidRPr="00DB7F63">
        <w:rPr>
          <w:i/>
          <w:iCs/>
        </w:rPr>
        <w:t xml:space="preserve">see also generally </w:t>
      </w:r>
      <w:r w:rsidRPr="00DB7F63">
        <w:t>MB Docket No. 17-105 (Modernization of Media Regulation Initiative).  The Enforcement Bureau’s portfolio also includes a substantial amount of work on broadcaster issues.</w:t>
      </w:r>
      <w:r>
        <w:t xml:space="preserve"> </w:t>
      </w:r>
      <w:r w:rsidRPr="00DB7F63">
        <w:t xml:space="preserve"> Furthermore, it is undisputed that Media Bureau regulatees as a whole benefit from the work of the Office of Engineering and Technology.</w:t>
      </w:r>
      <w:r>
        <w:t xml:space="preserve"> </w:t>
      </w:r>
      <w:r w:rsidRPr="00DB7F63">
        <w:t xml:space="preserve"> NAB’s attempt to cherry-pick the work of a particular office only demonstrates the wisdom of our prior conclusion that the current methodology provides the most objective, administrative method of allocating indirect FTE costs.  </w:t>
      </w:r>
    </w:p>
  </w:footnote>
  <w:footnote w:id="27">
    <w:p w:rsidR="00EA1210" w:rsidRPr="00DB7F63" w:rsidP="00C52DA6" w14:paraId="762691DD" w14:textId="23FF1992">
      <w:pPr>
        <w:pStyle w:val="FootnoteText"/>
      </w:pPr>
      <w:r w:rsidRPr="00DB7F63">
        <w:rPr>
          <w:rStyle w:val="FootnoteReference"/>
        </w:rPr>
        <w:footnoteRef/>
      </w:r>
      <w:r w:rsidRPr="00DB7F63">
        <w:t xml:space="preserve"> </w:t>
      </w:r>
      <w:r w:rsidRPr="00DB7F63">
        <w:rPr>
          <w:i/>
          <w:iCs/>
        </w:rPr>
        <w:t xml:space="preserve">FY </w:t>
      </w:r>
      <w:r w:rsidRPr="00DB7F63">
        <w:rPr>
          <w:i/>
        </w:rPr>
        <w:t>2015</w:t>
      </w:r>
      <w:r w:rsidRPr="00DB7F63">
        <w:t xml:space="preserve"> </w:t>
      </w:r>
      <w:r w:rsidRPr="00DB7F63">
        <w:rPr>
          <w:i/>
          <w:iCs/>
        </w:rPr>
        <w:t>Report and Order</w:t>
      </w:r>
      <w:r w:rsidRPr="00DB7F63">
        <w:t>, 30 FCC Rcd at 10274-76, paras. 15-17.</w:t>
      </w:r>
    </w:p>
  </w:footnote>
  <w:footnote w:id="28">
    <w:p w:rsidR="00EA1210" w:rsidRPr="00DB7F63" w:rsidP="00C52DA6" w14:paraId="40B6BF80" w14:textId="77777777">
      <w:pPr>
        <w:pStyle w:val="FootnoteText"/>
      </w:pPr>
      <w:r w:rsidRPr="00DB7F63">
        <w:rPr>
          <w:rStyle w:val="FootnoteReference"/>
        </w:rPr>
        <w:footnoteRef/>
      </w:r>
      <w:r w:rsidRPr="00DB7F63">
        <w:t xml:space="preserve"> </w:t>
      </w:r>
      <w:r w:rsidRPr="00DB7F63">
        <w:rPr>
          <w:i/>
          <w:iCs/>
        </w:rPr>
        <w:t xml:space="preserve">FY 2019 Report and Order, </w:t>
      </w:r>
      <w:r w:rsidRPr="00DB7F63">
        <w:t>34 FCC Rcd at 8196, para. 18.</w:t>
      </w:r>
    </w:p>
  </w:footnote>
  <w:footnote w:id="29">
    <w:p w:rsidR="00EA1210" w:rsidP="00C52DA6" w14:paraId="3DDD60D9" w14:textId="42AFB5E7">
      <w:pPr>
        <w:pStyle w:val="FootnoteText"/>
      </w:pPr>
      <w:r>
        <w:rPr>
          <w:rStyle w:val="FootnoteReference"/>
        </w:rPr>
        <w:footnoteRef/>
      </w:r>
      <w:r>
        <w:t xml:space="preserve"> </w:t>
      </w:r>
      <w:r w:rsidRPr="00671377">
        <w:rPr>
          <w:i/>
          <w:iCs/>
        </w:rPr>
        <w:t>See, e.g</w:t>
      </w:r>
      <w:r>
        <w:t xml:space="preserve">., </w:t>
      </w:r>
      <w:r>
        <w:rPr>
          <w:i/>
        </w:rPr>
        <w:t xml:space="preserve">FY 2017 </w:t>
      </w:r>
      <w:r w:rsidRPr="00671377">
        <w:rPr>
          <w:i/>
          <w:iCs/>
        </w:rPr>
        <w:t>Report and Order</w:t>
      </w:r>
      <w:r>
        <w:t>,</w:t>
      </w:r>
      <w:r w:rsidRPr="00565E15">
        <w:t xml:space="preserve"> 3</w:t>
      </w:r>
      <w:r>
        <w:t>2 FCC Rcd at</w:t>
      </w:r>
      <w:r w:rsidRPr="00565E15">
        <w:t xml:space="preserve"> </w:t>
      </w:r>
      <w:r>
        <w:t xml:space="preserve">7061-7064, </w:t>
      </w:r>
      <w:r w:rsidRPr="00565E15">
        <w:t xml:space="preserve">paras. </w:t>
      </w:r>
      <w:r>
        <w:t>9-15 (</w:t>
      </w:r>
      <w:r w:rsidRPr="005F6BC2">
        <w:rPr>
          <w:szCs w:val="22"/>
        </w:rPr>
        <w:t>the Commission reallocated as indirect 38 FTEs in the Wireline Competition Bureau assigned to work on non-high cost programs of the Universal Service Fund</w:t>
      </w:r>
      <w:r>
        <w:rPr>
          <w:szCs w:val="22"/>
        </w:rPr>
        <w:t xml:space="preserve">); </w:t>
      </w:r>
      <w:r w:rsidRPr="00671377">
        <w:rPr>
          <w:i/>
          <w:iCs/>
          <w:szCs w:val="22"/>
        </w:rPr>
        <w:t>id.</w:t>
      </w:r>
      <w:r>
        <w:rPr>
          <w:szCs w:val="22"/>
        </w:rPr>
        <w:t xml:space="preserve"> </w:t>
      </w:r>
      <w:r>
        <w:t>at 7064-65, paras. 16-17 (t</w:t>
      </w:r>
      <w:r w:rsidRPr="005F6BC2">
        <w:rPr>
          <w:szCs w:val="22"/>
        </w:rPr>
        <w:t>he Commission reallocated for regulatory fee purposes four FTEs assigned to work on numbering issues from the Wireline Competition Bureau to the Wireless Telecommunications Bureau</w:t>
      </w:r>
      <w:r>
        <w:rPr>
          <w:szCs w:val="22"/>
        </w:rPr>
        <w:t>).</w:t>
      </w:r>
      <w:r w:rsidRPr="002667E6">
        <w:rPr>
          <w:i/>
        </w:rPr>
        <w:t xml:space="preserve"> </w:t>
      </w:r>
    </w:p>
  </w:footnote>
  <w:footnote w:id="30">
    <w:p w:rsidR="00EA1210" w:rsidRPr="00DB7F63" w:rsidP="00C52DA6" w14:paraId="70D94C61" w14:textId="2775F6A0">
      <w:pPr>
        <w:pStyle w:val="FootnoteText"/>
      </w:pPr>
      <w:r w:rsidRPr="00DB7F63">
        <w:rPr>
          <w:rStyle w:val="FootnoteReference"/>
        </w:rPr>
        <w:footnoteRef/>
      </w:r>
      <w:r w:rsidRPr="00DB7F63">
        <w:t xml:space="preserve"> </w:t>
      </w:r>
      <w:r w:rsidRPr="00DB7F63">
        <w:rPr>
          <w:i/>
          <w:iCs/>
        </w:rPr>
        <w:t>FY 2019 Report and Order</w:t>
      </w:r>
      <w:r>
        <w:t xml:space="preserve">, 34 FCC Rcd at 8205, </w:t>
      </w:r>
      <w:r w:rsidRPr="00DB7F63">
        <w:rPr>
          <w:i/>
          <w:iCs/>
        </w:rPr>
        <w:t xml:space="preserve"> </w:t>
      </w:r>
      <w:r w:rsidRPr="00DB7F63">
        <w:t xml:space="preserve">para 43 (“[t]he Commission has long assessed regulatory fees—larger licensees receive greater benefits from the license and hence should (and are able to) pay a larger proportion of the costs. </w:t>
      </w:r>
      <w:r>
        <w:t xml:space="preserve"> </w:t>
      </w:r>
      <w:r w:rsidRPr="00DB7F63">
        <w:t>That is as true in the context of submarine cables as it is where wireless providers, ITSPs, and broadcasters are concerned.”)</w:t>
      </w:r>
      <w:r>
        <w:t>.</w:t>
      </w:r>
    </w:p>
  </w:footnote>
  <w:footnote w:id="31">
    <w:p w:rsidR="00EA1210" w:rsidRPr="00DB7F63" w:rsidP="00C52DA6" w14:paraId="5B54267D" w14:textId="1A053858">
      <w:pPr>
        <w:pStyle w:val="FootnoteText"/>
      </w:pPr>
      <w:bookmarkStart w:id="39" w:name="_Hlk48922522"/>
      <w:r w:rsidRPr="00DB7F63">
        <w:rPr>
          <w:rStyle w:val="FootnoteReference"/>
        </w:rPr>
        <w:footnoteRef/>
      </w:r>
      <w:r w:rsidRPr="00DB7F63">
        <w:t xml:space="preserve"> NAB Ex Parte at 4</w:t>
      </w:r>
      <w:r>
        <w:t>.</w:t>
      </w:r>
      <w:bookmarkEnd w:id="39"/>
    </w:p>
  </w:footnote>
  <w:footnote w:id="32">
    <w:p w:rsidR="00EA1210" w:rsidRPr="00565E15" w:rsidP="00584CDC" w14:paraId="20FE5C6D" w14:textId="77777777">
      <w:pPr>
        <w:pStyle w:val="FootnoteText"/>
      </w:pPr>
      <w:r w:rsidRPr="00565E15">
        <w:rPr>
          <w:rStyle w:val="FootnoteReference"/>
        </w:rPr>
        <w:footnoteRef/>
      </w:r>
      <w:r w:rsidRPr="00565E15">
        <w:t xml:space="preserve"> MVPD is defined in section 602(13) of the Act, 47 U.S.C. § 522(13).</w:t>
      </w:r>
    </w:p>
  </w:footnote>
  <w:footnote w:id="33">
    <w:p w:rsidR="00EA1210" w:rsidRPr="00565E15" w:rsidP="00584CDC" w14:paraId="592C73CC" w14:textId="77777777">
      <w:pPr>
        <w:pStyle w:val="FootnoteText"/>
      </w:pPr>
      <w:r w:rsidRPr="00565E15">
        <w:rPr>
          <w:rStyle w:val="FootnoteReference"/>
        </w:rPr>
        <w:footnoteRef/>
      </w:r>
      <w:r w:rsidRPr="00565E15">
        <w:t xml:space="preserve"> </w:t>
      </w:r>
      <w:r>
        <w:rPr>
          <w:i/>
        </w:rPr>
        <w:t>FY 2015 Report and Order</w:t>
      </w:r>
      <w:r w:rsidRPr="00565E15">
        <w:t xml:space="preserve">, 30 FCC Rcd </w:t>
      </w:r>
      <w:r>
        <w:t xml:space="preserve">at </w:t>
      </w:r>
      <w:r w:rsidRPr="00565E15">
        <w:t>10276-77, paras. 19-20.</w:t>
      </w:r>
    </w:p>
  </w:footnote>
  <w:footnote w:id="34">
    <w:p w:rsidR="00EA1210" w:rsidP="00584CDC" w14:paraId="19634DC7" w14:textId="77777777">
      <w:pPr>
        <w:pStyle w:val="FootnoteText"/>
      </w:pPr>
      <w:r>
        <w:rPr>
          <w:rStyle w:val="FootnoteReference"/>
        </w:rPr>
        <w:footnoteRef/>
      </w:r>
      <w:r>
        <w:t xml:space="preserve"> </w:t>
      </w:r>
      <w:r w:rsidRPr="00A02F8F">
        <w:rPr>
          <w:i/>
        </w:rPr>
        <w:t>FY 2017 Report and Order</w:t>
      </w:r>
      <w:r>
        <w:t>, 32 FCC Rcd at 7066, para. 19.</w:t>
      </w:r>
    </w:p>
  </w:footnote>
  <w:footnote w:id="35">
    <w:p w:rsidR="00EA1210" w:rsidP="00584CDC" w14:paraId="11AB77A7" w14:textId="77777777">
      <w:pPr>
        <w:pStyle w:val="FootnoteText"/>
      </w:pPr>
      <w:r>
        <w:rPr>
          <w:rStyle w:val="FootnoteReference"/>
        </w:rPr>
        <w:footnoteRef/>
      </w:r>
      <w:r>
        <w:t xml:space="preserve"> </w:t>
      </w:r>
      <w:r>
        <w:rPr>
          <w:i/>
          <w:iCs/>
          <w:snapToGrid w:val="0"/>
        </w:rPr>
        <w:t xml:space="preserve">Assessment and Collection of Regulatory Fees for Fiscal Year 2018, </w:t>
      </w:r>
      <w:r w:rsidRPr="00C932C7">
        <w:t>Report and Order</w:t>
      </w:r>
      <w:r>
        <w:rPr>
          <w:snapToGrid w:val="0"/>
        </w:rPr>
        <w:t xml:space="preserve"> and Order</w:t>
      </w:r>
      <w:r w:rsidRPr="00C932C7">
        <w:rPr>
          <w:i/>
        </w:rPr>
        <w:t>,</w:t>
      </w:r>
      <w:r>
        <w:rPr>
          <w:snapToGrid w:val="0"/>
        </w:rPr>
        <w:t xml:space="preserve"> 33 FCC Rcd 8497, 8500, para. 10 (2018) (</w:t>
      </w:r>
      <w:r>
        <w:rPr>
          <w:i/>
          <w:iCs/>
          <w:snapToGrid w:val="0"/>
        </w:rPr>
        <w:t>FY 2018 Report and Order</w:t>
      </w:r>
      <w:r>
        <w:rPr>
          <w:snapToGrid w:val="0"/>
        </w:rPr>
        <w:t>)</w:t>
      </w:r>
      <w:r>
        <w:t xml:space="preserve">; </w:t>
      </w:r>
      <w:r w:rsidRPr="0069017D">
        <w:rPr>
          <w:i/>
          <w:szCs w:val="22"/>
        </w:rPr>
        <w:t>FY 2017 Report and Order</w:t>
      </w:r>
      <w:r>
        <w:rPr>
          <w:szCs w:val="22"/>
        </w:rPr>
        <w:t xml:space="preserve">, 32 FCC Rcd at 7067, para. 20; </w:t>
      </w:r>
      <w:r>
        <w:rPr>
          <w:i/>
          <w:snapToGrid w:val="0"/>
        </w:rPr>
        <w:t>Assessment and Collection of Regulatory Fees for Fiscal Year 2016</w:t>
      </w:r>
      <w:r>
        <w:rPr>
          <w:snapToGrid w:val="0"/>
        </w:rPr>
        <w:t>,</w:t>
      </w:r>
      <w:r w:rsidRPr="00C932C7">
        <w:t xml:space="preserve"> Report and Order</w:t>
      </w:r>
      <w:r>
        <w:rPr>
          <w:snapToGrid w:val="0"/>
        </w:rPr>
        <w:t>, 31 FCC Rcd 10339, 10350, para. 30 (2016) (</w:t>
      </w:r>
      <w:r>
        <w:rPr>
          <w:i/>
          <w:snapToGrid w:val="0"/>
        </w:rPr>
        <w:t>FY 2016 Report and Order</w:t>
      </w:r>
      <w:r>
        <w:rPr>
          <w:snapToGrid w:val="0"/>
        </w:rPr>
        <w:t>).</w:t>
      </w:r>
    </w:p>
  </w:footnote>
  <w:footnote w:id="36">
    <w:p w:rsidR="00EA1210" w:rsidP="00584CDC" w14:paraId="7A1A0985" w14:textId="77777777">
      <w:pPr>
        <w:pStyle w:val="FootnoteText"/>
      </w:pPr>
      <w:r>
        <w:rPr>
          <w:rStyle w:val="FootnoteReference"/>
        </w:rPr>
        <w:footnoteRef/>
      </w:r>
      <w:r>
        <w:t xml:space="preserve"> </w:t>
      </w:r>
      <w:r w:rsidRPr="00994172">
        <w:rPr>
          <w:i/>
        </w:rPr>
        <w:t>FY 2019</w:t>
      </w:r>
      <w:r>
        <w:rPr>
          <w:i/>
        </w:rPr>
        <w:t xml:space="preserve"> Report and Order</w:t>
      </w:r>
      <w:r>
        <w:t>, 34 FCC Rcd at 8198, para. 24.</w:t>
      </w:r>
    </w:p>
  </w:footnote>
  <w:footnote w:id="37">
    <w:p w:rsidR="00EA1210" w:rsidP="00584CDC" w14:paraId="53EC3AF0" w14:textId="77777777">
      <w:pPr>
        <w:pStyle w:val="FootnoteText"/>
      </w:pPr>
      <w:r>
        <w:rPr>
          <w:rStyle w:val="FootnoteReference"/>
        </w:rPr>
        <w:footnoteRef/>
      </w:r>
      <w:r>
        <w:t xml:space="preserve"> </w:t>
      </w:r>
      <w:r w:rsidRPr="00F64C32">
        <w:rPr>
          <w:i/>
          <w:iCs/>
        </w:rPr>
        <w:t>FY 2020 NPRM</w:t>
      </w:r>
      <w:r>
        <w:t>, 35 FCC Rcd at 5004, para. 72.</w:t>
      </w:r>
    </w:p>
  </w:footnote>
  <w:footnote w:id="38">
    <w:p w:rsidR="00EA1210" w:rsidP="00584CDC" w14:paraId="289DDA56" w14:textId="77777777">
      <w:pPr>
        <w:pStyle w:val="FootnoteText"/>
      </w:pPr>
      <w:r>
        <w:rPr>
          <w:rStyle w:val="FootnoteReference"/>
        </w:rPr>
        <w:footnoteRef/>
      </w:r>
      <w:r>
        <w:t xml:space="preserve"> AT&amp;T and DISH Comments at 1-2.</w:t>
      </w:r>
    </w:p>
  </w:footnote>
  <w:footnote w:id="39">
    <w:p w:rsidR="00EA1210" w:rsidP="00584CDC" w14:paraId="4ACDE437" w14:textId="013D6EFC">
      <w:pPr>
        <w:pStyle w:val="FootnoteText"/>
      </w:pPr>
      <w:r>
        <w:rPr>
          <w:rStyle w:val="FootnoteReference"/>
        </w:rPr>
        <w:footnoteRef/>
      </w:r>
      <w:r>
        <w:t xml:space="preserve"> </w:t>
      </w:r>
      <w:r w:rsidRPr="00DB24AF">
        <w:rPr>
          <w:i/>
          <w:iCs/>
        </w:rPr>
        <w:t>Id.</w:t>
      </w:r>
      <w:r w:rsidRPr="005A1475">
        <w:rPr>
          <w:i/>
        </w:rPr>
        <w:t xml:space="preserve"> </w:t>
      </w:r>
      <w:r>
        <w:t>at 2.</w:t>
      </w:r>
    </w:p>
  </w:footnote>
  <w:footnote w:id="40">
    <w:p w:rsidR="00EA1210" w:rsidP="00584CDC" w14:paraId="57B8FD0D" w14:textId="4CC4F503">
      <w:pPr>
        <w:pStyle w:val="FootnoteText"/>
      </w:pPr>
      <w:r>
        <w:rPr>
          <w:rStyle w:val="FootnoteReference"/>
        </w:rPr>
        <w:footnoteRef/>
      </w:r>
      <w:r>
        <w:t xml:space="preserve"> </w:t>
      </w:r>
      <w:r w:rsidRPr="00DB24AF">
        <w:rPr>
          <w:i/>
          <w:iCs/>
        </w:rPr>
        <w:t>Id.</w:t>
      </w:r>
      <w:r w:rsidRPr="005A1475">
        <w:rPr>
          <w:i/>
        </w:rPr>
        <w:t xml:space="preserve"> </w:t>
      </w:r>
      <w:r>
        <w:t>at 3.</w:t>
      </w:r>
    </w:p>
  </w:footnote>
  <w:footnote w:id="41">
    <w:p w:rsidR="00EA1210" w:rsidRPr="00565E15" w:rsidP="00584CDC" w14:paraId="6ED0CB37" w14:textId="77777777">
      <w:pPr>
        <w:pStyle w:val="FootnoteText"/>
      </w:pPr>
      <w:r w:rsidRPr="00565E15">
        <w:rPr>
          <w:rStyle w:val="FootnoteReference"/>
        </w:rPr>
        <w:footnoteRef/>
      </w:r>
      <w:r w:rsidRPr="00565E15">
        <w:t xml:space="preserve"> </w:t>
      </w:r>
      <w:r w:rsidRPr="00565E15">
        <w:rPr>
          <w:i/>
        </w:rPr>
        <w:t>FY 2015 NPRM</w:t>
      </w:r>
      <w:r w:rsidRPr="00565E15">
        <w:t>, 30 FCC Rcd at 536</w:t>
      </w:r>
      <w:r>
        <w:t>4</w:t>
      </w:r>
      <w:r w:rsidRPr="00565E15">
        <w:t>-68, para</w:t>
      </w:r>
      <w:r>
        <w:t>s</w:t>
      </w:r>
      <w:r w:rsidRPr="00565E15">
        <w:t xml:space="preserve">. </w:t>
      </w:r>
      <w:r>
        <w:t>28-</w:t>
      </w:r>
      <w:r w:rsidRPr="00565E15">
        <w:t xml:space="preserve">31.  </w:t>
      </w:r>
    </w:p>
  </w:footnote>
  <w:footnote w:id="42">
    <w:p w:rsidR="00EA1210" w:rsidP="00584CDC" w14:paraId="5B10E19C" w14:textId="3AF849A9">
      <w:pPr>
        <w:pStyle w:val="FootnoteText"/>
      </w:pPr>
      <w:r>
        <w:rPr>
          <w:rStyle w:val="FootnoteReference"/>
        </w:rPr>
        <w:footnoteRef/>
      </w:r>
      <w:r>
        <w:t xml:space="preserve"> NCTA and ACA Comments at 3; ACA and NCTA Reply at 3-6.</w:t>
      </w:r>
    </w:p>
  </w:footnote>
  <w:footnote w:id="43">
    <w:p w:rsidR="00EA1210" w:rsidP="00584CDC" w14:paraId="31ABF56A" w14:textId="77777777">
      <w:pPr>
        <w:pStyle w:val="FootnoteText"/>
      </w:pPr>
      <w:r>
        <w:rPr>
          <w:rStyle w:val="FootnoteReference"/>
        </w:rPr>
        <w:footnoteRef/>
      </w:r>
      <w:r>
        <w:t xml:space="preserve"> NCTA and ACA Comments at 3.</w:t>
      </w:r>
    </w:p>
  </w:footnote>
  <w:footnote w:id="44">
    <w:p w:rsidR="00EA1210" w:rsidP="00584CDC" w14:paraId="2CF2B1E2" w14:textId="622E9C81">
      <w:pPr>
        <w:pStyle w:val="FootnoteText"/>
      </w:pPr>
      <w:r>
        <w:rPr>
          <w:rStyle w:val="FootnoteReference"/>
        </w:rPr>
        <w:footnoteRef/>
      </w:r>
      <w:r>
        <w:t xml:space="preserve"> NCTA and ACA Comments at 4 (citing </w:t>
      </w:r>
      <w:r w:rsidRPr="00731D5C">
        <w:rPr>
          <w:i/>
          <w:iCs/>
        </w:rPr>
        <w:t>FY 2018 Report and Order</w:t>
      </w:r>
      <w:r>
        <w:t>, 33 FCC Rcd at 7057, para. 8); ACA and NCTA Reply at 6.</w:t>
      </w:r>
    </w:p>
  </w:footnote>
  <w:footnote w:id="45">
    <w:p w:rsidR="00EA1210" w:rsidP="00584CDC" w14:paraId="759F04CA" w14:textId="77777777">
      <w:pPr>
        <w:pStyle w:val="FootnoteText"/>
      </w:pPr>
      <w:r>
        <w:rPr>
          <w:rStyle w:val="FootnoteReference"/>
        </w:rPr>
        <w:footnoteRef/>
      </w:r>
      <w:r>
        <w:t xml:space="preserve"> NCTA and ACA Comments at 4-5.</w:t>
      </w:r>
    </w:p>
  </w:footnote>
  <w:footnote w:id="46">
    <w:p w:rsidR="00EA1210" w:rsidP="00584CDC" w14:paraId="7087A37B" w14:textId="3136DEF9">
      <w:pPr>
        <w:pStyle w:val="FootnoteText"/>
      </w:pPr>
      <w:r>
        <w:rPr>
          <w:rStyle w:val="FootnoteReference"/>
        </w:rPr>
        <w:footnoteRef/>
      </w:r>
      <w:r>
        <w:t xml:space="preserve"> </w:t>
      </w:r>
      <w:r w:rsidRPr="00DB24AF">
        <w:rPr>
          <w:i/>
          <w:iCs/>
        </w:rPr>
        <w:t>Id.</w:t>
      </w:r>
      <w:r w:rsidRPr="005A1475">
        <w:rPr>
          <w:i/>
        </w:rPr>
        <w:t xml:space="preserve"> </w:t>
      </w:r>
      <w:r>
        <w:t>at 5-6.</w:t>
      </w:r>
    </w:p>
  </w:footnote>
  <w:footnote w:id="47">
    <w:p w:rsidR="00EA1210" w:rsidP="00584CDC" w14:paraId="1E978751" w14:textId="2114D5B1">
      <w:pPr>
        <w:pStyle w:val="FootnoteText"/>
      </w:pPr>
      <w:r>
        <w:rPr>
          <w:rStyle w:val="FootnoteReference"/>
        </w:rPr>
        <w:footnoteRef/>
      </w:r>
      <w:r>
        <w:t xml:space="preserve"> </w:t>
      </w:r>
      <w:r w:rsidRPr="00DB24AF">
        <w:rPr>
          <w:i/>
          <w:iCs/>
        </w:rPr>
        <w:t>Id.</w:t>
      </w:r>
      <w:r w:rsidRPr="005A1475">
        <w:rPr>
          <w:i/>
        </w:rPr>
        <w:t xml:space="preserve"> </w:t>
      </w:r>
      <w:r>
        <w:t>at 6-7.</w:t>
      </w:r>
    </w:p>
  </w:footnote>
  <w:footnote w:id="48">
    <w:p w:rsidR="00EA1210" w:rsidP="00584CDC" w14:paraId="362EFBFA" w14:textId="3756BBF8">
      <w:pPr>
        <w:pStyle w:val="FootnoteText"/>
      </w:pPr>
      <w:r>
        <w:rPr>
          <w:rStyle w:val="FootnoteReference"/>
        </w:rPr>
        <w:footnoteRef/>
      </w:r>
      <w:r>
        <w:t xml:space="preserve"> AT&amp;T and DISH Comments at 4.</w:t>
      </w:r>
    </w:p>
  </w:footnote>
  <w:footnote w:id="49">
    <w:p w:rsidR="00EA1210" w:rsidP="00584CDC" w14:paraId="43857F96" w14:textId="77777777">
      <w:pPr>
        <w:pStyle w:val="FootnoteText"/>
      </w:pPr>
      <w:r>
        <w:rPr>
          <w:rStyle w:val="FootnoteReference"/>
        </w:rPr>
        <w:footnoteRef/>
      </w:r>
      <w:r>
        <w:t xml:space="preserve"> </w:t>
      </w:r>
      <w:r>
        <w:rPr>
          <w:i/>
          <w:snapToGrid w:val="0"/>
        </w:rPr>
        <w:t>Assessment and Collection of Regulatory Fees for Fiscal Year 2018</w:t>
      </w:r>
      <w:r>
        <w:rPr>
          <w:snapToGrid w:val="0"/>
        </w:rPr>
        <w:t>, Report and Order and Notice of Proposed Rulemaking, 33 FCC Rcd 5091, 5102, para. 28 (2018) (</w:t>
      </w:r>
      <w:r>
        <w:rPr>
          <w:i/>
          <w:snapToGrid w:val="0"/>
        </w:rPr>
        <w:t>FY 2018 NPRM</w:t>
      </w:r>
      <w:r>
        <w:rPr>
          <w:snapToGrid w:val="0"/>
        </w:rPr>
        <w:t>)</w:t>
      </w:r>
      <w:r>
        <w:t>.</w:t>
      </w:r>
    </w:p>
  </w:footnote>
  <w:footnote w:id="50">
    <w:p w:rsidR="00EA1210" w:rsidP="00584CDC" w14:paraId="737C6831" w14:textId="77777777">
      <w:pPr>
        <w:pStyle w:val="FootnoteText"/>
      </w:pPr>
      <w:r>
        <w:rPr>
          <w:rStyle w:val="FootnoteReference"/>
        </w:rPr>
        <w:footnoteRef/>
      </w:r>
      <w:r>
        <w:t xml:space="preserve"> </w:t>
      </w:r>
      <w:r w:rsidRPr="00B90DD2">
        <w:rPr>
          <w:i/>
        </w:rPr>
        <w:t>FY 2018 Report and Order</w:t>
      </w:r>
      <w:r>
        <w:t>, 33 FCC Rcd at para.14.</w:t>
      </w:r>
    </w:p>
  </w:footnote>
  <w:footnote w:id="51">
    <w:p w:rsidR="00EA1210" w:rsidP="00584CDC" w14:paraId="06B623AE" w14:textId="77777777">
      <w:pPr>
        <w:pStyle w:val="FootnoteText"/>
      </w:pPr>
      <w:r>
        <w:rPr>
          <w:rStyle w:val="FootnoteReference"/>
        </w:rPr>
        <w:footnoteRef/>
      </w:r>
      <w:r>
        <w:t xml:space="preserve"> </w:t>
      </w:r>
      <w:r w:rsidRPr="005F52CB">
        <w:rPr>
          <w:i/>
          <w:iCs/>
        </w:rPr>
        <w:t>FY 2020 NPRM</w:t>
      </w:r>
      <w:r>
        <w:t>, 35 FCC Rcd at 5002, paras. 66-67.</w:t>
      </w:r>
    </w:p>
  </w:footnote>
  <w:footnote w:id="52">
    <w:p w:rsidR="00EA1210" w:rsidP="00584CDC" w14:paraId="148371B3" w14:textId="77777777">
      <w:pPr>
        <w:pStyle w:val="FootnoteText"/>
      </w:pPr>
      <w:r>
        <w:rPr>
          <w:rStyle w:val="FootnoteReference"/>
        </w:rPr>
        <w:footnoteRef/>
      </w:r>
      <w:r>
        <w:t xml:space="preserve"> </w:t>
      </w:r>
      <w:r w:rsidRPr="00BE4D74">
        <w:rPr>
          <w:snapToGrid w:val="0"/>
        </w:rPr>
        <w:t xml:space="preserve">The </w:t>
      </w:r>
      <w:r>
        <w:rPr>
          <w:snapToGrid w:val="0"/>
        </w:rPr>
        <w:t xml:space="preserve">factor </w:t>
      </w:r>
      <w:r w:rsidRPr="0082202C">
        <w:rPr>
          <w:snapToGrid w:val="0"/>
        </w:rPr>
        <w:t>of .</w:t>
      </w:r>
      <w:r>
        <w:rPr>
          <w:snapToGrid w:val="0"/>
        </w:rPr>
        <w:t>78</w:t>
      </w:r>
      <w:r w:rsidRPr="0082202C">
        <w:rPr>
          <w:snapToGrid w:val="0"/>
        </w:rPr>
        <w:t xml:space="preserve"> of</w:t>
      </w:r>
      <w:r w:rsidRPr="00BE4D74">
        <w:rPr>
          <w:snapToGrid w:val="0"/>
        </w:rPr>
        <w:t xml:space="preserve"> one cent </w:t>
      </w:r>
      <w:r>
        <w:rPr>
          <w:snapToGrid w:val="0"/>
        </w:rPr>
        <w:t xml:space="preserve">($.007837) </w:t>
      </w:r>
      <w:r w:rsidRPr="00BE4D74">
        <w:rPr>
          <w:snapToGrid w:val="0"/>
        </w:rPr>
        <w:t>was derived by taking the revenue amount required from all television fee categories and dividing it by the total population count of all feeable call signs.</w:t>
      </w:r>
    </w:p>
  </w:footnote>
  <w:footnote w:id="53">
    <w:p w:rsidR="00EA1210" w:rsidP="00584CDC" w14:paraId="11ADAF4E" w14:textId="77777777">
      <w:pPr>
        <w:pStyle w:val="FootnoteText"/>
      </w:pPr>
      <w:r>
        <w:rPr>
          <w:rStyle w:val="FootnoteReference"/>
        </w:rPr>
        <w:footnoteRef/>
      </w:r>
      <w:r>
        <w:t xml:space="preserve"> </w:t>
      </w:r>
      <w:r w:rsidRPr="00584333">
        <w:t>47 CFR § 73.622(e)</w:t>
      </w:r>
      <w:r>
        <w:rPr>
          <w:color w:val="1F497D"/>
        </w:rPr>
        <w:t>.</w:t>
      </w:r>
    </w:p>
  </w:footnote>
  <w:footnote w:id="54">
    <w:p w:rsidR="00EA1210" w:rsidP="00584CDC" w14:paraId="4F2AFD8E" w14:textId="77777777">
      <w:pPr>
        <w:pStyle w:val="FootnoteText"/>
      </w:pPr>
      <w:r>
        <w:rPr>
          <w:rStyle w:val="FootnoteReference"/>
        </w:rPr>
        <w:footnoteRef/>
      </w:r>
      <w:r>
        <w:t xml:space="preserve"> NJBA Comments at 3.</w:t>
      </w:r>
    </w:p>
  </w:footnote>
  <w:footnote w:id="55">
    <w:p w:rsidR="00EA1210" w:rsidP="00584CDC" w14:paraId="3F4E0F98" w14:textId="77777777">
      <w:pPr>
        <w:pStyle w:val="FootnoteText"/>
      </w:pPr>
      <w:r>
        <w:rPr>
          <w:rStyle w:val="FootnoteReference"/>
        </w:rPr>
        <w:footnoteRef/>
      </w:r>
      <w:r>
        <w:t xml:space="preserve"> </w:t>
      </w:r>
      <w:r w:rsidRPr="00C86AD8">
        <w:rPr>
          <w:i/>
          <w:iCs/>
        </w:rPr>
        <w:t>FY 2020 NPRM</w:t>
      </w:r>
      <w:r>
        <w:t>, 35 FCC Rcd at 5003, para. 69.</w:t>
      </w:r>
    </w:p>
  </w:footnote>
  <w:footnote w:id="56">
    <w:p w:rsidR="00EA1210" w:rsidRPr="00C913A9" w:rsidP="00584CDC" w14:paraId="30B92059" w14:textId="03036CA2">
      <w:pPr>
        <w:spacing w:after="120"/>
        <w:rPr>
          <w:sz w:val="20"/>
        </w:rPr>
      </w:pPr>
      <w:r w:rsidRPr="00857FA7">
        <w:rPr>
          <w:rStyle w:val="FootnoteReference"/>
        </w:rPr>
        <w:footnoteRef/>
      </w:r>
      <w:r w:rsidRPr="00857FA7">
        <w:rPr>
          <w:sz w:val="20"/>
        </w:rPr>
        <w:t xml:space="preserve"> </w:t>
      </w:r>
      <w:r w:rsidRPr="00DB24AF">
        <w:rPr>
          <w:i/>
          <w:iCs/>
          <w:sz w:val="20"/>
        </w:rPr>
        <w:t>Id.</w:t>
      </w:r>
      <w:r w:rsidRPr="005A1475">
        <w:rPr>
          <w:i/>
          <w:sz w:val="20"/>
        </w:rPr>
        <w:t xml:space="preserve"> </w:t>
      </w:r>
      <w:r>
        <w:rPr>
          <w:sz w:val="20"/>
        </w:rPr>
        <w:t>at 5003,</w:t>
      </w:r>
      <w:r w:rsidRPr="00200423">
        <w:rPr>
          <w:sz w:val="20"/>
        </w:rPr>
        <w:t xml:space="preserve"> para. 70;</w:t>
      </w:r>
      <w:r>
        <w:t xml:space="preserve"> </w:t>
      </w:r>
      <w:r>
        <w:rPr>
          <w:i/>
          <w:iCs/>
          <w:sz w:val="20"/>
        </w:rPr>
        <w:t>s</w:t>
      </w:r>
      <w:r w:rsidRPr="00857FA7">
        <w:rPr>
          <w:i/>
          <w:iCs/>
          <w:sz w:val="20"/>
        </w:rPr>
        <w:t>ee</w:t>
      </w:r>
      <w:r w:rsidRPr="00C932C7">
        <w:rPr>
          <w:i/>
          <w:sz w:val="20"/>
        </w:rPr>
        <w:t xml:space="preserve"> </w:t>
      </w:r>
      <w:r>
        <w:rPr>
          <w:sz w:val="20"/>
        </w:rPr>
        <w:t>United States Census, Quick Facts, Puerto Rico,</w:t>
      </w:r>
      <w:r w:rsidRPr="00857FA7">
        <w:rPr>
          <w:sz w:val="20"/>
        </w:rPr>
        <w:t xml:space="preserve"> </w:t>
      </w:r>
      <w:hyperlink r:id="rId1" w:history="1">
        <w:r w:rsidRPr="00857FA7">
          <w:rPr>
            <w:rStyle w:val="Hyperlink"/>
            <w:sz w:val="20"/>
          </w:rPr>
          <w:t>https://www.census.gov/quickfacts/PR</w:t>
        </w:r>
      </w:hyperlink>
      <w:r>
        <w:rPr>
          <w:rStyle w:val="Hyperlink"/>
          <w:sz w:val="20"/>
          <w:u w:val="none"/>
        </w:rPr>
        <w:t xml:space="preserve"> </w:t>
      </w:r>
      <w:r>
        <w:rPr>
          <w:rStyle w:val="Hyperlink"/>
          <w:color w:val="auto"/>
          <w:sz w:val="20"/>
          <w:u w:val="none"/>
        </w:rPr>
        <w:t>(last visited Aug. 5, 2020).</w:t>
      </w:r>
    </w:p>
  </w:footnote>
  <w:footnote w:id="57">
    <w:p w:rsidR="00EA1210" w:rsidP="00584CDC" w14:paraId="491ABFE9" w14:textId="77777777">
      <w:pPr>
        <w:pStyle w:val="FootnoteText"/>
      </w:pPr>
      <w:r>
        <w:rPr>
          <w:rStyle w:val="FootnoteReference"/>
        </w:rPr>
        <w:footnoteRef/>
      </w:r>
      <w:r>
        <w:t xml:space="preserve"> ACV Comments at 3-5.</w:t>
      </w:r>
    </w:p>
  </w:footnote>
  <w:footnote w:id="58">
    <w:p w:rsidR="00EA1210" w:rsidP="00584CDC" w14:paraId="224135B9" w14:textId="77777777">
      <w:pPr>
        <w:pStyle w:val="FootnoteText"/>
      </w:pPr>
      <w:r>
        <w:rPr>
          <w:rStyle w:val="FootnoteReference"/>
        </w:rPr>
        <w:footnoteRef/>
      </w:r>
      <w:r>
        <w:t xml:space="preserve"> Joint Puerto Rico Comments at 4-5. </w:t>
      </w:r>
    </w:p>
  </w:footnote>
  <w:footnote w:id="59">
    <w:p w:rsidR="00EA1210" w:rsidRPr="00D9238C" w:rsidP="00584CDC" w14:paraId="3AB6B926" w14:textId="77777777">
      <w:pPr>
        <w:pStyle w:val="FootnoteText"/>
      </w:pPr>
      <w:r>
        <w:rPr>
          <w:rStyle w:val="FootnoteReference"/>
        </w:rPr>
        <w:footnoteRef/>
      </w:r>
      <w:r>
        <w:t xml:space="preserve"> NJBA Comments at 3-4.  NJBA also contends that UHF stations can offer a variety of ATSC 3.0 services in the future that traditional VHF stations cannot offer.  </w:t>
      </w:r>
      <w:r>
        <w:rPr>
          <w:i/>
          <w:iCs/>
        </w:rPr>
        <w:t>Id.</w:t>
      </w:r>
      <w:r>
        <w:t xml:space="preserve">  Whatever the merits of that contention, such an argument does not go to the present benefits that VHF stations enjoy vis-à-vis UHF stations.</w:t>
      </w:r>
    </w:p>
  </w:footnote>
  <w:footnote w:id="60">
    <w:p w:rsidR="00EA1210" w:rsidP="00584CDC" w14:paraId="0EE9B076" w14:textId="77777777">
      <w:pPr>
        <w:pStyle w:val="FootnoteText"/>
      </w:pPr>
      <w:r>
        <w:rPr>
          <w:rStyle w:val="FootnoteReference"/>
        </w:rPr>
        <w:footnoteRef/>
      </w:r>
      <w:r>
        <w:t xml:space="preserve"> </w:t>
      </w:r>
      <w:r w:rsidRPr="00D16434">
        <w:rPr>
          <w:i/>
          <w:iCs/>
        </w:rPr>
        <w:t>FY 2020 NPRM</w:t>
      </w:r>
      <w:r>
        <w:t>, 35 FCC Rcd at 4997, para. 52.</w:t>
      </w:r>
    </w:p>
  </w:footnote>
  <w:footnote w:id="61">
    <w:p w:rsidR="00EA1210" w:rsidP="00584CDC" w14:paraId="3623678C" w14:textId="446E9CAB">
      <w:pPr>
        <w:pStyle w:val="FootnoteText"/>
      </w:pPr>
      <w:r>
        <w:rPr>
          <w:rStyle w:val="FootnoteReference"/>
        </w:rPr>
        <w:footnoteRef/>
      </w:r>
      <w:r>
        <w:rPr>
          <w:i/>
          <w:iCs/>
        </w:rPr>
        <w:t xml:space="preserve"> </w:t>
      </w:r>
      <w:r w:rsidRPr="00DB24AF">
        <w:rPr>
          <w:i/>
          <w:iCs/>
        </w:rPr>
        <w:t>Id</w:t>
      </w:r>
      <w:r>
        <w:t>.</w:t>
      </w:r>
    </w:p>
  </w:footnote>
  <w:footnote w:id="62">
    <w:p w:rsidR="00EA1210" w:rsidP="00584CDC" w14:paraId="0748470C" w14:textId="1227B336">
      <w:pPr>
        <w:pStyle w:val="FootnoteText"/>
      </w:pPr>
      <w:r>
        <w:rPr>
          <w:rStyle w:val="FootnoteReference"/>
        </w:rPr>
        <w:footnoteRef/>
      </w:r>
      <w:r>
        <w:rPr>
          <w:i/>
          <w:iCs/>
        </w:rPr>
        <w:t xml:space="preserve"> </w:t>
      </w:r>
      <w:r w:rsidRPr="00DB24AF">
        <w:rPr>
          <w:i/>
          <w:iCs/>
        </w:rPr>
        <w:t>Id</w:t>
      </w:r>
      <w:r>
        <w:t>.</w:t>
      </w:r>
    </w:p>
  </w:footnote>
  <w:footnote w:id="63">
    <w:p w:rsidR="00EA1210" w:rsidP="00584CDC" w14:paraId="7ADA3B06" w14:textId="77777777">
      <w:pPr>
        <w:pStyle w:val="FootnoteText"/>
      </w:pPr>
      <w:r>
        <w:rPr>
          <w:rStyle w:val="FootnoteReference"/>
        </w:rPr>
        <w:footnoteRef/>
      </w:r>
      <w:r>
        <w:t xml:space="preserve"> PMCM TV Comments at 3-5.</w:t>
      </w:r>
    </w:p>
  </w:footnote>
  <w:footnote w:id="64">
    <w:p w:rsidR="00EA1210" w:rsidP="00584CDC" w14:paraId="211740B4" w14:textId="1812E56D">
      <w:pPr>
        <w:pStyle w:val="FootnoteText"/>
      </w:pPr>
      <w:r>
        <w:rPr>
          <w:rStyle w:val="FootnoteReference"/>
        </w:rPr>
        <w:footnoteRef/>
      </w:r>
      <w:r>
        <w:t xml:space="preserve"> </w:t>
      </w:r>
      <w:r w:rsidRPr="00DB24AF">
        <w:rPr>
          <w:i/>
          <w:iCs/>
        </w:rPr>
        <w:t>Id.</w:t>
      </w:r>
      <w:r w:rsidRPr="005A1475">
        <w:rPr>
          <w:i/>
        </w:rPr>
        <w:t xml:space="preserve"> </w:t>
      </w:r>
      <w:r>
        <w:t>at 7-8.</w:t>
      </w:r>
    </w:p>
  </w:footnote>
  <w:footnote w:id="65">
    <w:p w:rsidR="00EA1210" w:rsidP="00584CDC" w14:paraId="141A060C" w14:textId="77777777">
      <w:pPr>
        <w:pStyle w:val="FootnoteText"/>
      </w:pPr>
      <w:r>
        <w:rPr>
          <w:rStyle w:val="FootnoteReference"/>
        </w:rPr>
        <w:footnoteRef/>
      </w:r>
      <w:r>
        <w:t xml:space="preserve"> 47 U.S.C. § 159A(d).</w:t>
      </w:r>
    </w:p>
  </w:footnote>
  <w:footnote w:id="66">
    <w:p w:rsidR="00EA1210" w:rsidRPr="00837BCE" w:rsidP="009E62D9" w14:paraId="0F8269C3" w14:textId="7363BCD2">
      <w:pPr>
        <w:pStyle w:val="FootnoteText"/>
      </w:pPr>
      <w:r w:rsidRPr="00837BCE">
        <w:rPr>
          <w:rStyle w:val="FootnoteReference"/>
        </w:rPr>
        <w:footnoteRef/>
      </w:r>
      <w:r w:rsidRPr="00837BCE">
        <w:t xml:space="preserve"> </w:t>
      </w:r>
      <w:r w:rsidRPr="00837BCE">
        <w:rPr>
          <w:i/>
          <w:iCs/>
        </w:rPr>
        <w:t>FY 2020 NPRM</w:t>
      </w:r>
      <w:r w:rsidRPr="00837BCE">
        <w:t>, 35 FCC Rcd at</w:t>
      </w:r>
      <w:r>
        <w:t xml:space="preserve"> 4497-87,</w:t>
      </w:r>
      <w:r w:rsidRPr="00837BCE">
        <w:t xml:space="preserve"> paras. 53-58.</w:t>
      </w:r>
    </w:p>
  </w:footnote>
  <w:footnote w:id="67">
    <w:p w:rsidR="00EA1210" w:rsidRPr="00837BCE" w:rsidP="009E62D9" w14:paraId="19201AE9" w14:textId="2FD6B407">
      <w:pPr>
        <w:pStyle w:val="FootnoteText"/>
      </w:pPr>
      <w:r w:rsidRPr="00837BCE">
        <w:rPr>
          <w:rStyle w:val="FootnoteReference"/>
        </w:rPr>
        <w:footnoteRef/>
      </w:r>
      <w:r w:rsidRPr="00837BCE">
        <w:t xml:space="preserve"> </w:t>
      </w:r>
      <w:r w:rsidRPr="000123E2">
        <w:rPr>
          <w:i/>
          <w:iCs/>
        </w:rPr>
        <w:t>Id.</w:t>
      </w:r>
      <w:r w:rsidRPr="00837BCE">
        <w:t xml:space="preserve"> at </w:t>
      </w:r>
      <w:r>
        <w:t>4498</w:t>
      </w:r>
      <w:r w:rsidRPr="00837BCE">
        <w:t>, para. 56.</w:t>
      </w:r>
    </w:p>
  </w:footnote>
  <w:footnote w:id="68">
    <w:p w:rsidR="00EA1210" w:rsidRPr="00837BCE" w:rsidP="009E62D9" w14:paraId="7FB5118A" w14:textId="77777777">
      <w:pPr>
        <w:pStyle w:val="FootnoteText"/>
      </w:pPr>
      <w:r w:rsidRPr="00837BCE">
        <w:rPr>
          <w:rStyle w:val="FootnoteReference"/>
        </w:rPr>
        <w:footnoteRef/>
      </w:r>
      <w:r w:rsidRPr="00837BCE">
        <w:t xml:space="preserve"> </w:t>
      </w:r>
      <w:r w:rsidRPr="000123E2">
        <w:rPr>
          <w:i/>
          <w:iCs/>
        </w:rPr>
        <w:t>Id.</w:t>
      </w:r>
    </w:p>
  </w:footnote>
  <w:footnote w:id="69">
    <w:p w:rsidR="00EA1210" w:rsidRPr="00837BCE" w:rsidP="009E62D9" w14:paraId="606EE47A" w14:textId="54F3A5F5">
      <w:pPr>
        <w:pStyle w:val="FootnoteText"/>
      </w:pPr>
      <w:r w:rsidRPr="00837BCE">
        <w:rPr>
          <w:rStyle w:val="FootnoteReference"/>
        </w:rPr>
        <w:footnoteRef/>
      </w:r>
      <w:r w:rsidRPr="00837BCE">
        <w:t xml:space="preserve"> </w:t>
      </w:r>
      <w:r w:rsidRPr="000123E2">
        <w:rPr>
          <w:i/>
          <w:iCs/>
        </w:rPr>
        <w:t>Id.</w:t>
      </w:r>
      <w:r w:rsidRPr="00837BCE">
        <w:t xml:space="preserve"> at </w:t>
      </w:r>
      <w:r>
        <w:t>4998</w:t>
      </w:r>
      <w:r w:rsidRPr="00837BCE">
        <w:t>, para. 57.</w:t>
      </w:r>
      <w:r>
        <w:t xml:space="preserve"> The categories and calculations used in assessing regulatory fees were also provided. </w:t>
      </w:r>
      <w:r w:rsidRPr="00C36012">
        <w:rPr>
          <w:i/>
          <w:iCs/>
        </w:rPr>
        <w:t>Id</w:t>
      </w:r>
      <w:r>
        <w:t>. at Appendices B, D, and E.</w:t>
      </w:r>
    </w:p>
  </w:footnote>
  <w:footnote w:id="70">
    <w:p w:rsidR="00EA1210" w:rsidRPr="003D7E69" w:rsidP="009E62D9" w14:paraId="193FF437" w14:textId="37182B2E">
      <w:pPr>
        <w:pStyle w:val="FootnoteText"/>
      </w:pPr>
      <w:r w:rsidRPr="003D7E69">
        <w:rPr>
          <w:rStyle w:val="FootnoteReference"/>
        </w:rPr>
        <w:footnoteRef/>
      </w:r>
      <w:r w:rsidRPr="003D7E69">
        <w:t xml:space="preserve"> </w:t>
      </w:r>
      <w:r w:rsidRPr="00AB4579">
        <w:rPr>
          <w:i/>
          <w:iCs/>
        </w:rPr>
        <w:t>FY 2016 Report and Order</w:t>
      </w:r>
      <w:r>
        <w:t xml:space="preserve">, 31 FCC Rcd at 10351, para. 33. </w:t>
      </w:r>
    </w:p>
  </w:footnote>
  <w:footnote w:id="71">
    <w:p w:rsidR="00EA1210" w:rsidP="009E62D9" w14:paraId="458897EE" w14:textId="5FA49DE2">
      <w:pPr>
        <w:pStyle w:val="FootnoteText"/>
      </w:pPr>
      <w:r w:rsidRPr="003D7E69">
        <w:rPr>
          <w:rStyle w:val="FootnoteReference"/>
        </w:rPr>
        <w:footnoteRef/>
      </w:r>
      <w:r w:rsidRPr="003D7E69">
        <w:t xml:space="preserve"> </w:t>
      </w:r>
      <w:r w:rsidRPr="003D7E69">
        <w:rPr>
          <w:i/>
          <w:iCs/>
        </w:rPr>
        <w:t xml:space="preserve">See </w:t>
      </w:r>
      <w:r w:rsidRPr="00975554">
        <w:rPr>
          <w:i/>
          <w:iCs/>
        </w:rPr>
        <w:t>FY 2020 NPRM</w:t>
      </w:r>
      <w:r w:rsidRPr="00975554">
        <w:t xml:space="preserve">, 35 FCC Rcd at </w:t>
      </w:r>
      <w:r>
        <w:t>5015-17</w:t>
      </w:r>
      <w:r w:rsidRPr="00A24BCC">
        <w:t>, Appendix C.</w:t>
      </w:r>
    </w:p>
  </w:footnote>
  <w:footnote w:id="72">
    <w:p w:rsidR="00EA1210" w:rsidRPr="00837BCE" w:rsidP="009E62D9" w14:paraId="243956E9" w14:textId="77777777">
      <w:pPr>
        <w:pStyle w:val="FootnoteText"/>
      </w:pPr>
      <w:r w:rsidRPr="00837BCE">
        <w:rPr>
          <w:rStyle w:val="FootnoteReference"/>
        </w:rPr>
        <w:footnoteRef/>
      </w:r>
      <w:r w:rsidRPr="00837BCE">
        <w:t xml:space="preserve"> NAB states that radio </w:t>
      </w:r>
      <w:r w:rsidRPr="00837BCE">
        <w:t>broadcasters’</w:t>
      </w:r>
      <w:r w:rsidRPr="00837BCE">
        <w:t xml:space="preserve"> proposed regulatory fees would increase by an average of 4 percent for FY 2020.  NAB Comments at 4 (further stating that, under the Commission’s proposal, regulatory fees for AM Class A stations with the smallest reach would increase 5.3 percent, and some FM stations in the largest markets would increase 4.3 percent increase.”).</w:t>
      </w:r>
    </w:p>
  </w:footnote>
  <w:footnote w:id="73">
    <w:p w:rsidR="00EA1210" w:rsidRPr="00837BCE" w:rsidP="009E62D9" w14:paraId="46C7ED21" w14:textId="77777777">
      <w:pPr>
        <w:pStyle w:val="FootnoteText"/>
      </w:pPr>
      <w:r w:rsidRPr="00837BCE">
        <w:rPr>
          <w:rStyle w:val="FootnoteReference"/>
        </w:rPr>
        <w:footnoteRef/>
      </w:r>
      <w:r w:rsidRPr="00837BCE">
        <w:t xml:space="preserve"> NAB Comments at 1-2, 4.</w:t>
      </w:r>
    </w:p>
  </w:footnote>
  <w:footnote w:id="74">
    <w:p w:rsidR="00EA1210" w:rsidRPr="00837BCE" w:rsidP="009E62D9" w14:paraId="7EE0E593" w14:textId="77777777">
      <w:pPr>
        <w:pStyle w:val="FootnoteText"/>
      </w:pPr>
      <w:r w:rsidRPr="00837BCE">
        <w:rPr>
          <w:rStyle w:val="FootnoteReference"/>
        </w:rPr>
        <w:footnoteRef/>
      </w:r>
      <w:r w:rsidRPr="00837BCE">
        <w:t xml:space="preserve"> Colorado Broadcasters Comments at 3-6; NAB Comments at 4-6.</w:t>
      </w:r>
    </w:p>
  </w:footnote>
  <w:footnote w:id="75">
    <w:p w:rsidR="00EA1210" w:rsidRPr="00837BCE" w:rsidP="009E62D9" w14:paraId="14D42966" w14:textId="58CF71DD">
      <w:pPr>
        <w:pStyle w:val="FootnoteText"/>
      </w:pPr>
      <w:r w:rsidRPr="00837BCE">
        <w:rPr>
          <w:rStyle w:val="FootnoteReference"/>
        </w:rPr>
        <w:footnoteRef/>
      </w:r>
      <w:r>
        <w:t xml:space="preserve"> </w:t>
      </w:r>
      <w:r w:rsidRPr="00D02EC8">
        <w:rPr>
          <w:i/>
          <w:iCs/>
        </w:rPr>
        <w:t>FY 2020 NPRM</w:t>
      </w:r>
      <w:r>
        <w:t xml:space="preserve">, 35 FCC Rcd at 4998, para. 58; </w:t>
      </w:r>
      <w:r w:rsidRPr="00D02EC8">
        <w:rPr>
          <w:i/>
          <w:iCs/>
        </w:rPr>
        <w:t>FY 2019 Report and Order</w:t>
      </w:r>
      <w:r>
        <w:t xml:space="preserve">, 34 FCC Rcd at 8194, para. 12. </w:t>
      </w:r>
    </w:p>
  </w:footnote>
  <w:footnote w:id="76">
    <w:p w:rsidR="00EA1210" w:rsidP="009E62D9" w14:paraId="2A44DE3C" w14:textId="549FF59D">
      <w:pPr>
        <w:pStyle w:val="FootnoteText"/>
      </w:pPr>
      <w:r>
        <w:rPr>
          <w:rStyle w:val="FootnoteReference"/>
        </w:rPr>
        <w:footnoteRef/>
      </w:r>
      <w:r>
        <w:t xml:space="preserve"> As discussed in paragraphs 9-10 above, we reject arguments that the Commission should change its longstanding methodology for allocating indirect FTEs in proportion to the allocation of direct FTEs, which provides an objective, administrable standard for implementing the statutory directive that regulatory fees reflect the benefits provided to the payor of the fee by the Commission’s activities.  47 U.S.C. § 159(d).  </w:t>
      </w:r>
    </w:p>
  </w:footnote>
  <w:footnote w:id="77">
    <w:p w:rsidR="00EA1210" w:rsidRPr="00837BCE" w:rsidP="009E62D9" w14:paraId="2F0E75C5" w14:textId="6FEFF501">
      <w:pPr>
        <w:pStyle w:val="FootnoteText"/>
      </w:pPr>
      <w:r w:rsidRPr="00837BCE">
        <w:rPr>
          <w:rStyle w:val="FootnoteReference"/>
        </w:rPr>
        <w:footnoteRef/>
      </w:r>
      <w:r w:rsidRPr="00837BCE">
        <w:t xml:space="preserve"> </w:t>
      </w:r>
      <w:r w:rsidRPr="00590488">
        <w:rPr>
          <w:i/>
          <w:iCs/>
        </w:rPr>
        <w:t>FY 2019 Report and Order</w:t>
      </w:r>
      <w:r w:rsidRPr="00F203D6">
        <w:t xml:space="preserve">, 34 FCC Rcd </w:t>
      </w:r>
      <w:r>
        <w:t xml:space="preserve">at 8223, </w:t>
      </w:r>
      <w:r w:rsidRPr="00F203D6">
        <w:t xml:space="preserve">Appendix B; </w:t>
      </w:r>
      <w:r w:rsidRPr="001E632D">
        <w:rPr>
          <w:i/>
          <w:iCs/>
        </w:rPr>
        <w:t>FY 2020 NPRM</w:t>
      </w:r>
      <w:r w:rsidRPr="00F203D6">
        <w:t xml:space="preserve">, 35 FCC Rcd </w:t>
      </w:r>
      <w:r>
        <w:t xml:space="preserve">at 5012, </w:t>
      </w:r>
      <w:r w:rsidRPr="00F203D6">
        <w:t>Appendix B</w:t>
      </w:r>
      <w:r>
        <w:t>.</w:t>
      </w:r>
    </w:p>
  </w:footnote>
  <w:footnote w:id="78">
    <w:p w:rsidR="00EA1210" w:rsidP="009E62D9" w14:paraId="58C8D577" w14:textId="77777777">
      <w:pPr>
        <w:pStyle w:val="FootnoteText"/>
      </w:pPr>
      <w:r w:rsidRPr="00837BCE">
        <w:rPr>
          <w:rStyle w:val="FootnoteReference"/>
        </w:rPr>
        <w:footnoteRef/>
      </w:r>
      <w:r w:rsidRPr="00837BCE">
        <w:t xml:space="preserve"> </w:t>
      </w:r>
      <w:r w:rsidRPr="00837BCE">
        <w:rPr>
          <w:i/>
          <w:iCs/>
        </w:rPr>
        <w:t>FY 2020 NPRM</w:t>
      </w:r>
      <w:r w:rsidRPr="00837BCE">
        <w:t>, 35 FCC Rcd at Appendix C.</w:t>
      </w:r>
      <w:r>
        <w:t xml:space="preserve">  </w:t>
      </w:r>
    </w:p>
  </w:footnote>
  <w:footnote w:id="79">
    <w:p w:rsidR="00EA1210" w:rsidP="00584CDC" w14:paraId="72DF9010" w14:textId="27F85307">
      <w:pPr>
        <w:pStyle w:val="FootnoteText"/>
      </w:pPr>
      <w:r>
        <w:rPr>
          <w:rStyle w:val="FootnoteReference"/>
        </w:rPr>
        <w:footnoteRef/>
      </w:r>
      <w:r>
        <w:t xml:space="preserve"> Toll </w:t>
      </w:r>
      <w:r w:rsidRPr="00AF1916">
        <w:t>free numbers are telephone numbers for which the toll charges for compl</w:t>
      </w:r>
      <w:r>
        <w:t xml:space="preserve">eted calls are paid by the toll </w:t>
      </w:r>
      <w:r w:rsidRPr="00AF1916">
        <w:t xml:space="preserve">free subscriber.  </w:t>
      </w:r>
      <w:r w:rsidRPr="00995C9F">
        <w:rPr>
          <w:i/>
        </w:rPr>
        <w:t>See</w:t>
      </w:r>
      <w:r w:rsidRPr="00AF1916">
        <w:t xml:space="preserve"> 47 CFR § 52.101(f).  </w:t>
      </w:r>
      <w:r>
        <w:t xml:space="preserve">These are </w:t>
      </w:r>
      <w:r w:rsidRPr="00995C9F">
        <w:t xml:space="preserve">800, 888, 877, 866, 855, </w:t>
      </w:r>
      <w:r>
        <w:t>and</w:t>
      </w:r>
      <w:r w:rsidRPr="00995C9F">
        <w:t xml:space="preserve"> 844 numbers</w:t>
      </w:r>
      <w:r>
        <w:t>.</w:t>
      </w:r>
      <w:r w:rsidRPr="00FA37A3">
        <w:t xml:space="preserve"> </w:t>
      </w:r>
      <w:r>
        <w:t xml:space="preserve">SMS/800 (or the 800 Service Management System) is a centralized system that performs toll free number management. For a list of </w:t>
      </w:r>
      <w:r>
        <w:t>RespOrgs</w:t>
      </w:r>
      <w:r>
        <w:t xml:space="preserve"> on the SMS/800, Inc. website, </w:t>
      </w:r>
      <w:r w:rsidRPr="00A12D52">
        <w:rPr>
          <w:i/>
        </w:rPr>
        <w:t>see</w:t>
      </w:r>
      <w:r>
        <w:t xml:space="preserve"> </w:t>
      </w:r>
      <w:hyperlink r:id="rId2" w:history="1">
        <w:r w:rsidRPr="00A12D52">
          <w:rPr>
            <w:rStyle w:val="Hyperlink"/>
          </w:rPr>
          <w:t>http://www.sms800.com/Controls/NAC/Serviceprovider.aspx</w:t>
        </w:r>
      </w:hyperlink>
      <w:r>
        <w:t>.</w:t>
      </w:r>
    </w:p>
  </w:footnote>
  <w:footnote w:id="80">
    <w:p w:rsidR="00EA1210" w:rsidP="00584CDC" w14:paraId="05A6ADED" w14:textId="77777777">
      <w:pPr>
        <w:pStyle w:val="FootnoteText"/>
      </w:pPr>
      <w:r>
        <w:rPr>
          <w:rStyle w:val="FootnoteReference"/>
        </w:rPr>
        <w:footnoteRef/>
      </w:r>
      <w:r>
        <w:t xml:space="preserve"> 47 U.S.C. §§ 52.101 (e), (f).</w:t>
      </w:r>
    </w:p>
  </w:footnote>
  <w:footnote w:id="81">
    <w:p w:rsidR="00EA1210" w:rsidP="00584CDC" w14:paraId="666B172A" w14:textId="77777777">
      <w:pPr>
        <w:pStyle w:val="FootnoteText"/>
      </w:pPr>
      <w:r>
        <w:rPr>
          <w:rStyle w:val="FootnoteReference"/>
        </w:rPr>
        <w:footnoteRef/>
      </w:r>
      <w:r>
        <w:t xml:space="preserve"> </w:t>
      </w:r>
      <w:r w:rsidRPr="006A75BE">
        <w:rPr>
          <w:i/>
        </w:rPr>
        <w:t>Assessment and Collection of Regulatory Fees for Fiscal Year 2014</w:t>
      </w:r>
      <w:r>
        <w:t>, Report and Order and Further Notice of Proposed Rulemaking, MD Docket No. 14-92, 29 FCC Rcd 10767, 10777-79, paras. 25-28 (2014) (</w:t>
      </w:r>
      <w:r w:rsidRPr="00DD64CF">
        <w:rPr>
          <w:i/>
        </w:rPr>
        <w:t>FY 2014 Report and Order</w:t>
      </w:r>
      <w:r>
        <w:t xml:space="preserve">).  </w:t>
      </w:r>
    </w:p>
  </w:footnote>
  <w:footnote w:id="82">
    <w:p w:rsidR="00EA1210" w:rsidP="00584CDC" w14:paraId="35649DB2" w14:textId="77777777">
      <w:pPr>
        <w:pStyle w:val="FootnoteText"/>
      </w:pPr>
      <w:r>
        <w:rPr>
          <w:rStyle w:val="FootnoteReference"/>
        </w:rPr>
        <w:footnoteRef/>
      </w:r>
      <w:r>
        <w:t xml:space="preserve"> </w:t>
      </w:r>
      <w:r w:rsidRPr="00DD64CF">
        <w:rPr>
          <w:i/>
        </w:rPr>
        <w:t>FY 201</w:t>
      </w:r>
      <w:r>
        <w:rPr>
          <w:i/>
        </w:rPr>
        <w:t>5</w:t>
      </w:r>
      <w:r w:rsidRPr="00C932C7">
        <w:rPr>
          <w:i/>
        </w:rPr>
        <w:t xml:space="preserve"> Report and Order</w:t>
      </w:r>
      <w:r>
        <w:t xml:space="preserve">, 30 FCC Rcd at 5362-64, paras. 23-27.  </w:t>
      </w:r>
    </w:p>
  </w:footnote>
  <w:footnote w:id="83">
    <w:p w:rsidR="00EA1210" w:rsidP="00584CDC" w14:paraId="70027DAB" w14:textId="77777777">
      <w:pPr>
        <w:pStyle w:val="FootnoteText"/>
      </w:pPr>
      <w:r>
        <w:rPr>
          <w:rStyle w:val="FootnoteReference"/>
        </w:rPr>
        <w:footnoteRef/>
      </w:r>
      <w:r>
        <w:t xml:space="preserve"> A Responsible Organization (</w:t>
      </w:r>
      <w:r>
        <w:t>RespOrg</w:t>
      </w:r>
      <w:r>
        <w:t>) is a com</w:t>
      </w:r>
      <w:r w:rsidRPr="00222625">
        <w:t xml:space="preserve">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t xml:space="preserve">  </w:t>
      </w:r>
      <w:r>
        <w:t>RespOrgs</w:t>
      </w:r>
      <w:r>
        <w:t xml:space="preserve"> use the SMS/800 data 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b</w:t>
      </w:r>
      <w:r w:rsidRPr="00AF1916">
        <w:t>).</w:t>
      </w:r>
    </w:p>
  </w:footnote>
  <w:footnote w:id="84">
    <w:p w:rsidR="00EA1210" w:rsidP="00584CDC" w14:paraId="2A9BF851" w14:textId="1F5EEA63">
      <w:pPr>
        <w:pStyle w:val="FootnoteText"/>
      </w:pPr>
      <w:r>
        <w:rPr>
          <w:rStyle w:val="FootnoteReference"/>
        </w:rPr>
        <w:footnoteRef/>
      </w:r>
      <w:r>
        <w:t xml:space="preserve"> Prior to the </w:t>
      </w:r>
      <w:r w:rsidRPr="005365D4">
        <w:rPr>
          <w:i/>
        </w:rPr>
        <w:t>FY 2014 Report and Order</w:t>
      </w:r>
      <w:r>
        <w:t xml:space="preserve">, the Commission did not assess regulatory fees on toll free numbers based on the assumption that the entities controlling the numbers—wireline and wireless common carriers—were paying regulatory fees based on either revenues or subscribers.  </w:t>
      </w:r>
      <w:r w:rsidRPr="004F6B35">
        <w:rPr>
          <w:i/>
          <w:iCs/>
        </w:rPr>
        <w:t xml:space="preserve">See </w:t>
      </w:r>
      <w:r w:rsidRPr="00CB308D">
        <w:rPr>
          <w:i/>
        </w:rPr>
        <w:t>FY 2014 Report and Order</w:t>
      </w:r>
      <w:r>
        <w:t>, 29 FCC Rcd at 10777, para. 25, note 74 (citing</w:t>
      </w:r>
      <w:r w:rsidRPr="00927E1D">
        <w:rPr>
          <w:i/>
        </w:rPr>
        <w:t xml:space="preserve"> Universal Service Contribution Methodology</w:t>
      </w:r>
      <w:r>
        <w:t xml:space="preserve">, Further Notice of Proposed Rulemaking, 27 FCC Rcd 5357, 5463-64, para. 306 (2012)).  In the </w:t>
      </w:r>
      <w:r w:rsidRPr="005365D4">
        <w:rPr>
          <w:i/>
        </w:rPr>
        <w:t>FY 2014 NPRM</w:t>
      </w:r>
      <w:r>
        <w:t>,</w:t>
      </w:r>
      <w:r w:rsidRPr="005365D4">
        <w:rPr>
          <w:i/>
        </w:rPr>
        <w:t xml:space="preserve"> </w:t>
      </w:r>
      <w:r>
        <w:rPr>
          <w:iCs/>
        </w:rPr>
        <w:t xml:space="preserve">the </w:t>
      </w:r>
      <w:r w:rsidRPr="008E6C2E">
        <w:rPr>
          <w:i/>
        </w:rPr>
        <w:t>Commission</w:t>
      </w:r>
      <w:r>
        <w:t xml:space="preserve"> observed this was no longer the case because many toll free numbers were controlled or managed by </w:t>
      </w:r>
      <w:r>
        <w:t>RespOrgs</w:t>
      </w:r>
      <w:r>
        <w:t xml:space="preserve"> that were not common carriers. </w:t>
      </w:r>
      <w:r w:rsidRPr="001163F6">
        <w:rPr>
          <w:i/>
        </w:rPr>
        <w:t>Assessment and Collection of Regulatory Fees for Fiscal Year 201</w:t>
      </w:r>
      <w:r>
        <w:rPr>
          <w:i/>
        </w:rPr>
        <w:t>4</w:t>
      </w:r>
      <w:r>
        <w:t>, Notice of Proposed Rulemaking, Second Further Notice of Proposed Rulemaking, and Order, MD Docket Nos. 14-92, 13-140, and 12-201, 29 FCC Rcd 6417, 6435, para 51 (2014) (</w:t>
      </w:r>
      <w:r w:rsidRPr="004E438E">
        <w:rPr>
          <w:i/>
        </w:rPr>
        <w:t>FY 2014 NPRM</w:t>
      </w:r>
      <w:r>
        <w:t>).</w:t>
      </w:r>
    </w:p>
  </w:footnote>
  <w:footnote w:id="85">
    <w:p w:rsidR="00EA1210" w:rsidP="00584CDC" w14:paraId="3C92042F" w14:textId="77777777">
      <w:pPr>
        <w:pStyle w:val="FootnoteText"/>
      </w:pPr>
      <w:r>
        <w:rPr>
          <w:rStyle w:val="FootnoteReference"/>
        </w:rPr>
        <w:footnoteRef/>
      </w:r>
      <w:r>
        <w:t xml:space="preserve"> </w:t>
      </w:r>
      <w:r w:rsidRPr="00BD39A9">
        <w:rPr>
          <w:i/>
        </w:rPr>
        <w:t>FY 2014 Report and Order</w:t>
      </w:r>
      <w:r>
        <w:t xml:space="preserve">, 29 FCC Rcd at 10776, para. 26.  </w:t>
      </w:r>
    </w:p>
  </w:footnote>
  <w:footnote w:id="86">
    <w:p w:rsidR="00EA1210" w:rsidP="00584CDC" w14:paraId="48B740DC" w14:textId="77777777">
      <w:pPr>
        <w:pStyle w:val="FootnoteText"/>
      </w:pPr>
      <w:r>
        <w:rPr>
          <w:rStyle w:val="FootnoteReference"/>
        </w:rPr>
        <w:footnoteRef/>
      </w:r>
      <w:r>
        <w:t xml:space="preserve"> Although it is outside the scope of this proceeding, we provide the following answers in response to ATL’s questions.  Regarding identification and shared use of Canadian numbers, the Commission </w:t>
      </w:r>
      <w:r w:rsidRPr="007B65BD">
        <w:rPr>
          <w:szCs w:val="22"/>
        </w:rPr>
        <w:t>clarif</w:t>
      </w:r>
      <w:r>
        <w:rPr>
          <w:szCs w:val="22"/>
        </w:rPr>
        <w:t>ied</w:t>
      </w:r>
      <w:r w:rsidRPr="007B65BD">
        <w:rPr>
          <w:szCs w:val="22"/>
        </w:rPr>
        <w:t xml:space="preserve"> </w:t>
      </w:r>
      <w:r>
        <w:rPr>
          <w:szCs w:val="22"/>
        </w:rPr>
        <w:t xml:space="preserve">in the </w:t>
      </w:r>
      <w:r w:rsidRPr="00C402C4">
        <w:rPr>
          <w:i/>
          <w:iCs/>
          <w:szCs w:val="22"/>
        </w:rPr>
        <w:t>FY 2014 Report and Order</w:t>
      </w:r>
      <w:r>
        <w:rPr>
          <w:szCs w:val="22"/>
        </w:rPr>
        <w:t xml:space="preserve"> </w:t>
      </w:r>
      <w:r w:rsidRPr="007B65BD">
        <w:rPr>
          <w:szCs w:val="22"/>
        </w:rPr>
        <w:t>that the regulatory fee</w:t>
      </w:r>
      <w:r>
        <w:rPr>
          <w:szCs w:val="22"/>
        </w:rPr>
        <w:t>,</w:t>
      </w:r>
      <w:r w:rsidRPr="007B65BD">
        <w:rPr>
          <w:szCs w:val="22"/>
        </w:rPr>
        <w:t xml:space="preserve"> assessed </w:t>
      </w:r>
      <w:r>
        <w:rPr>
          <w:szCs w:val="22"/>
        </w:rPr>
        <w:t xml:space="preserve">on </w:t>
      </w:r>
      <w:r>
        <w:rPr>
          <w:szCs w:val="22"/>
        </w:rPr>
        <w:t>RespOrgs</w:t>
      </w:r>
      <w:r>
        <w:rPr>
          <w:szCs w:val="22"/>
        </w:rPr>
        <w:t xml:space="preserve"> </w:t>
      </w:r>
      <w:r w:rsidRPr="007B65BD">
        <w:rPr>
          <w:szCs w:val="22"/>
        </w:rPr>
        <w:t>for toll</w:t>
      </w:r>
      <w:r>
        <w:rPr>
          <w:szCs w:val="22"/>
        </w:rPr>
        <w:t xml:space="preserve"> </w:t>
      </w:r>
      <w:r w:rsidRPr="007B65BD">
        <w:rPr>
          <w:szCs w:val="22"/>
        </w:rPr>
        <w:t>free numbers is limited to toll</w:t>
      </w:r>
      <w:r>
        <w:rPr>
          <w:szCs w:val="22"/>
        </w:rPr>
        <w:t xml:space="preserve"> </w:t>
      </w:r>
      <w:r w:rsidRPr="007B65BD">
        <w:rPr>
          <w:szCs w:val="22"/>
        </w:rPr>
        <w:t>free numbers that are accessible within the United States</w:t>
      </w:r>
      <w:r>
        <w:rPr>
          <w:szCs w:val="22"/>
        </w:rPr>
        <w:t xml:space="preserve">.  </w:t>
      </w:r>
      <w:r w:rsidRPr="00BD39A9">
        <w:rPr>
          <w:i/>
        </w:rPr>
        <w:t>See FY 2014 Report and Order</w:t>
      </w:r>
      <w:r>
        <w:t xml:space="preserve">, 29 FCC Rcd at 10778, para. 27.  </w:t>
      </w:r>
      <w:r>
        <w:rPr>
          <w:szCs w:val="22"/>
        </w:rPr>
        <w:t xml:space="preserve">Further, </w:t>
      </w:r>
      <w:r>
        <w:t xml:space="preserve">the </w:t>
      </w:r>
      <w:r w:rsidRPr="00C402C4">
        <w:rPr>
          <w:i/>
          <w:iCs/>
        </w:rPr>
        <w:t>FY 2015 Report and Order</w:t>
      </w:r>
      <w:r>
        <w:t xml:space="preserve"> notes that t</w:t>
      </w:r>
      <w:r w:rsidRPr="0093310F">
        <w:rPr>
          <w:szCs w:val="22"/>
        </w:rPr>
        <w:t>h</w:t>
      </w:r>
      <w:r>
        <w:rPr>
          <w:szCs w:val="22"/>
        </w:rPr>
        <w:t>e</w:t>
      </w:r>
      <w:r w:rsidRPr="0093310F">
        <w:rPr>
          <w:szCs w:val="22"/>
        </w:rPr>
        <w:t xml:space="preserve"> regulatory fee assessed on </w:t>
      </w:r>
      <w:r w:rsidRPr="0093310F">
        <w:rPr>
          <w:szCs w:val="22"/>
        </w:rPr>
        <w:t>RespOrg</w:t>
      </w:r>
      <w:r>
        <w:rPr>
          <w:szCs w:val="22"/>
        </w:rPr>
        <w:t>s</w:t>
      </w:r>
      <w:r>
        <w:rPr>
          <w:szCs w:val="22"/>
        </w:rPr>
        <w:t xml:space="preserve"> for toll free numbers</w:t>
      </w:r>
      <w:r w:rsidRPr="0093310F">
        <w:rPr>
          <w:szCs w:val="22"/>
        </w:rPr>
        <w:t xml:space="preserve"> </w:t>
      </w:r>
      <w:r>
        <w:t xml:space="preserve">managed by a </w:t>
      </w:r>
      <w:r>
        <w:t>RespOrg</w:t>
      </w:r>
      <w:r>
        <w:t>,</w:t>
      </w:r>
      <w:r w:rsidRPr="001F635E">
        <w:rPr>
          <w:szCs w:val="22"/>
        </w:rPr>
        <w:t xml:space="preserve"> </w:t>
      </w:r>
      <w:r w:rsidRPr="0093310F">
        <w:rPr>
          <w:szCs w:val="22"/>
        </w:rPr>
        <w:t>is payable for all toll</w:t>
      </w:r>
      <w:r>
        <w:rPr>
          <w:szCs w:val="22"/>
        </w:rPr>
        <w:t xml:space="preserve"> </w:t>
      </w:r>
      <w:r w:rsidRPr="0093310F">
        <w:rPr>
          <w:szCs w:val="22"/>
        </w:rPr>
        <w:t>free numbers unless calls from only other countries ca</w:t>
      </w:r>
      <w:r>
        <w:rPr>
          <w:szCs w:val="22"/>
        </w:rPr>
        <w:t xml:space="preserve">n be completed using those toll </w:t>
      </w:r>
      <w:r w:rsidRPr="0093310F">
        <w:rPr>
          <w:szCs w:val="22"/>
        </w:rPr>
        <w:t>free numbers.</w:t>
      </w:r>
      <w:r>
        <w:rPr>
          <w:szCs w:val="22"/>
        </w:rPr>
        <w:t xml:space="preserve"> </w:t>
      </w:r>
      <w:r w:rsidRPr="00C62B24">
        <w:rPr>
          <w:i/>
          <w:iCs/>
        </w:rPr>
        <w:t xml:space="preserve"> </w:t>
      </w:r>
      <w:r w:rsidRPr="00EF0981">
        <w:rPr>
          <w:i/>
          <w:iCs/>
        </w:rPr>
        <w:t>FY 2015 Report and Order</w:t>
      </w:r>
      <w:r>
        <w:t xml:space="preserve">, 30 FCC Rcd at 5364, para. 24.  Regarding ATL’s questions about tracking numbers for exemptions and determining control and ownership, as discussed in the </w:t>
      </w:r>
      <w:r w:rsidRPr="00146E07">
        <w:rPr>
          <w:i/>
          <w:iCs/>
        </w:rPr>
        <w:t>FY15 Report and Order</w:t>
      </w:r>
      <w:r>
        <w:t xml:space="preserve">, the </w:t>
      </w:r>
      <w:r w:rsidRPr="003B430E">
        <w:t xml:space="preserve"> basis for identif</w:t>
      </w:r>
      <w:r>
        <w:t>ying the toll free number count</w:t>
      </w:r>
      <w:r w:rsidRPr="003B430E">
        <w:t xml:space="preserve"> upon which</w:t>
      </w:r>
      <w:r>
        <w:t xml:space="preserve"> the</w:t>
      </w:r>
      <w:r w:rsidRPr="003B430E">
        <w:t xml:space="preserve"> regulatory fee </w:t>
      </w:r>
      <w:r>
        <w:t>is</w:t>
      </w:r>
      <w:r w:rsidRPr="003B430E">
        <w:t xml:space="preserve"> assessed </w:t>
      </w:r>
      <w:r>
        <w:t>is</w:t>
      </w:r>
      <w:r w:rsidRPr="003B430E">
        <w:t xml:space="preserve"> derived from data </w:t>
      </w:r>
      <w:r>
        <w:t xml:space="preserve">available </w:t>
      </w:r>
      <w:r w:rsidRPr="003B430E">
        <w:t xml:space="preserve">as of or around December 31st of each year </w:t>
      </w:r>
      <w:r>
        <w:t xml:space="preserve">that is </w:t>
      </w:r>
      <w:r w:rsidRPr="003B430E">
        <w:t>provided by SMS/800</w:t>
      </w:r>
      <w:r>
        <w:t xml:space="preserve">, Inc, the entity which </w:t>
      </w:r>
      <w:r w:rsidRPr="00C04EDE">
        <w:t xml:space="preserve">provides administration and routing for all </w:t>
      </w:r>
      <w:r>
        <w:t>toll f</w:t>
      </w:r>
      <w:r w:rsidRPr="00C04EDE">
        <w:t xml:space="preserve">ree </w:t>
      </w:r>
      <w:r>
        <w:t>n</w:t>
      </w:r>
      <w:r w:rsidRPr="00C04EDE">
        <w:t>umbers in North America</w:t>
      </w:r>
      <w:r>
        <w:t xml:space="preserve">. </w:t>
      </w:r>
      <w:r w:rsidRPr="00EF0981">
        <w:rPr>
          <w:i/>
          <w:iCs/>
        </w:rPr>
        <w:t>FY 2015 Report and Order</w:t>
      </w:r>
      <w:r>
        <w:t xml:space="preserve">, 30 FCC Rcd at 5364, para. 26.  Regarding ATL’s question about failure to pay for assessed fees, the Commission held in the </w:t>
      </w:r>
      <w:r w:rsidRPr="00C402C4">
        <w:rPr>
          <w:i/>
          <w:iCs/>
        </w:rPr>
        <w:t>FY</w:t>
      </w:r>
      <w:r>
        <w:rPr>
          <w:i/>
          <w:iCs/>
        </w:rPr>
        <w:t xml:space="preserve"> </w:t>
      </w:r>
      <w:r w:rsidRPr="00C402C4">
        <w:rPr>
          <w:i/>
          <w:iCs/>
        </w:rPr>
        <w:t>2015 Report and Order</w:t>
      </w:r>
      <w:r>
        <w:t xml:space="preserve"> that a </w:t>
      </w:r>
      <w:r w:rsidRPr="009A1436">
        <w:rPr>
          <w:rFonts w:cs="Arial"/>
        </w:rPr>
        <w:t>RespOrg</w:t>
      </w:r>
      <w:r w:rsidRPr="009A1436">
        <w:rPr>
          <w:rFonts w:cs="Arial"/>
        </w:rPr>
        <w:t xml:space="preserve"> that fails to pay the regulatory fee assessed by the FCC will be subject to penalties.</w:t>
      </w:r>
      <w:r>
        <w:rPr>
          <w:rFonts w:cs="Arial"/>
        </w:rPr>
        <w:t xml:space="preserve">  </w:t>
      </w:r>
      <w:r w:rsidRPr="00EF0981">
        <w:rPr>
          <w:i/>
          <w:iCs/>
        </w:rPr>
        <w:t>FY 2015 Report and Order</w:t>
      </w:r>
      <w:r>
        <w:t xml:space="preserve">, 30 FCC Rcd at 5363, para. 24.  We also note that the </w:t>
      </w:r>
      <w:r w:rsidRPr="00473113">
        <w:rPr>
          <w:i/>
          <w:iCs/>
        </w:rPr>
        <w:t>FY 2015 Report and Order</w:t>
      </w:r>
      <w:r>
        <w:t xml:space="preserve"> required the Managing Director to coordinate with the Toll Free Numbering Administrator to ensure that all </w:t>
      </w:r>
      <w:r>
        <w:t>RespOrgs</w:t>
      </w:r>
      <w:r>
        <w:t xml:space="preserve"> owing regulatory fees had sufficient information about the regulatory fee process and opportunity to pay the regulatory fee </w:t>
      </w:r>
      <w:r w:rsidRPr="006C50D8">
        <w:t xml:space="preserve">before </w:t>
      </w:r>
      <w:r>
        <w:t xml:space="preserve">the </w:t>
      </w:r>
      <w:r>
        <w:t>RespOrg</w:t>
      </w:r>
      <w:r>
        <w:t xml:space="preserve"> is placed in red light status and </w:t>
      </w:r>
      <w:r w:rsidRPr="006C50D8">
        <w:t>enforcement procedures are initiated.</w:t>
      </w:r>
      <w:r>
        <w:t xml:space="preserve">  </w:t>
      </w:r>
      <w:r w:rsidRPr="00EF0981">
        <w:rPr>
          <w:i/>
          <w:iCs/>
        </w:rPr>
        <w:t>FY 2015 Report and Order</w:t>
      </w:r>
      <w:r>
        <w:t xml:space="preserve">, 30 FCC Rcd at 5364, para. 25.  </w:t>
      </w:r>
    </w:p>
  </w:footnote>
  <w:footnote w:id="87">
    <w:p w:rsidR="00EA1210" w:rsidP="00584CDC" w14:paraId="39402432" w14:textId="77777777">
      <w:pPr>
        <w:pStyle w:val="FootnoteText"/>
      </w:pPr>
      <w:r>
        <w:rPr>
          <w:rStyle w:val="FootnoteReference"/>
        </w:rPr>
        <w:footnoteRef/>
      </w:r>
      <w:r>
        <w:t xml:space="preserve"> </w:t>
      </w:r>
      <w:r w:rsidRPr="00D92F85">
        <w:rPr>
          <w:i/>
          <w:iCs/>
        </w:rPr>
        <w:t>FY 2020 NPRM</w:t>
      </w:r>
      <w:r>
        <w:t>, 35 FCC Rcd at 4979-91, paras. 7-34.</w:t>
      </w:r>
    </w:p>
  </w:footnote>
  <w:footnote w:id="88">
    <w:p w:rsidR="00EA1210" w:rsidRPr="00BE04D3" w:rsidP="00584CDC" w14:paraId="6CB957B2" w14:textId="77777777">
      <w:pPr>
        <w:pStyle w:val="FootnoteText"/>
      </w:pPr>
      <w:r>
        <w:rPr>
          <w:rStyle w:val="FootnoteReference"/>
        </w:rPr>
        <w:footnoteRef/>
      </w:r>
      <w:r>
        <w:t xml:space="preserve"> The Commission adopted this new fee category in </w:t>
      </w:r>
      <w:r>
        <w:rPr>
          <w:i/>
          <w:iCs/>
        </w:rPr>
        <w:t>2020 Regulatory Fee Reform Order</w:t>
      </w:r>
      <w:r>
        <w:t>, 35 FCC Rcd at 4979-91, paras. 7-34; the proposed fees were listed in Appendix C.</w:t>
      </w:r>
    </w:p>
  </w:footnote>
  <w:footnote w:id="89">
    <w:p w:rsidR="00EA1210" w:rsidP="00584CDC" w14:paraId="1D663716" w14:textId="32B5B7F1">
      <w:pPr>
        <w:pStyle w:val="FootnoteText"/>
      </w:pPr>
      <w:r>
        <w:rPr>
          <w:rStyle w:val="FootnoteReference"/>
        </w:rPr>
        <w:footnoteRef/>
      </w:r>
      <w:r>
        <w:t xml:space="preserve"> </w:t>
      </w:r>
      <w:r w:rsidRPr="000E053B">
        <w:rPr>
          <w:i/>
          <w:iCs/>
        </w:rPr>
        <w:t>See, e.g</w:t>
      </w:r>
      <w:r>
        <w:t xml:space="preserve">., </w:t>
      </w:r>
      <w:r>
        <w:t>Telesat</w:t>
      </w:r>
      <w:r>
        <w:t xml:space="preserve"> Comments at 1-2;</w:t>
      </w:r>
      <w:r w:rsidRPr="007F4D44">
        <w:t xml:space="preserve"> </w:t>
      </w:r>
      <w:r>
        <w:t>Kineis</w:t>
      </w:r>
      <w:r>
        <w:t xml:space="preserve"> Comments at 2-3.  </w:t>
      </w:r>
      <w:r w:rsidRPr="00E600B7">
        <w:rPr>
          <w:szCs w:val="22"/>
        </w:rPr>
        <w:t>Kineis</w:t>
      </w:r>
      <w:r w:rsidRPr="00E600B7">
        <w:rPr>
          <w:szCs w:val="22"/>
        </w:rPr>
        <w:t xml:space="preserve">, who did not participate in the proceeding below, but is participating in the </w:t>
      </w:r>
      <w:r>
        <w:rPr>
          <w:szCs w:val="22"/>
        </w:rPr>
        <w:t xml:space="preserve">Petition for Review of the </w:t>
      </w:r>
      <w:r>
        <w:rPr>
          <w:i/>
          <w:iCs/>
        </w:rPr>
        <w:t>2020 Regulatory Fee Reform Order</w:t>
      </w:r>
      <w:r w:rsidRPr="00F90546">
        <w:rPr>
          <w:i/>
          <w:iCs/>
          <w:szCs w:val="22"/>
        </w:rPr>
        <w:t xml:space="preserve"> </w:t>
      </w:r>
      <w:r>
        <w:rPr>
          <w:szCs w:val="22"/>
        </w:rPr>
        <w:t>pending in the Court of Appeals for the D.C. Circuit,</w:t>
      </w:r>
      <w:r w:rsidRPr="007F4D44">
        <w:rPr>
          <w:szCs w:val="22"/>
        </w:rPr>
        <w:t xml:space="preserve"> </w:t>
      </w:r>
      <w:r w:rsidRPr="00E600B7">
        <w:rPr>
          <w:szCs w:val="22"/>
        </w:rPr>
        <w:t xml:space="preserve">generally repeats arguments previously made by commenters to the </w:t>
      </w:r>
      <w:r>
        <w:rPr>
          <w:szCs w:val="22"/>
        </w:rPr>
        <w:t xml:space="preserve">Further Notice of Proposed Rulemaking attached to the </w:t>
      </w:r>
      <w:r w:rsidRPr="00212E23">
        <w:rPr>
          <w:i/>
          <w:iCs/>
          <w:szCs w:val="22"/>
        </w:rPr>
        <w:t>FY 2019 Report and Order</w:t>
      </w:r>
      <w:r>
        <w:rPr>
          <w:szCs w:val="22"/>
        </w:rPr>
        <w:t xml:space="preserve">.  </w:t>
      </w:r>
      <w:r w:rsidRPr="007F4D44">
        <w:rPr>
          <w:i/>
          <w:iCs/>
        </w:rPr>
        <w:t>See</w:t>
      </w:r>
      <w:r>
        <w:t xml:space="preserve"> </w:t>
      </w:r>
      <w:r w:rsidRPr="00A36DA0">
        <w:t>Kineis</w:t>
      </w:r>
      <w:r w:rsidRPr="00864CD8">
        <w:t xml:space="preserve"> Comments</w:t>
      </w:r>
      <w:r>
        <w:t xml:space="preserve"> at 2-3</w:t>
      </w:r>
      <w:r w:rsidRPr="00864CD8">
        <w:t xml:space="preserve"> (arguing that the FCC lacks authority to include market access grants in space station regulatory fees and also arguing that the benefits afforded market grants are different from those afforded U.S. licensees for purposes of regulatory f</w:t>
      </w:r>
      <w:r w:rsidRPr="008E385B">
        <w:t xml:space="preserve">ee assessments). </w:t>
      </w:r>
      <w:r w:rsidRPr="008E385B">
        <w:rPr>
          <w:i/>
          <w:iCs/>
        </w:rPr>
        <w:t xml:space="preserve">Compare </w:t>
      </w:r>
      <w:r>
        <w:rPr>
          <w:i/>
          <w:iCs/>
        </w:rPr>
        <w:t>2020 Regulatory Fee Reform Order</w:t>
      </w:r>
      <w:r>
        <w:t xml:space="preserve">, 35 FCC Rcd at 4982, para. 13 (commenters argued that based on legislative history, the Commission does not have the authority to impose such a fee, citing to </w:t>
      </w:r>
      <w:r>
        <w:t>Telesat</w:t>
      </w:r>
      <w:r>
        <w:t xml:space="preserve"> Comments at 2; Eutelsat Comments at 4-5; Inmarsat Reply  at 2-3). </w:t>
      </w:r>
      <w:r w:rsidRPr="00E92011">
        <w:t xml:space="preserve"> </w:t>
      </w:r>
    </w:p>
  </w:footnote>
  <w:footnote w:id="90">
    <w:p w:rsidR="00EA1210" w:rsidRPr="00E92011" w:rsidP="00584CDC" w14:paraId="755BFE5C" w14:textId="005E6C1A">
      <w:pPr>
        <w:pStyle w:val="FootnoteText"/>
      </w:pPr>
      <w:r w:rsidRPr="00864CD8">
        <w:rPr>
          <w:rStyle w:val="FootnoteReference"/>
        </w:rPr>
        <w:footnoteRef/>
      </w:r>
      <w:bookmarkStart w:id="67" w:name="_Hlk47042298"/>
      <w:bookmarkStart w:id="68" w:name="_Hlk46999085"/>
      <w:r w:rsidRPr="00864CD8">
        <w:rPr>
          <w:i/>
          <w:iCs/>
        </w:rPr>
        <w:t xml:space="preserve"> </w:t>
      </w:r>
      <w:r>
        <w:rPr>
          <w:i/>
          <w:iCs/>
        </w:rPr>
        <w:t>2020 Regulatory Fee Reform Order</w:t>
      </w:r>
      <w:r w:rsidRPr="008E385B">
        <w:rPr>
          <w:i/>
          <w:iCs/>
        </w:rPr>
        <w:t xml:space="preserve">, </w:t>
      </w:r>
      <w:r w:rsidRPr="00E92011">
        <w:t xml:space="preserve">35 FCC Rcd at 4979-4991, </w:t>
      </w:r>
      <w:r w:rsidRPr="00864CD8">
        <w:t>para</w:t>
      </w:r>
      <w:r w:rsidRPr="008E385B">
        <w:t xml:space="preserve">s. </w:t>
      </w:r>
      <w:bookmarkEnd w:id="67"/>
      <w:r w:rsidRPr="008E385B">
        <w:t xml:space="preserve">7-34. </w:t>
      </w:r>
      <w:bookmarkEnd w:id="68"/>
    </w:p>
  </w:footnote>
  <w:footnote w:id="91">
    <w:p w:rsidR="00EA1210" w:rsidRPr="00E92011" w:rsidP="00584CDC" w14:paraId="653A188A" w14:textId="04C554E9">
      <w:pPr>
        <w:pStyle w:val="FootnoteText"/>
      </w:pPr>
      <w:r w:rsidRPr="00864CD8">
        <w:rPr>
          <w:rStyle w:val="FootnoteReference"/>
        </w:rPr>
        <w:footnoteRef/>
      </w:r>
      <w:r>
        <w:rPr>
          <w:i/>
          <w:iCs/>
        </w:rPr>
        <w:t xml:space="preserve"> Id.</w:t>
      </w:r>
      <w:bookmarkStart w:id="69" w:name="_Hlk47108967"/>
      <w:r w:rsidRPr="00E92011">
        <w:t xml:space="preserve"> at 4980-4981, </w:t>
      </w:r>
      <w:bookmarkEnd w:id="69"/>
      <w:r w:rsidRPr="00864CD8">
        <w:t>para</w:t>
      </w:r>
      <w:r w:rsidRPr="008E385B">
        <w:t>. 1</w:t>
      </w:r>
      <w:r w:rsidRPr="00E92011">
        <w:t xml:space="preserve">0.  </w:t>
      </w:r>
    </w:p>
  </w:footnote>
  <w:footnote w:id="92">
    <w:p w:rsidR="00EA1210" w:rsidRPr="00E92011" w:rsidP="00584CDC" w14:paraId="00CC4F90" w14:textId="56F93269">
      <w:pPr>
        <w:pStyle w:val="FootnoteText"/>
      </w:pPr>
      <w:r w:rsidRPr="00864CD8">
        <w:rPr>
          <w:rStyle w:val="FootnoteReference"/>
          <w:i/>
          <w:iCs/>
        </w:rPr>
        <w:footnoteRef/>
      </w:r>
      <w:r>
        <w:rPr>
          <w:i/>
          <w:iCs/>
        </w:rPr>
        <w:t xml:space="preserve"> Id.</w:t>
      </w:r>
      <w:r w:rsidRPr="00E92011">
        <w:t xml:space="preserve"> (explaining 47 U.S.C. § 159(d).</w:t>
      </w:r>
    </w:p>
  </w:footnote>
  <w:footnote w:id="93">
    <w:p w:rsidR="00EA1210" w:rsidRPr="00E92011" w:rsidP="00584CDC" w14:paraId="3914EA3B" w14:textId="6F5C3935">
      <w:pPr>
        <w:pStyle w:val="FootnoteText"/>
      </w:pPr>
      <w:r w:rsidRPr="00864CD8">
        <w:rPr>
          <w:rStyle w:val="FootnoteReference"/>
          <w:i/>
          <w:iCs/>
        </w:rPr>
        <w:footnoteRef/>
      </w:r>
      <w:r w:rsidRPr="00864CD8">
        <w:rPr>
          <w:i/>
          <w:iCs/>
        </w:rPr>
        <w:t xml:space="preserve"> </w:t>
      </w:r>
      <w:r>
        <w:rPr>
          <w:i/>
          <w:iCs/>
        </w:rPr>
        <w:t>Id.</w:t>
      </w:r>
      <w:r w:rsidRPr="00E92011">
        <w:t xml:space="preserve"> at 4980-4981, </w:t>
      </w:r>
      <w:r w:rsidRPr="00864CD8">
        <w:t>para</w:t>
      </w:r>
      <w:r>
        <w:t>s</w:t>
      </w:r>
      <w:r w:rsidRPr="00864CD8">
        <w:t>. 10</w:t>
      </w:r>
      <w:r w:rsidRPr="008E385B">
        <w:t>-11.  Our concl</w:t>
      </w:r>
      <w:r w:rsidRPr="00E92011">
        <w:t xml:space="preserve">usions are in line with prior review of the statute in </w:t>
      </w:r>
      <w:r w:rsidRPr="00E92011">
        <w:rPr>
          <w:i/>
          <w:iCs/>
        </w:rPr>
        <w:t>PanAmSat</w:t>
      </w:r>
      <w:r w:rsidRPr="00E92011">
        <w:rPr>
          <w:i/>
          <w:iCs/>
        </w:rPr>
        <w:t xml:space="preserve"> Corp. v. F.C.C</w:t>
      </w:r>
      <w:r w:rsidRPr="00E92011">
        <w:t>., 198 F.3d 890, 895 (D.C. Cir. 1999) (explaining if Congress intended an exemption for an entity one might find it in the section of the statute devoted to exemptions).</w:t>
      </w:r>
    </w:p>
  </w:footnote>
  <w:footnote w:id="94">
    <w:p w:rsidR="00EA1210" w:rsidRPr="00E92011" w:rsidP="00584CDC" w14:paraId="726AA5A2" w14:textId="77777777">
      <w:pPr>
        <w:pStyle w:val="FootnoteText"/>
      </w:pPr>
      <w:r w:rsidRPr="00864CD8">
        <w:rPr>
          <w:rStyle w:val="FootnoteReference"/>
          <w:i/>
          <w:iCs/>
        </w:rPr>
        <w:footnoteRef/>
      </w:r>
      <w:r w:rsidRPr="00864CD8">
        <w:rPr>
          <w:i/>
          <w:iCs/>
        </w:rPr>
        <w:t xml:space="preserve"> </w:t>
      </w:r>
      <w:bookmarkStart w:id="70" w:name="_Hlk47077202"/>
      <w:r w:rsidRPr="008E385B">
        <w:rPr>
          <w:i/>
          <w:iCs/>
        </w:rPr>
        <w:t xml:space="preserve">2020 </w:t>
      </w:r>
      <w:r>
        <w:rPr>
          <w:i/>
          <w:iCs/>
        </w:rPr>
        <w:t xml:space="preserve">Regulatory Fee Reform </w:t>
      </w:r>
      <w:r w:rsidRPr="008E385B">
        <w:rPr>
          <w:i/>
          <w:iCs/>
        </w:rPr>
        <w:t>Order</w:t>
      </w:r>
      <w:r w:rsidRPr="00E92011">
        <w:rPr>
          <w:i/>
          <w:iCs/>
        </w:rPr>
        <w:t>,</w:t>
      </w:r>
      <w:r w:rsidRPr="00E92011">
        <w:t xml:space="preserve"> 35 FCC Rcd at 4982-4985, </w:t>
      </w:r>
      <w:r w:rsidRPr="00864CD8">
        <w:t>para</w:t>
      </w:r>
      <w:r w:rsidRPr="008E385B">
        <w:t>s.</w:t>
      </w:r>
      <w:r w:rsidRPr="00E92011">
        <w:t xml:space="preserve"> 14-18.  </w:t>
      </w:r>
      <w:bookmarkEnd w:id="70"/>
      <w:r w:rsidRPr="00E92011">
        <w:t xml:space="preserve">The legislative history is found in the House and Senate Reports, Committee on Energy and Commerce, 102 H. Rpt. 207, September 17, 1991, in which the Committee stated: “The Committee intends that fees in this category be assessed on operators of U.S. facilities, consistent with FCC jurisdiction.  Therefore, these fees will apply only to space stations directly licensed by the Commission under Title III of the Communications Act.  Fees will not be applied to space stations operated by international organizations subject to the International Organizations Immunities Act, 22 U.S.C. Section 288 et seq.”  House and Senate Reports, Committee on Energy and Commerce, 102 H. Rpt. 207, at 33 (Sept. 17, 1991).  The language of the 1991 House and Senate Report was incorporated by reference in the Conference Report accompanying the 1993 Budget Reconciliation Act, which included the regulatory fee program. See Conference Report H. Rept. No. 213, 103d Cong., 1st Sess. 499 (1993).  The 1991 language related to a comparable bill that passed the House in 1991 but was not passed into law.  </w:t>
      </w:r>
      <w:r w:rsidRPr="00E92011">
        <w:rPr>
          <w:i/>
          <w:iCs/>
        </w:rPr>
        <w:t>See</w:t>
      </w:r>
      <w:r w:rsidRPr="00E92011">
        <w:t xml:space="preserve"> </w:t>
      </w:r>
      <w:r w:rsidRPr="00E92011">
        <w:t>PanAmSat</w:t>
      </w:r>
      <w:r w:rsidRPr="00E92011">
        <w:t xml:space="preserve"> Corp. v. FCC, 198 F.3d 890, 895 (D.C. Cir. 1999). </w:t>
      </w:r>
    </w:p>
  </w:footnote>
  <w:footnote w:id="95">
    <w:p w:rsidR="00EA1210" w:rsidRPr="00E92011" w:rsidP="00584CDC" w14:paraId="0061391B" w14:textId="77777777">
      <w:pPr>
        <w:pStyle w:val="FootnoteText"/>
      </w:pPr>
      <w:r w:rsidRPr="00864CD8">
        <w:rPr>
          <w:rStyle w:val="FootnoteReference"/>
        </w:rPr>
        <w:footnoteRef/>
      </w:r>
      <w:r w:rsidRPr="00864CD8">
        <w:t xml:space="preserve"> </w:t>
      </w:r>
      <w:r w:rsidRPr="008E385B">
        <w:t>INTELSAT and INMARSAT, however, were fully privatized and now operate as commercial enterprises</w:t>
      </w:r>
      <w:r w:rsidRPr="00E92011">
        <w:t xml:space="preserve"> INTELSAT became a private company in 2001, Intelsat, Ltd., after 37 years as an International Governmental Organization, it has corporate headquarters are in Luxembourg and the United States, and a fleet of more than 50 satellites. </w:t>
      </w:r>
      <w:r w:rsidRPr="00E92011">
        <w:rPr>
          <w:i/>
          <w:iCs/>
        </w:rPr>
        <w:t xml:space="preserve"> See Application of Intelsat LLC for Authority to Operate, and to Further Construct, Launch, and Operate C-band and Ku-band Satellites that Form a Global Communications System in Geostationary Orbit, </w:t>
      </w:r>
      <w:r w:rsidRPr="00E92011">
        <w:t xml:space="preserve">Memorandum Opinion, Order and Authorization, 15 FCC Rcd 15460, </w:t>
      </w:r>
      <w:r w:rsidRPr="00E92011">
        <w:rPr>
          <w:i/>
          <w:iCs/>
        </w:rPr>
        <w:t>recon. denied</w:t>
      </w:r>
      <w:r w:rsidRPr="00E92011">
        <w:t xml:space="preserve">, 15 FCC Rcd 25234 (2000), </w:t>
      </w:r>
      <w:r w:rsidRPr="00E92011">
        <w:rPr>
          <w:i/>
          <w:iCs/>
        </w:rPr>
        <w:t>further proceedings</w:t>
      </w:r>
      <w:r w:rsidRPr="00E92011">
        <w:t>, 16 FCC Rcd 12280 (2001).  INMARSAT, now Inmarsat, Inc., is headquartered in London, England, has offices in over 40 countries, and owns and operates 13 satellites.</w:t>
      </w:r>
      <w:r w:rsidRPr="00E92011">
        <w:rPr>
          <w:i/>
          <w:iCs/>
        </w:rPr>
        <w:t xml:space="preserve"> See Comsat Corporation et al.</w:t>
      </w:r>
      <w:r w:rsidRPr="00E92011">
        <w:t xml:space="preserve">, Memorandum Opinion, Order and Authorization, 16 FCC Rcd 21661 (2001); </w:t>
      </w:r>
      <w:r w:rsidRPr="00E92011">
        <w:rPr>
          <w:i/>
          <w:iCs/>
        </w:rPr>
        <w:t>Inmarsat Group Holdings Limited Petition for Declaratory Ruling Pursuant to Section 621(5)(F) of the ORBIT Act</w:t>
      </w:r>
      <w:r w:rsidRPr="00E92011">
        <w:t>, Memorandum Opinion and Order, 20 FCC Rcd 11366 (2005).</w:t>
      </w:r>
    </w:p>
  </w:footnote>
  <w:footnote w:id="96">
    <w:p w:rsidR="00EA1210" w:rsidRPr="00E92011" w:rsidP="00584CDC" w14:paraId="2CD88106" w14:textId="77777777">
      <w:pPr>
        <w:pStyle w:val="FootnoteText"/>
      </w:pPr>
      <w:r w:rsidRPr="00864CD8">
        <w:rPr>
          <w:rStyle w:val="FootnoteReference"/>
        </w:rPr>
        <w:footnoteRef/>
      </w:r>
      <w:r w:rsidRPr="00864CD8">
        <w:t xml:space="preserve"> </w:t>
      </w:r>
      <w:bookmarkStart w:id="71" w:name="_Hlk47048456"/>
      <w:r w:rsidRPr="008E385B">
        <w:rPr>
          <w:i/>
          <w:iCs/>
        </w:rPr>
        <w:t xml:space="preserve">2020 </w:t>
      </w:r>
      <w:r>
        <w:rPr>
          <w:i/>
          <w:iCs/>
        </w:rPr>
        <w:t xml:space="preserve">Regulatory Fee Reform </w:t>
      </w:r>
      <w:r w:rsidRPr="008E385B">
        <w:rPr>
          <w:i/>
          <w:iCs/>
        </w:rPr>
        <w:t>Order</w:t>
      </w:r>
      <w:r w:rsidRPr="00E92011">
        <w:t xml:space="preserve">, 35 FCC Rcd at 4983, </w:t>
      </w:r>
      <w:r w:rsidRPr="00864CD8">
        <w:t>para. 17</w:t>
      </w:r>
      <w:bookmarkEnd w:id="71"/>
      <w:r w:rsidRPr="00864CD8">
        <w:t>.</w:t>
      </w:r>
    </w:p>
  </w:footnote>
  <w:footnote w:id="97">
    <w:p w:rsidR="00EA1210" w:rsidRPr="00E92011" w:rsidP="00584CDC" w14:paraId="08DA9036" w14:textId="509E8DF6">
      <w:pPr>
        <w:pStyle w:val="FootnoteText"/>
      </w:pPr>
      <w:r w:rsidRPr="00864CD8">
        <w:rPr>
          <w:rStyle w:val="FootnoteReference"/>
        </w:rPr>
        <w:footnoteRef/>
      </w:r>
      <w:r w:rsidRPr="00864CD8">
        <w:t xml:space="preserve"> </w:t>
      </w:r>
      <w:bookmarkStart w:id="72" w:name="_Hlk47107660"/>
      <w:r w:rsidRPr="00DB24AF">
        <w:rPr>
          <w:i/>
          <w:iCs/>
        </w:rPr>
        <w:t>Id</w:t>
      </w:r>
      <w:r>
        <w:t>.</w:t>
      </w:r>
      <w:bookmarkEnd w:id="72"/>
      <w:r w:rsidRPr="00E92011">
        <w:t xml:space="preserve"> at 4982-4983,</w:t>
      </w:r>
      <w:r w:rsidRPr="00864CD8">
        <w:t xml:space="preserve"> </w:t>
      </w:r>
      <w:r w:rsidRPr="008E385B">
        <w:t>para</w:t>
      </w:r>
      <w:r w:rsidRPr="00E92011">
        <w:t xml:space="preserve">s. 14-16 (explaining the history of surrounding the Commission’s adoption in 1997 of a </w:t>
      </w:r>
      <w:r w:rsidRPr="00E92011">
        <w:t>framework</w:t>
      </w:r>
      <w:r w:rsidRPr="00E92011">
        <w:t xml:space="preserve"> under which to consider requests for access by non-U.S. licensed satellites into the United States known as </w:t>
      </w:r>
      <w:r w:rsidRPr="00E92011">
        <w:rPr>
          <w:i/>
          <w:iCs/>
        </w:rPr>
        <w:t xml:space="preserve">DISCO II </w:t>
      </w:r>
      <w:r w:rsidRPr="00E92011">
        <w:t xml:space="preserve">with many granular details described in note 46, 47, and 49).  Under the </w:t>
      </w:r>
      <w:r w:rsidRPr="00E92011">
        <w:rPr>
          <w:i/>
          <w:iCs/>
        </w:rPr>
        <w:t>DISCO II</w:t>
      </w:r>
      <w:r w:rsidRPr="00E92011">
        <w:t xml:space="preserve"> process, requests for market access include all the same information as operators seeking a Commission license and also information addressing whether operators are licensed by WTO member nations, with respect to covered services, and if not sufficient information to determine whether the ECO-SAT analysis is satisfied.  </w:t>
      </w:r>
      <w:r w:rsidRPr="00E92011">
        <w:rPr>
          <w:i/>
          <w:iCs/>
        </w:rPr>
        <w:t>Amendment of the Commission's Regulatory Policies to Allow Non–U.S. Licensed Space Stations to Provide Domestic and International Satellite Service in the United States</w:t>
      </w:r>
      <w:r w:rsidRPr="00E92011">
        <w:t>, Report and Order, 12 FCC Rcd 24094 (1997) (</w:t>
      </w:r>
      <w:r w:rsidRPr="00E92011">
        <w:rPr>
          <w:i/>
          <w:iCs/>
        </w:rPr>
        <w:t>DISCO II</w:t>
      </w:r>
      <w:r w:rsidRPr="00E92011">
        <w:t>).</w:t>
      </w:r>
      <w:r w:rsidRPr="00E92011">
        <w:rPr>
          <w:shd w:val="clear" w:color="auto" w:fill="FFFFFF"/>
        </w:rPr>
        <w:t xml:space="preserve">  </w:t>
      </w:r>
      <w:r w:rsidRPr="00E92011">
        <w:t xml:space="preserve">  </w:t>
      </w:r>
    </w:p>
  </w:footnote>
  <w:footnote w:id="98">
    <w:p w:rsidR="00EA1210" w:rsidRPr="00E92011" w:rsidP="00584CDC" w14:paraId="43DB1EFD" w14:textId="77777777">
      <w:pPr>
        <w:pStyle w:val="FootnoteText"/>
      </w:pPr>
      <w:r w:rsidRPr="00864CD8">
        <w:rPr>
          <w:rStyle w:val="FootnoteReference"/>
        </w:rPr>
        <w:footnoteRef/>
      </w:r>
      <w:r w:rsidRPr="00864CD8">
        <w:t xml:space="preserve"> </w:t>
      </w:r>
      <w:r w:rsidRPr="00864CD8">
        <w:t>Kineis</w:t>
      </w:r>
      <w:r w:rsidRPr="00864CD8">
        <w:t xml:space="preserve"> </w:t>
      </w:r>
      <w:r>
        <w:t xml:space="preserve">Comments </w:t>
      </w:r>
      <w:r w:rsidRPr="00864CD8">
        <w:t>at 1.</w:t>
      </w:r>
    </w:p>
  </w:footnote>
  <w:footnote w:id="99">
    <w:p w:rsidR="00EA1210" w:rsidRPr="00E92011" w:rsidP="00584CDC" w14:paraId="4840B2AA" w14:textId="6DB8F67F">
      <w:pPr>
        <w:pStyle w:val="FootnoteText"/>
      </w:pPr>
      <w:r w:rsidRPr="00864CD8">
        <w:rPr>
          <w:rStyle w:val="FootnoteReference"/>
        </w:rPr>
        <w:footnoteRef/>
      </w:r>
      <w:r w:rsidRPr="00864CD8">
        <w:t xml:space="preserve"> </w:t>
      </w:r>
      <w:r w:rsidRPr="008E385B">
        <w:rPr>
          <w:i/>
          <w:iCs/>
        </w:rPr>
        <w:t>See</w:t>
      </w:r>
      <w:r w:rsidRPr="00E92011">
        <w:rPr>
          <w:i/>
          <w:iCs/>
        </w:rPr>
        <w:t>, e.g.,</w:t>
      </w:r>
      <w:r w:rsidRPr="00E92011">
        <w:t xml:space="preserve"> 47 CFR 1.429(b)</w:t>
      </w:r>
      <w:r>
        <w:t xml:space="preserve"> </w:t>
      </w:r>
      <w:r w:rsidRPr="00E92011">
        <w:t xml:space="preserve">(requirement to explain why arguments on reconsideration could not have been raised previously).  We also note that </w:t>
      </w:r>
      <w:r w:rsidRPr="00E92011">
        <w:t>Kineis</w:t>
      </w:r>
      <w:r w:rsidRPr="00E92011">
        <w:t xml:space="preserve"> has joined with other parties in filing a petition for judicial review of the </w:t>
      </w:r>
      <w:r>
        <w:rPr>
          <w:i/>
          <w:iCs/>
        </w:rPr>
        <w:t>2020 Regulatory Fee Reform Order</w:t>
      </w:r>
      <w:r w:rsidRPr="00E92011">
        <w:t xml:space="preserve">. </w:t>
      </w:r>
    </w:p>
  </w:footnote>
  <w:footnote w:id="100">
    <w:p w:rsidR="00EA1210" w:rsidRPr="00E92011" w:rsidP="00584CDC" w14:paraId="75130D07" w14:textId="77777777">
      <w:pPr>
        <w:pStyle w:val="FootnoteText"/>
      </w:pPr>
      <w:r w:rsidRPr="00864CD8">
        <w:rPr>
          <w:rStyle w:val="FootnoteReference"/>
        </w:rPr>
        <w:footnoteRef/>
      </w:r>
      <w:r w:rsidRPr="00864CD8">
        <w:t xml:space="preserve"> </w:t>
      </w:r>
      <w:r w:rsidRPr="00864CD8">
        <w:t>Ki</w:t>
      </w:r>
      <w:r w:rsidRPr="008E385B">
        <w:t>neis</w:t>
      </w:r>
      <w:r w:rsidRPr="00E92011">
        <w:t xml:space="preserve"> </w:t>
      </w:r>
      <w:r>
        <w:t xml:space="preserve">Comments </w:t>
      </w:r>
      <w:r w:rsidRPr="0062117D">
        <w:t xml:space="preserve">at </w:t>
      </w:r>
      <w:r w:rsidRPr="00223794">
        <w:t>4-5</w:t>
      </w:r>
      <w:r w:rsidRPr="0062117D">
        <w:t>.</w:t>
      </w:r>
      <w:r w:rsidRPr="00E92011">
        <w:t xml:space="preserve">  </w:t>
      </w:r>
    </w:p>
  </w:footnote>
  <w:footnote w:id="101">
    <w:p w:rsidR="00EA1210" w:rsidRPr="00E92011" w:rsidP="00584CDC" w14:paraId="76E7CD9C" w14:textId="77777777">
      <w:pPr>
        <w:pStyle w:val="FootnoteText"/>
      </w:pPr>
      <w:r w:rsidRPr="00864CD8">
        <w:rPr>
          <w:rStyle w:val="FootnoteReference"/>
        </w:rPr>
        <w:footnoteRef/>
      </w:r>
      <w:r w:rsidRPr="00864CD8">
        <w:t xml:space="preserve"> </w:t>
      </w:r>
      <w:r>
        <w:rPr>
          <w:i/>
          <w:iCs/>
        </w:rPr>
        <w:t>2020 Regulatory Fee Reform Order</w:t>
      </w:r>
      <w:r w:rsidRPr="008E385B">
        <w:t xml:space="preserve">, </w:t>
      </w:r>
      <w:r w:rsidRPr="00E92011">
        <w:t>35 FCC Rcd at 4977-4978, pa</w:t>
      </w:r>
      <w:r w:rsidRPr="00864CD8">
        <w:t>ras. 2-3</w:t>
      </w:r>
      <w:r w:rsidRPr="008E385B">
        <w:t xml:space="preserve">; </w:t>
      </w:r>
      <w:r w:rsidRPr="00E92011">
        <w:t xml:space="preserve">47 U.S.C. §§ 159(a) (“shall assess and collect regulatory fees”), 159(b) (“Commission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 </w:t>
      </w:r>
      <w:r w:rsidRPr="00E92011">
        <w:rPr>
          <w:i/>
          <w:iCs/>
        </w:rPr>
        <w:t>see also</w:t>
      </w:r>
      <w:r w:rsidRPr="00E92011">
        <w:t xml:space="preserve"> 47 U.S.C. § 156(b). </w:t>
      </w:r>
    </w:p>
  </w:footnote>
  <w:footnote w:id="102">
    <w:p w:rsidR="00EA1210" w:rsidRPr="00E92011" w:rsidP="00584CDC" w14:paraId="35C7D47B" w14:textId="77777777">
      <w:pPr>
        <w:pStyle w:val="FootnoteText"/>
      </w:pPr>
      <w:r w:rsidRPr="00E92011">
        <w:rPr>
          <w:rStyle w:val="FootnoteReference"/>
        </w:rPr>
        <w:footnoteRef/>
      </w:r>
      <w:r w:rsidRPr="00E92011">
        <w:t xml:space="preserve"> 47 U.S.C. § 159(d).</w:t>
      </w:r>
    </w:p>
  </w:footnote>
  <w:footnote w:id="103">
    <w:p w:rsidR="00EA1210" w:rsidRPr="00E92011" w:rsidP="00584CDC" w14:paraId="4E2F416F" w14:textId="19CF13B9">
      <w:pPr>
        <w:pStyle w:val="FootnoteText"/>
      </w:pPr>
      <w:r w:rsidRPr="00864CD8">
        <w:rPr>
          <w:rStyle w:val="FootnoteReference"/>
        </w:rPr>
        <w:footnoteRef/>
      </w:r>
      <w:r w:rsidRPr="00864CD8">
        <w:t xml:space="preserve"> </w:t>
      </w:r>
      <w:r>
        <w:rPr>
          <w:i/>
          <w:iCs/>
        </w:rPr>
        <w:t>2020 Regulatory Fee Reform Order</w:t>
      </w:r>
      <w:r w:rsidRPr="008E385B">
        <w:t xml:space="preserve">, </w:t>
      </w:r>
      <w:r w:rsidRPr="00E92011">
        <w:t xml:space="preserve">35 FCC Rcd at 4983-4986, </w:t>
      </w:r>
      <w:r w:rsidRPr="00864CD8">
        <w:t>paras 17, 19, 20, &amp; 21</w:t>
      </w:r>
      <w:r w:rsidRPr="008E385B">
        <w:t>.</w:t>
      </w:r>
      <w:r w:rsidRPr="00E92011">
        <w:t xml:space="preserve">  Space X Comments at 2-3 (noting that in other proceedings, the non-U.S. operators stress the similarities between grants of market access and Commission space-station licenses). </w:t>
      </w:r>
      <w:r>
        <w:t xml:space="preserve"> </w:t>
      </w:r>
      <w:r w:rsidRPr="00E92011">
        <w:t xml:space="preserve">We also address this point below wherein we discuss the rationale for assessing the same fee on market access grants as space station licenses. </w:t>
      </w:r>
    </w:p>
  </w:footnote>
  <w:footnote w:id="104">
    <w:p w:rsidR="00EA1210" w:rsidRPr="00E92011" w:rsidP="00584CDC" w14:paraId="05EE157F" w14:textId="77777777">
      <w:pPr>
        <w:pStyle w:val="FootnoteText"/>
      </w:pPr>
      <w:r w:rsidRPr="00864CD8">
        <w:rPr>
          <w:rStyle w:val="FootnoteReference"/>
        </w:rPr>
        <w:footnoteRef/>
      </w:r>
      <w:r w:rsidRPr="00864CD8">
        <w:t xml:space="preserve"> </w:t>
      </w:r>
      <w:r>
        <w:rPr>
          <w:i/>
          <w:iCs/>
        </w:rPr>
        <w:t>2020 Regulatory Fee Reform Order</w:t>
      </w:r>
      <w:r w:rsidRPr="008E385B">
        <w:t xml:space="preserve">, </w:t>
      </w:r>
      <w:r w:rsidRPr="00E92011">
        <w:t xml:space="preserve">35 FCC Rcd at 4988, </w:t>
      </w:r>
      <w:r w:rsidRPr="00864CD8">
        <w:t xml:space="preserve">para. 26.  In discussion of the benefit conferred on regulatory fee payors, it is important to note that the benefit in this context is </w:t>
      </w:r>
      <w:r w:rsidRPr="00E92011">
        <w:t xml:space="preserve">measured in FTE time, the burden imposed on the FCC in order to exercising its statutory responsibilities.  </w:t>
      </w:r>
      <w:r w:rsidRPr="00E92011">
        <w:rPr>
          <w:i/>
          <w:iCs/>
        </w:rPr>
        <w:t>FY 2007 Report and Order</w:t>
      </w:r>
      <w:r w:rsidRPr="00E92011">
        <w:t>, 22 FCC Rcd at 15719-15720, para. 19.</w:t>
      </w:r>
    </w:p>
  </w:footnote>
  <w:footnote w:id="105">
    <w:p w:rsidR="00EA1210" w:rsidRPr="00E92011" w:rsidP="00584CDC" w14:paraId="19BB5845" w14:textId="77777777">
      <w:pPr>
        <w:spacing w:after="120"/>
        <w:rPr>
          <w:sz w:val="20"/>
        </w:rPr>
      </w:pPr>
      <w:r w:rsidRPr="00864CD8">
        <w:rPr>
          <w:rStyle w:val="FootnoteReference"/>
        </w:rPr>
        <w:footnoteRef/>
      </w:r>
      <w:r w:rsidRPr="00864CD8">
        <w:rPr>
          <w:sz w:val="20"/>
        </w:rPr>
        <w:t xml:space="preserve"> 47 U.S.C. §§ </w:t>
      </w:r>
      <w:r w:rsidRPr="008E385B">
        <w:rPr>
          <w:sz w:val="20"/>
        </w:rPr>
        <w:t xml:space="preserve">156 (a) (b) (authorizes appropriations to carry out the functions of the Commission to be derived from fees authorized by </w:t>
      </w:r>
      <w:r w:rsidRPr="00E92011">
        <w:rPr>
          <w:sz w:val="20"/>
        </w:rPr>
        <w:t>section 159); 159(a)(“Commission shall assess and collect regulatory fees to recover the costs of carrying out the activities described in section 156(a) of this title only to the extent, and in the total amounts, provided for in Appropriations Acts.”); 159(b) (“The 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 FY 2020 Appropriation (providing a salaries and expenses appropriation and further providing “…, That the sum herein appropriated shall be reduced as such offsetting collections are received during fiscal year 2020 so as to result in a final fiscal year 2020 appropriation estimated at $0:”).</w:t>
      </w:r>
    </w:p>
  </w:footnote>
  <w:footnote w:id="106">
    <w:p w:rsidR="00EA1210" w:rsidRPr="00E92011" w:rsidP="00584CDC" w14:paraId="43360C35" w14:textId="77777777">
      <w:pPr>
        <w:pStyle w:val="FootnoteText"/>
      </w:pPr>
      <w:r w:rsidRPr="00864CD8">
        <w:rPr>
          <w:rStyle w:val="FootnoteReference"/>
        </w:rPr>
        <w:footnoteRef/>
      </w:r>
      <w:r w:rsidRPr="00864CD8">
        <w:t xml:space="preserve"> </w:t>
      </w:r>
      <w:r w:rsidRPr="00864CD8">
        <w:t>Kineis</w:t>
      </w:r>
      <w:r w:rsidRPr="00864CD8">
        <w:t xml:space="preserve"> </w:t>
      </w:r>
      <w:r>
        <w:t>C</w:t>
      </w:r>
      <w:r w:rsidRPr="00864CD8">
        <w:t xml:space="preserve">omments at 3 </w:t>
      </w:r>
      <w:r w:rsidRPr="008E385B">
        <w:t>(</w:t>
      </w:r>
      <w:r w:rsidRPr="00296FEE">
        <w:t>citing</w:t>
      </w:r>
      <w:r w:rsidRPr="00E92011">
        <w:t xml:space="preserve"> </w:t>
      </w:r>
      <w:r w:rsidRPr="00DD7D00">
        <w:rPr>
          <w:i/>
          <w:iCs/>
        </w:rPr>
        <w:t>Assessment and Collection of Regulatory Fees for Fiscal Year 2013</w:t>
      </w:r>
      <w:r w:rsidRPr="00E92011">
        <w:t>, Report and Order, 28 FCC Rcd 12351, 12352-53</w:t>
      </w:r>
      <w:r>
        <w:t xml:space="preserve">, para. </w:t>
      </w:r>
      <w:r w:rsidRPr="00E92011">
        <w:t xml:space="preserve">6 &amp; n.10 (2013)).  </w:t>
      </w:r>
    </w:p>
  </w:footnote>
  <w:footnote w:id="107">
    <w:p w:rsidR="00EA1210" w:rsidRPr="00C932C7" w:rsidP="00584CDC" w14:paraId="0B7F2F7D" w14:textId="17654F9B">
      <w:pPr>
        <w:pStyle w:val="FootnoteText"/>
        <w:rPr>
          <w:shd w:val="clear" w:color="auto" w:fill="FFFFFF"/>
        </w:rPr>
      </w:pPr>
      <w:r w:rsidRPr="00864CD8">
        <w:rPr>
          <w:rStyle w:val="FootnoteReference"/>
        </w:rPr>
        <w:footnoteRef/>
      </w:r>
      <w:r w:rsidRPr="00864CD8">
        <w:t xml:space="preserve"> The request for U.S. market access requires the submission and review of the same legal and technical information for the non-U.S. licensed space station as would be required in a license application for that space station.</w:t>
      </w:r>
      <w:r>
        <w:t xml:space="preserve"> </w:t>
      </w:r>
      <w:r w:rsidRPr="00864CD8">
        <w:t xml:space="preserve"> 47 CFR § 25.137;</w:t>
      </w:r>
      <w:r w:rsidRPr="008E385B">
        <w:t xml:space="preserve"> </w:t>
      </w:r>
      <w:r w:rsidRPr="00E92011">
        <w:rPr>
          <w:i/>
          <w:iCs/>
        </w:rPr>
        <w:t>DISCO II</w:t>
      </w:r>
      <w:r w:rsidRPr="00E92011">
        <w:t>.</w:t>
      </w:r>
      <w:r w:rsidRPr="00E92011">
        <w:rPr>
          <w:shd w:val="clear" w:color="auto" w:fill="FFFFFF"/>
        </w:rPr>
        <w:t xml:space="preserve">  </w:t>
      </w:r>
    </w:p>
  </w:footnote>
  <w:footnote w:id="108">
    <w:p w:rsidR="00EA1210" w:rsidRPr="00E92011" w:rsidP="00584CDC" w14:paraId="294D86E8" w14:textId="77777777">
      <w:pPr>
        <w:pStyle w:val="FootnoteText"/>
      </w:pPr>
      <w:r w:rsidRPr="00864CD8">
        <w:rPr>
          <w:rStyle w:val="FootnoteReference"/>
          <w:i/>
          <w:iCs/>
        </w:rPr>
        <w:footnoteRef/>
      </w:r>
      <w:r w:rsidRPr="00864CD8">
        <w:rPr>
          <w:i/>
          <w:iCs/>
        </w:rPr>
        <w:t xml:space="preserve"> </w:t>
      </w:r>
      <w:r>
        <w:rPr>
          <w:i/>
          <w:iCs/>
        </w:rPr>
        <w:t>2020 Regulatory Fee Reform Order</w:t>
      </w:r>
      <w:r w:rsidRPr="00864CD8">
        <w:t xml:space="preserve">, </w:t>
      </w:r>
      <w:r w:rsidRPr="00E92011">
        <w:t xml:space="preserve">35 FCC Rcd at 4982-4985, </w:t>
      </w:r>
      <w:r w:rsidRPr="00864CD8">
        <w:t xml:space="preserve">at paras. 14-18.  </w:t>
      </w:r>
    </w:p>
  </w:footnote>
  <w:footnote w:id="109">
    <w:p w:rsidR="00EA1210" w:rsidP="00584CDC" w14:paraId="1E3D4A79" w14:textId="6BD5680F">
      <w:pPr>
        <w:pStyle w:val="FootnoteText"/>
      </w:pPr>
      <w:r>
        <w:rPr>
          <w:rStyle w:val="FootnoteReference"/>
        </w:rPr>
        <w:footnoteRef/>
      </w:r>
      <w:r>
        <w:t xml:space="preserve"> Eutelsat Comments at 7; </w:t>
      </w:r>
      <w:r>
        <w:t>Myriota</w:t>
      </w:r>
      <w:r>
        <w:t xml:space="preserve"> Comments at 8; </w:t>
      </w:r>
      <w:r>
        <w:t>Kineis</w:t>
      </w:r>
      <w:r>
        <w:t xml:space="preserve"> Reply at 4-5.</w:t>
      </w:r>
    </w:p>
  </w:footnote>
  <w:footnote w:id="110">
    <w:p w:rsidR="00EA1210" w:rsidP="00584CDC" w14:paraId="305ED5C8" w14:textId="77777777">
      <w:pPr>
        <w:pStyle w:val="FootnoteText"/>
      </w:pPr>
      <w:r>
        <w:rPr>
          <w:rStyle w:val="FootnoteReference"/>
        </w:rPr>
        <w:footnoteRef/>
      </w:r>
      <w:r>
        <w:t xml:space="preserve"> </w:t>
      </w:r>
      <w:r w:rsidRPr="008B7D47">
        <w:rPr>
          <w:i/>
          <w:iCs/>
        </w:rPr>
        <w:t>FY 2020 NPRM</w:t>
      </w:r>
      <w:r>
        <w:t>, 35 FCC Rcd at 4985, para. 19 &amp; note 67.</w:t>
      </w:r>
    </w:p>
  </w:footnote>
  <w:footnote w:id="111">
    <w:p w:rsidR="00EA1210" w:rsidP="00584CDC" w14:paraId="413C1A9F" w14:textId="0332657D">
      <w:pPr>
        <w:pStyle w:val="FootnoteText"/>
      </w:pPr>
      <w:r>
        <w:rPr>
          <w:rStyle w:val="FootnoteReference"/>
        </w:rPr>
        <w:footnoteRef/>
      </w:r>
      <w:r>
        <w:t xml:space="preserve"> </w:t>
      </w:r>
      <w:r w:rsidRPr="00DB24AF">
        <w:rPr>
          <w:i/>
          <w:iCs/>
        </w:rPr>
        <w:t>Id.</w:t>
      </w:r>
      <w:r w:rsidRPr="00CC5478">
        <w:rPr>
          <w:i/>
          <w:iCs/>
        </w:rPr>
        <w:t xml:space="preserve"> </w:t>
      </w:r>
      <w:r>
        <w:t>at 4986, para. 21.</w:t>
      </w:r>
    </w:p>
  </w:footnote>
  <w:footnote w:id="112">
    <w:p w:rsidR="00EA1210" w:rsidP="00584CDC" w14:paraId="39D60BBF" w14:textId="69908BCA">
      <w:pPr>
        <w:pStyle w:val="FootnoteText"/>
      </w:pPr>
      <w:r>
        <w:rPr>
          <w:rStyle w:val="FootnoteReference"/>
        </w:rPr>
        <w:footnoteRef/>
      </w:r>
      <w:r>
        <w:t xml:space="preserve"> </w:t>
      </w:r>
      <w:r w:rsidRPr="00DB24AF">
        <w:rPr>
          <w:i/>
          <w:iCs/>
        </w:rPr>
        <w:t>Id.</w:t>
      </w:r>
      <w:r w:rsidRPr="00CC5478">
        <w:rPr>
          <w:i/>
          <w:iCs/>
        </w:rPr>
        <w:t xml:space="preserve"> </w:t>
      </w:r>
    </w:p>
  </w:footnote>
  <w:footnote w:id="113">
    <w:p w:rsidR="00EA1210" w:rsidP="00584CDC" w14:paraId="638D6AE3" w14:textId="694FB9A5">
      <w:pPr>
        <w:pStyle w:val="FootnoteText"/>
      </w:pPr>
      <w:r>
        <w:rPr>
          <w:rStyle w:val="FootnoteReference"/>
        </w:rPr>
        <w:footnoteRef/>
      </w:r>
      <w:r>
        <w:t xml:space="preserve"> Eutelsat Comments at 7; </w:t>
      </w:r>
      <w:r>
        <w:t>Myriota</w:t>
      </w:r>
      <w:r>
        <w:t xml:space="preserve"> Comments at 8; </w:t>
      </w:r>
      <w:r>
        <w:t>Kineis</w:t>
      </w:r>
      <w:r>
        <w:t xml:space="preserve"> Reply  at 4-5.</w:t>
      </w:r>
    </w:p>
  </w:footnote>
  <w:footnote w:id="114">
    <w:p w:rsidR="00EA1210" w:rsidP="00584CDC" w14:paraId="434A71C3" w14:textId="3291D30C">
      <w:pPr>
        <w:pStyle w:val="FootnoteText"/>
      </w:pPr>
      <w:r>
        <w:rPr>
          <w:rStyle w:val="FootnoteReference"/>
        </w:rPr>
        <w:footnoteRef/>
      </w:r>
      <w:r>
        <w:t xml:space="preserve"> Eutelsat Comments at 11; </w:t>
      </w:r>
      <w:r>
        <w:t>Myriota</w:t>
      </w:r>
      <w:r>
        <w:t xml:space="preserve"> Reply at 6-7.</w:t>
      </w:r>
    </w:p>
  </w:footnote>
  <w:footnote w:id="115">
    <w:p w:rsidR="00EA1210" w:rsidP="00584CDC" w14:paraId="19FB23E1" w14:textId="1F5A409D">
      <w:pPr>
        <w:pStyle w:val="FootnoteText"/>
      </w:pPr>
      <w:r>
        <w:rPr>
          <w:rStyle w:val="FootnoteReference"/>
        </w:rPr>
        <w:footnoteRef/>
      </w:r>
      <w:r>
        <w:t xml:space="preserve"> Eutelsat Comments at 11-12; </w:t>
      </w:r>
      <w:r>
        <w:t>Myriota</w:t>
      </w:r>
      <w:r>
        <w:t xml:space="preserve"> Reply at 6.</w:t>
      </w:r>
    </w:p>
  </w:footnote>
  <w:footnote w:id="116">
    <w:p w:rsidR="00EA1210" w:rsidP="00584CDC" w14:paraId="529C20A4" w14:textId="77777777">
      <w:pPr>
        <w:pStyle w:val="FootnoteText"/>
      </w:pPr>
      <w:r>
        <w:rPr>
          <w:rStyle w:val="FootnoteReference"/>
        </w:rPr>
        <w:footnoteRef/>
      </w:r>
      <w:r>
        <w:t xml:space="preserve"> Eutelsat Comments at 10; </w:t>
      </w:r>
      <w:r>
        <w:t>Myriota</w:t>
      </w:r>
      <w:r>
        <w:t xml:space="preserve"> Comments at 9.</w:t>
      </w:r>
    </w:p>
  </w:footnote>
  <w:footnote w:id="117">
    <w:p w:rsidR="00EA1210" w:rsidP="00584CDC" w14:paraId="4A9D0C5E" w14:textId="646D84ED">
      <w:pPr>
        <w:pStyle w:val="FootnoteText"/>
      </w:pPr>
      <w:r>
        <w:rPr>
          <w:rStyle w:val="FootnoteReference"/>
        </w:rPr>
        <w:footnoteRef/>
      </w:r>
      <w:r>
        <w:t xml:space="preserve"> SpaceX Reply at 2-5.</w:t>
      </w:r>
    </w:p>
  </w:footnote>
  <w:footnote w:id="118">
    <w:p w:rsidR="00EA1210" w:rsidP="00584CDC" w14:paraId="05F0555B" w14:textId="58915349">
      <w:pPr>
        <w:pStyle w:val="FootnoteText"/>
      </w:pPr>
      <w:r>
        <w:rPr>
          <w:rStyle w:val="FootnoteReference"/>
        </w:rPr>
        <w:footnoteRef/>
      </w:r>
      <w:r>
        <w:t xml:space="preserve"> </w:t>
      </w:r>
      <w:r w:rsidRPr="00DB24AF">
        <w:rPr>
          <w:i/>
          <w:iCs/>
        </w:rPr>
        <w:t>Id.</w:t>
      </w:r>
      <w:r>
        <w:t xml:space="preserve"> at 2-3 (citing the C-Band Alliance Comments in GN Docket No. 18-122, filed July 3, 2019).</w:t>
      </w:r>
    </w:p>
  </w:footnote>
  <w:footnote w:id="119">
    <w:p w:rsidR="00EA1210" w:rsidP="00584CDC" w14:paraId="70074A6A" w14:textId="5A34F388">
      <w:pPr>
        <w:pStyle w:val="FootnoteText"/>
      </w:pPr>
      <w:r>
        <w:rPr>
          <w:rStyle w:val="FootnoteReference"/>
        </w:rPr>
        <w:footnoteRef/>
      </w:r>
      <w:r>
        <w:t xml:space="preserve"> </w:t>
      </w:r>
      <w:r w:rsidRPr="00DB24AF">
        <w:rPr>
          <w:i/>
          <w:iCs/>
        </w:rPr>
        <w:t>Id.</w:t>
      </w:r>
      <w:r>
        <w:t xml:space="preserve"> at 3-5.</w:t>
      </w:r>
    </w:p>
  </w:footnote>
  <w:footnote w:id="120">
    <w:p w:rsidR="00EA1210" w:rsidP="00584CDC" w14:paraId="62BEB3D9" w14:textId="77777777">
      <w:pPr>
        <w:pStyle w:val="FootnoteText"/>
      </w:pPr>
      <w:r>
        <w:rPr>
          <w:rStyle w:val="FootnoteReference"/>
        </w:rPr>
        <w:footnoteRef/>
      </w:r>
      <w:r>
        <w:t xml:space="preserve"> </w:t>
      </w:r>
      <w:r w:rsidRPr="00F62B51">
        <w:rPr>
          <w:i/>
          <w:iCs/>
        </w:rPr>
        <w:t>FY 2019 Report and Order</w:t>
      </w:r>
      <w:r w:rsidRPr="006B0F19">
        <w:t>, 34 FCC Rcd at 82</w:t>
      </w:r>
      <w:r>
        <w:t>12-13</w:t>
      </w:r>
      <w:r w:rsidRPr="006B0F19">
        <w:t>, para. 6</w:t>
      </w:r>
      <w:r>
        <w:t>3 (citing</w:t>
      </w:r>
      <w:r w:rsidRPr="00A1103B">
        <w:rPr>
          <w:i/>
        </w:rPr>
        <w:t xml:space="preserve"> </w:t>
      </w:r>
      <w:r w:rsidRPr="00CE0BF8">
        <w:rPr>
          <w:i/>
        </w:rPr>
        <w:t>Mitigation of Orbital Debris in the New Space Age</w:t>
      </w:r>
      <w:r>
        <w:t>, IB Docket No. 18-313, Notice of Proposed Rulemaking and Order on Reconsideration, 33 FCC Rcd 11352 (2018) (</w:t>
      </w:r>
      <w:r w:rsidRPr="00A17ED9">
        <w:rPr>
          <w:i/>
          <w:iCs/>
        </w:rPr>
        <w:t>Orbital Debris NPRM</w:t>
      </w:r>
      <w:r>
        <w:t xml:space="preserve">); </w:t>
      </w:r>
      <w:r w:rsidRPr="00CE0BF8">
        <w:rPr>
          <w:i/>
        </w:rPr>
        <w:t>Amendment of Parts 2 and 25 of the Commission’s Rules to Facilitate the Use of Earth Stations in Motion Communicating with Non-Geostationary Orbit Space Stations in Frequency Bands Allocated to the Fixed-Satellite Service</w:t>
      </w:r>
      <w:r>
        <w:t>, IB Docket No. 18-315, Notice of Proposed Rulemaking, 33 FCC Rcd 11416 (2018) (</w:t>
      </w:r>
      <w:r w:rsidRPr="00A17ED9">
        <w:rPr>
          <w:i/>
          <w:iCs/>
        </w:rPr>
        <w:t>ESIM NPRM</w:t>
      </w:r>
      <w:r>
        <w:t xml:space="preserve">); </w:t>
      </w:r>
      <w:r w:rsidRPr="00CE0BF8">
        <w:rPr>
          <w:i/>
        </w:rPr>
        <w:t>Amendment of the Commission’s Policies and Rules for Processing Applications in the Direct Broadcast Satellite Service</w:t>
      </w:r>
      <w:r>
        <w:t xml:space="preserve">, IB Docket No. 06-160, Second Notice of Proposed Rulemaking, 33 FCC Rcd 11303 (2018); </w:t>
      </w:r>
      <w:r w:rsidRPr="00CE0BF8">
        <w:rPr>
          <w:i/>
        </w:rPr>
        <w:t>Amendment of Parts 2 and 25 of the Commission’s Rules to Facilitate the Use of Earth Stations in Motion Communicating with Geostationary Orbit Space Stations in Frequency Bands Allocated to the Fixed Satellite Service</w:t>
      </w:r>
      <w:r>
        <w:t xml:space="preserve">, IB Docket No 17-95, Report and Order and Further Notice of Proposed Rulemaking, 32 FCC Rcd 9327 (2018); </w:t>
      </w:r>
      <w:r w:rsidRPr="00CE0BF8">
        <w:rPr>
          <w:i/>
        </w:rPr>
        <w:t>Further Streamlining Part 25 Rules Governing Satellite Services</w:t>
      </w:r>
      <w:r>
        <w:t>, IB Docket No. 18-314, Notice of Proposed Rulemaking, 33 FCC Rcd 11502 (2018) (</w:t>
      </w:r>
      <w:r w:rsidRPr="00A17ED9">
        <w:rPr>
          <w:i/>
          <w:iCs/>
        </w:rPr>
        <w:t>Part 25 Further Streamlining NPRM</w:t>
      </w:r>
      <w:r>
        <w:t xml:space="preserve">); </w:t>
      </w:r>
      <w:r w:rsidRPr="00CE0BF8">
        <w:rPr>
          <w:i/>
        </w:rPr>
        <w:t>Streamlining Licensing Procedures for Small Satellites</w:t>
      </w:r>
      <w:r>
        <w:t xml:space="preserve">, IB Docket No. 18-86, Notice of Proposed Rulemaking 33 FCC Rcd 4152 (2018); </w:t>
      </w:r>
      <w:r w:rsidRPr="00CE0BF8">
        <w:rPr>
          <w:i/>
        </w:rPr>
        <w:t>Update to Parts 2 and 25 Concerning Non-Geostationary, Fixed-Satellite Service Systems and Relat</w:t>
      </w:r>
      <w:r>
        <w:rPr>
          <w:i/>
        </w:rPr>
        <w:t>e</w:t>
      </w:r>
      <w:r w:rsidRPr="00CE0BF8">
        <w:rPr>
          <w:i/>
        </w:rPr>
        <w:t>d Matters</w:t>
      </w:r>
      <w:r>
        <w:t xml:space="preserve">, IB Docket No. 16-408, Report and Order and Further Notice of Proposed Rulemaking, 32 FCC Rcd 7809 (2017); </w:t>
      </w:r>
      <w:r w:rsidRPr="00CE0BF8">
        <w:rPr>
          <w:i/>
        </w:rPr>
        <w:t>Amendment of Parts 2 and 25 of the Commission’s Rules to Facilitate the Use of Earth Stations in Motion Communicating with Geostationary Orbit Space Stations in Frequency Bands Allocated to the Fixed-Satellite Service</w:t>
      </w:r>
      <w:r>
        <w:t>, IB Docket No. 17-95, Notice of Proposed Rulemaking, 32 FCC Rcd 4239 (2017).</w:t>
      </w:r>
    </w:p>
  </w:footnote>
  <w:footnote w:id="121">
    <w:p w:rsidR="00EA1210" w:rsidP="00584CDC" w14:paraId="49068909" w14:textId="77777777">
      <w:pPr>
        <w:pStyle w:val="FootnoteText"/>
      </w:pPr>
      <w:r>
        <w:rPr>
          <w:rStyle w:val="FootnoteReference"/>
        </w:rPr>
        <w:footnoteRef/>
      </w:r>
      <w:r>
        <w:t xml:space="preserve"> Market access recipients filed comments in nearly all of the Commission’s recent satellite rulemaking proceedings.  </w:t>
      </w:r>
      <w:r w:rsidRPr="00737095">
        <w:rPr>
          <w:i/>
          <w:iCs/>
        </w:rPr>
        <w:t>See, e.g</w:t>
      </w:r>
      <w:r>
        <w:t xml:space="preserve">., Comments of </w:t>
      </w:r>
      <w:r>
        <w:t>WorldVu</w:t>
      </w:r>
      <w:r>
        <w:t xml:space="preserve"> Satellites Limited d/b/a </w:t>
      </w:r>
      <w:r>
        <w:t>OneWeb</w:t>
      </w:r>
      <w:r>
        <w:t xml:space="preserve">, SES </w:t>
      </w:r>
      <w:r>
        <w:t>Americom</w:t>
      </w:r>
      <w:r>
        <w:t xml:space="preserve"> and Eutelsat in </w:t>
      </w:r>
      <w:r w:rsidRPr="00730BA3">
        <w:rPr>
          <w:i/>
          <w:iCs/>
        </w:rPr>
        <w:t>Orbital Debris NPRM</w:t>
      </w:r>
      <w:r>
        <w:t xml:space="preserve">, (filings made Apr. 5, 2019); </w:t>
      </w:r>
      <w:r w:rsidRPr="00730BA3">
        <w:rPr>
          <w:i/>
          <w:iCs/>
        </w:rPr>
        <w:t>ESIM NPRM</w:t>
      </w:r>
      <w:r>
        <w:t xml:space="preserve"> (filings made Feb. 11, 2019) and </w:t>
      </w:r>
      <w:r w:rsidRPr="00730BA3">
        <w:rPr>
          <w:i/>
          <w:iCs/>
        </w:rPr>
        <w:t>Part 25 Further Streamlining NPRM</w:t>
      </w:r>
      <w:r>
        <w:t xml:space="preserve"> (filings made Mar. 18, 2019).</w:t>
      </w:r>
    </w:p>
  </w:footnote>
  <w:footnote w:id="122">
    <w:p w:rsidR="00EA1210" w:rsidP="00584CDC" w14:paraId="1AC40C1E" w14:textId="77777777">
      <w:pPr>
        <w:pStyle w:val="FootnoteText"/>
      </w:pPr>
      <w:r>
        <w:rPr>
          <w:rStyle w:val="FootnoteReference"/>
        </w:rPr>
        <w:footnoteRef/>
      </w:r>
      <w:r>
        <w:t xml:space="preserve"> </w:t>
      </w:r>
      <w:r>
        <w:t>Kineis</w:t>
      </w:r>
      <w:r>
        <w:t xml:space="preserve"> Comments at 3-5; Eutelsat Comments at 9-10.</w:t>
      </w:r>
    </w:p>
  </w:footnote>
  <w:footnote w:id="123">
    <w:p w:rsidR="00EA1210" w:rsidP="00584CDC" w14:paraId="6E119950" w14:textId="77777777">
      <w:pPr>
        <w:pStyle w:val="FootnoteText"/>
      </w:pPr>
      <w:r>
        <w:rPr>
          <w:rStyle w:val="FootnoteReference"/>
        </w:rPr>
        <w:footnoteRef/>
      </w:r>
      <w:r>
        <w:t xml:space="preserve"> </w:t>
      </w:r>
      <w:r w:rsidRPr="00DC28B3">
        <w:rPr>
          <w:i/>
          <w:iCs/>
        </w:rPr>
        <w:t>See generally</w:t>
      </w:r>
      <w:r>
        <w:t xml:space="preserve"> 47 CFR </w:t>
      </w:r>
      <w:r w:rsidRPr="006C2C38">
        <w:t>§§</w:t>
      </w:r>
      <w:r>
        <w:t xml:space="preserve"> </w:t>
      </w:r>
      <w:r w:rsidRPr="006C2C38">
        <w:t>25.1</w:t>
      </w:r>
      <w:r>
        <w:t>1</w:t>
      </w:r>
      <w:r w:rsidRPr="006C2C38">
        <w:t>7</w:t>
      </w:r>
      <w:r>
        <w:t xml:space="preserve">, </w:t>
      </w:r>
      <w:r w:rsidRPr="006C2C38">
        <w:t>25.137</w:t>
      </w:r>
      <w:r>
        <w:t>.</w:t>
      </w:r>
    </w:p>
  </w:footnote>
  <w:footnote w:id="124">
    <w:p w:rsidR="00EA1210" w:rsidP="00584CDC" w14:paraId="343377AB" w14:textId="77777777">
      <w:pPr>
        <w:pStyle w:val="FootnoteText"/>
      </w:pPr>
      <w:r>
        <w:rPr>
          <w:rStyle w:val="FootnoteReference"/>
        </w:rPr>
        <w:footnoteRef/>
      </w:r>
      <w:r>
        <w:t xml:space="preserve"> </w:t>
      </w:r>
      <w:r>
        <w:t>Kineis</w:t>
      </w:r>
      <w:r>
        <w:t xml:space="preserve"> Comments at 4.</w:t>
      </w:r>
    </w:p>
  </w:footnote>
  <w:footnote w:id="125">
    <w:p w:rsidR="00EA1210" w:rsidP="00584CDC" w14:paraId="35829A49" w14:textId="77777777">
      <w:pPr>
        <w:pStyle w:val="FootnoteText"/>
      </w:pPr>
      <w:r>
        <w:rPr>
          <w:rStyle w:val="FootnoteReference"/>
        </w:rPr>
        <w:footnoteRef/>
      </w:r>
      <w:r>
        <w:t xml:space="preserve"> Eutelsat Comments at 16.</w:t>
      </w:r>
    </w:p>
  </w:footnote>
  <w:footnote w:id="126">
    <w:p w:rsidR="00EA1210" w:rsidP="00584CDC" w14:paraId="6E65C114" w14:textId="77777777">
      <w:pPr>
        <w:pStyle w:val="FootnoteText"/>
      </w:pPr>
      <w:r>
        <w:rPr>
          <w:rStyle w:val="FootnoteReference"/>
        </w:rPr>
        <w:footnoteRef/>
      </w:r>
      <w:r>
        <w:t xml:space="preserve"> </w:t>
      </w:r>
      <w:r w:rsidRPr="008B7D47">
        <w:rPr>
          <w:i/>
          <w:iCs/>
        </w:rPr>
        <w:t>FY 2020 NPRM</w:t>
      </w:r>
      <w:r>
        <w:t>, 35 FCC Rcd at 4990, para. 30.</w:t>
      </w:r>
    </w:p>
  </w:footnote>
  <w:footnote w:id="127">
    <w:p w:rsidR="00EA1210" w:rsidP="00584CDC" w14:paraId="50ACFEF2" w14:textId="3C6F8458">
      <w:pPr>
        <w:pStyle w:val="FootnoteText"/>
      </w:pPr>
      <w:r>
        <w:rPr>
          <w:rStyle w:val="FootnoteReference"/>
        </w:rPr>
        <w:footnoteRef/>
      </w:r>
      <w:r>
        <w:t xml:space="preserve"> </w:t>
      </w:r>
      <w:r>
        <w:rPr>
          <w:i/>
          <w:iCs/>
        </w:rPr>
        <w:t>Se</w:t>
      </w:r>
      <w:r w:rsidRPr="00CB175E">
        <w:rPr>
          <w:i/>
          <w:iCs/>
        </w:rPr>
        <w:t xml:space="preserve">e </w:t>
      </w:r>
      <w:r w:rsidRPr="00CB175E">
        <w:t xml:space="preserve">AWS Comments at 3; </w:t>
      </w:r>
      <w:r w:rsidRPr="00CB175E">
        <w:t>Astranis</w:t>
      </w:r>
      <w:r w:rsidRPr="00CB175E">
        <w:t xml:space="preserve"> Reply at 6-7.</w:t>
      </w:r>
    </w:p>
  </w:footnote>
  <w:footnote w:id="128">
    <w:p w:rsidR="00EA1210" w:rsidP="00584CDC" w14:paraId="17BD6C4C" w14:textId="1D34F8F1">
      <w:pPr>
        <w:pStyle w:val="FootnoteText"/>
      </w:pPr>
      <w:r>
        <w:rPr>
          <w:rStyle w:val="FootnoteReference"/>
        </w:rPr>
        <w:footnoteRef/>
      </w:r>
      <w:r>
        <w:t xml:space="preserve"> </w:t>
      </w:r>
      <w:r>
        <w:t>Astranis</w:t>
      </w:r>
      <w:r>
        <w:t xml:space="preserve"> Reply at 6-7.</w:t>
      </w:r>
    </w:p>
  </w:footnote>
  <w:footnote w:id="129">
    <w:p w:rsidR="00EA1210" w:rsidP="00584CDC" w14:paraId="58F0660A" w14:textId="143EE848">
      <w:pPr>
        <w:pStyle w:val="FootnoteText"/>
      </w:pPr>
      <w:r>
        <w:rPr>
          <w:rStyle w:val="FootnoteReference"/>
        </w:rPr>
        <w:footnoteRef/>
      </w:r>
      <w:r>
        <w:t xml:space="preserve"> </w:t>
      </w:r>
      <w:r w:rsidRPr="00DB24AF">
        <w:rPr>
          <w:i/>
          <w:iCs/>
        </w:rPr>
        <w:t>Id.</w:t>
      </w:r>
      <w:r>
        <w:t xml:space="preserve"> at 7.</w:t>
      </w:r>
    </w:p>
  </w:footnote>
  <w:footnote w:id="130">
    <w:p w:rsidR="00EA1210" w:rsidP="00584CDC" w14:paraId="198783F2" w14:textId="77777777">
      <w:pPr>
        <w:pStyle w:val="FootnoteText"/>
      </w:pPr>
      <w:r>
        <w:rPr>
          <w:rStyle w:val="FootnoteReference"/>
        </w:rPr>
        <w:footnoteRef/>
      </w:r>
      <w:r>
        <w:t xml:space="preserve"> AWS Comments at 3.  Alternatively, AWS suggests that we assess a nominal fee for NGSO systems with five or fewer U.S. licensed earth stations for TT&amp;C and non-domestic data downlink purposes.  AWS Comments at 6.  We are seeking comment on this proposal in the attached Further Notice of Proposed Rulemaking.</w:t>
      </w:r>
    </w:p>
  </w:footnote>
  <w:footnote w:id="131">
    <w:p w:rsidR="00EA1210" w:rsidP="00584CDC" w14:paraId="7EDDAD7B" w14:textId="4C61C482">
      <w:pPr>
        <w:pStyle w:val="FootnoteText"/>
      </w:pPr>
      <w:r>
        <w:rPr>
          <w:rStyle w:val="FootnoteReference"/>
        </w:rPr>
        <w:footnoteRef/>
      </w:r>
      <w:r>
        <w:t xml:space="preserve"> </w:t>
      </w:r>
      <w:r>
        <w:t>Astranis</w:t>
      </w:r>
      <w:r>
        <w:t xml:space="preserve"> Reply at 6.</w:t>
      </w:r>
    </w:p>
  </w:footnote>
  <w:footnote w:id="132">
    <w:p w:rsidR="00EA1210" w:rsidP="00584CDC" w14:paraId="19554E55" w14:textId="77777777">
      <w:pPr>
        <w:pStyle w:val="FootnoteText"/>
      </w:pPr>
      <w:r>
        <w:rPr>
          <w:rStyle w:val="FootnoteReference"/>
        </w:rPr>
        <w:footnoteRef/>
      </w:r>
      <w:r>
        <w:t xml:space="preserve"> SES Comments at 2.</w:t>
      </w:r>
    </w:p>
  </w:footnote>
  <w:footnote w:id="133">
    <w:p w:rsidR="00EA1210" w:rsidP="00584CDC" w14:paraId="78AAD616" w14:textId="5DBC8B76">
      <w:pPr>
        <w:pStyle w:val="FootnoteText"/>
      </w:pPr>
      <w:r>
        <w:rPr>
          <w:rStyle w:val="FootnoteReference"/>
        </w:rPr>
        <w:footnoteRef/>
      </w:r>
      <w:r>
        <w:t xml:space="preserve"> </w:t>
      </w:r>
      <w:r w:rsidRPr="00AB19E6">
        <w:rPr>
          <w:i/>
          <w:iCs/>
        </w:rPr>
        <w:t>Id</w:t>
      </w:r>
      <w:r>
        <w:t>. at 2-3.</w:t>
      </w:r>
    </w:p>
  </w:footnote>
  <w:footnote w:id="134">
    <w:p w:rsidR="00EA1210" w:rsidP="00584CDC" w14:paraId="4CE40792" w14:textId="253F1EB6">
      <w:pPr>
        <w:pStyle w:val="FootnoteText"/>
      </w:pPr>
      <w:r>
        <w:rPr>
          <w:rStyle w:val="FootnoteReference"/>
        </w:rPr>
        <w:footnoteRef/>
      </w:r>
      <w:r>
        <w:t xml:space="preserve"> </w:t>
      </w:r>
      <w:r>
        <w:t>Astranis</w:t>
      </w:r>
      <w:r>
        <w:t xml:space="preserve"> Reply at 4-5.</w:t>
      </w:r>
    </w:p>
  </w:footnote>
  <w:footnote w:id="135">
    <w:p w:rsidR="00EA1210" w:rsidP="00584CDC" w14:paraId="6303565C" w14:textId="0189F4BA">
      <w:pPr>
        <w:pStyle w:val="FootnoteText"/>
      </w:pPr>
      <w:r>
        <w:rPr>
          <w:rStyle w:val="FootnoteReference"/>
        </w:rPr>
        <w:footnoteRef/>
      </w:r>
      <w:r>
        <w:t xml:space="preserve"> </w:t>
      </w:r>
      <w:r w:rsidRPr="00DB24AF">
        <w:rPr>
          <w:i/>
          <w:iCs/>
        </w:rPr>
        <w:t>Id.</w:t>
      </w:r>
      <w:r>
        <w:t xml:space="preserve"> at 5.</w:t>
      </w:r>
    </w:p>
  </w:footnote>
  <w:footnote w:id="136">
    <w:p w:rsidR="00EA1210" w:rsidP="00584CDC" w14:paraId="1214FDF6" w14:textId="247E376C">
      <w:pPr>
        <w:pStyle w:val="FootnoteText"/>
      </w:pPr>
      <w:r>
        <w:rPr>
          <w:rStyle w:val="FootnoteReference"/>
        </w:rPr>
        <w:footnoteRef/>
      </w:r>
      <w:r>
        <w:t xml:space="preserve"> </w:t>
      </w:r>
      <w:r w:rsidRPr="00DB24AF">
        <w:rPr>
          <w:i/>
          <w:iCs/>
        </w:rPr>
        <w:t>Id</w:t>
      </w:r>
      <w:r>
        <w:t>.</w:t>
      </w:r>
    </w:p>
  </w:footnote>
  <w:footnote w:id="137">
    <w:p w:rsidR="00EA1210" w:rsidP="00584CDC" w14:paraId="4A5F877B" w14:textId="20E5BE41">
      <w:pPr>
        <w:pStyle w:val="FootnoteText"/>
      </w:pPr>
      <w:r>
        <w:rPr>
          <w:rStyle w:val="FootnoteReference"/>
        </w:rPr>
        <w:footnoteRef/>
      </w:r>
      <w:r>
        <w:t xml:space="preserve"> </w:t>
      </w:r>
      <w:r>
        <w:t>Telesat</w:t>
      </w:r>
      <w:r>
        <w:t xml:space="preserve"> </w:t>
      </w:r>
      <w:r>
        <w:t>Replys</w:t>
      </w:r>
      <w:r>
        <w:t xml:space="preserve"> at 2-3.</w:t>
      </w:r>
    </w:p>
  </w:footnote>
  <w:footnote w:id="138">
    <w:p w:rsidR="00EA1210" w:rsidP="00584CDC" w14:paraId="4DDD4D9A" w14:textId="28C07C00">
      <w:pPr>
        <w:pStyle w:val="FootnoteText"/>
      </w:pPr>
      <w:r>
        <w:rPr>
          <w:rStyle w:val="FootnoteReference"/>
        </w:rPr>
        <w:footnoteRef/>
      </w:r>
      <w:r>
        <w:t xml:space="preserve"> </w:t>
      </w:r>
      <w:r w:rsidRPr="00DB24AF">
        <w:rPr>
          <w:i/>
          <w:iCs/>
        </w:rPr>
        <w:t>Id.</w:t>
      </w:r>
      <w:r>
        <w:t xml:space="preserve"> at 3.</w:t>
      </w:r>
    </w:p>
  </w:footnote>
  <w:footnote w:id="139">
    <w:p w:rsidR="00EA1210" w:rsidP="00584CDC" w14:paraId="3DF6F792" w14:textId="77777777">
      <w:pPr>
        <w:pStyle w:val="FootnoteText"/>
      </w:pPr>
      <w:r>
        <w:rPr>
          <w:rStyle w:val="FootnoteReference"/>
        </w:rPr>
        <w:footnoteRef/>
      </w:r>
      <w:r>
        <w:t xml:space="preserve"> </w:t>
      </w:r>
      <w:r>
        <w:rPr>
          <w:i/>
          <w:iCs/>
        </w:rPr>
        <w:t>2020 Regulatory Fee Reform Order</w:t>
      </w:r>
      <w:r>
        <w:t>, 35 FCC Rcd at 4993-4995, paras. 40-45.</w:t>
      </w:r>
    </w:p>
  </w:footnote>
  <w:footnote w:id="140">
    <w:p w:rsidR="00EA1210" w:rsidP="00584CDC" w14:paraId="468461B9" w14:textId="7B61C68E">
      <w:pPr>
        <w:pStyle w:val="FootnoteText"/>
      </w:pPr>
      <w:r>
        <w:rPr>
          <w:rStyle w:val="FootnoteReference"/>
        </w:rPr>
        <w:footnoteRef/>
      </w:r>
      <w:r>
        <w:t xml:space="preserve"> </w:t>
      </w:r>
      <w:r>
        <w:t>Kineis</w:t>
      </w:r>
      <w:r>
        <w:t xml:space="preserve"> Comments at 5-10; </w:t>
      </w:r>
      <w:r>
        <w:t>Myriota</w:t>
      </w:r>
      <w:r>
        <w:t xml:space="preserve"> Comments at 4-7 &amp; Reply at 2.</w:t>
      </w:r>
    </w:p>
  </w:footnote>
  <w:footnote w:id="141">
    <w:p w:rsidR="00EA1210" w:rsidP="00584CDC" w14:paraId="5FA5CD32" w14:textId="710B20C5">
      <w:pPr>
        <w:pStyle w:val="FootnoteText"/>
      </w:pPr>
      <w:r>
        <w:rPr>
          <w:rStyle w:val="FootnoteReference"/>
        </w:rPr>
        <w:footnoteRef/>
      </w:r>
      <w:r>
        <w:t xml:space="preserve"> Planet Comments at 2; SpaceX Reply at 7.</w:t>
      </w:r>
    </w:p>
  </w:footnote>
  <w:footnote w:id="142">
    <w:p w:rsidR="00EA1210" w:rsidP="00584CDC" w14:paraId="76BDF2F1" w14:textId="52F50C71">
      <w:pPr>
        <w:pStyle w:val="FootnoteText"/>
      </w:pPr>
      <w:r>
        <w:rPr>
          <w:rStyle w:val="FootnoteReference"/>
        </w:rPr>
        <w:footnoteRef/>
      </w:r>
      <w:r>
        <w:t xml:space="preserve"> Eutelsat Comments at 16;</w:t>
      </w:r>
      <w:r w:rsidRPr="00A7513F">
        <w:t xml:space="preserve"> </w:t>
      </w:r>
      <w:r>
        <w:t>SES Comments at 4; SpaceX Reply at 7-8.</w:t>
      </w:r>
    </w:p>
  </w:footnote>
  <w:footnote w:id="143">
    <w:p w:rsidR="00EA1210" w:rsidP="00584CDC" w14:paraId="701E0A73" w14:textId="1DEB3407">
      <w:pPr>
        <w:pStyle w:val="FootnoteText"/>
      </w:pPr>
      <w:r>
        <w:rPr>
          <w:rStyle w:val="FootnoteReference"/>
        </w:rPr>
        <w:footnoteRef/>
      </w:r>
      <w:r>
        <w:t xml:space="preserve"> </w:t>
      </w:r>
      <w:r>
        <w:t>Kineis</w:t>
      </w:r>
      <w:r>
        <w:t xml:space="preserve"> Comments at 5-10; </w:t>
      </w:r>
      <w:r>
        <w:t>Myriota</w:t>
      </w:r>
      <w:r>
        <w:t xml:space="preserve"> Comments at 4-7 &amp; Reply at 2.</w:t>
      </w:r>
    </w:p>
  </w:footnote>
  <w:footnote w:id="144">
    <w:p w:rsidR="00EA1210" w:rsidP="00584CDC" w14:paraId="4B83C434" w14:textId="6337B660">
      <w:pPr>
        <w:pStyle w:val="FootnoteText"/>
      </w:pPr>
      <w:r>
        <w:rPr>
          <w:rStyle w:val="FootnoteReference"/>
        </w:rPr>
        <w:footnoteRef/>
      </w:r>
      <w:r>
        <w:t xml:space="preserve"> </w:t>
      </w:r>
      <w:r>
        <w:t>Myriota</w:t>
      </w:r>
      <w:r>
        <w:t xml:space="preserve"> Reply at 7-9.</w:t>
      </w:r>
    </w:p>
  </w:footnote>
  <w:footnote w:id="145">
    <w:p w:rsidR="00EA1210" w:rsidP="00584CDC" w14:paraId="190AE46C" w14:textId="6B5C65CD">
      <w:pPr>
        <w:pStyle w:val="FootnoteText"/>
      </w:pPr>
      <w:r>
        <w:rPr>
          <w:rStyle w:val="FootnoteReference"/>
        </w:rPr>
        <w:footnoteRef/>
      </w:r>
      <w:r>
        <w:t xml:space="preserve"> </w:t>
      </w:r>
      <w:r w:rsidRPr="00DB24AF">
        <w:rPr>
          <w:i/>
          <w:iCs/>
        </w:rPr>
        <w:t>Id.</w:t>
      </w:r>
      <w:r>
        <w:t xml:space="preserve"> at 4, 8.</w:t>
      </w:r>
    </w:p>
  </w:footnote>
  <w:footnote w:id="146">
    <w:p w:rsidR="00EA1210" w:rsidP="00584CDC" w14:paraId="51E9BB6E" w14:textId="77777777">
      <w:pPr>
        <w:pStyle w:val="FootnoteText"/>
      </w:pPr>
      <w:r>
        <w:rPr>
          <w:rStyle w:val="FootnoteReference"/>
        </w:rPr>
        <w:footnoteRef/>
      </w:r>
      <w:r>
        <w:t xml:space="preserve"> </w:t>
      </w:r>
      <w:r w:rsidRPr="001E1D22">
        <w:rPr>
          <w:i/>
        </w:rPr>
        <w:t>FY 2017 Report and Order</w:t>
      </w:r>
      <w:r>
        <w:t>, 32 FCC Rcd at 7068, para. 24.</w:t>
      </w:r>
    </w:p>
  </w:footnote>
  <w:footnote w:id="147">
    <w:p w:rsidR="00EA1210" w:rsidP="00584CDC" w14:paraId="0EC84DA5" w14:textId="77777777">
      <w:pPr>
        <w:pStyle w:val="FootnoteText"/>
      </w:pPr>
      <w:r>
        <w:rPr>
          <w:rStyle w:val="FootnoteReference"/>
        </w:rPr>
        <w:footnoteRef/>
      </w:r>
      <w:r>
        <w:t xml:space="preserve"> ITSP, regulated by the Wireline Competition Bureau, includes </w:t>
      </w:r>
      <w:r w:rsidRPr="00C5052D">
        <w:rPr>
          <w:spacing w:val="-2"/>
          <w:szCs w:val="22"/>
        </w:rPr>
        <w:t xml:space="preserve">interexchange carriers (IXCs), incumbent local exchange carriers (LECs), toll resellers, </w:t>
      </w:r>
      <w:r>
        <w:rPr>
          <w:spacing w:val="-2"/>
          <w:szCs w:val="22"/>
        </w:rPr>
        <w:t xml:space="preserve">Voice over Internet Providers (VoIP), </w:t>
      </w:r>
      <w:r w:rsidRPr="00C5052D">
        <w:rPr>
          <w:spacing w:val="-2"/>
          <w:szCs w:val="22"/>
        </w:rPr>
        <w:t>and other</w:t>
      </w:r>
      <w:r>
        <w:rPr>
          <w:spacing w:val="-2"/>
          <w:szCs w:val="22"/>
        </w:rPr>
        <w:t xml:space="preserve"> </w:t>
      </w:r>
      <w:r w:rsidRPr="00C5052D">
        <w:rPr>
          <w:spacing w:val="-2"/>
          <w:szCs w:val="22"/>
        </w:rPr>
        <w:t>service providers</w:t>
      </w:r>
      <w:r>
        <w:rPr>
          <w:spacing w:val="-2"/>
          <w:szCs w:val="22"/>
        </w:rPr>
        <w:t>, all of which involve different degrees of regulatory oversight</w:t>
      </w:r>
      <w:r>
        <w:rPr>
          <w:szCs w:val="22"/>
        </w:rPr>
        <w:t>.</w:t>
      </w:r>
      <w:r>
        <w:t xml:space="preserve">  </w:t>
      </w:r>
    </w:p>
  </w:footnote>
  <w:footnote w:id="148">
    <w:p w:rsidR="00EA1210" w:rsidP="00584CDC" w14:paraId="35576EE3" w14:textId="77777777">
      <w:pPr>
        <w:pStyle w:val="FootnoteText"/>
      </w:pPr>
      <w:r>
        <w:rPr>
          <w:rStyle w:val="FootnoteReference"/>
        </w:rPr>
        <w:footnoteRef/>
      </w:r>
      <w:r>
        <w:t xml:space="preserve"> </w:t>
      </w:r>
      <w:r w:rsidRPr="004F412B">
        <w:rPr>
          <w:i/>
        </w:rPr>
        <w:t>See Assessment and Collection of Regulatory Fees for Fiscal Year 2007</w:t>
      </w:r>
      <w:r>
        <w:t>, Report and Order and Further Notice of Proposed Rulemaking, 22 FCC Rcd 15712, 15719, para. 19 (2007) (</w:t>
      </w:r>
      <w:r w:rsidRPr="004F412B">
        <w:rPr>
          <w:i/>
        </w:rPr>
        <w:t>FY 2007 Report and Order</w:t>
      </w:r>
      <w:r>
        <w:t>).</w:t>
      </w:r>
    </w:p>
  </w:footnote>
  <w:footnote w:id="149">
    <w:p w:rsidR="00EA1210" w:rsidP="00584CDC" w14:paraId="7645B9ED" w14:textId="77777777">
      <w:pPr>
        <w:pStyle w:val="FootnoteText"/>
      </w:pPr>
      <w:r>
        <w:rPr>
          <w:rStyle w:val="FootnoteReference"/>
        </w:rPr>
        <w:footnoteRef/>
      </w:r>
      <w:r>
        <w:t xml:space="preserve"> </w:t>
      </w:r>
      <w:r w:rsidRPr="00DD64CF">
        <w:rPr>
          <w:i/>
        </w:rPr>
        <w:t>FY 201</w:t>
      </w:r>
      <w:r>
        <w:rPr>
          <w:i/>
        </w:rPr>
        <w:t>3</w:t>
      </w:r>
      <w:r w:rsidRPr="00DD64CF">
        <w:rPr>
          <w:i/>
        </w:rPr>
        <w:t xml:space="preserve"> Report and </w:t>
      </w:r>
      <w:r w:rsidRPr="00290BC5">
        <w:t>Order</w:t>
      </w:r>
      <w:r>
        <w:t xml:space="preserve">, </w:t>
      </w:r>
      <w:r w:rsidRPr="00290BC5">
        <w:t>28</w:t>
      </w:r>
      <w:r>
        <w:t xml:space="preserve"> FCC Rcd at 12362, para. 32.</w:t>
      </w:r>
    </w:p>
  </w:footnote>
  <w:footnote w:id="150">
    <w:p w:rsidR="00EA1210" w:rsidP="00584CDC" w14:paraId="6BFAB387" w14:textId="77777777">
      <w:pPr>
        <w:pStyle w:val="FootnoteText"/>
      </w:pPr>
      <w:r>
        <w:rPr>
          <w:rStyle w:val="FootnoteReference"/>
        </w:rPr>
        <w:footnoteRef/>
      </w:r>
      <w:r>
        <w:t xml:space="preserve"> </w:t>
      </w:r>
      <w:r w:rsidRPr="003A7C2B">
        <w:rPr>
          <w:i/>
        </w:rPr>
        <w:t>Assessment and Collection of Regulatory Fees for Fiscal Year 2016</w:t>
      </w:r>
      <w:r>
        <w:t>, Notice of Proposed Rulemaking, 31 FCC Rcd 5757, para. 9 &amp; n.41 (2016) (</w:t>
      </w:r>
      <w:r w:rsidRPr="007A4872">
        <w:rPr>
          <w:i/>
          <w:iCs/>
        </w:rPr>
        <w:t>FY 2016 NPRM</w:t>
      </w:r>
      <w:r>
        <w:t xml:space="preserve">); </w:t>
      </w:r>
      <w:r>
        <w:rPr>
          <w:i/>
        </w:rPr>
        <w:t>FY 2015 NPRM</w:t>
      </w:r>
      <w:r>
        <w:t>, 30 FCC Rcd at 5369, para. 33.</w:t>
      </w:r>
    </w:p>
  </w:footnote>
  <w:footnote w:id="151">
    <w:p w:rsidR="00EA1210" w:rsidP="00584CDC" w14:paraId="0BC63AC2" w14:textId="77777777">
      <w:pPr>
        <w:pStyle w:val="FootnoteText"/>
      </w:pPr>
      <w:r>
        <w:rPr>
          <w:rStyle w:val="FootnoteReference"/>
        </w:rPr>
        <w:footnoteRef/>
      </w:r>
      <w:r>
        <w:t xml:space="preserve"> </w:t>
      </w:r>
      <w:r>
        <w:t>Kineis</w:t>
      </w:r>
      <w:r>
        <w:t xml:space="preserve"> Comments at 9.</w:t>
      </w:r>
    </w:p>
  </w:footnote>
  <w:footnote w:id="152">
    <w:p w:rsidR="00EA1210" w:rsidP="00584CDC" w14:paraId="4EC8C991" w14:textId="52BA5D03">
      <w:pPr>
        <w:pStyle w:val="FootnoteText"/>
      </w:pPr>
      <w:r>
        <w:rPr>
          <w:rStyle w:val="FootnoteReference"/>
        </w:rPr>
        <w:footnoteRef/>
      </w:r>
      <w:r>
        <w:t xml:space="preserve"> SpaceX Reply at 6-7.</w:t>
      </w:r>
    </w:p>
  </w:footnote>
  <w:footnote w:id="153">
    <w:p w:rsidR="00EA1210" w:rsidP="00584CDC" w14:paraId="07E99626" w14:textId="528F1986">
      <w:pPr>
        <w:pStyle w:val="FootnoteText"/>
      </w:pPr>
      <w:r>
        <w:rPr>
          <w:rStyle w:val="FootnoteReference"/>
        </w:rPr>
        <w:footnoteRef/>
      </w:r>
      <w:r>
        <w:t xml:space="preserve"> Planet Comments at 2; SpaceX Reply at 7.</w:t>
      </w:r>
    </w:p>
  </w:footnote>
  <w:footnote w:id="154">
    <w:p w:rsidR="00EA1210" w:rsidP="00584CDC" w14:paraId="2731D472" w14:textId="56D316ED">
      <w:pPr>
        <w:pStyle w:val="FootnoteText"/>
      </w:pPr>
      <w:r>
        <w:rPr>
          <w:rStyle w:val="FootnoteReference"/>
        </w:rPr>
        <w:footnoteRef/>
      </w:r>
      <w:r>
        <w:t xml:space="preserve"> SpaceX Reply at 7.</w:t>
      </w:r>
    </w:p>
  </w:footnote>
  <w:footnote w:id="155">
    <w:p w:rsidR="00EA1210" w:rsidP="00584CDC" w14:paraId="3DAFEC6F" w14:textId="77777777">
      <w:pPr>
        <w:pStyle w:val="FootnoteText"/>
      </w:pPr>
      <w:r>
        <w:rPr>
          <w:rStyle w:val="FootnoteReference"/>
        </w:rPr>
        <w:footnoteRef/>
      </w:r>
      <w:r>
        <w:t xml:space="preserve"> 47 U.S.C. § 159(d).</w:t>
      </w:r>
    </w:p>
  </w:footnote>
  <w:footnote w:id="156">
    <w:p w:rsidR="00EA1210" w:rsidP="00584CDC" w14:paraId="210E420E" w14:textId="77777777">
      <w:pPr>
        <w:pStyle w:val="FootnoteText"/>
      </w:pPr>
      <w:r>
        <w:rPr>
          <w:rStyle w:val="FootnoteReference"/>
        </w:rPr>
        <w:footnoteRef/>
      </w:r>
      <w:r>
        <w:t xml:space="preserve"> </w:t>
      </w:r>
      <w:r w:rsidRPr="00F11F71">
        <w:rPr>
          <w:i/>
          <w:iCs/>
        </w:rPr>
        <w:t>See, e.g</w:t>
      </w:r>
      <w:r w:rsidRPr="00F11F71">
        <w:t xml:space="preserve">., </w:t>
      </w:r>
      <w:r w:rsidRPr="00BD3791">
        <w:rPr>
          <w:i/>
          <w:iCs/>
        </w:rPr>
        <w:t>Mitigation of Orbital Debris in the New Space Age</w:t>
      </w:r>
      <w:r w:rsidRPr="00F11F71">
        <w:t xml:space="preserve">, Report and Order and Further Notice of Proposed Rulemaking, 35 FCC Rcd 4156 (2020); </w:t>
      </w:r>
      <w:r w:rsidRPr="00BD3791">
        <w:rPr>
          <w:i/>
          <w:iCs/>
        </w:rPr>
        <w:t>Amendment of Parts 2 and 25 of the Commission's Rules to Facilitate the Use of Earth Stations in Motion Communicating with Geostationary Orbit Space Stations in Frequency Bands Allocated to the Fixed Satellite Service and Facilitating the Communications of Earth Stations in Motion with Non-Geostationary Orbit Space Stations</w:t>
      </w:r>
      <w:r w:rsidRPr="00F11F71">
        <w:t xml:space="preserve">, Second Report and Order, Report and Order, and Further Notice of Proposed Rulemaking, 35 FCC Rcd 5137 (2020); </w:t>
      </w:r>
      <w:r w:rsidRPr="00BD3791">
        <w:rPr>
          <w:i/>
          <w:iCs/>
        </w:rPr>
        <w:t>Kuiper Systems, LLC Application for Authority to Deploy and Operate a Ka-Band Non-Geostationary Satellite Orbit System</w:t>
      </w:r>
      <w:r w:rsidRPr="00F11F71">
        <w:t xml:space="preserve">, Order and Authorization, FCC 20-102, 2020 WL 4436490 (July 30, 2020); </w:t>
      </w:r>
      <w:r w:rsidRPr="00BD3791">
        <w:rPr>
          <w:i/>
          <w:iCs/>
        </w:rPr>
        <w:t>ViaSat, Inc. Petition for Declaratory Ruling Granting Access for a Non-U.S.-Licensed Non-Geostationary Orbit Satellite Network</w:t>
      </w:r>
      <w:r w:rsidRPr="00F11F71">
        <w:t>, Order and Declaratory Ruling, 35 FCC Rcd 4324 (2020).</w:t>
      </w:r>
    </w:p>
  </w:footnote>
  <w:footnote w:id="157">
    <w:p w:rsidR="00EA1210" w:rsidP="00584CDC" w14:paraId="3B08E3DC" w14:textId="77777777">
      <w:pPr>
        <w:pStyle w:val="FootnoteText"/>
      </w:pPr>
      <w:r>
        <w:rPr>
          <w:rStyle w:val="FootnoteReference"/>
        </w:rPr>
        <w:footnoteRef/>
      </w:r>
      <w:r>
        <w:t xml:space="preserve"> 47 U.S.C. § 159A(d).</w:t>
      </w:r>
    </w:p>
  </w:footnote>
  <w:footnote w:id="158">
    <w:p w:rsidR="00EA1210" w:rsidP="00584CDC" w14:paraId="5F1A416B" w14:textId="77777777">
      <w:pPr>
        <w:pStyle w:val="FootnoteText"/>
      </w:pPr>
      <w:r>
        <w:rPr>
          <w:rStyle w:val="FootnoteReference"/>
        </w:rPr>
        <w:footnoteRef/>
      </w:r>
      <w:r>
        <w:t xml:space="preserve"> Eutelsat Comments at 16.</w:t>
      </w:r>
    </w:p>
  </w:footnote>
  <w:footnote w:id="159">
    <w:p w:rsidR="00EA1210" w:rsidP="00584CDC" w14:paraId="0D4C7F30" w14:textId="7B23557D">
      <w:pPr>
        <w:pStyle w:val="FootnoteText"/>
      </w:pPr>
      <w:r>
        <w:rPr>
          <w:rStyle w:val="FootnoteReference"/>
        </w:rPr>
        <w:footnoteRef/>
      </w:r>
      <w:r>
        <w:t xml:space="preserve"> SES Comments at 4; SpaceX Reply at 7-8.</w:t>
      </w:r>
    </w:p>
  </w:footnote>
  <w:footnote w:id="160">
    <w:p w:rsidR="00EA1210" w:rsidP="00584CDC" w14:paraId="4AB81BB2" w14:textId="1593A2FC">
      <w:pPr>
        <w:pStyle w:val="FootnoteText"/>
      </w:pPr>
      <w:r>
        <w:rPr>
          <w:rStyle w:val="FootnoteReference"/>
        </w:rPr>
        <w:footnoteRef/>
      </w:r>
      <w:r>
        <w:t xml:space="preserve"> </w:t>
      </w:r>
      <w:r>
        <w:t>Telesat</w:t>
      </w:r>
      <w:r>
        <w:t xml:space="preserve"> Reply at 3-4.</w:t>
      </w:r>
    </w:p>
  </w:footnote>
  <w:footnote w:id="161">
    <w:p w:rsidR="00EA1210" w:rsidP="00584CDC" w14:paraId="140B4B8A" w14:textId="77777777">
      <w:pPr>
        <w:pStyle w:val="FootnoteText"/>
      </w:pPr>
      <w:r>
        <w:rPr>
          <w:rStyle w:val="FootnoteReference"/>
        </w:rPr>
        <w:footnoteRef/>
      </w:r>
      <w:r>
        <w:t xml:space="preserve"> </w:t>
      </w:r>
      <w:r w:rsidRPr="00484D62">
        <w:rPr>
          <w:i/>
          <w:iCs/>
        </w:rPr>
        <w:t>FY 2020 NPRM</w:t>
      </w:r>
      <w:r>
        <w:t>, 35 FCC Rcd at 4998-5002, paras. 59-65.</w:t>
      </w:r>
    </w:p>
  </w:footnote>
  <w:footnote w:id="162">
    <w:p w:rsidR="00EA1210" w:rsidP="00584CDC" w14:paraId="105DB8BD" w14:textId="1E2793E7">
      <w:pPr>
        <w:pStyle w:val="FootnoteText"/>
      </w:pPr>
      <w:r>
        <w:rPr>
          <w:rStyle w:val="FootnoteReference"/>
        </w:rPr>
        <w:footnoteRef/>
      </w:r>
      <w:r>
        <w:t xml:space="preserve"> </w:t>
      </w:r>
      <w:r w:rsidRPr="00DB24AF">
        <w:rPr>
          <w:i/>
          <w:iCs/>
        </w:rPr>
        <w:t>Id.</w:t>
      </w:r>
      <w:r w:rsidRPr="005A1475">
        <w:rPr>
          <w:i/>
        </w:rPr>
        <w:t xml:space="preserve"> </w:t>
      </w:r>
      <w:r>
        <w:t>at 4992, para. 36.  Previously, we had determined that 6.9 FTEs were allocated to IBCs.  The total number of direct FTEs in the International Bureau is 28.</w:t>
      </w:r>
    </w:p>
  </w:footnote>
  <w:footnote w:id="163">
    <w:p w:rsidR="00EA1210" w:rsidP="00584CDC" w14:paraId="7684E8B3" w14:textId="77777777">
      <w:pPr>
        <w:pStyle w:val="FootnoteText"/>
      </w:pPr>
      <w:r>
        <w:rPr>
          <w:rStyle w:val="FootnoteReference"/>
        </w:rPr>
        <w:footnoteRef/>
      </w:r>
      <w:r>
        <w:t xml:space="preserve"> </w:t>
      </w:r>
      <w:r>
        <w:rPr>
          <w:szCs w:val="22"/>
        </w:rPr>
        <w:t>R</w:t>
      </w:r>
      <w:r w:rsidRPr="0000664D">
        <w:rPr>
          <w:szCs w:val="22"/>
        </w:rPr>
        <w:t>egulatory fees for terrestrial and satellite IBCs are paid based on active (used or leased) international bearer circuits as of December 31</w:t>
      </w:r>
      <w:r>
        <w:rPr>
          <w:szCs w:val="22"/>
        </w:rPr>
        <w:t xml:space="preserve"> of the previous year</w:t>
      </w:r>
      <w:r w:rsidRPr="0000664D">
        <w:rPr>
          <w:szCs w:val="22"/>
        </w:rPr>
        <w:t xml:space="preserve"> in any terrestrial or satellite transmission facility for the provision of service to an end user or resale carrier.  </w:t>
      </w:r>
      <w:r>
        <w:rPr>
          <w:szCs w:val="22"/>
        </w:rPr>
        <w:t>A</w:t>
      </w:r>
      <w:r w:rsidRPr="0000664D">
        <w:rPr>
          <w:szCs w:val="22"/>
        </w:rPr>
        <w:t>ctive circuits include backup and redundant circuits as of December 31.  Whether circuits are used specifically for voice or data is not relevant for purposes of determining that they are active circuits.</w:t>
      </w:r>
    </w:p>
  </w:footnote>
  <w:footnote w:id="164">
    <w:p w:rsidR="00EA1210" w:rsidRPr="001E46EC" w:rsidP="00584CDC" w14:paraId="63E00426" w14:textId="77777777">
      <w:pPr>
        <w:pStyle w:val="FootnoteText"/>
      </w:pPr>
      <w:r>
        <w:rPr>
          <w:rStyle w:val="FootnoteReference"/>
        </w:rPr>
        <w:footnoteRef/>
      </w:r>
      <w:r>
        <w:t xml:space="preserve"> </w:t>
      </w:r>
      <w:r>
        <w:rPr>
          <w:i/>
        </w:rPr>
        <w:t>Assessment and Collection of Regulatory Fees for Fiscal Year 2008</w:t>
      </w:r>
      <w:r>
        <w:t>, Second Report and Order, 24 FCC Rcd 4208, 4214-17, paras. 13-22 (2009) (</w:t>
      </w:r>
      <w:r>
        <w:rPr>
          <w:i/>
        </w:rPr>
        <w:t>Submarine Cable Order</w:t>
      </w:r>
      <w:r>
        <w:t xml:space="preserve">).  The Commission did not change the methodology of assessing regulatory fees for terrestrial and satellite facilities on a per bearer circuit basis and did not change the 87.6/12.4 apportionment.  </w:t>
      </w:r>
      <w:r>
        <w:rPr>
          <w:i/>
          <w:iCs/>
        </w:rPr>
        <w:t>Id.</w:t>
      </w:r>
      <w:r>
        <w:t xml:space="preserve"> at 4223, para. 20.  </w:t>
      </w:r>
    </w:p>
  </w:footnote>
  <w:footnote w:id="165">
    <w:p w:rsidR="00EA1210" w:rsidP="00584CDC" w14:paraId="240C2004" w14:textId="6F61D83C">
      <w:pPr>
        <w:pStyle w:val="FootnoteText"/>
      </w:pPr>
      <w:r>
        <w:rPr>
          <w:rStyle w:val="FootnoteReference"/>
        </w:rPr>
        <w:footnoteRef/>
      </w:r>
      <w:r>
        <w:t xml:space="preserve"> </w:t>
      </w:r>
      <w:r>
        <w:rPr>
          <w:i/>
        </w:rPr>
        <w:t>Submarine Cable Order,</w:t>
      </w:r>
      <w:r>
        <w:t xml:space="preserve"> 24 FCC Rcd at 4212-13, paras. 8-9.</w:t>
      </w:r>
    </w:p>
  </w:footnote>
  <w:footnote w:id="166">
    <w:p w:rsidR="00EA1210" w:rsidP="00584CDC" w14:paraId="0034F6C0" w14:textId="77777777">
      <w:pPr>
        <w:pStyle w:val="FootnoteText"/>
      </w:pPr>
      <w:r>
        <w:rPr>
          <w:rStyle w:val="FootnoteReference"/>
        </w:rPr>
        <w:footnoteRef/>
      </w:r>
      <w:r>
        <w:t xml:space="preserve"> Initially, this fee category was for common carrier IBCs.  The Commission added non-common carrier satellite IBCs to this regulatory fee category in 1997.  </w:t>
      </w:r>
      <w:r w:rsidRPr="00EE58D5">
        <w:rPr>
          <w:i/>
        </w:rPr>
        <w:t>See</w:t>
      </w:r>
      <w:r w:rsidRPr="004264F2">
        <w:rPr>
          <w:i/>
          <w:szCs w:val="22"/>
        </w:rPr>
        <w:t xml:space="preserve"> </w:t>
      </w:r>
      <w:r>
        <w:rPr>
          <w:i/>
          <w:szCs w:val="22"/>
        </w:rPr>
        <w:t xml:space="preserve">FY 1997 Report and </w:t>
      </w:r>
      <w:r w:rsidRPr="00FB428B">
        <w:rPr>
          <w:i/>
          <w:szCs w:val="22"/>
        </w:rPr>
        <w:t>Order</w:t>
      </w:r>
      <w:r>
        <w:rPr>
          <w:szCs w:val="22"/>
        </w:rPr>
        <w:t xml:space="preserve">, 12 FCC Rcd at 17189, para. 71.  More recently, the Commission added non-common carrier terrestrial IBCs to this regulatory fee category in 2017.  </w:t>
      </w:r>
      <w:r w:rsidRPr="00B400CE">
        <w:rPr>
          <w:i/>
          <w:szCs w:val="22"/>
        </w:rPr>
        <w:t>See</w:t>
      </w:r>
      <w:r w:rsidRPr="00B400CE">
        <w:rPr>
          <w:i/>
        </w:rPr>
        <w:t xml:space="preserve"> </w:t>
      </w:r>
      <w:r w:rsidRPr="00D92F25">
        <w:rPr>
          <w:i/>
          <w:iCs/>
        </w:rPr>
        <w:t xml:space="preserve">FY </w:t>
      </w:r>
      <w:r>
        <w:rPr>
          <w:i/>
          <w:iCs/>
        </w:rPr>
        <w:t>2017</w:t>
      </w:r>
      <w:r>
        <w:t xml:space="preserve">, </w:t>
      </w:r>
      <w:r w:rsidRPr="00C97D3F">
        <w:t>32</w:t>
      </w:r>
      <w:r>
        <w:t xml:space="preserve"> FCC Rcd at 7071-72, paras. 34-35.</w:t>
      </w:r>
    </w:p>
  </w:footnote>
  <w:footnote w:id="167">
    <w:p w:rsidR="00EA1210" w:rsidRPr="007E1E68" w:rsidP="00584CDC" w14:paraId="0AEAC732" w14:textId="77777777">
      <w:pPr>
        <w:pStyle w:val="FootnoteText"/>
        <w:rPr>
          <w:i/>
          <w:iCs/>
        </w:rPr>
      </w:pPr>
      <w:r>
        <w:rPr>
          <w:rStyle w:val="FootnoteReference"/>
        </w:rPr>
        <w:footnoteRef/>
      </w:r>
      <w:r>
        <w:t xml:space="preserve"> </w:t>
      </w:r>
      <w:r>
        <w:rPr>
          <w:i/>
          <w:iCs/>
        </w:rPr>
        <w:t xml:space="preserve">See </w:t>
      </w:r>
      <w:r w:rsidRPr="003456FB">
        <w:rPr>
          <w:i/>
        </w:rPr>
        <w:t>FY 2019 Report and Order</w:t>
      </w:r>
      <w:r>
        <w:t>, 34 FCC Rcd at 8203-04, paras. 37, 40.</w:t>
      </w:r>
    </w:p>
  </w:footnote>
  <w:footnote w:id="168">
    <w:p w:rsidR="00EA1210" w:rsidRPr="00C97D3F" w:rsidP="00584CDC" w14:paraId="6BE8796B" w14:textId="77777777">
      <w:pPr>
        <w:pStyle w:val="FootnoteText"/>
      </w:pPr>
      <w:r>
        <w:rPr>
          <w:rStyle w:val="FootnoteReference"/>
        </w:rPr>
        <w:footnoteRef/>
      </w:r>
      <w:r>
        <w:t xml:space="preserve"> </w:t>
      </w:r>
      <w:r w:rsidRPr="00C97D3F">
        <w:rPr>
          <w:i/>
          <w:iCs/>
        </w:rPr>
        <w:t xml:space="preserve">See, e.g., FY 2015 Report and Order, </w:t>
      </w:r>
      <w:r w:rsidRPr="00C97D3F">
        <w:t>30 RCC Rcd 10268, 10273, para. 12 (“The International</w:t>
      </w:r>
      <w:r>
        <w:t xml:space="preserve"> </w:t>
      </w:r>
      <w:r w:rsidRPr="00C97D3F">
        <w:t>Bureau’s regulatory activity concerning submarine cable includes licensing, reviewing the Circuit</w:t>
      </w:r>
      <w:r>
        <w:t xml:space="preserve"> </w:t>
      </w:r>
      <w:r w:rsidRPr="00C97D3F">
        <w:t xml:space="preserve">Capacity Reports and filed quarterly reports. </w:t>
      </w:r>
      <w:r>
        <w:t xml:space="preserve"> </w:t>
      </w:r>
      <w:r w:rsidRPr="00C97D3F">
        <w:t>In addition, all International Bureau services provided to</w:t>
      </w:r>
      <w:r>
        <w:t xml:space="preserve"> </w:t>
      </w:r>
      <w:r w:rsidRPr="00C97D3F">
        <w:t>common carriers using the submarine cable circuits, such as benchmarks enforcement, protection from</w:t>
      </w:r>
      <w:r>
        <w:t xml:space="preserve"> </w:t>
      </w:r>
      <w:r w:rsidRPr="00C97D3F">
        <w:t>anticompetitive actions by foreign carriers, foreign ownership rulings (Petitions for Declaratory Rulings,</w:t>
      </w:r>
      <w:r w:rsidRPr="00C97D3F">
        <w:t xml:space="preserve"> </w:t>
      </w:r>
      <w:r w:rsidRPr="00C97D3F">
        <w:t>or PDRs), section 214 authorizations, and bilateral and multilateral negotiations and representation of</w:t>
      </w:r>
      <w:r>
        <w:t xml:space="preserve"> </w:t>
      </w:r>
      <w:r w:rsidRPr="00C97D3F">
        <w:t>U.S. interests at international organizations, are all provided by the International Bureau on behalf of the</w:t>
      </w:r>
      <w:r>
        <w:t xml:space="preserve"> </w:t>
      </w:r>
      <w:r w:rsidRPr="00C97D3F">
        <w:t>common carriers using submarine cable circuits.”</w:t>
      </w:r>
      <w:r>
        <w:t>)</w:t>
      </w:r>
      <w:r w:rsidRPr="00C97D3F">
        <w:t xml:space="preserve"> </w:t>
      </w:r>
      <w:r>
        <w:t>(</w:t>
      </w:r>
      <w:r w:rsidRPr="00C97D3F">
        <w:t>Footnotes omitted)</w:t>
      </w:r>
      <w:r>
        <w:t>.</w:t>
      </w:r>
    </w:p>
  </w:footnote>
  <w:footnote w:id="169">
    <w:p w:rsidR="00EA1210" w:rsidP="00584CDC" w14:paraId="5086E530" w14:textId="17B17567">
      <w:pPr>
        <w:pStyle w:val="FootnoteText"/>
      </w:pPr>
      <w:r w:rsidRPr="00A94765">
        <w:rPr>
          <w:rStyle w:val="FootnoteReference"/>
        </w:rPr>
        <w:footnoteRef/>
      </w:r>
      <w:r w:rsidRPr="00A94765">
        <w:t xml:space="preserve"> Section 6002(a) of the Omnibus Budget Reconciliation Act of 1993</w:t>
      </w:r>
      <w:r>
        <w:t>.</w:t>
      </w:r>
      <w:r w:rsidRPr="00A94765">
        <w:t xml:space="preserve"> </w:t>
      </w:r>
      <w:r w:rsidRPr="009950C8">
        <w:rPr>
          <w:i/>
        </w:rPr>
        <w:t>See</w:t>
      </w:r>
      <w:r w:rsidRPr="00A94765">
        <w:t xml:space="preserve"> Pub.</w:t>
      </w:r>
      <w:r>
        <w:t xml:space="preserve"> </w:t>
      </w:r>
      <w:r w:rsidRPr="00A94765">
        <w:t>L. No. 103–66, Title VI, § 6002(a), 107 Stat. 397 (approved Aug</w:t>
      </w:r>
      <w:r>
        <w:t>.</w:t>
      </w:r>
      <w:r w:rsidRPr="00A94765">
        <w:t xml:space="preserve"> 10, 1993). </w:t>
      </w:r>
      <w:r>
        <w:t xml:space="preserve">  </w:t>
      </w:r>
    </w:p>
  </w:footnote>
  <w:footnote w:id="170">
    <w:p w:rsidR="00EA1210" w:rsidRPr="00AA6993" w:rsidP="00584CDC" w14:paraId="62133F92" w14:textId="77777777">
      <w:pPr>
        <w:pStyle w:val="FootnoteText"/>
      </w:pPr>
      <w:r>
        <w:rPr>
          <w:rStyle w:val="FootnoteReference"/>
        </w:rPr>
        <w:footnoteRef/>
      </w:r>
      <w:r>
        <w:t xml:space="preserve"> </w:t>
      </w:r>
      <w:r>
        <w:rPr>
          <w:i/>
          <w:iCs/>
        </w:rPr>
        <w:t xml:space="preserve">Submarine Cable Order¸ </w:t>
      </w:r>
      <w:r>
        <w:t xml:space="preserve">24 FCC Rcd 4208.  The Commission established five tiers for the assessment of fees on submarine cable systems.  </w:t>
      </w:r>
      <w:r>
        <w:rPr>
          <w:i/>
          <w:iCs/>
        </w:rPr>
        <w:t xml:space="preserve">Id. </w:t>
      </w:r>
      <w:r>
        <w:t>at 4214-15, para. 16.</w:t>
      </w:r>
    </w:p>
  </w:footnote>
  <w:footnote w:id="171">
    <w:p w:rsidR="00EA1210" w:rsidRPr="00D25525" w:rsidP="00584CDC" w14:paraId="177ABBC7" w14:textId="77777777">
      <w:pPr>
        <w:pStyle w:val="FootnoteText"/>
      </w:pPr>
      <w:r>
        <w:rPr>
          <w:rStyle w:val="FootnoteReference"/>
        </w:rPr>
        <w:footnoteRef/>
      </w:r>
      <w:r>
        <w:t xml:space="preserve"> </w:t>
      </w:r>
      <w:r w:rsidRPr="000618A2">
        <w:rPr>
          <w:i/>
          <w:iCs/>
        </w:rPr>
        <w:t xml:space="preserve">FY 2018 </w:t>
      </w:r>
      <w:r w:rsidRPr="00C932C7">
        <w:rPr>
          <w:i/>
        </w:rPr>
        <w:t>Report and Order</w:t>
      </w:r>
      <w:r>
        <w:rPr>
          <w:i/>
          <w:iCs/>
        </w:rPr>
        <w:t>,</w:t>
      </w:r>
      <w:r>
        <w:t xml:space="preserve"> 33 FCC Rcd 8501, para. 12. </w:t>
      </w:r>
    </w:p>
  </w:footnote>
  <w:footnote w:id="172">
    <w:p w:rsidR="00EA1210" w:rsidP="00584CDC" w14:paraId="5A827ECF" w14:textId="77777777">
      <w:pPr>
        <w:pStyle w:val="FootnoteText"/>
      </w:pPr>
      <w:r>
        <w:rPr>
          <w:rStyle w:val="FootnoteReference"/>
        </w:rPr>
        <w:footnoteRef/>
      </w:r>
      <w:r>
        <w:t xml:space="preserve"> </w:t>
      </w:r>
      <w:r w:rsidRPr="00AA0CC0">
        <w:rPr>
          <w:i/>
          <w:iCs/>
        </w:rPr>
        <w:t>FY 2020 NPRM</w:t>
      </w:r>
      <w:r>
        <w:t>, 35 FCC Rcd at 4992, para. 36.</w:t>
      </w:r>
    </w:p>
  </w:footnote>
  <w:footnote w:id="173">
    <w:p w:rsidR="00EA1210" w:rsidP="00584CDC" w14:paraId="5B47A9E8" w14:textId="06B871DF">
      <w:pPr>
        <w:pStyle w:val="FootnoteText"/>
      </w:pPr>
      <w:r>
        <w:rPr>
          <w:rStyle w:val="FootnoteReference"/>
        </w:rPr>
        <w:footnoteRef/>
      </w:r>
      <w:r>
        <w:t xml:space="preserve"> </w:t>
      </w:r>
      <w:r w:rsidRPr="00DB24AF">
        <w:rPr>
          <w:i/>
          <w:iCs/>
        </w:rPr>
        <w:t>Id</w:t>
      </w:r>
      <w:r>
        <w:t xml:space="preserve">. at 4992, 4999, paras. 37, 61.  One exception is the work in the Telecommunications and Analysis Division on foreign ownership issues under section 310 of the Communications Act, 47 U.S.C. § 310, which benefits domestic common carrier wireless providers by facilitating foreign investment in wireless carriers.  The work of those FTEs is not included in the eight FTEs allocated to IBCs. </w:t>
      </w:r>
    </w:p>
  </w:footnote>
  <w:footnote w:id="174">
    <w:p w:rsidR="00EA1210" w:rsidP="00584CDC" w14:paraId="674E19E5" w14:textId="16BCF320">
      <w:pPr>
        <w:pStyle w:val="FootnoteText"/>
      </w:pPr>
      <w:r>
        <w:rPr>
          <w:rStyle w:val="FootnoteReference"/>
        </w:rPr>
        <w:footnoteRef/>
      </w:r>
      <w:r>
        <w:t xml:space="preserve"> </w:t>
      </w:r>
      <w:r w:rsidRPr="00DB24AF">
        <w:rPr>
          <w:i/>
          <w:iCs/>
        </w:rPr>
        <w:t>Id.</w:t>
      </w:r>
      <w:r w:rsidRPr="005A1475">
        <w:rPr>
          <w:i/>
        </w:rPr>
        <w:t xml:space="preserve"> </w:t>
      </w:r>
      <w:r>
        <w:t>at 4999-5000, para. 61.</w:t>
      </w:r>
    </w:p>
  </w:footnote>
  <w:footnote w:id="175">
    <w:p w:rsidR="00EA1210" w:rsidP="00584CDC" w14:paraId="3A44669F" w14:textId="77777777">
      <w:pPr>
        <w:pStyle w:val="FootnoteText"/>
      </w:pPr>
      <w:r>
        <w:rPr>
          <w:rStyle w:val="FootnoteReference"/>
        </w:rPr>
        <w:footnoteRef/>
      </w:r>
      <w:r>
        <w:t xml:space="preserve"> CenturyLink Reply at 3.</w:t>
      </w:r>
    </w:p>
  </w:footnote>
  <w:footnote w:id="176">
    <w:p w:rsidR="00EA1210" w:rsidP="00584CDC" w14:paraId="6D21A1F9" w14:textId="77777777">
      <w:pPr>
        <w:pStyle w:val="FootnoteText"/>
      </w:pPr>
      <w:r>
        <w:rPr>
          <w:rStyle w:val="FootnoteReference"/>
        </w:rPr>
        <w:footnoteRef/>
      </w:r>
      <w:r>
        <w:t xml:space="preserve"> PC Landing Comments at 2,4; NASCA Comments at 6; Submarine Cable Coalition Comments at 5.</w:t>
      </w:r>
    </w:p>
  </w:footnote>
  <w:footnote w:id="177">
    <w:p w:rsidR="00EA1210" w:rsidP="00584CDC" w14:paraId="3E4FC0D9" w14:textId="3183140C">
      <w:pPr>
        <w:pStyle w:val="FootnoteText"/>
      </w:pPr>
      <w:r>
        <w:rPr>
          <w:rStyle w:val="FootnoteReference"/>
        </w:rPr>
        <w:footnoteRef/>
      </w:r>
      <w:r>
        <w:t xml:space="preserve"> Submarine Cable Coalition Comments at 3-8 &amp; Reply at 3.</w:t>
      </w:r>
    </w:p>
  </w:footnote>
  <w:footnote w:id="178">
    <w:p w:rsidR="00EA1210" w:rsidP="00584CDC" w14:paraId="14A6142F" w14:textId="77777777">
      <w:pPr>
        <w:pStyle w:val="FootnoteText"/>
      </w:pPr>
      <w:r>
        <w:rPr>
          <w:rStyle w:val="FootnoteReference"/>
        </w:rPr>
        <w:footnoteRef/>
      </w:r>
      <w:r>
        <w:t xml:space="preserve"> </w:t>
      </w:r>
      <w:r>
        <w:rPr>
          <w:i/>
          <w:iCs/>
        </w:rPr>
        <w:t>See FY 2020 NPRM,</w:t>
      </w:r>
      <w:r>
        <w:t xml:space="preserve"> 35 FCC Rcd at 5000, para. 61 (</w:t>
      </w:r>
      <w:r w:rsidRPr="00DF6220">
        <w:t>citing</w:t>
      </w:r>
      <w:r>
        <w:t xml:space="preserve"> FY </w:t>
      </w:r>
      <w:r w:rsidRPr="003456FB">
        <w:rPr>
          <w:i/>
        </w:rPr>
        <w:t>2019 Report and Order</w:t>
      </w:r>
      <w:r>
        <w:t>, 34 FCC Rcd at 8205, para. 43).</w:t>
      </w:r>
    </w:p>
  </w:footnote>
  <w:footnote w:id="179">
    <w:p w:rsidR="00EA1210" w:rsidP="00584CDC" w14:paraId="42611043" w14:textId="77777777">
      <w:pPr>
        <w:pStyle w:val="FootnoteText"/>
      </w:pPr>
      <w:r>
        <w:rPr>
          <w:rStyle w:val="FootnoteReference"/>
        </w:rPr>
        <w:footnoteRef/>
      </w:r>
      <w:r>
        <w:t xml:space="preserve"> CenturyLink Reply at 3.</w:t>
      </w:r>
    </w:p>
  </w:footnote>
  <w:footnote w:id="180">
    <w:p w:rsidR="00EA1210" w:rsidP="00584CDC" w14:paraId="20B9B53B" w14:textId="0CA4E2DC">
      <w:pPr>
        <w:pStyle w:val="FootnoteText"/>
      </w:pPr>
      <w:r>
        <w:rPr>
          <w:rStyle w:val="FootnoteReference"/>
        </w:rPr>
        <w:footnoteRef/>
      </w:r>
      <w:r>
        <w:rPr>
          <w:i/>
          <w:iCs/>
        </w:rPr>
        <w:t xml:space="preserve"> </w:t>
      </w:r>
      <w:r w:rsidRPr="00DB24AF">
        <w:rPr>
          <w:i/>
          <w:iCs/>
        </w:rPr>
        <w:t>Id</w:t>
      </w:r>
      <w:r>
        <w:t>.</w:t>
      </w:r>
    </w:p>
  </w:footnote>
  <w:footnote w:id="181">
    <w:p w:rsidR="00EA1210" w:rsidRPr="004C6EB2" w:rsidP="00584CDC" w14:paraId="0F6A5893" w14:textId="77777777">
      <w:pPr>
        <w:pStyle w:val="FootnoteText"/>
      </w:pPr>
      <w:r>
        <w:rPr>
          <w:rStyle w:val="FootnoteReference"/>
        </w:rPr>
        <w:footnoteRef/>
      </w:r>
      <w:r>
        <w:t xml:space="preserve"> </w:t>
      </w:r>
      <w:r>
        <w:rPr>
          <w:i/>
          <w:iCs/>
        </w:rPr>
        <w:t>FY 2020 NPRM</w:t>
      </w:r>
      <w:r w:rsidRPr="0037553B">
        <w:t xml:space="preserve">, </w:t>
      </w:r>
      <w:r>
        <w:t xml:space="preserve">35 FCC Rcd at 4992, para. 37.  </w:t>
      </w:r>
    </w:p>
  </w:footnote>
  <w:footnote w:id="182">
    <w:p w:rsidR="00EA1210" w:rsidP="00584CDC" w14:paraId="7DD4C575" w14:textId="77777777">
      <w:pPr>
        <w:pStyle w:val="FootnoteText"/>
      </w:pPr>
      <w:r>
        <w:rPr>
          <w:rStyle w:val="FootnoteReference"/>
        </w:rPr>
        <w:footnoteRef/>
      </w:r>
      <w:r>
        <w:t xml:space="preserve"> NASCA Comments at 8-9 (citing </w:t>
      </w:r>
      <w:r w:rsidRPr="00C932C7">
        <w:rPr>
          <w:i/>
        </w:rPr>
        <w:t>FY 2014 Report and Order</w:t>
      </w:r>
      <w:r>
        <w:t>, 29 FCC Rcd 10767, 10772, para. 11, stating that only two FTEs in the International Bureau work on submarine cable issues).</w:t>
      </w:r>
    </w:p>
  </w:footnote>
  <w:footnote w:id="183">
    <w:p w:rsidR="00EA1210" w:rsidRPr="006220A7" w:rsidP="00584CDC" w14:paraId="66A81356" w14:textId="77777777">
      <w:pPr>
        <w:pStyle w:val="FootnoteText"/>
      </w:pPr>
      <w:r>
        <w:rPr>
          <w:rStyle w:val="FootnoteReference"/>
        </w:rPr>
        <w:footnoteRef/>
      </w:r>
      <w:r>
        <w:t xml:space="preserve"> </w:t>
      </w:r>
      <w:r w:rsidRPr="00A8466B">
        <w:rPr>
          <w:i/>
        </w:rPr>
        <w:t>FY 2015 Report a</w:t>
      </w:r>
      <w:r w:rsidRPr="00661CF6">
        <w:rPr>
          <w:i/>
        </w:rPr>
        <w:t>nd Order</w:t>
      </w:r>
      <w:r w:rsidRPr="006220A7">
        <w:rPr>
          <w:i/>
        </w:rPr>
        <w:t>,</w:t>
      </w:r>
      <w:r w:rsidRPr="001976BA">
        <w:t xml:space="preserve"> 30 FCC Rcd </w:t>
      </w:r>
      <w:r w:rsidRPr="004D45F6">
        <w:t xml:space="preserve">at </w:t>
      </w:r>
      <w:r w:rsidRPr="00C063F6">
        <w:t>10273, p</w:t>
      </w:r>
      <w:r w:rsidRPr="000E6579">
        <w:t>ara. 12 (“</w:t>
      </w:r>
      <w:r w:rsidRPr="00541A5F">
        <w:t>Upon this furthe</w:t>
      </w:r>
      <w:r w:rsidRPr="00102314">
        <w:t xml:space="preserve">r analysis, we conclude that our previous estimate of two FTEs working on IBC </w:t>
      </w:r>
      <w:r w:rsidRPr="00BE5F12">
        <w:t xml:space="preserve">issues, discussed in </w:t>
      </w:r>
      <w:r w:rsidRPr="00027EFD">
        <w:rPr>
          <w:i/>
        </w:rPr>
        <w:t>FY 2014 Report and Order</w:t>
      </w:r>
      <w:r w:rsidRPr="00BE34EB">
        <w:t xml:space="preserve">, did not </w:t>
      </w:r>
      <w:r w:rsidRPr="006810B2">
        <w:t xml:space="preserve">take these </w:t>
      </w:r>
      <w:r w:rsidRPr="00A8466B">
        <w:t>issues into account” of all of the services provided to interna</w:t>
      </w:r>
      <w:r w:rsidRPr="00661CF6">
        <w:t>tional carriers using submarine cables.).</w:t>
      </w:r>
    </w:p>
  </w:footnote>
  <w:footnote w:id="184">
    <w:p w:rsidR="00EA1210" w:rsidP="00584CDC" w14:paraId="58FAB191" w14:textId="77777777">
      <w:pPr>
        <w:pStyle w:val="FootnoteText"/>
      </w:pPr>
      <w:r>
        <w:rPr>
          <w:rStyle w:val="FootnoteReference"/>
        </w:rPr>
        <w:footnoteRef/>
      </w:r>
      <w:r>
        <w:t xml:space="preserve"> NASCA Comments at 8.</w:t>
      </w:r>
    </w:p>
  </w:footnote>
  <w:footnote w:id="185">
    <w:p w:rsidR="00EA1210" w:rsidP="00584CDC" w14:paraId="247AF406" w14:textId="77777777">
      <w:pPr>
        <w:pStyle w:val="FootnoteText"/>
      </w:pPr>
      <w:r>
        <w:rPr>
          <w:rStyle w:val="FootnoteReference"/>
        </w:rPr>
        <w:footnoteRef/>
      </w:r>
      <w:r>
        <w:t xml:space="preserve"> Submarine Cable Coalition Comments at 4.  </w:t>
      </w:r>
    </w:p>
  </w:footnote>
  <w:footnote w:id="186">
    <w:p w:rsidR="00EA1210" w:rsidRPr="00D16F26" w:rsidP="00584CDC" w14:paraId="1BF056AF" w14:textId="77777777">
      <w:pPr>
        <w:pStyle w:val="FootnoteText"/>
      </w:pPr>
      <w:r>
        <w:rPr>
          <w:rStyle w:val="FootnoteReference"/>
        </w:rPr>
        <w:footnoteRef/>
      </w:r>
      <w:r>
        <w:t xml:space="preserve"> CenturyLink Reply at 4.  </w:t>
      </w:r>
      <w:r w:rsidRPr="006A3CE3">
        <w:t xml:space="preserve">CenturyLink notes that </w:t>
      </w:r>
      <w:r>
        <w:t xml:space="preserve">other measures of benefits may also be reasonable.  </w:t>
      </w:r>
      <w:r>
        <w:rPr>
          <w:i/>
          <w:iCs/>
        </w:rPr>
        <w:t>Id.</w:t>
      </w:r>
      <w:r>
        <w:t xml:space="preserve"> at 3-4. </w:t>
      </w:r>
    </w:p>
  </w:footnote>
  <w:footnote w:id="187">
    <w:p w:rsidR="00EA1210" w:rsidP="00584CDC" w14:paraId="6E3A3C81" w14:textId="2C9FC4E0">
      <w:pPr>
        <w:pStyle w:val="FootnoteText"/>
      </w:pPr>
      <w:r>
        <w:rPr>
          <w:rStyle w:val="FootnoteReference"/>
        </w:rPr>
        <w:footnoteRef/>
      </w:r>
      <w:r>
        <w:t xml:space="preserve"> </w:t>
      </w:r>
      <w:r w:rsidRPr="00DB24AF">
        <w:rPr>
          <w:i/>
          <w:iCs/>
        </w:rPr>
        <w:t>Id.</w:t>
      </w:r>
      <w:r w:rsidRPr="005A1475">
        <w:rPr>
          <w:i/>
        </w:rPr>
        <w:t xml:space="preserve"> </w:t>
      </w:r>
      <w:r>
        <w:t>at 3.</w:t>
      </w:r>
    </w:p>
  </w:footnote>
  <w:footnote w:id="188">
    <w:p w:rsidR="00EA1210" w:rsidP="00584CDC" w14:paraId="4B302543" w14:textId="77777777">
      <w:pPr>
        <w:pStyle w:val="FootnoteText"/>
      </w:pPr>
      <w:r>
        <w:rPr>
          <w:rStyle w:val="FootnoteReference"/>
        </w:rPr>
        <w:footnoteRef/>
      </w:r>
      <w:r>
        <w:t xml:space="preserve"> NASCA Comments at 9. </w:t>
      </w:r>
    </w:p>
  </w:footnote>
  <w:footnote w:id="189">
    <w:p w:rsidR="00EA1210" w:rsidRPr="009E29E7" w:rsidP="00584CDC" w14:paraId="111253AF" w14:textId="77777777">
      <w:pPr>
        <w:pStyle w:val="FootnoteText"/>
      </w:pPr>
      <w:r>
        <w:rPr>
          <w:rStyle w:val="FootnoteReference"/>
        </w:rPr>
        <w:footnoteRef/>
      </w:r>
      <w:r>
        <w:t xml:space="preserve"> </w:t>
      </w:r>
      <w:r>
        <w:rPr>
          <w:i/>
          <w:iCs/>
        </w:rPr>
        <w:t>Submarine Cable Order</w:t>
      </w:r>
      <w:r w:rsidRPr="00DF6220">
        <w:t>,</w:t>
      </w:r>
      <w:r w:rsidRPr="004B7ECD">
        <w:t xml:space="preserve"> </w:t>
      </w:r>
      <w:r>
        <w:t xml:space="preserve">24 FCC Rcd at 4212, para. 6.  The Commission found the Consensus Proposal to be competitively neutral because it treats common carrier and non-common carrier submarine cables identically. </w:t>
      </w:r>
      <w:r>
        <w:rPr>
          <w:i/>
          <w:iCs/>
        </w:rPr>
        <w:t>Id.</w:t>
      </w:r>
      <w:r>
        <w:t xml:space="preserve"> at 4213, para. 9.</w:t>
      </w:r>
    </w:p>
  </w:footnote>
  <w:footnote w:id="190">
    <w:p w:rsidR="00EA1210" w:rsidP="00584CDC" w14:paraId="072119F9" w14:textId="77777777">
      <w:pPr>
        <w:pStyle w:val="FootnoteText"/>
      </w:pPr>
      <w:r>
        <w:rPr>
          <w:rStyle w:val="FootnoteReference"/>
        </w:rPr>
        <w:footnoteRef/>
      </w:r>
      <w:r>
        <w:t xml:space="preserve"> The Commission added non-common carrier satellite IBCs to this regulatory fee category in 1997.  </w:t>
      </w:r>
      <w:r w:rsidRPr="00EE58D5">
        <w:rPr>
          <w:i/>
        </w:rPr>
        <w:t>See</w:t>
      </w:r>
      <w:r w:rsidRPr="004264F2">
        <w:rPr>
          <w:i/>
          <w:szCs w:val="22"/>
        </w:rPr>
        <w:t xml:space="preserve"> </w:t>
      </w:r>
      <w:r>
        <w:rPr>
          <w:i/>
          <w:szCs w:val="22"/>
        </w:rPr>
        <w:t xml:space="preserve">FY 1997 Report and </w:t>
      </w:r>
      <w:r w:rsidRPr="00FB428B">
        <w:rPr>
          <w:i/>
          <w:szCs w:val="22"/>
        </w:rPr>
        <w:t>Order</w:t>
      </w:r>
      <w:r>
        <w:rPr>
          <w:szCs w:val="22"/>
        </w:rPr>
        <w:t xml:space="preserve">, 12 FCC Rcd at 17189, para. 71.  In 2017, the Commission added non-common carrier terrestrial IBCs.  </w:t>
      </w:r>
      <w:r w:rsidRPr="00D92F25">
        <w:rPr>
          <w:i/>
          <w:iCs/>
        </w:rPr>
        <w:t xml:space="preserve">FY </w:t>
      </w:r>
      <w:r>
        <w:rPr>
          <w:i/>
          <w:iCs/>
        </w:rPr>
        <w:t xml:space="preserve">2017 </w:t>
      </w:r>
      <w:r w:rsidRPr="00D92F25">
        <w:rPr>
          <w:i/>
          <w:iCs/>
        </w:rPr>
        <w:t>Report and Order</w:t>
      </w:r>
      <w:r w:rsidRPr="00DF6220">
        <w:t xml:space="preserve">, </w:t>
      </w:r>
      <w:r>
        <w:t>32 FCC Rcd at 7071-72, paras. 34-35.</w:t>
      </w:r>
    </w:p>
  </w:footnote>
  <w:footnote w:id="191">
    <w:p w:rsidR="00EA1210" w:rsidP="00584CDC" w14:paraId="1BEE1E2E" w14:textId="77777777">
      <w:pPr>
        <w:pStyle w:val="FootnoteText"/>
      </w:pPr>
      <w:r>
        <w:rPr>
          <w:rStyle w:val="FootnoteReference"/>
        </w:rPr>
        <w:footnoteRef/>
      </w:r>
      <w:r>
        <w:t xml:space="preserve"> </w:t>
      </w:r>
      <w:r>
        <w:rPr>
          <w:i/>
          <w:iCs/>
        </w:rPr>
        <w:t>FY 2020 NPRM</w:t>
      </w:r>
      <w:r w:rsidRPr="00DF6220">
        <w:t>,</w:t>
      </w:r>
      <w:r w:rsidRPr="004B7ECD">
        <w:t xml:space="preserve"> </w:t>
      </w:r>
      <w:r>
        <w:t>35 FCC Rcd at 5000, para. 62.</w:t>
      </w:r>
    </w:p>
  </w:footnote>
  <w:footnote w:id="192">
    <w:p w:rsidR="00EA1210" w:rsidRPr="00BD3795" w:rsidP="00584CDC" w14:paraId="19089172" w14:textId="77777777">
      <w:pPr>
        <w:pStyle w:val="FootnoteText"/>
      </w:pPr>
      <w:r>
        <w:rPr>
          <w:rStyle w:val="FootnoteReference"/>
        </w:rPr>
        <w:footnoteRef/>
      </w:r>
      <w:r>
        <w:t xml:space="preserve"> </w:t>
      </w:r>
      <w:r>
        <w:rPr>
          <w:i/>
          <w:iCs/>
        </w:rPr>
        <w:t>Submarine Cable Order</w:t>
      </w:r>
      <w:r w:rsidRPr="00DF6220">
        <w:t>,</w:t>
      </w:r>
      <w:r w:rsidRPr="004B7ECD">
        <w:t xml:space="preserve"> </w:t>
      </w:r>
      <w:r>
        <w:t xml:space="preserve">24 FCC Rcd at 4212, para 6. </w:t>
      </w:r>
    </w:p>
  </w:footnote>
  <w:footnote w:id="193">
    <w:p w:rsidR="00EA1210" w:rsidP="00584CDC" w14:paraId="78C087DF" w14:textId="77777777">
      <w:pPr>
        <w:pStyle w:val="FootnoteText"/>
      </w:pPr>
      <w:r>
        <w:rPr>
          <w:rStyle w:val="FootnoteReference"/>
        </w:rPr>
        <w:footnoteRef/>
      </w:r>
      <w:r>
        <w:t xml:space="preserve"> </w:t>
      </w:r>
      <w:r w:rsidRPr="00A9006F">
        <w:rPr>
          <w:i/>
          <w:iCs/>
        </w:rPr>
        <w:t>FY 2020 NPRM</w:t>
      </w:r>
      <w:r w:rsidRPr="001621B7">
        <w:t>,</w:t>
      </w:r>
      <w:r>
        <w:t xml:space="preserve"> 35 FCC Rcd at 5000, para. 62.</w:t>
      </w:r>
    </w:p>
  </w:footnote>
  <w:footnote w:id="194">
    <w:p w:rsidR="00EA1210" w:rsidP="00584CDC" w14:paraId="0D295E77" w14:textId="77777777">
      <w:pPr>
        <w:pStyle w:val="FootnoteText"/>
      </w:pPr>
      <w:r>
        <w:rPr>
          <w:rStyle w:val="FootnoteReference"/>
        </w:rPr>
        <w:footnoteRef/>
      </w:r>
      <w:r>
        <w:t xml:space="preserve"> CenturyLink Comments at 1-2; CenturyLink Reply at 1.</w:t>
      </w:r>
    </w:p>
  </w:footnote>
  <w:footnote w:id="195">
    <w:p w:rsidR="00EA1210" w:rsidP="00584CDC" w14:paraId="0719B6CD" w14:textId="77777777">
      <w:pPr>
        <w:pStyle w:val="FootnoteText"/>
      </w:pPr>
      <w:r>
        <w:rPr>
          <w:rStyle w:val="FootnoteReference"/>
        </w:rPr>
        <w:footnoteRef/>
      </w:r>
      <w:r>
        <w:t xml:space="preserve"> SIA Comments at 3.</w:t>
      </w:r>
    </w:p>
  </w:footnote>
  <w:footnote w:id="196">
    <w:p w:rsidR="00EA1210" w:rsidP="00584CDC" w14:paraId="00869976" w14:textId="77777777">
      <w:pPr>
        <w:pStyle w:val="FootnoteText"/>
      </w:pPr>
      <w:r>
        <w:rPr>
          <w:rStyle w:val="FootnoteReference"/>
        </w:rPr>
        <w:footnoteRef/>
      </w:r>
      <w:r>
        <w:t xml:space="preserve"> </w:t>
      </w:r>
      <w:r w:rsidRPr="00A9006F">
        <w:rPr>
          <w:i/>
          <w:iCs/>
        </w:rPr>
        <w:t>FY 2020 NPRM</w:t>
      </w:r>
      <w:r w:rsidRPr="001621B7">
        <w:t>,</w:t>
      </w:r>
      <w:r>
        <w:rPr>
          <w:i/>
          <w:iCs/>
        </w:rPr>
        <w:t xml:space="preserve"> </w:t>
      </w:r>
      <w:r>
        <w:t>35 FCC Rcd at 5000-5001, para. 63.</w:t>
      </w:r>
    </w:p>
  </w:footnote>
  <w:footnote w:id="197">
    <w:p w:rsidR="00EA1210" w:rsidP="00584CDC" w14:paraId="46BA062E" w14:textId="77777777">
      <w:pPr>
        <w:pStyle w:val="FootnoteText"/>
      </w:pPr>
      <w:r>
        <w:rPr>
          <w:rStyle w:val="FootnoteReference"/>
        </w:rPr>
        <w:footnoteRef/>
      </w:r>
      <w:r>
        <w:t xml:space="preserve"> CenturyLink Comments at 8-10; SES Comments at 5; SIA Comments at 4-5; AT&amp;T Reply at 1-3.</w:t>
      </w:r>
    </w:p>
  </w:footnote>
  <w:footnote w:id="198">
    <w:p w:rsidR="00EA1210" w:rsidP="00584CDC" w14:paraId="698BE308" w14:textId="77777777">
      <w:pPr>
        <w:pStyle w:val="FootnoteText"/>
      </w:pPr>
      <w:r>
        <w:rPr>
          <w:rStyle w:val="FootnoteReference"/>
        </w:rPr>
        <w:footnoteRef/>
      </w:r>
      <w:r>
        <w:t xml:space="preserve"> SES Comments at 5; SIA Comments at 4-5.</w:t>
      </w:r>
    </w:p>
  </w:footnote>
  <w:footnote w:id="199">
    <w:p w:rsidR="00EA1210" w:rsidP="00584CDC" w14:paraId="3691AAC9" w14:textId="77777777">
      <w:pPr>
        <w:pStyle w:val="FootnoteText"/>
      </w:pPr>
      <w:r>
        <w:rPr>
          <w:rStyle w:val="FootnoteReference"/>
        </w:rPr>
        <w:footnoteRef/>
      </w:r>
      <w:r>
        <w:t xml:space="preserve"> AT&amp;T Reply at 4.</w:t>
      </w:r>
    </w:p>
  </w:footnote>
  <w:footnote w:id="200">
    <w:p w:rsidR="00EA1210" w:rsidP="00584CDC" w14:paraId="0D51A4AF" w14:textId="77777777">
      <w:pPr>
        <w:pStyle w:val="FootnoteText"/>
      </w:pPr>
      <w:r>
        <w:rPr>
          <w:rStyle w:val="FootnoteReference"/>
        </w:rPr>
        <w:footnoteRef/>
      </w:r>
      <w:r>
        <w:t xml:space="preserve"> SES Comments at 5; SIA Comments at 2-4.</w:t>
      </w:r>
    </w:p>
  </w:footnote>
  <w:footnote w:id="201">
    <w:p w:rsidR="00EA1210" w:rsidP="00584CDC" w14:paraId="102781E1" w14:textId="77777777">
      <w:pPr>
        <w:pStyle w:val="FootnoteText"/>
      </w:pPr>
      <w:r>
        <w:rPr>
          <w:rStyle w:val="FootnoteReference"/>
        </w:rPr>
        <w:footnoteRef/>
      </w:r>
      <w:r>
        <w:t xml:space="preserve"> SES Comments at 5; SIA Comments at 4-5.</w:t>
      </w:r>
    </w:p>
  </w:footnote>
  <w:footnote w:id="202">
    <w:p w:rsidR="00EA1210" w:rsidP="00584CDC" w14:paraId="56AE3FF9" w14:textId="77777777">
      <w:pPr>
        <w:pStyle w:val="FootnoteText"/>
      </w:pPr>
      <w:r>
        <w:rPr>
          <w:rStyle w:val="FootnoteReference"/>
        </w:rPr>
        <w:footnoteRef/>
      </w:r>
      <w:r>
        <w:t xml:space="preserve"> SIA Comments at 5-6.</w:t>
      </w:r>
    </w:p>
  </w:footnote>
  <w:footnote w:id="203">
    <w:p w:rsidR="00EA1210" w:rsidP="00584CDC" w14:paraId="75D905E0" w14:textId="77777777">
      <w:pPr>
        <w:pStyle w:val="FootnoteText"/>
      </w:pPr>
      <w:r>
        <w:rPr>
          <w:rStyle w:val="FootnoteReference"/>
        </w:rPr>
        <w:footnoteRef/>
      </w:r>
      <w:r>
        <w:t xml:space="preserve"> CenturyLink Comments at 8-10.</w:t>
      </w:r>
    </w:p>
  </w:footnote>
  <w:footnote w:id="204">
    <w:p w:rsidR="00EA1210" w:rsidP="00584CDC" w14:paraId="21C35B16" w14:textId="77777777">
      <w:pPr>
        <w:pStyle w:val="FootnoteText"/>
      </w:pPr>
      <w:r>
        <w:rPr>
          <w:rStyle w:val="FootnoteReference"/>
        </w:rPr>
        <w:footnoteRef/>
      </w:r>
      <w:r>
        <w:t xml:space="preserve"> CenturyLink Comments at 8; CenturyLink Reply at 4.</w:t>
      </w:r>
    </w:p>
  </w:footnote>
  <w:footnote w:id="205">
    <w:p w:rsidR="00EA1210" w:rsidP="00584CDC" w14:paraId="5E8A2672" w14:textId="77777777">
      <w:pPr>
        <w:pStyle w:val="FootnoteText"/>
      </w:pPr>
      <w:r>
        <w:rPr>
          <w:rStyle w:val="FootnoteReference"/>
        </w:rPr>
        <w:footnoteRef/>
      </w:r>
      <w:r>
        <w:t xml:space="preserve"> CenturyLink Reply at 4.</w:t>
      </w:r>
    </w:p>
  </w:footnote>
  <w:footnote w:id="206">
    <w:p w:rsidR="00EA1210" w:rsidP="00584CDC" w14:paraId="74F1B9E1" w14:textId="77777777">
      <w:pPr>
        <w:pStyle w:val="FootnoteText"/>
      </w:pPr>
      <w:r>
        <w:rPr>
          <w:rStyle w:val="FootnoteReference"/>
        </w:rPr>
        <w:footnoteRef/>
      </w:r>
      <w:r>
        <w:t xml:space="preserve"> </w:t>
      </w:r>
      <w:r>
        <w:rPr>
          <w:i/>
          <w:iCs/>
        </w:rPr>
        <w:t>FY 2020 NPRM,</w:t>
      </w:r>
      <w:r>
        <w:t xml:space="preserve"> 35 FCC Rcd at 5001, para. 63 (“As an alternative, we seek comment on maintaining the current fee structure for international bearer circuits and having the fees for submarine cable based on the proposed tier structure and assessing fees for terrestrial and satellite capacity at $41 per Gbps circuits.”).</w:t>
      </w:r>
    </w:p>
  </w:footnote>
  <w:footnote w:id="207">
    <w:p w:rsidR="00EA1210" w:rsidP="00584CDC" w14:paraId="7874DE1A" w14:textId="77777777">
      <w:pPr>
        <w:pStyle w:val="FootnoteText"/>
      </w:pPr>
      <w:r>
        <w:rPr>
          <w:rStyle w:val="FootnoteReference"/>
        </w:rPr>
        <w:footnoteRef/>
      </w:r>
      <w:r>
        <w:t xml:space="preserve"> NASCA Comments at 6-7.</w:t>
      </w:r>
    </w:p>
  </w:footnote>
  <w:footnote w:id="208">
    <w:p w:rsidR="00EA1210" w:rsidRPr="001F1BC6" w:rsidP="00584CDC" w14:paraId="367984E8" w14:textId="77777777">
      <w:pPr>
        <w:pStyle w:val="FootnoteText"/>
      </w:pPr>
      <w:r>
        <w:rPr>
          <w:rStyle w:val="FootnoteReference"/>
        </w:rPr>
        <w:footnoteRef/>
      </w:r>
      <w:r>
        <w:t xml:space="preserve"> </w:t>
      </w:r>
      <w:r>
        <w:rPr>
          <w:i/>
          <w:iCs/>
        </w:rPr>
        <w:t>FY 2019 Report and Order,</w:t>
      </w:r>
      <w:r>
        <w:t xml:space="preserve"> 34 FCC Rcd at 8205-06, para. 44.  </w:t>
      </w:r>
    </w:p>
  </w:footnote>
  <w:footnote w:id="209">
    <w:p w:rsidR="00EA1210" w:rsidRPr="00566891" w:rsidP="00584CDC" w14:paraId="6EEC7CB0" w14:textId="77777777">
      <w:pPr>
        <w:pStyle w:val="FootnoteText"/>
      </w:pPr>
      <w:r>
        <w:rPr>
          <w:rStyle w:val="FootnoteReference"/>
        </w:rPr>
        <w:footnoteRef/>
      </w:r>
      <w:r>
        <w:t xml:space="preserve"> </w:t>
      </w:r>
      <w:r>
        <w:rPr>
          <w:i/>
          <w:iCs/>
        </w:rPr>
        <w:t>Submarine Cable Order,</w:t>
      </w:r>
      <w:r>
        <w:t xml:space="preserve"> 24 FCC Rcd at 4215, para. 18. </w:t>
      </w:r>
    </w:p>
  </w:footnote>
  <w:footnote w:id="210">
    <w:p w:rsidR="00EA1210" w:rsidRPr="00BD3545" w:rsidP="00584CDC" w14:paraId="017865ED" w14:textId="77777777">
      <w:pPr>
        <w:pStyle w:val="FootnoteText"/>
      </w:pPr>
      <w:r>
        <w:rPr>
          <w:rStyle w:val="FootnoteReference"/>
        </w:rPr>
        <w:footnoteRef/>
      </w:r>
      <w:r>
        <w:t xml:space="preserve"> </w:t>
      </w:r>
      <w:r>
        <w:rPr>
          <w:i/>
          <w:iCs/>
        </w:rPr>
        <w:t>FY 2018 Report and Order</w:t>
      </w:r>
      <w:r>
        <w:t xml:space="preserve">, 33 FCC Rcd at 8516, Appendix C. </w:t>
      </w:r>
    </w:p>
  </w:footnote>
  <w:footnote w:id="211">
    <w:p w:rsidR="00EA1210" w:rsidP="00584CDC" w14:paraId="02EADD7D" w14:textId="77777777">
      <w:pPr>
        <w:pStyle w:val="FootnoteText"/>
      </w:pPr>
      <w:r>
        <w:rPr>
          <w:rStyle w:val="FootnoteReference"/>
        </w:rPr>
        <w:footnoteRef/>
      </w:r>
      <w:r>
        <w:t xml:space="preserve"> CenturyLink Comments at 3-6; CenturyLink Reply at 2.</w:t>
      </w:r>
      <w:r w:rsidRPr="00D00F01">
        <w:t xml:space="preserve"> </w:t>
      </w:r>
      <w:r>
        <w:t xml:space="preserve">CenturyLink also states that the top tier for submarine cable should be 10 </w:t>
      </w:r>
      <w:r>
        <w:t>Tbps</w:t>
      </w:r>
      <w:r>
        <w:t xml:space="preserve">, not 6.5 </w:t>
      </w:r>
      <w:r>
        <w:t>Tbps</w:t>
      </w:r>
      <w:r>
        <w:t xml:space="preserve">, with revised lower tiers.  CenturyLink Comments at 7.  Letter from Joseph C. Cavender, Vice President and Assistant General Counsel, Federal Regulatory Affairs, CenturyLink, to Marlene H. Dortch, Secretary, Federal Communications Commission (July 24, 2020) (CenturyLink and NASCA Ex Parte). </w:t>
      </w:r>
    </w:p>
  </w:footnote>
  <w:footnote w:id="212">
    <w:p w:rsidR="00EA1210" w:rsidP="00584CDC" w14:paraId="073FB438" w14:textId="77777777">
      <w:pPr>
        <w:pStyle w:val="FootnoteText"/>
      </w:pPr>
      <w:r>
        <w:rPr>
          <w:rStyle w:val="FootnoteReference"/>
        </w:rPr>
        <w:footnoteRef/>
      </w:r>
      <w:r>
        <w:t xml:space="preserve"> NASCA Comments at 3-4.  We note that </w:t>
      </w:r>
      <w:r w:rsidRPr="001544D9">
        <w:t xml:space="preserve">the number of </w:t>
      </w:r>
      <w:r>
        <w:t xml:space="preserve">submarine </w:t>
      </w:r>
      <w:r w:rsidRPr="001544D9">
        <w:t>cables</w:t>
      </w:r>
      <w:r>
        <w:t xml:space="preserve"> subject to FY 2020 fees is</w:t>
      </w:r>
      <w:r w:rsidRPr="001544D9">
        <w:t xml:space="preserve"> 5</w:t>
      </w:r>
      <w:r>
        <w:t>2</w:t>
      </w:r>
      <w:r w:rsidRPr="00FA64AD">
        <w:t xml:space="preserve"> </w:t>
      </w:r>
      <w:r>
        <w:t>as of October 1, 2019.</w:t>
      </w:r>
    </w:p>
  </w:footnote>
  <w:footnote w:id="213">
    <w:p w:rsidR="00EA1210" w:rsidP="00584CDC" w14:paraId="31F182F9" w14:textId="77777777">
      <w:pPr>
        <w:pStyle w:val="FootnoteText"/>
      </w:pPr>
      <w:r>
        <w:rPr>
          <w:rStyle w:val="FootnoteReference"/>
        </w:rPr>
        <w:footnoteRef/>
      </w:r>
      <w:r>
        <w:t xml:space="preserve"> NASCA Comments at 4.</w:t>
      </w:r>
    </w:p>
  </w:footnote>
  <w:footnote w:id="214">
    <w:p w:rsidR="00EA1210" w:rsidP="00584CDC" w14:paraId="193A659F" w14:textId="08508CA3">
      <w:pPr>
        <w:pStyle w:val="FootnoteText"/>
      </w:pPr>
      <w:r>
        <w:rPr>
          <w:rStyle w:val="FootnoteReference"/>
        </w:rPr>
        <w:footnoteRef/>
      </w:r>
      <w:r>
        <w:t xml:space="preserve"> </w:t>
      </w:r>
      <w:r w:rsidRPr="00DB24AF">
        <w:rPr>
          <w:i/>
          <w:iCs/>
        </w:rPr>
        <w:t>Id.</w:t>
      </w:r>
      <w:r>
        <w:t xml:space="preserve"> at 5.</w:t>
      </w:r>
    </w:p>
  </w:footnote>
  <w:footnote w:id="215">
    <w:p w:rsidR="00EA1210" w:rsidP="00584CDC" w14:paraId="705932FD" w14:textId="77777777">
      <w:pPr>
        <w:pStyle w:val="FootnoteText"/>
      </w:pPr>
      <w:r>
        <w:rPr>
          <w:rStyle w:val="FootnoteReference"/>
        </w:rPr>
        <w:footnoteRef/>
      </w:r>
      <w:r>
        <w:t xml:space="preserve"> </w:t>
      </w:r>
      <w:r w:rsidRPr="005077B3">
        <w:rPr>
          <w:i/>
          <w:iCs/>
        </w:rPr>
        <w:t>See</w:t>
      </w:r>
      <w:r>
        <w:t xml:space="preserve"> CenturyLink and NASCA Ex Parte; Letter from Andrew D. Lipman, Ulises R. Pin, and Joshua M. Bobeck, counsel for the Submarine Cable Coalition, to Marlene H. Dortch, Secretary, Federal Communications Commission (July 23, 2020) (Submarine Cable Coalition Ex Parte).</w:t>
      </w:r>
    </w:p>
  </w:footnote>
  <w:footnote w:id="216">
    <w:p w:rsidR="00EA1210" w:rsidP="00584CDC" w14:paraId="290616E3" w14:textId="77777777">
      <w:pPr>
        <w:pStyle w:val="FootnoteText"/>
      </w:pPr>
      <w:r>
        <w:rPr>
          <w:rStyle w:val="FootnoteReference"/>
        </w:rPr>
        <w:footnoteRef/>
      </w:r>
      <w:r>
        <w:t xml:space="preserve"> Submarine Cable Coalition Reply at 5.</w:t>
      </w:r>
    </w:p>
  </w:footnote>
  <w:footnote w:id="217">
    <w:p w:rsidR="00EA1210" w:rsidP="00584CDC" w14:paraId="69A8C96B" w14:textId="152FF2BA">
      <w:pPr>
        <w:pStyle w:val="FootnoteText"/>
      </w:pPr>
      <w:r>
        <w:rPr>
          <w:rStyle w:val="FootnoteReference"/>
        </w:rPr>
        <w:footnoteRef/>
      </w:r>
      <w:r>
        <w:t xml:space="preserve"> </w:t>
      </w:r>
      <w:r w:rsidRPr="00DB24AF">
        <w:rPr>
          <w:i/>
          <w:iCs/>
        </w:rPr>
        <w:t>Id.</w:t>
      </w:r>
      <w:r w:rsidRPr="005A1475">
        <w:rPr>
          <w:i/>
        </w:rPr>
        <w:t xml:space="preserve"> </w:t>
      </w:r>
      <w:r>
        <w:t>at 6.</w:t>
      </w:r>
    </w:p>
  </w:footnote>
  <w:footnote w:id="218">
    <w:p w:rsidR="00EA1210" w:rsidP="00584CDC" w14:paraId="0B440E9A" w14:textId="77777777">
      <w:pPr>
        <w:pStyle w:val="FootnoteText"/>
      </w:pPr>
      <w:r>
        <w:rPr>
          <w:rStyle w:val="FootnoteReference"/>
        </w:rPr>
        <w:footnoteRef/>
      </w:r>
      <w:r>
        <w:t xml:space="preserve"> 47 U.S.C.§ 159(a),(b),(d); FY 2020 Appropriation.</w:t>
      </w:r>
    </w:p>
  </w:footnote>
  <w:footnote w:id="219">
    <w:p w:rsidR="00EA1210" w:rsidP="00584CDC" w14:paraId="4CF0DFAB" w14:textId="77777777">
      <w:pPr>
        <w:pStyle w:val="FootnoteText"/>
      </w:pPr>
      <w:r>
        <w:rPr>
          <w:rStyle w:val="FootnoteReference"/>
        </w:rPr>
        <w:footnoteRef/>
      </w:r>
      <w:r>
        <w:t xml:space="preserve"> NASCA Comments at 2.</w:t>
      </w:r>
    </w:p>
  </w:footnote>
  <w:footnote w:id="220">
    <w:p w:rsidR="00EA1210" w:rsidP="00584CDC" w14:paraId="4FC18607" w14:textId="6B7F952C">
      <w:pPr>
        <w:pStyle w:val="FootnoteText"/>
      </w:pPr>
      <w:r>
        <w:rPr>
          <w:rStyle w:val="FootnoteReference"/>
        </w:rPr>
        <w:footnoteRef/>
      </w:r>
      <w:r>
        <w:rPr>
          <w:i/>
          <w:iCs/>
        </w:rPr>
        <w:t xml:space="preserve"> </w:t>
      </w:r>
      <w:r w:rsidRPr="00DB24AF">
        <w:rPr>
          <w:i/>
          <w:iCs/>
        </w:rPr>
        <w:t>Id.</w:t>
      </w:r>
      <w:r>
        <w:t>.</w:t>
      </w:r>
    </w:p>
  </w:footnote>
  <w:footnote w:id="221">
    <w:p w:rsidR="00EA1210" w:rsidP="00584CDC" w14:paraId="4E3F8B64" w14:textId="188A9D64">
      <w:pPr>
        <w:pStyle w:val="FootnoteText"/>
      </w:pPr>
      <w:r>
        <w:rPr>
          <w:rStyle w:val="FootnoteReference"/>
        </w:rPr>
        <w:footnoteRef/>
      </w:r>
      <w:r w:rsidRPr="00DB24AF">
        <w:rPr>
          <w:i/>
          <w:iCs/>
        </w:rPr>
        <w:t>Id.</w:t>
      </w:r>
      <w:r>
        <w:t>; Submarine Cable Coalition Comments at 3.</w:t>
      </w:r>
    </w:p>
  </w:footnote>
  <w:footnote w:id="222">
    <w:p w:rsidR="00EA1210" w:rsidRPr="00C65CAC" w:rsidP="00584CDC" w14:paraId="76D354CA" w14:textId="77777777">
      <w:pPr>
        <w:pStyle w:val="FootnoteText"/>
      </w:pPr>
      <w:r>
        <w:rPr>
          <w:rStyle w:val="FootnoteReference"/>
        </w:rPr>
        <w:footnoteRef/>
      </w:r>
      <w:r>
        <w:t xml:space="preserve"> </w:t>
      </w:r>
      <w:r>
        <w:rPr>
          <w:i/>
          <w:iCs/>
        </w:rPr>
        <w:t>FY 2020 NPRM</w:t>
      </w:r>
      <w:r>
        <w:t>, 35 FCC Rcd at 5000, paras. 62-63.  We note that the description of the fee calculation for submarine cable systems stated that “[r]</w:t>
      </w:r>
      <w:r w:rsidRPr="0011764D">
        <w:t>egulatory</w:t>
      </w:r>
      <w:r w:rsidRPr="0011764D">
        <w:t xml:space="preserve"> fees for submarine cable systems are to be paid on a per cable landing license basis based on lit circuit capacity as of December 31, 2019.</w:t>
      </w:r>
      <w:r>
        <w:t>”</w:t>
      </w:r>
      <w:r w:rsidRPr="0011764D">
        <w:t xml:space="preserve">  </w:t>
      </w:r>
      <w:r>
        <w:rPr>
          <w:i/>
          <w:iCs/>
        </w:rPr>
        <w:t>Id.</w:t>
      </w:r>
      <w:r>
        <w:t xml:space="preserve"> at 5007, para. 80.  We regret any confusion caused by the inadvertent use of “active or lit capacity” in the  </w:t>
      </w:r>
      <w:r w:rsidRPr="003B0FF1">
        <w:rPr>
          <w:i/>
          <w:iCs/>
        </w:rPr>
        <w:t xml:space="preserve">FY 2020 </w:t>
      </w:r>
      <w:r w:rsidRPr="005077B3">
        <w:rPr>
          <w:i/>
          <w:iCs/>
        </w:rPr>
        <w:t>NPRM</w:t>
      </w:r>
      <w:r>
        <w:t>.</w:t>
      </w:r>
    </w:p>
  </w:footnote>
  <w:footnote w:id="223">
    <w:p w:rsidR="00EA1210" w:rsidP="00584CDC" w14:paraId="2468C4F1" w14:textId="77777777">
      <w:pPr>
        <w:pStyle w:val="FootnoteText"/>
      </w:pPr>
      <w:r>
        <w:rPr>
          <w:rStyle w:val="FootnoteReference"/>
        </w:rPr>
        <w:footnoteRef/>
      </w:r>
      <w:r>
        <w:t xml:space="preserve"> </w:t>
      </w:r>
      <w:r w:rsidRPr="00580112">
        <w:rPr>
          <w:i/>
          <w:iCs/>
        </w:rPr>
        <w:t>FY</w:t>
      </w:r>
      <w:r>
        <w:rPr>
          <w:i/>
          <w:iCs/>
        </w:rPr>
        <w:t xml:space="preserve"> </w:t>
      </w:r>
      <w:r w:rsidRPr="00580112">
        <w:rPr>
          <w:i/>
          <w:iCs/>
        </w:rPr>
        <w:t>2019 R</w:t>
      </w:r>
      <w:r>
        <w:rPr>
          <w:i/>
          <w:iCs/>
        </w:rPr>
        <w:t>eport and Order</w:t>
      </w:r>
      <w:r>
        <w:t>, 34 FCC Rcd at 8204-05, para. 41.</w:t>
      </w:r>
    </w:p>
  </w:footnote>
  <w:footnote w:id="224">
    <w:p w:rsidR="00EA1210" w:rsidP="00584CDC" w14:paraId="62581941" w14:textId="5EB3A4A1">
      <w:pPr>
        <w:pStyle w:val="FootnoteText"/>
      </w:pPr>
      <w:r>
        <w:rPr>
          <w:rStyle w:val="FootnoteReference"/>
        </w:rPr>
        <w:footnoteRef/>
      </w:r>
      <w:r>
        <w:rPr>
          <w:i/>
          <w:iCs/>
        </w:rPr>
        <w:t xml:space="preserve"> </w:t>
      </w:r>
      <w:r w:rsidRPr="00DB24AF">
        <w:rPr>
          <w:i/>
          <w:iCs/>
        </w:rPr>
        <w:t>Id.</w:t>
      </w:r>
    </w:p>
  </w:footnote>
  <w:footnote w:id="225">
    <w:p w:rsidR="00EA1210" w:rsidRPr="009C03A7" w:rsidP="00584CDC" w14:paraId="68CDCC4B" w14:textId="77777777">
      <w:pPr>
        <w:pStyle w:val="FootnoteText"/>
        <w:rPr>
          <w:i/>
          <w:iCs/>
        </w:rPr>
      </w:pPr>
      <w:r>
        <w:rPr>
          <w:rStyle w:val="FootnoteReference"/>
        </w:rPr>
        <w:footnoteRef/>
      </w:r>
      <w:r>
        <w:t xml:space="preserve"> T</w:t>
      </w:r>
      <w:r w:rsidRPr="00943B91">
        <w:t xml:space="preserve">he </w:t>
      </w:r>
      <w:r>
        <w:t xml:space="preserve">submarine </w:t>
      </w:r>
      <w:r w:rsidRPr="00943B91">
        <w:t xml:space="preserve">cable industry </w:t>
      </w:r>
      <w:r>
        <w:t xml:space="preserve">also </w:t>
      </w:r>
      <w:r w:rsidRPr="00943B91">
        <w:t>uses</w:t>
      </w:r>
      <w:r>
        <w:t xml:space="preserve"> the term “lit capacity” for</w:t>
      </w:r>
      <w:r w:rsidRPr="00943B91">
        <w:t xml:space="preserve"> </w:t>
      </w:r>
      <w:r>
        <w:t xml:space="preserve">measuring the capacity available for use on </w:t>
      </w:r>
      <w:r w:rsidRPr="00943B91">
        <w:t>submarine cable</w:t>
      </w:r>
      <w:r>
        <w:t xml:space="preserve">s.  </w:t>
      </w:r>
      <w:r>
        <w:rPr>
          <w:i/>
          <w:iCs/>
        </w:rPr>
        <w:t>See</w:t>
      </w:r>
      <w:r w:rsidRPr="003B0FF1">
        <w:rPr>
          <w:snapToGrid w:val="0"/>
          <w:kern w:val="28"/>
          <w:sz w:val="22"/>
        </w:rPr>
        <w:t xml:space="preserve"> </w:t>
      </w:r>
      <w:hyperlink r:id="rId3" w:history="1">
        <w:r w:rsidRPr="003B0FF1">
          <w:rPr>
            <w:rStyle w:val="Hyperlink"/>
            <w:i/>
            <w:iCs/>
          </w:rPr>
          <w:t>https://www2.telegeography.com/submarine-cable-faqs-frequently-asked-questions</w:t>
        </w:r>
      </w:hyperlink>
      <w:r>
        <w:rPr>
          <w:i/>
          <w:iCs/>
        </w:rPr>
        <w:t xml:space="preserve"> </w:t>
      </w:r>
      <w:r w:rsidRPr="009C03A7">
        <w:t>(stating</w:t>
      </w:r>
      <w:r>
        <w:rPr>
          <w:i/>
          <w:iCs/>
        </w:rPr>
        <w:t xml:space="preserve"> </w:t>
      </w:r>
      <w:r w:rsidRPr="009C03A7">
        <w:t>that there are two principal ways of measuring a cable’s capacity: (1) Potential capacity; and (2) Lit capacity</w:t>
      </w:r>
      <w:r>
        <w:t>)</w:t>
      </w:r>
      <w:r w:rsidRPr="009C03A7">
        <w:t>.</w:t>
      </w:r>
      <w:r>
        <w:t xml:space="preserve">  </w:t>
      </w:r>
    </w:p>
  </w:footnote>
  <w:footnote w:id="226">
    <w:p w:rsidR="00EA1210" w:rsidP="00584CDC" w14:paraId="3A2358DA" w14:textId="77777777">
      <w:pPr>
        <w:pStyle w:val="FootnoteText"/>
      </w:pPr>
      <w:r>
        <w:rPr>
          <w:rStyle w:val="FootnoteReference"/>
        </w:rPr>
        <w:footnoteRef/>
      </w:r>
      <w:r>
        <w:t xml:space="preserve"> </w:t>
      </w:r>
      <w:r w:rsidRPr="00F64126">
        <w:rPr>
          <w:i/>
          <w:iCs/>
        </w:rPr>
        <w:t xml:space="preserve">See </w:t>
      </w:r>
      <w:r>
        <w:t xml:space="preserve">SBA Comments, NAB Comments, Redrock Comments, Mentor Comments, NJBA Comments, Morton Comments, CBA, et al. Comments, Dish and AT&amp; T Comments, </w:t>
      </w:r>
      <w:r>
        <w:t>Myriota</w:t>
      </w:r>
      <w:r>
        <w:t xml:space="preserve"> Comments, and </w:t>
      </w:r>
      <w:r>
        <w:t>OneWeb</w:t>
      </w:r>
      <w:r>
        <w:t xml:space="preserve"> Comments.   </w:t>
      </w:r>
    </w:p>
  </w:footnote>
  <w:footnote w:id="227">
    <w:p w:rsidR="00EA1210" w:rsidRPr="00F64126" w:rsidP="00584CDC" w14:paraId="7914637B" w14:textId="4C98B49E">
      <w:pPr>
        <w:pStyle w:val="FootnoteText"/>
      </w:pPr>
      <w:r>
        <w:rPr>
          <w:rStyle w:val="FootnoteReference"/>
        </w:rPr>
        <w:footnoteRef/>
      </w:r>
      <w:r>
        <w:t xml:space="preserve"> SBA Comments at 3, 6; NBA Comments at 3; Redrock Comments at 2; Mentor Comments at 2; NJBA Comments at 2, 5; Morton Comments at 1-2; CBA Comments at 1-2.</w:t>
      </w:r>
    </w:p>
  </w:footnote>
  <w:footnote w:id="228">
    <w:p w:rsidR="00EA1210" w:rsidP="00584CDC" w14:paraId="1E39600B" w14:textId="77777777">
      <w:pPr>
        <w:pStyle w:val="FootnoteText"/>
      </w:pPr>
      <w:r>
        <w:rPr>
          <w:rStyle w:val="FootnoteReference"/>
        </w:rPr>
        <w:footnoteRef/>
      </w:r>
      <w:r>
        <w:t xml:space="preserve"> Morton Comments at 2; CBA Comments at 2.  </w:t>
      </w:r>
    </w:p>
  </w:footnote>
  <w:footnote w:id="229">
    <w:p w:rsidR="00EA1210" w:rsidP="00584CDC" w14:paraId="1A26514D" w14:textId="77777777">
      <w:pPr>
        <w:pStyle w:val="FootnoteText"/>
      </w:pPr>
      <w:r>
        <w:rPr>
          <w:rStyle w:val="FootnoteReference"/>
        </w:rPr>
        <w:footnoteRef/>
      </w:r>
      <w:r>
        <w:t xml:space="preserve"> Mentor Comments at 2.</w:t>
      </w:r>
    </w:p>
  </w:footnote>
  <w:footnote w:id="230">
    <w:p w:rsidR="00EA1210" w:rsidP="00584CDC" w14:paraId="4B09BF81" w14:textId="77777777">
      <w:pPr>
        <w:pStyle w:val="FootnoteText"/>
      </w:pPr>
      <w:r>
        <w:rPr>
          <w:rStyle w:val="FootnoteReference"/>
        </w:rPr>
        <w:footnoteRef/>
      </w:r>
      <w:r>
        <w:t xml:space="preserve"> CBA Comments at 2 (suggesting that the Commission “relax and/or expand” the standards for broadcasters to obtain financial hardship waivers of their regulatory fee obligations”); Morton Comments at 2 (relax or expand the standards applied for stations seeking a waiver or deferral of the fees incurred.”); SBA Comments at 5 (“[T]he FCC should grant waivers of the fees due for any month(s) a broadcaster was off the air, in recognition of the fact that a silent station cannot earn the advertising revenues with which to pay its regulatory fees.”).</w:t>
      </w:r>
    </w:p>
  </w:footnote>
  <w:footnote w:id="231">
    <w:p w:rsidR="00EA1210" w:rsidP="00584CDC" w14:paraId="50048B1C" w14:textId="77777777">
      <w:pPr>
        <w:pStyle w:val="FootnoteText"/>
      </w:pPr>
      <w:r>
        <w:rPr>
          <w:rStyle w:val="FootnoteReference"/>
        </w:rPr>
        <w:footnoteRef/>
      </w:r>
      <w:r>
        <w:t xml:space="preserve"> Mentor Comments at 3.</w:t>
      </w:r>
    </w:p>
  </w:footnote>
  <w:footnote w:id="232">
    <w:p w:rsidR="00EA1210" w:rsidP="00584CDC" w14:paraId="59598371" w14:textId="77777777">
      <w:pPr>
        <w:pStyle w:val="FootnoteText"/>
      </w:pPr>
      <w:r>
        <w:rPr>
          <w:rStyle w:val="FootnoteReference"/>
        </w:rPr>
        <w:footnoteRef/>
      </w:r>
      <w:r>
        <w:t xml:space="preserve"> SBA Comments at 19.</w:t>
      </w:r>
    </w:p>
  </w:footnote>
  <w:footnote w:id="233">
    <w:p w:rsidR="00EA1210" w:rsidP="00584CDC" w14:paraId="5A1470D3" w14:textId="77777777">
      <w:pPr>
        <w:pStyle w:val="FootnoteText"/>
      </w:pPr>
      <w:r>
        <w:rPr>
          <w:rStyle w:val="FootnoteReference"/>
        </w:rPr>
        <w:footnoteRef/>
      </w:r>
      <w:r>
        <w:t xml:space="preserve"> CBA Comments at 6.</w:t>
      </w:r>
    </w:p>
  </w:footnote>
  <w:footnote w:id="234">
    <w:p w:rsidR="00EA1210" w:rsidP="00584CDC" w14:paraId="5D392245" w14:textId="77777777">
      <w:pPr>
        <w:pStyle w:val="FootnoteText"/>
      </w:pPr>
      <w:r>
        <w:rPr>
          <w:rStyle w:val="FootnoteReference"/>
        </w:rPr>
        <w:footnoteRef/>
      </w:r>
      <w:r>
        <w:t xml:space="preserve"> </w:t>
      </w:r>
      <w:r>
        <w:t>Myriota</w:t>
      </w:r>
      <w:r>
        <w:t xml:space="preserve"> Comments at 10; </w:t>
      </w:r>
      <w:r>
        <w:t>OneWeb</w:t>
      </w:r>
      <w:r>
        <w:t xml:space="preserve"> Comments at 2 (encouraging the Commission to consider different extended payment terms, including a six-month deferral for lump sum payment, and nominal interest rates.); NAB Comments at 9 (“[T]he Commission should liberally exercise its authority to provide broadcasters extended payment terms . . . [of] at least six to nine months. and additional time . . . [for] stations demonstrating more severe hardship.”); CBA Comments at 6 (arguing that the required financial documentation, down payment and administrative costs are unreasonable).</w:t>
      </w:r>
    </w:p>
  </w:footnote>
  <w:footnote w:id="235">
    <w:p w:rsidR="00EA1210" w:rsidP="00584CDC" w14:paraId="73E4A62D" w14:textId="77777777">
      <w:pPr>
        <w:pStyle w:val="FootnoteText"/>
      </w:pPr>
      <w:r>
        <w:rPr>
          <w:rStyle w:val="FootnoteReference"/>
        </w:rPr>
        <w:footnoteRef/>
      </w:r>
      <w:r>
        <w:t xml:space="preserve"> With this temporary waiver, parties seeking alternative or multiple requests for relief may do so in the form of one consolidated filing, or may instead file separate pleadings in accordance with section 1.1166(a) of our rules.  </w:t>
      </w:r>
    </w:p>
  </w:footnote>
  <w:footnote w:id="236">
    <w:p w:rsidR="00EA1210" w:rsidP="00584CDC" w14:paraId="06097563" w14:textId="77777777">
      <w:pPr>
        <w:pStyle w:val="FootnoteText"/>
      </w:pPr>
      <w:r>
        <w:rPr>
          <w:rStyle w:val="FootnoteReference"/>
        </w:rPr>
        <w:footnoteRef/>
      </w:r>
      <w:r>
        <w:t xml:space="preserve"> 31 U.S.C. § 3717(a).</w:t>
      </w:r>
    </w:p>
  </w:footnote>
  <w:footnote w:id="237">
    <w:p w:rsidR="00EA1210" w:rsidP="00584CDC" w14:paraId="33E8FBAE" w14:textId="77777777">
      <w:pPr>
        <w:pStyle w:val="FootnoteText"/>
      </w:pPr>
      <w:r>
        <w:rPr>
          <w:rStyle w:val="FootnoteReference"/>
        </w:rPr>
        <w:footnoteRef/>
      </w:r>
      <w:r>
        <w:t xml:space="preserve"> 47 CFR §1.1910.</w:t>
      </w:r>
    </w:p>
  </w:footnote>
  <w:footnote w:id="238">
    <w:p w:rsidR="00EA1210" w:rsidP="00584CDC" w14:paraId="0C0C1C34" w14:textId="1955ECBD">
      <w:pPr>
        <w:pStyle w:val="FootnoteText"/>
      </w:pPr>
      <w:r>
        <w:rPr>
          <w:rStyle w:val="FootnoteReference"/>
        </w:rPr>
        <w:footnoteRef/>
      </w:r>
      <w:r>
        <w:t xml:space="preserve"> 47 U.S.C. §§ 159(e).</w:t>
      </w:r>
    </w:p>
  </w:footnote>
  <w:footnote w:id="239">
    <w:p w:rsidR="00EA1210" w:rsidP="00584CDC" w14:paraId="47A2B023" w14:textId="1067D240">
      <w:pPr>
        <w:pStyle w:val="FootnoteText"/>
      </w:pPr>
      <w:r>
        <w:rPr>
          <w:rStyle w:val="FootnoteReference"/>
        </w:rPr>
        <w:footnoteRef/>
      </w:r>
      <w:r>
        <w:t xml:space="preserve"> 47 U.S.C. §§ 159(d).</w:t>
      </w:r>
    </w:p>
  </w:footnote>
  <w:footnote w:id="240">
    <w:p w:rsidR="00EA1210" w:rsidP="00584CDC" w14:paraId="474BFFDD" w14:textId="77777777">
      <w:pPr>
        <w:pStyle w:val="FootnoteText"/>
      </w:pPr>
      <w:r>
        <w:rPr>
          <w:rStyle w:val="FootnoteReference"/>
        </w:rPr>
        <w:footnoteRef/>
      </w:r>
      <w:r>
        <w:t xml:space="preserve"> </w:t>
      </w:r>
      <w:r w:rsidRPr="00241B2E">
        <w:rPr>
          <w:i/>
          <w:iCs/>
        </w:rPr>
        <w:t>Id.</w:t>
      </w:r>
      <w:r>
        <w:t xml:space="preserve"> </w:t>
      </w:r>
    </w:p>
  </w:footnote>
  <w:footnote w:id="241">
    <w:p w:rsidR="00EA1210" w:rsidRPr="00241B2E" w:rsidP="00584CDC" w14:paraId="49A39042" w14:textId="79F98E94">
      <w:pPr>
        <w:pStyle w:val="FootnoteText"/>
      </w:pPr>
      <w:r>
        <w:rPr>
          <w:rStyle w:val="FootnoteReference"/>
        </w:rPr>
        <w:footnoteRef/>
      </w:r>
      <w:r>
        <w:t xml:space="preserve"> 47 U.S.C. § 159(b) (“The Commission shall assess and </w:t>
      </w:r>
      <w:r w:rsidRPr="00241B2E">
        <w:t>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r>
        <w:t>”)</w:t>
      </w:r>
    </w:p>
  </w:footnote>
  <w:footnote w:id="242">
    <w:p w:rsidR="00EA1210" w:rsidP="00584CDC" w14:paraId="22E21F0D" w14:textId="75DFBFD8">
      <w:pPr>
        <w:pStyle w:val="FootnoteText"/>
      </w:pPr>
      <w:r>
        <w:rPr>
          <w:rStyle w:val="FootnoteReference"/>
        </w:rPr>
        <w:footnoteRef/>
      </w:r>
      <w:r>
        <w:t xml:space="preserve"> 47 U.S.C. § 159A(d).</w:t>
      </w:r>
    </w:p>
  </w:footnote>
  <w:footnote w:id="243">
    <w:p w:rsidR="00EA1210" w:rsidP="00584CDC" w14:paraId="57CDFEDA" w14:textId="77777777">
      <w:pPr>
        <w:pStyle w:val="FootnoteText"/>
      </w:pPr>
      <w:r>
        <w:rPr>
          <w:rStyle w:val="FootnoteReference"/>
        </w:rPr>
        <w:footnoteRef/>
      </w:r>
      <w:r>
        <w:t xml:space="preserve"> </w:t>
      </w:r>
      <w:r w:rsidRPr="00C17768">
        <w:rPr>
          <w:i/>
          <w:iCs/>
        </w:rPr>
        <w:t>FY 2019 R</w:t>
      </w:r>
      <w:r>
        <w:rPr>
          <w:i/>
          <w:iCs/>
        </w:rPr>
        <w:t>eport and Order</w:t>
      </w:r>
      <w:r>
        <w:t xml:space="preserve">, 34 FCC Rcd at 8207, para. 50.  </w:t>
      </w:r>
    </w:p>
  </w:footnote>
  <w:footnote w:id="244">
    <w:p w:rsidR="00EA1210" w:rsidP="00584CDC" w14:paraId="14B6D5D4" w14:textId="70EB5388">
      <w:pPr>
        <w:pStyle w:val="FootnoteText"/>
      </w:pPr>
      <w:r>
        <w:rPr>
          <w:rStyle w:val="FootnoteReference"/>
        </w:rPr>
        <w:footnoteRef/>
      </w:r>
      <w:r>
        <w:t xml:space="preserve"> 47 CFR § 1.1914.  This standard by its own terms is an easier one to meet than the waiver standard.  In 2019, the Commission explained that the application of our waiver authority remained unchanged since 1994 and is an essential aspect of the Commission’s satisfaction of its statutory duty.  </w:t>
      </w:r>
      <w:r w:rsidRPr="005077B3">
        <w:rPr>
          <w:i/>
          <w:iCs/>
        </w:rPr>
        <w:t>FY 2019 Report and Order</w:t>
      </w:r>
      <w:r>
        <w:t>, 34 FCC Rcd at 8207, paras. 49-50.</w:t>
      </w:r>
    </w:p>
  </w:footnote>
  <w:footnote w:id="245">
    <w:p w:rsidR="00EA1210" w:rsidP="00584CDC" w14:paraId="4535D752" w14:textId="731AC2AE">
      <w:pPr>
        <w:pStyle w:val="FootnoteText"/>
      </w:pPr>
      <w:r>
        <w:rPr>
          <w:rStyle w:val="FootnoteReference"/>
        </w:rPr>
        <w:footnoteRef/>
      </w:r>
      <w:r>
        <w:t xml:space="preserve"> </w:t>
      </w:r>
      <w:r>
        <w:t>Kineis</w:t>
      </w:r>
      <w:r>
        <w:t xml:space="preserve"> Comments at 8.</w:t>
      </w:r>
      <w:r w:rsidRPr="00F02E8E">
        <w:t xml:space="preserve"> </w:t>
      </w:r>
      <w:r>
        <w:t xml:space="preserve"> </w:t>
      </w:r>
      <w:r>
        <w:t>Kineis</w:t>
      </w:r>
      <w:r>
        <w:t xml:space="preserve"> also observes that in 1999 the Commission stated that establishing distinct fees for different types of NGSO networks “may warrant consideration.” </w:t>
      </w:r>
      <w:r w:rsidRPr="00F02E8E">
        <w:t xml:space="preserve"> </w:t>
      </w:r>
      <w:r>
        <w:t>Kineis</w:t>
      </w:r>
      <w:r>
        <w:t xml:space="preserve"> Reply  at 3 (quoting </w:t>
      </w:r>
      <w:r w:rsidRPr="000F1BB7">
        <w:rPr>
          <w:i/>
          <w:iCs/>
        </w:rPr>
        <w:t>FY 1999</w:t>
      </w:r>
      <w:r w:rsidRPr="00C932C7">
        <w:rPr>
          <w:i/>
        </w:rPr>
        <w:t xml:space="preserve"> Report and Order</w:t>
      </w:r>
      <w:r>
        <w:t xml:space="preserve">, 14 FCC Rcd at 9885, para. 46); </w:t>
      </w:r>
      <w:r>
        <w:t>Myriota</w:t>
      </w:r>
      <w:r>
        <w:t xml:space="preserve"> Reply Comments at 2 (same).</w:t>
      </w:r>
      <w:r w:rsidRPr="00F02E8E">
        <w:t xml:space="preserve"> </w:t>
      </w:r>
      <w:r>
        <w:t xml:space="preserve"> </w:t>
      </w:r>
      <w:r>
        <w:t>Kineis</w:t>
      </w:r>
      <w:r>
        <w:t xml:space="preserve"> contends that the issue of using multiple fee categories for different types of NGSO networks is ripe for renewed consideration now that the Commission has adopted the small satellite class of NGSO satellite networks.  </w:t>
      </w:r>
      <w:r>
        <w:t>Kineis</w:t>
      </w:r>
      <w:r>
        <w:t xml:space="preserve"> Reply  at 2.</w:t>
      </w:r>
    </w:p>
  </w:footnote>
  <w:footnote w:id="246">
    <w:p w:rsidR="00EA1210" w:rsidP="00584CDC" w14:paraId="3D922C32" w14:textId="77777777">
      <w:pPr>
        <w:pStyle w:val="FootnoteText"/>
      </w:pPr>
      <w:r>
        <w:rPr>
          <w:rStyle w:val="FootnoteReference"/>
        </w:rPr>
        <w:footnoteRef/>
      </w:r>
      <w:r>
        <w:t xml:space="preserve"> </w:t>
      </w:r>
      <w:r>
        <w:t>Kineis</w:t>
      </w:r>
      <w:r>
        <w:t xml:space="preserve"> Comments at 9.</w:t>
      </w:r>
    </w:p>
  </w:footnote>
  <w:footnote w:id="247">
    <w:p w:rsidR="00EA1210" w:rsidP="00584CDC" w14:paraId="2BB657FA" w14:textId="64AB7429">
      <w:pPr>
        <w:pStyle w:val="FootnoteText"/>
      </w:pPr>
      <w:r>
        <w:rPr>
          <w:rStyle w:val="FootnoteReference"/>
        </w:rPr>
        <w:footnoteRef/>
      </w:r>
      <w:r>
        <w:t xml:space="preserve"> </w:t>
      </w:r>
      <w:r w:rsidRPr="00DB24AF">
        <w:rPr>
          <w:i/>
          <w:iCs/>
        </w:rPr>
        <w:t>Id.</w:t>
      </w:r>
      <w:r>
        <w:t xml:space="preserve"> at 10.</w:t>
      </w:r>
    </w:p>
  </w:footnote>
  <w:footnote w:id="248">
    <w:p w:rsidR="00EA1210" w:rsidP="00584CDC" w14:paraId="0D59D52F" w14:textId="77777777">
      <w:pPr>
        <w:pStyle w:val="FootnoteText"/>
      </w:pPr>
      <w:r>
        <w:rPr>
          <w:rStyle w:val="FootnoteReference"/>
        </w:rPr>
        <w:footnoteRef/>
      </w:r>
      <w:r>
        <w:t xml:space="preserve"> Eutelsat Comments at 12-13.</w:t>
      </w:r>
    </w:p>
  </w:footnote>
  <w:footnote w:id="249">
    <w:p w:rsidR="00EA1210" w:rsidP="00584CDC" w14:paraId="4A542ADD" w14:textId="209438EA">
      <w:pPr>
        <w:pStyle w:val="FootnoteText"/>
      </w:pPr>
      <w:r>
        <w:rPr>
          <w:rStyle w:val="FootnoteReference"/>
        </w:rPr>
        <w:footnoteRef/>
      </w:r>
      <w:r>
        <w:t xml:space="preserve"> </w:t>
      </w:r>
      <w:r w:rsidRPr="00AB19E6">
        <w:rPr>
          <w:i/>
          <w:iCs/>
        </w:rPr>
        <w:t>Id.</w:t>
      </w:r>
      <w:r>
        <w:t xml:space="preserve"> at 13-14.</w:t>
      </w:r>
    </w:p>
  </w:footnote>
  <w:footnote w:id="250">
    <w:p w:rsidR="00EA1210" w:rsidP="00584CDC" w14:paraId="19FD425E" w14:textId="715831B0">
      <w:pPr>
        <w:pStyle w:val="FootnoteText"/>
      </w:pPr>
      <w:r>
        <w:rPr>
          <w:rStyle w:val="FootnoteReference"/>
        </w:rPr>
        <w:footnoteRef/>
      </w:r>
      <w:r>
        <w:t xml:space="preserve"> </w:t>
      </w:r>
      <w:r w:rsidRPr="00DB24AF">
        <w:rPr>
          <w:i/>
          <w:iCs/>
        </w:rPr>
        <w:t>Id.</w:t>
      </w:r>
      <w:r>
        <w:t>at 14.</w:t>
      </w:r>
    </w:p>
  </w:footnote>
  <w:footnote w:id="251">
    <w:p w:rsidR="00EA1210" w:rsidP="00584CDC" w14:paraId="23E7E113" w14:textId="5F770E1E">
      <w:pPr>
        <w:pStyle w:val="FootnoteText"/>
      </w:pPr>
      <w:r>
        <w:rPr>
          <w:rStyle w:val="FootnoteReference"/>
        </w:rPr>
        <w:footnoteRef/>
      </w:r>
      <w:r>
        <w:t xml:space="preserve"> </w:t>
      </w:r>
      <w:r>
        <w:t>Myriota</w:t>
      </w:r>
      <w:r>
        <w:t xml:space="preserve"> Comments at 5 &amp; Reply at 5-6.</w:t>
      </w:r>
    </w:p>
  </w:footnote>
  <w:footnote w:id="252">
    <w:p w:rsidR="00EA1210" w:rsidP="00584CDC" w14:paraId="11B24FFA" w14:textId="7565855D">
      <w:pPr>
        <w:pStyle w:val="FootnoteText"/>
      </w:pPr>
      <w:r>
        <w:rPr>
          <w:rStyle w:val="FootnoteReference"/>
        </w:rPr>
        <w:footnoteRef/>
      </w:r>
      <w:r>
        <w:t xml:space="preserve"> </w:t>
      </w:r>
      <w:r>
        <w:t>Myriota</w:t>
      </w:r>
      <w:r>
        <w:t xml:space="preserve"> Comments at 5 &amp; Reply at 5.</w:t>
      </w:r>
    </w:p>
  </w:footnote>
  <w:footnote w:id="253">
    <w:p w:rsidR="00EA1210" w:rsidP="00584CDC" w14:paraId="00B2D489" w14:textId="77777777">
      <w:pPr>
        <w:pStyle w:val="FootnoteText"/>
      </w:pPr>
      <w:r>
        <w:rPr>
          <w:rStyle w:val="FootnoteReference"/>
        </w:rPr>
        <w:footnoteRef/>
      </w:r>
      <w:r>
        <w:t xml:space="preserve"> </w:t>
      </w:r>
      <w:r>
        <w:t>Myriota</w:t>
      </w:r>
      <w:r>
        <w:t xml:space="preserve"> Comments at 6.</w:t>
      </w:r>
    </w:p>
  </w:footnote>
  <w:footnote w:id="254">
    <w:p w:rsidR="00EA1210" w:rsidP="00584CDC" w14:paraId="67902D69" w14:textId="52BA3346">
      <w:pPr>
        <w:pStyle w:val="FootnoteText"/>
      </w:pPr>
      <w:r>
        <w:rPr>
          <w:rStyle w:val="FootnoteReference"/>
        </w:rPr>
        <w:footnoteRef/>
      </w:r>
      <w:r>
        <w:rPr>
          <w:i/>
          <w:iCs/>
        </w:rPr>
        <w:t xml:space="preserve"> </w:t>
      </w:r>
      <w:r w:rsidRPr="00DB24AF">
        <w:rPr>
          <w:i/>
          <w:iCs/>
        </w:rPr>
        <w:t>Id.</w:t>
      </w:r>
      <w:r>
        <w:t>.</w:t>
      </w:r>
    </w:p>
  </w:footnote>
  <w:footnote w:id="255">
    <w:p w:rsidR="00EA1210" w:rsidP="00584CDC" w14:paraId="212B0457" w14:textId="4C4DF340">
      <w:pPr>
        <w:pStyle w:val="FootnoteText"/>
      </w:pPr>
      <w:r>
        <w:rPr>
          <w:rStyle w:val="FootnoteReference"/>
        </w:rPr>
        <w:footnoteRef/>
      </w:r>
      <w:r>
        <w:t xml:space="preserve"> </w:t>
      </w:r>
      <w:r w:rsidRPr="00DB24AF">
        <w:rPr>
          <w:i/>
          <w:iCs/>
        </w:rPr>
        <w:t>Id.</w:t>
      </w:r>
      <w:r>
        <w:t>at 7.</w:t>
      </w:r>
    </w:p>
  </w:footnote>
  <w:footnote w:id="256">
    <w:p w:rsidR="00EA1210" w:rsidP="00584CDC" w14:paraId="0A5251D4" w14:textId="77777777">
      <w:pPr>
        <w:pStyle w:val="FootnoteText"/>
      </w:pPr>
      <w:r>
        <w:rPr>
          <w:rStyle w:val="FootnoteReference"/>
        </w:rPr>
        <w:footnoteRef/>
      </w:r>
      <w:r>
        <w:t xml:space="preserve"> AWS Comments at 6.</w:t>
      </w:r>
    </w:p>
  </w:footnote>
  <w:footnote w:id="257">
    <w:p w:rsidR="00EA1210" w:rsidP="00584CDC" w14:paraId="1319EBCA" w14:textId="6579AA86">
      <w:pPr>
        <w:pStyle w:val="FootnoteText"/>
      </w:pPr>
      <w:r>
        <w:rPr>
          <w:rStyle w:val="FootnoteReference"/>
        </w:rPr>
        <w:footnoteRef/>
      </w:r>
      <w:r>
        <w:rPr>
          <w:i/>
          <w:iCs/>
        </w:rPr>
        <w:t xml:space="preserve"> </w:t>
      </w:r>
      <w:r w:rsidRPr="00DB24AF">
        <w:rPr>
          <w:i/>
          <w:iCs/>
        </w:rPr>
        <w:t>Id.</w:t>
      </w:r>
      <w:r>
        <w:t>.</w:t>
      </w:r>
    </w:p>
  </w:footnote>
  <w:footnote w:id="258">
    <w:p w:rsidR="00EA1210" w:rsidP="00584CDC" w14:paraId="64775994" w14:textId="77777777">
      <w:pPr>
        <w:pStyle w:val="FootnoteText"/>
      </w:pPr>
      <w:r>
        <w:rPr>
          <w:rStyle w:val="FootnoteReference"/>
        </w:rPr>
        <w:footnoteRef/>
      </w:r>
      <w:r>
        <w:t xml:space="preserve"> </w:t>
      </w:r>
      <w:r w:rsidRPr="005077B3">
        <w:rPr>
          <w:i/>
          <w:iCs/>
        </w:rPr>
        <w:t>See FY 2012 NPRM</w:t>
      </w:r>
      <w:r>
        <w:t xml:space="preserve">, 27 FCC Rcd </w:t>
      </w:r>
      <w:r w:rsidRPr="00EC23F9">
        <w:t>at 8464-65, paras. 14-16.  The concept of administrability includes the difficulty in collecting regulatory fees under a system that could have unpredictable dramatic shifts in assessed fees in certain categories from year to year.</w:t>
      </w:r>
    </w:p>
  </w:footnote>
  <w:footnote w:id="259">
    <w:p w:rsidR="00EA1210" w:rsidP="00584CDC" w14:paraId="51B4819E" w14:textId="77777777">
      <w:pPr>
        <w:pStyle w:val="FootnoteText"/>
      </w:pPr>
      <w:r>
        <w:rPr>
          <w:rStyle w:val="FootnoteReference"/>
        </w:rPr>
        <w:footnoteRef/>
      </w:r>
      <w:r>
        <w:t xml:space="preserve"> </w:t>
      </w:r>
      <w:r w:rsidRPr="00DC28B3">
        <w:rPr>
          <w:i/>
          <w:iCs/>
        </w:rPr>
        <w:t>See, e.g.</w:t>
      </w:r>
      <w:r>
        <w:t xml:space="preserve">, </w:t>
      </w:r>
      <w:r w:rsidRPr="00DC28B3">
        <w:rPr>
          <w:i/>
          <w:iCs/>
        </w:rPr>
        <w:t>Spire Global Application for an NGSO EESS license</w:t>
      </w:r>
      <w:r>
        <w:t xml:space="preserve">, IBFS File No. </w:t>
      </w:r>
      <w:r w:rsidRPr="00E00A5C">
        <w:t>SAT-LOA-20151123-00078</w:t>
      </w:r>
      <w:r>
        <w:t xml:space="preserve"> (filed Nov. 23, 2015), granted in part and deferred in part </w:t>
      </w:r>
      <w:r w:rsidRPr="00E00A5C">
        <w:t>Mar. 18, 2016</w:t>
      </w:r>
      <w:r>
        <w:t xml:space="preserve">, granted in part and deferred in part </w:t>
      </w:r>
      <w:r w:rsidRPr="00E00A5C">
        <w:t>June 16, 2016</w:t>
      </w:r>
      <w:r>
        <w:t xml:space="preserve">, granted in part and deferred in part </w:t>
      </w:r>
      <w:r w:rsidRPr="00E00A5C">
        <w:t>Oct. 14, 2016</w:t>
      </w:r>
      <w:r>
        <w:t>, amended Nov. 14, 2016, granted in part and deferred in part</w:t>
      </w:r>
      <w:r w:rsidRPr="00E00A5C">
        <w:t xml:space="preserve"> </w:t>
      </w:r>
      <w:r w:rsidRPr="007E7BF8">
        <w:t>Apr. 7, 2017</w:t>
      </w:r>
      <w:r>
        <w:t>,</w:t>
      </w:r>
      <w:r w:rsidRPr="007E7BF8">
        <w:t xml:space="preserve"> </w:t>
      </w:r>
      <w:r>
        <w:t xml:space="preserve">granted in part and deferred in part </w:t>
      </w:r>
      <w:r w:rsidRPr="00E00A5C">
        <w:t>May 18, 2017</w:t>
      </w:r>
      <w:r>
        <w:t>, amended Jan. 2, 2018, granted in part and deferred in part</w:t>
      </w:r>
      <w:r w:rsidRPr="00E00A5C">
        <w:t xml:space="preserve"> </w:t>
      </w:r>
      <w:r>
        <w:t xml:space="preserve">July 13, 2018, granted in part and deferred in part </w:t>
      </w:r>
      <w:r w:rsidRPr="007E7BF8">
        <w:t>Nov</w:t>
      </w:r>
      <w:r>
        <w:t>.</w:t>
      </w:r>
      <w:r w:rsidRPr="007E7BF8">
        <w:t xml:space="preserve"> 29, 201</w:t>
      </w:r>
      <w:r>
        <w:t xml:space="preserve">8, modification application pending in IBFS File No. </w:t>
      </w:r>
      <w:r w:rsidRPr="007E7BF8">
        <w:t>SAT-MOD-20200603-00065</w:t>
      </w:r>
      <w:r>
        <w:t>.</w:t>
      </w:r>
    </w:p>
  </w:footnote>
  <w:footnote w:id="260">
    <w:p w:rsidR="00EA1210" w:rsidP="00584CDC" w14:paraId="14DD7819" w14:textId="77777777">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261">
    <w:p w:rsidR="00EA1210" w:rsidP="00584CDC" w14:paraId="0F550790" w14:textId="77777777">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4" w:history="1">
        <w:r>
          <w:rPr>
            <w:rStyle w:val="Hyperlink"/>
          </w:rPr>
          <w:t>http://www.whitehouse.gov/the-press-office/2011/06/13/executive-order-13576-delivering-efficient-effective-and-accountable-gov</w:t>
        </w:r>
      </w:hyperlink>
      <w:r>
        <w:t>.</w:t>
      </w:r>
    </w:p>
  </w:footnote>
  <w:footnote w:id="262">
    <w:p w:rsidR="00EA1210" w:rsidP="00584CDC" w14:paraId="4C0FE6CB" w14:textId="77777777">
      <w:pPr>
        <w:pStyle w:val="FootnoteText"/>
      </w:pPr>
      <w:r>
        <w:rPr>
          <w:rStyle w:val="FootnoteReference"/>
        </w:rPr>
        <w:footnoteRef/>
      </w:r>
      <w:r>
        <w:t xml:space="preserve"> </w:t>
      </w:r>
      <w:r>
        <w:rPr>
          <w:i/>
          <w:iCs/>
        </w:rPr>
        <w:t>See</w:t>
      </w:r>
      <w:r>
        <w:t xml:space="preserve"> U.S. Department of the Treasury, Open Government Plan 2.1, Sept. 2012.</w:t>
      </w:r>
    </w:p>
  </w:footnote>
  <w:footnote w:id="263">
    <w:p w:rsidR="00EA1210" w:rsidP="00584CDC" w14:paraId="1915DE87" w14:textId="77777777">
      <w:pPr>
        <w:pStyle w:val="FootnoteText"/>
      </w:pPr>
      <w:r>
        <w:rPr>
          <w:rStyle w:val="FootnoteReference"/>
        </w:rPr>
        <w:footnoteRef/>
      </w:r>
      <w:r>
        <w:t xml:space="preserve"> </w:t>
      </w:r>
      <w:r w:rsidRPr="00A242B0">
        <w:rPr>
          <w:i/>
        </w:rPr>
        <w:t>FY 2</w:t>
      </w:r>
      <w:r>
        <w:rPr>
          <w:i/>
        </w:rPr>
        <w:t>015 Report and Order</w:t>
      </w:r>
      <w:r>
        <w:t xml:space="preserve">, 30 FCC Rcd at 10282-83, para. 35.  </w:t>
      </w:r>
      <w:r w:rsidRPr="001E39E8">
        <w:rPr>
          <w:i/>
        </w:rPr>
        <w:t>See</w:t>
      </w:r>
      <w:r>
        <w:t xml:space="preserve"> 47 CFR § 1.1158.</w:t>
      </w:r>
    </w:p>
  </w:footnote>
  <w:footnote w:id="264">
    <w:p w:rsidR="00EA1210" w:rsidRPr="00B60211" w:rsidP="00584CDC" w14:paraId="7706A048" w14:textId="77777777">
      <w:pPr>
        <w:pStyle w:val="FootnoteText"/>
      </w:pPr>
      <w:r w:rsidRPr="00B60211">
        <w:rPr>
          <w:rStyle w:val="FootnoteReference"/>
        </w:rPr>
        <w:footnoteRef/>
      </w:r>
      <w:r w:rsidRPr="00B60211">
        <w:t xml:space="preserve"> In accordance with </w:t>
      </w:r>
      <w:r>
        <w:t xml:space="preserve">U.S. </w:t>
      </w:r>
      <w:r w:rsidRPr="0045000A">
        <w:t>Treasury Financial Manual, Volume I, Part 5, Chapter 7000, Section 7045—Limitations on Card Collection Transactions.</w:t>
      </w:r>
      <w:r w:rsidRPr="00B60211">
        <w:t xml:space="preserve">, the </w:t>
      </w:r>
      <w:r>
        <w:t>amount that may be charged on a credit card for transactions with federal agencies has been reduced to $24,999.99.</w:t>
      </w:r>
    </w:p>
  </w:footnote>
  <w:footnote w:id="265">
    <w:p w:rsidR="00EA1210" w:rsidRPr="00B60211" w:rsidP="00584CDC" w14:paraId="543FCFAF" w14:textId="77777777">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r>
        <w:t xml:space="preserve">  For a list of acceptable credit cards, debit cards, and digital wallets, </w:t>
      </w:r>
      <w:r w:rsidRPr="002C7C70">
        <w:rPr>
          <w:i/>
          <w:iCs/>
        </w:rPr>
        <w:t>see</w:t>
      </w:r>
      <w:r>
        <w:t xml:space="preserve">  </w:t>
      </w:r>
      <w:r w:rsidRPr="007E129D">
        <w:t>https://www.pay.gov/WebHelp/HTML/payments_what.html</w:t>
      </w:r>
      <w:r>
        <w:t>.</w:t>
      </w:r>
    </w:p>
  </w:footnote>
  <w:footnote w:id="266">
    <w:p w:rsidR="00EA1210" w:rsidRPr="00B60211" w:rsidP="00584CDC" w14:paraId="2F0F4B36" w14:textId="77777777">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267">
    <w:p w:rsidR="00EA1210" w:rsidP="00584CDC" w14:paraId="78C519E6" w14:textId="77777777">
      <w:pPr>
        <w:pStyle w:val="FootnoteText"/>
      </w:pPr>
      <w:r>
        <w:rPr>
          <w:rStyle w:val="FootnoteReference"/>
        </w:rPr>
        <w:footnoteRef/>
      </w:r>
      <w:r>
        <w:t xml:space="preserve"> 47 CFR § 52.103.</w:t>
      </w:r>
    </w:p>
  </w:footnote>
  <w:footnote w:id="268">
    <w:p w:rsidR="00EA1210" w:rsidRPr="00B60211" w:rsidP="00584CDC" w14:paraId="3C7F911A" w14:textId="77777777">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9</w:t>
      </w:r>
      <w:r w:rsidRPr="00B60211">
        <w:rPr>
          <w:color w:val="000000"/>
        </w:rPr>
        <w:t>, rather than on a count as of December 31, 201</w:t>
      </w:r>
      <w:r>
        <w:rPr>
          <w:color w:val="000000"/>
        </w:rPr>
        <w:t>9</w:t>
      </w:r>
      <w:r w:rsidRPr="00B60211">
        <w:rPr>
          <w:color w:val="000000"/>
        </w:rPr>
        <w:t xml:space="preserve">. </w:t>
      </w:r>
    </w:p>
  </w:footnote>
  <w:footnote w:id="269">
    <w:p w:rsidR="00EA1210" w:rsidP="00584CDC" w14:paraId="04EE78BA" w14:textId="77777777">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particular</w:t>
      </w:r>
      <w:r w:rsidRPr="0041294C">
        <w:t xml:space="preserve"> IBC reporting processes to ensure that their </w:t>
      </w:r>
      <w:r>
        <w:t xml:space="preserve">calculation </w:t>
      </w:r>
      <w:r w:rsidRPr="0041294C">
        <w:t>methods comply with our rules.</w:t>
      </w:r>
    </w:p>
  </w:footnote>
  <w:footnote w:id="270">
    <w:p w:rsidR="00EA1210" w:rsidP="00584CDC" w14:paraId="4B9A28B9" w14:textId="77777777">
      <w:pPr>
        <w:pStyle w:val="FootnoteText"/>
      </w:pPr>
      <w:r>
        <w:rPr>
          <w:rStyle w:val="FootnoteReference"/>
        </w:rPr>
        <w:footnoteRef/>
      </w:r>
      <w:r>
        <w:t xml:space="preserve"> </w:t>
      </w:r>
      <w:r w:rsidRPr="00EA289F">
        <w:rPr>
          <w:i/>
          <w:iCs/>
        </w:rPr>
        <w:t>Assessment and Collection of Regulatory Fees for Fiscal Year 2005</w:t>
      </w:r>
      <w:r>
        <w:t xml:space="preserve">, </w:t>
      </w:r>
      <w:r w:rsidRPr="00C932C7">
        <w:t>Report and Order</w:t>
      </w:r>
      <w:r>
        <w:t>, 20 FCC Rcd 12259, 12264, paras. 38-44 (2005).</w:t>
      </w:r>
    </w:p>
  </w:footnote>
  <w:footnote w:id="271">
    <w:p w:rsidR="00EA1210" w:rsidP="00584CDC" w14:paraId="7419210A" w14:textId="77777777">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272">
    <w:p w:rsidR="00EA1210" w:rsidRPr="00B60211" w:rsidP="00584CDC" w14:paraId="031562B0" w14:textId="77777777">
      <w:pPr>
        <w:pStyle w:val="FootnoteText"/>
      </w:pPr>
      <w:r w:rsidRPr="00B60211">
        <w:rPr>
          <w:rStyle w:val="FootnoteReference"/>
        </w:rPr>
        <w:footnoteRef/>
      </w:r>
      <w:r w:rsidRPr="00B60211">
        <w:t xml:space="preserve"> 47 U.S.C. § 159</w:t>
      </w:r>
      <w:r>
        <w:t>A</w:t>
      </w:r>
      <w:r w:rsidRPr="00B60211">
        <w:t>(c)</w:t>
      </w:r>
      <w:r>
        <w:t>(1).</w:t>
      </w:r>
    </w:p>
  </w:footnote>
  <w:footnote w:id="273">
    <w:p w:rsidR="00EA1210" w:rsidP="00584CDC" w14:paraId="6677BCB2" w14:textId="77777777">
      <w:pPr>
        <w:pStyle w:val="FootnoteText"/>
      </w:pPr>
      <w:r>
        <w:rPr>
          <w:rStyle w:val="FootnoteReference"/>
        </w:rPr>
        <w:footnoteRef/>
      </w:r>
      <w:r>
        <w:t xml:space="preserve"> </w:t>
      </w:r>
      <w:r w:rsidRPr="003C560E">
        <w:rPr>
          <w:szCs w:val="22"/>
        </w:rPr>
        <w:t xml:space="preserve">Section 9A(c)(2) </w:t>
      </w:r>
      <w:r>
        <w:rPr>
          <w:szCs w:val="22"/>
        </w:rPr>
        <w:t>p</w:t>
      </w:r>
      <w:r w:rsidRPr="003C560E">
        <w:rPr>
          <w:szCs w:val="22"/>
        </w:rPr>
        <w:t xml:space="preserve">rovides that </w:t>
      </w:r>
      <w:r>
        <w:rPr>
          <w:szCs w:val="22"/>
        </w:rPr>
        <w:t xml:space="preserve">“section </w:t>
      </w:r>
      <w:r w:rsidRPr="003C560E">
        <w:rPr>
          <w:szCs w:val="22"/>
        </w:rPr>
        <w:t>3717 shall not otherwise apply to such a fee or penalty.</w:t>
      </w:r>
      <w:r>
        <w:rPr>
          <w:szCs w:val="22"/>
        </w:rPr>
        <w:t>”</w:t>
      </w:r>
    </w:p>
  </w:footnote>
  <w:footnote w:id="274">
    <w:p w:rsidR="00EA1210" w:rsidP="00584CDC" w14:paraId="1A8EF2CD" w14:textId="77777777">
      <w:pPr>
        <w:pStyle w:val="FootnoteText"/>
      </w:pPr>
      <w:r>
        <w:rPr>
          <w:rStyle w:val="FootnoteReference"/>
        </w:rPr>
        <w:footnoteRef/>
      </w:r>
      <w:r>
        <w:t xml:space="preserve"> </w:t>
      </w:r>
      <w:r w:rsidRPr="00A727BC">
        <w:rPr>
          <w:i/>
        </w:rPr>
        <w:t>See FY 2018 Report and Order</w:t>
      </w:r>
      <w:r>
        <w:t>, 33 FCC Rcd at 8502-8503, paras. 16-17 (adopting this amendment to section 1.1940 of our rules to conform to the RAY BAUM’S Act).</w:t>
      </w:r>
    </w:p>
  </w:footnote>
  <w:footnote w:id="275">
    <w:p w:rsidR="00EA1210" w:rsidRPr="002E4B94" w:rsidP="00584CDC" w14:paraId="79056FCC" w14:textId="77777777">
      <w:pPr>
        <w:pStyle w:val="FootnoteText"/>
      </w:pPr>
      <w:r>
        <w:rPr>
          <w:rStyle w:val="FootnoteReference"/>
        </w:rPr>
        <w:footnoteRef/>
      </w:r>
      <w:r>
        <w:t xml:space="preserve"> 31 U.S.C. §§ 3701 </w:t>
      </w:r>
      <w:r w:rsidRPr="000A70F5">
        <w:rPr>
          <w:i/>
        </w:rPr>
        <w:t>et seq.</w:t>
      </w:r>
      <w:r>
        <w:t xml:space="preserve">; 31 CFR §§ 901 </w:t>
      </w:r>
      <w:r w:rsidRPr="000A70F5">
        <w:rPr>
          <w:i/>
        </w:rPr>
        <w:t>et seq.</w:t>
      </w:r>
      <w:r>
        <w:t xml:space="preserve">; 47 CFR §§ 1.1901 </w:t>
      </w:r>
      <w:r w:rsidRPr="000A70F5">
        <w:rPr>
          <w:i/>
        </w:rPr>
        <w:t>et seq</w:t>
      </w:r>
      <w:r>
        <w:t>.</w:t>
      </w:r>
    </w:p>
  </w:footnote>
  <w:footnote w:id="276">
    <w:p w:rsidR="00EA1210" w:rsidRPr="00B60211" w:rsidP="00584CDC" w14:paraId="609ED055" w14:textId="77777777">
      <w:pPr>
        <w:pStyle w:val="FootnoteText"/>
      </w:pPr>
      <w:r w:rsidRPr="00B60211">
        <w:rPr>
          <w:rStyle w:val="FootnoteReference"/>
        </w:rPr>
        <w:footnoteRef/>
      </w:r>
      <w:r w:rsidRPr="00B60211">
        <w:t xml:space="preserve"> </w:t>
      </w:r>
      <w:r w:rsidRPr="00B60211">
        <w:rPr>
          <w:i/>
        </w:rPr>
        <w:t>See</w:t>
      </w:r>
      <w:r w:rsidRPr="00B60211">
        <w:t xml:space="preserve"> 47 CFR § 1.1910.</w:t>
      </w:r>
    </w:p>
  </w:footnote>
  <w:footnote w:id="277">
    <w:p w:rsidR="00EA1210" w:rsidP="00584CDC" w14:paraId="47AB2405" w14:textId="77777777">
      <w:pPr>
        <w:pStyle w:val="FootnoteText"/>
      </w:pPr>
      <w:r>
        <w:rPr>
          <w:rStyle w:val="FootnoteReference"/>
        </w:rPr>
        <w:footnoteRef/>
      </w:r>
      <w:r>
        <w:t xml:space="preserve"> </w:t>
      </w:r>
      <w:r w:rsidRPr="00141957">
        <w:t>47 U.S.C. § 159(c)(3)</w:t>
      </w:r>
      <w:r>
        <w:t xml:space="preserve">; </w:t>
      </w:r>
      <w:r w:rsidRPr="00141957">
        <w:t>47 CFR § 1.1164(f).</w:t>
      </w:r>
    </w:p>
  </w:footnote>
  <w:footnote w:id="278">
    <w:p w:rsidR="00EA1210" w:rsidRPr="00141957" w:rsidP="00584CDC" w14:paraId="0B91B72D" w14:textId="77777777">
      <w:pPr>
        <w:pStyle w:val="FootnoteText"/>
      </w:pPr>
      <w:r w:rsidRPr="00141957">
        <w:rPr>
          <w:rStyle w:val="FootnoteReference"/>
        </w:rPr>
        <w:footnoteRef/>
      </w:r>
      <w:r w:rsidRPr="00141957">
        <w:t xml:space="preserve"> 47 CFR § 1.1164(a).</w:t>
      </w:r>
    </w:p>
  </w:footnote>
  <w:footnote w:id="279">
    <w:p w:rsidR="00EA1210" w:rsidRPr="00037586" w:rsidP="00584CDC" w14:paraId="702CE747" w14:textId="77777777">
      <w:pPr>
        <w:pStyle w:val="FootnoteText"/>
      </w:pPr>
      <w:r>
        <w:rPr>
          <w:rStyle w:val="FootnoteReference"/>
        </w:rPr>
        <w:footnoteRef/>
      </w:r>
      <w:r>
        <w:t xml:space="preserve"> </w:t>
      </w:r>
      <w:r>
        <w:rPr>
          <w:i/>
        </w:rPr>
        <w:t>See, e.g.</w:t>
      </w:r>
      <w:r w:rsidRPr="001621B7">
        <w:rPr>
          <w:iCs/>
        </w:rPr>
        <w:t>,</w:t>
      </w:r>
      <w:r>
        <w:rPr>
          <w:i/>
        </w:rPr>
        <w:t xml:space="preserve"> </w:t>
      </w:r>
      <w:r>
        <w:rPr>
          <w:i/>
        </w:rPr>
        <w:t>Cortaro</w:t>
      </w:r>
      <w:r>
        <w:rPr>
          <w:i/>
        </w:rPr>
        <w:t xml:space="preserve"> Broadcasting Corp.,</w:t>
      </w:r>
      <w:r>
        <w:t xml:space="preserve"> Order to Pay or Show Cause</w:t>
      </w:r>
      <w:r>
        <w:rPr>
          <w:i/>
        </w:rPr>
        <w:t xml:space="preserve">, </w:t>
      </w:r>
      <w:r>
        <w:t>32 FCC Rcd 9336 (MB 2017).</w:t>
      </w:r>
    </w:p>
  </w:footnote>
  <w:footnote w:id="280">
    <w:p w:rsidR="00EA1210" w:rsidP="00584CDC" w14:paraId="05B175E6" w14:textId="7777777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281">
    <w:p w:rsidR="00EA1210" w:rsidP="00584CDC" w14:paraId="0404A9A3" w14:textId="7777777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282">
    <w:p w:rsidR="00EA1210" w:rsidRPr="00661179" w:rsidP="00584CDC" w14:paraId="41EC84B7" w14:textId="77777777">
      <w:pPr>
        <w:pStyle w:val="FootnoteText"/>
      </w:pPr>
      <w:r w:rsidRPr="00661179">
        <w:rPr>
          <w:rStyle w:val="FootnoteReference"/>
        </w:rPr>
        <w:footnoteRef/>
      </w:r>
      <w:r w:rsidRPr="00661179">
        <w:t xml:space="preserve"> </w:t>
      </w:r>
      <w:r w:rsidRPr="00F4003D">
        <w:rPr>
          <w:i/>
        </w:rPr>
        <w:t>See</w:t>
      </w:r>
      <w:r w:rsidRPr="00F4003D">
        <w:t xml:space="preserve"> </w:t>
      </w:r>
      <w:r w:rsidRPr="00F4003D">
        <w:rPr>
          <w:i/>
        </w:rPr>
        <w:t>Electronic Filing of Documents in Rulemaking Proceedings</w:t>
      </w:r>
      <w:r w:rsidRPr="00F4003D">
        <w:t>, 63 FR 24121 (1998).</w:t>
      </w:r>
    </w:p>
  </w:footnote>
  <w:footnote w:id="283">
    <w:p w:rsidR="00EA1210" w:rsidRPr="007E653A" w:rsidP="00584CDC" w14:paraId="29AC4AA8" w14:textId="77777777">
      <w:pPr>
        <w:pStyle w:val="FootnoteText"/>
        <w:rPr>
          <w:lang w:val="es-ES"/>
        </w:rPr>
      </w:pPr>
      <w:r w:rsidRPr="00661179">
        <w:rPr>
          <w:rStyle w:val="FootnoteReference"/>
        </w:rPr>
        <w:footnoteRef/>
      </w:r>
      <w:r w:rsidRPr="00661179">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61179">
        <w:rPr>
          <w:i/>
          <w:iCs/>
        </w:rPr>
        <w:t>  FCC Announces Closure of FCC Headquarters Open Window and Change in Hand-Delivery Filing</w:t>
      </w:r>
      <w:r w:rsidRPr="00661179">
        <w:t>,</w:t>
      </w:r>
      <w:r w:rsidRPr="00661179">
        <w:rPr>
          <w:i/>
          <w:iCs/>
        </w:rPr>
        <w:t xml:space="preserve"> </w:t>
      </w:r>
      <w:r w:rsidRPr="00661179">
        <w:t xml:space="preserve">Public Notice, </w:t>
      </w:r>
      <w:r>
        <w:t xml:space="preserve">35 FCC Rcd 2788 </w:t>
      </w:r>
      <w:r w:rsidRPr="00661179">
        <w:t>(</w:t>
      </w:r>
      <w:r>
        <w:t xml:space="preserve">MD </w:t>
      </w:r>
      <w:r w:rsidRPr="007E653A">
        <w:rPr>
          <w:lang w:val="es-ES"/>
        </w:rPr>
        <w:t>2020)</w:t>
      </w:r>
      <w:r>
        <w:rPr>
          <w:lang w:val="es-ES"/>
        </w:rPr>
        <w:t xml:space="preserve">, </w:t>
      </w:r>
      <w:hyperlink r:id="rId5" w:history="1">
        <w:r w:rsidRPr="000C6050">
          <w:rPr>
            <w:rStyle w:val="Hyperlink"/>
            <w:bdr w:val="none" w:sz="0" w:space="0" w:color="auto" w:frame="1"/>
            <w:shd w:val="clear" w:color="auto" w:fill="FFFFFF"/>
            <w:lang w:val="es-ES"/>
          </w:rPr>
          <w:t>https://www.fcc.gov/document/fcc-closes-headquarters-open-window-and-changes-hand-delivery-policy</w:t>
        </w:r>
      </w:hyperlink>
      <w:r w:rsidRPr="007E653A">
        <w:rPr>
          <w:lang w:val="es-ES"/>
        </w:rPr>
        <w:t>.</w:t>
      </w:r>
      <w:r w:rsidRPr="007E653A">
        <w:rPr>
          <w:color w:val="201F1E"/>
          <w:shd w:val="clear" w:color="auto" w:fill="FFFFFF"/>
          <w:lang w:val="es-ES"/>
        </w:rPr>
        <w:t> </w:t>
      </w:r>
    </w:p>
    <w:p w:rsidR="00EA1210" w:rsidRPr="007E653A" w:rsidP="00584CDC" w14:paraId="51B8D144" w14:textId="77777777">
      <w:pPr>
        <w:pStyle w:val="FootnoteText"/>
        <w:rPr>
          <w:lang w:val="es-ES"/>
        </w:rPr>
      </w:pPr>
    </w:p>
  </w:footnote>
  <w:footnote w:id="284">
    <w:p w:rsidR="009C1C1C" w:rsidP="009C1C1C" w14:paraId="53EE03B4"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85">
    <w:p w:rsidR="009C1C1C" w:rsidP="009C1C1C" w14:paraId="6D10EA27" w14:textId="77777777">
      <w:pPr>
        <w:pStyle w:val="FootnoteText"/>
      </w:pPr>
      <w:r>
        <w:rPr>
          <w:rStyle w:val="FootnoteReference"/>
        </w:rPr>
        <w:footnoteRef/>
      </w:r>
      <w:r>
        <w:t xml:space="preserve"> </w:t>
      </w:r>
      <w:r w:rsidRPr="006A75BE">
        <w:rPr>
          <w:i/>
        </w:rPr>
        <w:t>Assessment and Collection of Regulatory Fees for Fiscal Year 2</w:t>
      </w:r>
      <w:r>
        <w:rPr>
          <w:i/>
        </w:rPr>
        <w:t>020</w:t>
      </w:r>
      <w:r>
        <w:t>, Report and Order and Notice of Proposed Rulemaking, 35 FCC Rcd 4976 (2020) (</w:t>
      </w:r>
      <w:r w:rsidRPr="00262FD1">
        <w:rPr>
          <w:i/>
          <w:iCs/>
        </w:rPr>
        <w:t>Notice</w:t>
      </w:r>
      <w:r>
        <w:t>).</w:t>
      </w:r>
    </w:p>
  </w:footnote>
  <w:footnote w:id="286">
    <w:p w:rsidR="009C1C1C" w:rsidP="009C1C1C" w14:paraId="3CF3CB3C" w14:textId="77777777">
      <w:pPr>
        <w:pStyle w:val="FootnoteText"/>
      </w:pPr>
      <w:r>
        <w:rPr>
          <w:rStyle w:val="FootnoteReference"/>
        </w:rPr>
        <w:footnoteRef/>
      </w:r>
      <w:r>
        <w:t xml:space="preserve"> </w:t>
      </w:r>
      <w:r>
        <w:rPr>
          <w:spacing w:val="-2"/>
          <w:lang w:val="fr-FR"/>
        </w:rPr>
        <w:t>5 U.S.C. § 604.</w:t>
      </w:r>
    </w:p>
  </w:footnote>
  <w:footnote w:id="287">
    <w:p w:rsidR="009C1C1C" w:rsidP="009C1C1C" w14:paraId="6FC89A61" w14:textId="77777777">
      <w:pPr>
        <w:pStyle w:val="FootnoteText"/>
      </w:pPr>
      <w:r>
        <w:rPr>
          <w:rStyle w:val="FootnoteReference"/>
        </w:rPr>
        <w:footnoteRef/>
      </w:r>
      <w:r>
        <w:t xml:space="preserve"> 47 U.S.C. </w:t>
      </w:r>
      <w:r>
        <w:rPr>
          <w:spacing w:val="-2"/>
          <w:lang w:val="fr-FR"/>
        </w:rPr>
        <w:t>§ 159.</w:t>
      </w:r>
    </w:p>
  </w:footnote>
  <w:footnote w:id="288">
    <w:p w:rsidR="009C1C1C" w:rsidP="009C1C1C" w14:paraId="7DD7766B" w14:textId="77777777">
      <w:pPr>
        <w:pStyle w:val="FootnoteText"/>
      </w:pPr>
      <w:r>
        <w:rPr>
          <w:rStyle w:val="FootnoteReference"/>
        </w:rPr>
        <w:footnoteRef/>
      </w:r>
      <w:r>
        <w:t xml:space="preserve"> 47 U.S.C. </w:t>
      </w:r>
      <w:r>
        <w:rPr>
          <w:spacing w:val="-2"/>
          <w:lang w:val="fr-FR"/>
        </w:rPr>
        <w:t>§ 159(a).</w:t>
      </w:r>
    </w:p>
  </w:footnote>
  <w:footnote w:id="289">
    <w:p w:rsidR="009C1C1C" w:rsidP="009C1C1C" w14:paraId="4DE6D863" w14:textId="77777777">
      <w:pPr>
        <w:pStyle w:val="FootnoteText"/>
      </w:pPr>
      <w:r>
        <w:rPr>
          <w:rStyle w:val="FootnoteReference"/>
        </w:rPr>
        <w:footnoteRef/>
      </w:r>
      <w:r>
        <w:t xml:space="preserve"> </w:t>
      </w:r>
      <w:r>
        <w:rPr>
          <w:rStyle w:val="Footnote"/>
        </w:rPr>
        <w:t>5 U.S.C. § 603(b)(3).</w:t>
      </w:r>
    </w:p>
  </w:footnote>
  <w:footnote w:id="290">
    <w:p w:rsidR="009C1C1C" w:rsidP="009C1C1C" w14:paraId="2C082F00" w14:textId="77777777">
      <w:pPr>
        <w:pStyle w:val="FootnoteText"/>
      </w:pPr>
      <w:r>
        <w:rPr>
          <w:rStyle w:val="FootnoteReference"/>
        </w:rPr>
        <w:footnoteRef/>
      </w:r>
      <w:r>
        <w:t xml:space="preserve"> </w:t>
      </w:r>
      <w:r>
        <w:rPr>
          <w:rStyle w:val="Footnote"/>
        </w:rPr>
        <w:t>5 U.S.C. § 601(6).</w:t>
      </w:r>
    </w:p>
  </w:footnote>
  <w:footnote w:id="291">
    <w:p w:rsidR="009C1C1C" w:rsidP="009C1C1C" w14:paraId="50FFCF17"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92">
    <w:p w:rsidR="009C1C1C" w:rsidP="009C1C1C" w14:paraId="00B89920" w14:textId="77777777">
      <w:pPr>
        <w:pStyle w:val="FootnoteText"/>
      </w:pPr>
      <w:r>
        <w:rPr>
          <w:rStyle w:val="FootnoteReference"/>
        </w:rPr>
        <w:footnoteRef/>
      </w:r>
      <w:r>
        <w:t xml:space="preserve"> </w:t>
      </w:r>
      <w:r>
        <w:rPr>
          <w:rStyle w:val="Footnote"/>
        </w:rPr>
        <w:t>15 U.S.C. § 632.</w:t>
      </w:r>
    </w:p>
  </w:footnote>
  <w:footnote w:id="293">
    <w:p w:rsidR="009C1C1C" w:rsidP="009C1C1C" w14:paraId="44D70617" w14:textId="77777777">
      <w:pPr>
        <w:pStyle w:val="FootnoteText"/>
      </w:pPr>
      <w:r>
        <w:rPr>
          <w:rStyle w:val="FootnoteReference"/>
        </w:rPr>
        <w:footnoteRef/>
      </w:r>
      <w:r>
        <w:t xml:space="preserve"> </w:t>
      </w:r>
      <w:r w:rsidRPr="005A3505">
        <w:rPr>
          <w:i/>
        </w:rPr>
        <w:t>See</w:t>
      </w:r>
      <w:r w:rsidRPr="005A3505">
        <w:t xml:space="preserve"> SBA, Office of Advocacy</w:t>
      </w:r>
      <w:r>
        <w:t xml:space="preserve">, “Frequently Asked Questions,” </w:t>
      </w:r>
      <w:hyperlink r:id="rId6" w:history="1">
        <w:r w:rsidRPr="00EE3A67">
          <w:rPr>
            <w:rStyle w:val="Hyperlink"/>
          </w:rPr>
          <w:t>https://www.sba.gov/sites/default/files/advocacy/SB-FAQ-2016_WEB.pdf</w:t>
        </w:r>
      </w:hyperlink>
      <w:r>
        <w:t>.</w:t>
      </w:r>
    </w:p>
  </w:footnote>
  <w:footnote w:id="294">
    <w:p w:rsidR="009C1C1C" w:rsidP="009C1C1C" w14:paraId="0811734E" w14:textId="77777777">
      <w:pPr>
        <w:pStyle w:val="FootnoteText"/>
      </w:pPr>
      <w:r>
        <w:rPr>
          <w:rStyle w:val="FootnoteReference"/>
        </w:rPr>
        <w:footnoteRef/>
      </w:r>
      <w:r>
        <w:t xml:space="preserve"> </w:t>
      </w:r>
      <w:hyperlink r:id="rId7" w:history="1">
        <w:r w:rsidRPr="00C662B9">
          <w:rPr>
            <w:rStyle w:val="Hyperlink"/>
          </w:rPr>
          <w:t>http://www.census.gov/cgi-bin/sssd/naics/naicsrch</w:t>
        </w:r>
      </w:hyperlink>
      <w:r>
        <w:t>.</w:t>
      </w:r>
    </w:p>
  </w:footnote>
  <w:footnote w:id="295">
    <w:p w:rsidR="009C1C1C" w:rsidP="009C1C1C" w14:paraId="20813933" w14:textId="77777777">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296">
    <w:p w:rsidR="009C1C1C" w:rsidRPr="001B08D4" w:rsidP="009C1C1C" w14:paraId="187C2668" w14:textId="77777777">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9C1C1C" w:rsidRPr="00A54FE6" w:rsidP="009C1C1C" w14:paraId="6DDA2531" w14:textId="77777777">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64D1B898"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297">
    <w:p w:rsidR="009C1C1C" w:rsidP="009C1C1C" w14:paraId="5CA3795B" w14:textId="77777777">
      <w:pPr>
        <w:pStyle w:val="FootnoteText"/>
      </w:pPr>
      <w:r>
        <w:rPr>
          <w:rStyle w:val="FootnoteReference"/>
        </w:rPr>
        <w:footnoteRef/>
      </w:r>
      <w:r>
        <w:t xml:space="preserve"> </w:t>
      </w:r>
      <w:r w:rsidRPr="00D15B65">
        <w:rPr>
          <w:rStyle w:val="Footnote"/>
        </w:rPr>
        <w:t>13</w:t>
      </w:r>
      <w:r w:rsidRPr="0020482D">
        <w:t xml:space="preserve"> </w:t>
      </w:r>
      <w:r w:rsidRPr="00D15B65">
        <w:rPr>
          <w:rStyle w:val="Footnote"/>
        </w:rPr>
        <w:t>C</w:t>
      </w:r>
      <w:r>
        <w:rPr>
          <w:rStyle w:val="Footnote"/>
        </w:rPr>
        <w:t>F</w:t>
      </w:r>
      <w:r w:rsidRPr="00D15B65">
        <w:rPr>
          <w:rStyle w:val="Footnote"/>
        </w:rPr>
        <w:t>R § 121.201, NAICS code 517110</w:t>
      </w:r>
      <w:r>
        <w:rPr>
          <w:rStyle w:val="Footnote"/>
        </w:rPr>
        <w:t>.</w:t>
      </w:r>
    </w:p>
  </w:footnote>
  <w:footnote w:id="298">
    <w:p w:rsidR="009C1C1C" w:rsidRPr="001B08D4" w:rsidP="009C1C1C" w14:paraId="0673859C" w14:textId="77777777">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9C1C1C" w:rsidRPr="00A54FE6" w:rsidP="009C1C1C" w14:paraId="18D95437" w14:textId="77777777">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648091B4"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299">
    <w:p w:rsidR="009C1C1C" w:rsidP="009C1C1C" w14:paraId="33628A6C" w14:textId="77777777">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300">
    <w:p w:rsidR="009C1C1C" w:rsidRPr="001B08D4" w:rsidP="009C1C1C" w14:paraId="66651784" w14:textId="77777777">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9C1C1C" w:rsidRPr="00A54FE6" w:rsidP="009C1C1C" w14:paraId="4F440B54" w14:textId="77777777">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00737055"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301">
    <w:p w:rsidR="009C1C1C" w:rsidP="009C1C1C" w14:paraId="67A9260C" w14:textId="7777777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302">
    <w:p w:rsidR="009C1C1C" w:rsidP="009C1C1C" w14:paraId="5F258AE7" w14:textId="77777777">
      <w:pPr>
        <w:pStyle w:val="FootnoteText"/>
      </w:pPr>
      <w:r>
        <w:rPr>
          <w:rStyle w:val="FootnoteReference"/>
        </w:rPr>
        <w:footnoteRef/>
      </w:r>
      <w:r>
        <w:t xml:space="preserve"> </w:t>
      </w:r>
      <w:r w:rsidRPr="00007763">
        <w:rPr>
          <w:i/>
        </w:rPr>
        <w:t>Id.</w:t>
      </w:r>
    </w:p>
  </w:footnote>
  <w:footnote w:id="303">
    <w:p w:rsidR="009C1C1C" w:rsidP="009C1C1C" w14:paraId="3E4E9E7A" w14:textId="77777777">
      <w:pPr>
        <w:pStyle w:val="FootnoteText"/>
      </w:pPr>
      <w:r>
        <w:rPr>
          <w:rStyle w:val="FootnoteReference"/>
        </w:rPr>
        <w:footnoteRef/>
      </w:r>
      <w:r>
        <w:t xml:space="preserve"> </w:t>
      </w:r>
      <w:r>
        <w:rPr>
          <w:rStyle w:val="FootnoteTextChar4"/>
        </w:rPr>
        <w:t>13 CFR § 121.201, NAICS code 517110.</w:t>
      </w:r>
    </w:p>
  </w:footnote>
  <w:footnote w:id="304">
    <w:p w:rsidR="009C1C1C" w:rsidRPr="001B08D4" w:rsidP="009C1C1C" w14:paraId="69229100" w14:textId="77777777">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9C1C1C" w:rsidRPr="00A54FE6" w:rsidP="009C1C1C" w14:paraId="6E218F4E" w14:textId="77777777">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1883892B"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305">
    <w:p w:rsidR="009C1C1C" w:rsidP="009C1C1C" w14:paraId="0931E468" w14:textId="77777777">
      <w:pPr>
        <w:pStyle w:val="FootnoteText"/>
      </w:pPr>
      <w:r>
        <w:rPr>
          <w:rStyle w:val="FootnoteReference"/>
        </w:rPr>
        <w:footnoteRef/>
      </w:r>
      <w:r>
        <w:t xml:space="preserve"> </w:t>
      </w:r>
      <w:r>
        <w:rPr>
          <w:i/>
        </w:rPr>
        <w:t>See Trends in Telephone Service,</w:t>
      </w:r>
      <w:r>
        <w:t xml:space="preserve"> at </w:t>
      </w:r>
      <w:r>
        <w:t>tbl</w:t>
      </w:r>
      <w:r>
        <w:t>. 5.3.</w:t>
      </w:r>
    </w:p>
  </w:footnote>
  <w:footnote w:id="306">
    <w:p w:rsidR="009C1C1C" w:rsidP="009C1C1C" w14:paraId="5A141C95" w14:textId="77777777">
      <w:pPr>
        <w:pStyle w:val="FootnoteText"/>
      </w:pPr>
      <w:r>
        <w:rPr>
          <w:rStyle w:val="FootnoteReference"/>
        </w:rPr>
        <w:footnoteRef/>
      </w:r>
      <w:r>
        <w:t xml:space="preserve"> </w:t>
      </w:r>
      <w:r>
        <w:rPr>
          <w:i/>
        </w:rPr>
        <w:t>I</w:t>
      </w:r>
      <w:r w:rsidRPr="00F71FA2">
        <w:rPr>
          <w:i/>
        </w:rPr>
        <w:t>d.</w:t>
      </w:r>
    </w:p>
  </w:footnote>
  <w:footnote w:id="307">
    <w:p w:rsidR="009C1C1C" w:rsidP="009C1C1C" w14:paraId="50995FD0" w14:textId="77777777">
      <w:pPr>
        <w:pStyle w:val="FootnoteText"/>
      </w:pPr>
      <w:r>
        <w:rPr>
          <w:rStyle w:val="FootnoteReference"/>
        </w:rPr>
        <w:footnoteRef/>
      </w:r>
      <w:r>
        <w:t xml:space="preserve"> </w:t>
      </w:r>
      <w:r w:rsidRPr="00C71B0F">
        <w:rPr>
          <w:i/>
        </w:rPr>
        <w:t>Id.</w:t>
      </w:r>
    </w:p>
  </w:footnote>
  <w:footnote w:id="308">
    <w:p w:rsidR="009C1C1C" w:rsidP="009C1C1C" w14:paraId="26FD86AE" w14:textId="77777777">
      <w:pPr>
        <w:pStyle w:val="FootnoteText"/>
      </w:pPr>
      <w:r>
        <w:rPr>
          <w:rStyle w:val="FootnoteReference"/>
        </w:rPr>
        <w:footnoteRef/>
      </w:r>
      <w:r>
        <w:t xml:space="preserve"> </w:t>
      </w:r>
      <w:r w:rsidRPr="00C71B0F">
        <w:rPr>
          <w:i/>
        </w:rPr>
        <w:t>Id.</w:t>
      </w:r>
    </w:p>
  </w:footnote>
  <w:footnote w:id="309">
    <w:p w:rsidR="009C1C1C" w:rsidP="009C1C1C" w14:paraId="67248C10" w14:textId="77777777">
      <w:pPr>
        <w:pStyle w:val="FootnoteText"/>
      </w:pPr>
      <w:r>
        <w:rPr>
          <w:rStyle w:val="FootnoteReference"/>
        </w:rPr>
        <w:footnoteRef/>
      </w:r>
      <w:r>
        <w:t xml:space="preserve"> </w:t>
      </w:r>
      <w:r w:rsidRPr="00C71B0F">
        <w:rPr>
          <w:i/>
        </w:rPr>
        <w:t>Id.</w:t>
      </w:r>
    </w:p>
  </w:footnote>
  <w:footnote w:id="310">
    <w:p w:rsidR="009C1C1C" w:rsidP="009C1C1C" w14:paraId="001E2D44" w14:textId="77777777">
      <w:pPr>
        <w:pStyle w:val="FootnoteText"/>
      </w:pPr>
      <w:r>
        <w:rPr>
          <w:rStyle w:val="FootnoteReference"/>
        </w:rPr>
        <w:footnoteRef/>
      </w:r>
      <w:r>
        <w:t xml:space="preserve"> </w:t>
      </w:r>
      <w:r>
        <w:rPr>
          <w:color w:val="000000"/>
        </w:rPr>
        <w:t>13 CFR § 121.201, NAICS code 517110.</w:t>
      </w:r>
    </w:p>
  </w:footnote>
  <w:footnote w:id="311">
    <w:p w:rsidR="009C1C1C" w:rsidRPr="001B08D4" w:rsidP="009C1C1C" w14:paraId="20BB28F3" w14:textId="77777777">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9C1C1C" w:rsidRPr="00A54FE6" w:rsidP="009C1C1C" w14:paraId="471EC24D" w14:textId="77777777">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0210EBE7"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312">
    <w:p w:rsidR="009C1C1C" w:rsidP="009C1C1C" w14:paraId="5E36ADEB" w14:textId="77777777">
      <w:pPr>
        <w:pStyle w:val="FootnoteText"/>
      </w:pPr>
      <w:r>
        <w:rPr>
          <w:rStyle w:val="FootnoteReference"/>
        </w:rPr>
        <w:footnoteRef/>
      </w:r>
      <w:r>
        <w:t xml:space="preserve"> </w:t>
      </w:r>
      <w:r>
        <w:rPr>
          <w:i/>
        </w:rPr>
        <w:t>See Trends in Telephone Service,</w:t>
      </w:r>
      <w:r>
        <w:t xml:space="preserve"> at </w:t>
      </w:r>
      <w:r>
        <w:t>tbl</w:t>
      </w:r>
      <w:r>
        <w:t>. 5.3.</w:t>
      </w:r>
    </w:p>
  </w:footnote>
  <w:footnote w:id="313">
    <w:p w:rsidR="009C1C1C" w:rsidP="009C1C1C" w14:paraId="72BB08A1" w14:textId="77777777">
      <w:pPr>
        <w:pStyle w:val="FootnoteText"/>
      </w:pPr>
      <w:r>
        <w:rPr>
          <w:rStyle w:val="FootnoteReference"/>
        </w:rPr>
        <w:footnoteRef/>
      </w:r>
      <w:r>
        <w:t xml:space="preserve"> </w:t>
      </w:r>
      <w:r w:rsidRPr="0026657E">
        <w:rPr>
          <w:i/>
        </w:rPr>
        <w:t>Id.</w:t>
      </w:r>
    </w:p>
  </w:footnote>
  <w:footnote w:id="314">
    <w:p w:rsidR="009C1C1C" w:rsidP="009C1C1C" w14:paraId="0C470DCA" w14:textId="77777777">
      <w:pPr>
        <w:pStyle w:val="FootnoteText"/>
      </w:pPr>
      <w:r>
        <w:rPr>
          <w:rStyle w:val="FootnoteReference"/>
        </w:rPr>
        <w:footnoteRef/>
      </w:r>
      <w:r>
        <w:t xml:space="preserve"> </w:t>
      </w:r>
      <w:hyperlink r:id="rId8" w:history="1">
        <w:r w:rsidRPr="00F7466E">
          <w:rPr>
            <w:rStyle w:val="Hyperlink"/>
          </w:rPr>
          <w:t>http://www.census.gov/cgi-bin/ssd/naics/naicsrch</w:t>
        </w:r>
      </w:hyperlink>
      <w:r>
        <w:t>.</w:t>
      </w:r>
    </w:p>
  </w:footnote>
  <w:footnote w:id="315">
    <w:p w:rsidR="009C1C1C" w:rsidP="009C1C1C" w14:paraId="1CE8B741" w14:textId="77777777">
      <w:pPr>
        <w:pStyle w:val="FootnoteText"/>
      </w:pPr>
      <w:r>
        <w:rPr>
          <w:rStyle w:val="FootnoteReference"/>
        </w:rPr>
        <w:footnoteRef/>
      </w:r>
      <w:r>
        <w:t xml:space="preserve"> </w:t>
      </w:r>
      <w:r>
        <w:rPr>
          <w:color w:val="000000"/>
        </w:rPr>
        <w:t>13 CFR § 121.201, NAICS code 517911.</w:t>
      </w:r>
    </w:p>
  </w:footnote>
  <w:footnote w:id="316">
    <w:p w:rsidR="009C1C1C" w:rsidRPr="00603E5E" w:rsidP="009C1C1C" w14:paraId="26CB0D49" w14:textId="77777777">
      <w:pPr>
        <w:pStyle w:val="FootnoteText"/>
        <w:spacing w:after="0"/>
      </w:pPr>
      <w:r>
        <w:rPr>
          <w:rStyle w:val="FootnoteReference"/>
        </w:rPr>
        <w:footnoteRef/>
      </w:r>
      <w:r>
        <w:t xml:space="preserve"> </w:t>
      </w:r>
      <w:r>
        <w:fldChar w:fldCharType="begin"/>
      </w:r>
      <w:r>
        <w:instrText xml:space="preserve"> HYPERLINK "</w:instrText>
      </w:r>
      <w:r w:rsidRPr="00603E5E">
        <w:instrText>http://factfinder.census.gov/faces/tableservices/jsf/pages/productview.xhtml?</w:instrText>
      </w:r>
    </w:p>
    <w:p w:rsidR="009C1C1C" w:rsidRPr="00A54FE6" w:rsidP="009C1C1C" w14:paraId="56C966BC" w14:textId="77777777">
      <w:pPr>
        <w:pStyle w:val="FootnoteText"/>
        <w:spacing w:after="0"/>
        <w:rPr>
          <w:rStyle w:val="Hyperlink"/>
        </w:rPr>
      </w:pPr>
      <w:r w:rsidRPr="00603E5E">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8A1C84" w:rsidP="009C1C1C" w14:paraId="07772380" w14:textId="77777777">
      <w:pPr>
        <w:pStyle w:val="FootnoteText"/>
      </w:pPr>
      <w:r w:rsidRPr="00A54FE6">
        <w:rPr>
          <w:rStyle w:val="Hyperlink"/>
        </w:rPr>
        <w:t>pid</w:t>
      </w:r>
      <w:r w:rsidRPr="00A54FE6">
        <w:rPr>
          <w:rStyle w:val="Hyperlink"/>
        </w:rPr>
        <w:t>=ECN_2012_US_51SSSZ5&amp;prodType=table</w:t>
      </w:r>
      <w:r>
        <w:fldChar w:fldCharType="end"/>
      </w:r>
      <w:r>
        <w:rPr>
          <w:sz w:val="16"/>
          <w:szCs w:val="16"/>
        </w:rPr>
        <w:t>.</w:t>
      </w:r>
    </w:p>
  </w:footnote>
  <w:footnote w:id="317">
    <w:p w:rsidR="009C1C1C" w:rsidP="009C1C1C" w14:paraId="009999E1" w14:textId="77777777">
      <w:pPr>
        <w:pStyle w:val="FootnoteText"/>
      </w:pPr>
      <w:r>
        <w:rPr>
          <w:rStyle w:val="FootnoteReference"/>
        </w:rPr>
        <w:footnoteRef/>
      </w:r>
      <w:r>
        <w:t xml:space="preserve"> </w:t>
      </w:r>
      <w:r>
        <w:rPr>
          <w:i/>
        </w:rPr>
        <w:t>See Trends in Telephone Service,</w:t>
      </w:r>
      <w:r>
        <w:t xml:space="preserve"> at </w:t>
      </w:r>
      <w:r>
        <w:t>tbl</w:t>
      </w:r>
      <w:r>
        <w:t>. 5.3.</w:t>
      </w:r>
    </w:p>
  </w:footnote>
  <w:footnote w:id="318">
    <w:p w:rsidR="009C1C1C" w:rsidP="009C1C1C" w14:paraId="1FB0FEF1" w14:textId="77777777">
      <w:pPr>
        <w:pStyle w:val="FootnoteText"/>
      </w:pPr>
      <w:r>
        <w:rPr>
          <w:rStyle w:val="FootnoteReference"/>
        </w:rPr>
        <w:footnoteRef/>
      </w:r>
      <w:r>
        <w:t xml:space="preserve"> </w:t>
      </w:r>
      <w:r w:rsidRPr="00860117">
        <w:rPr>
          <w:i/>
        </w:rPr>
        <w:t>Id.</w:t>
      </w:r>
    </w:p>
  </w:footnote>
  <w:footnote w:id="319">
    <w:p w:rsidR="009C1C1C" w:rsidP="009C1C1C" w14:paraId="643131DA" w14:textId="77777777">
      <w:pPr>
        <w:pStyle w:val="FootnoteText"/>
      </w:pPr>
      <w:r>
        <w:rPr>
          <w:rStyle w:val="FootnoteReference"/>
        </w:rPr>
        <w:footnoteRef/>
      </w:r>
      <w:r>
        <w:t xml:space="preserve"> </w:t>
      </w:r>
      <w:r>
        <w:rPr>
          <w:color w:val="000000"/>
        </w:rPr>
        <w:t>13 CFR § 121.201, NAICS code 517911.</w:t>
      </w:r>
    </w:p>
  </w:footnote>
  <w:footnote w:id="320">
    <w:p w:rsidR="009C1C1C" w:rsidRPr="00802C81" w:rsidP="009C1C1C" w14:paraId="4E52566B" w14:textId="77777777">
      <w:pPr>
        <w:pStyle w:val="FootnoteText"/>
        <w:spacing w:after="0"/>
      </w:pPr>
      <w:r>
        <w:rPr>
          <w:rStyle w:val="FootnoteReference"/>
        </w:rPr>
        <w:footnoteRef/>
      </w:r>
      <w:r>
        <w:t xml:space="preserve"> </w:t>
      </w:r>
      <w:r>
        <w:fldChar w:fldCharType="begin"/>
      </w:r>
      <w:r>
        <w:instrText xml:space="preserve"> HYPERLINK "</w:instrText>
      </w:r>
      <w:r w:rsidRPr="00802C81">
        <w:instrText>http://factfinder.census.gov/faces/tableservices/jsf/pages/productview.xhtml?</w:instrText>
      </w:r>
    </w:p>
    <w:p w:rsidR="009C1C1C" w:rsidRPr="00A54FE6" w:rsidP="009C1C1C" w14:paraId="47CA1D57" w14:textId="77777777">
      <w:pPr>
        <w:pStyle w:val="FootnoteText"/>
        <w:spacing w:after="0"/>
        <w:rPr>
          <w:rStyle w:val="Hyperlink"/>
        </w:rPr>
      </w:pPr>
      <w:r w:rsidRPr="00802C81">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105D71" w:rsidP="009C1C1C" w14:paraId="2FD45D9C" w14:textId="77777777">
      <w:pPr>
        <w:pStyle w:val="FootnoteText"/>
      </w:pPr>
      <w:r w:rsidRPr="00A54FE6">
        <w:rPr>
          <w:rStyle w:val="Hyperlink"/>
        </w:rPr>
        <w:t>pid</w:t>
      </w:r>
      <w:r w:rsidRPr="00A54FE6">
        <w:rPr>
          <w:rStyle w:val="Hyperlink"/>
        </w:rPr>
        <w:t>=ECN_2012_US_51SSSZ5&amp;prodType=table</w:t>
      </w:r>
      <w:r>
        <w:fldChar w:fldCharType="end"/>
      </w:r>
      <w:r>
        <w:rPr>
          <w:sz w:val="16"/>
          <w:szCs w:val="16"/>
        </w:rPr>
        <w:t>.</w:t>
      </w:r>
    </w:p>
  </w:footnote>
  <w:footnote w:id="321">
    <w:p w:rsidR="009C1C1C" w:rsidP="009C1C1C" w14:paraId="0117FCB2" w14:textId="77777777">
      <w:pPr>
        <w:pStyle w:val="FootnoteText"/>
      </w:pPr>
      <w:r>
        <w:rPr>
          <w:rStyle w:val="FootnoteReference"/>
        </w:rPr>
        <w:footnoteRef/>
      </w:r>
      <w:r>
        <w:t xml:space="preserve"> </w:t>
      </w:r>
      <w:r>
        <w:rPr>
          <w:i/>
          <w:color w:val="000000"/>
        </w:rPr>
        <w:t>See Trends in Telephone Service,</w:t>
      </w:r>
      <w:r>
        <w:rPr>
          <w:color w:val="000000"/>
        </w:rPr>
        <w:t xml:space="preserve"> at </w:t>
      </w:r>
      <w:r>
        <w:rPr>
          <w:color w:val="000000"/>
        </w:rPr>
        <w:t>tbl</w:t>
      </w:r>
      <w:r>
        <w:rPr>
          <w:color w:val="000000"/>
        </w:rPr>
        <w:t xml:space="preserve">. 5.3.  </w:t>
      </w:r>
    </w:p>
  </w:footnote>
  <w:footnote w:id="322">
    <w:p w:rsidR="009C1C1C" w:rsidP="009C1C1C" w14:paraId="1045F609" w14:textId="77777777">
      <w:pPr>
        <w:pStyle w:val="FootnoteText"/>
      </w:pPr>
      <w:r>
        <w:rPr>
          <w:rStyle w:val="FootnoteReference"/>
        </w:rPr>
        <w:footnoteRef/>
      </w:r>
      <w:r>
        <w:t xml:space="preserve"> </w:t>
      </w:r>
      <w:r w:rsidRPr="00E024DD">
        <w:rPr>
          <w:i/>
        </w:rPr>
        <w:t>Id.</w:t>
      </w:r>
    </w:p>
  </w:footnote>
  <w:footnote w:id="323">
    <w:p w:rsidR="009C1C1C" w:rsidP="009C1C1C" w14:paraId="66FC61AE" w14:textId="77777777">
      <w:pPr>
        <w:pStyle w:val="FootnoteText"/>
      </w:pPr>
      <w:r>
        <w:rPr>
          <w:rStyle w:val="FootnoteReference"/>
        </w:rPr>
        <w:footnoteRef/>
      </w:r>
      <w:r>
        <w:t xml:space="preserve"> </w:t>
      </w:r>
      <w:r>
        <w:rPr>
          <w:color w:val="000000"/>
        </w:rPr>
        <w:t>13 CFR § 121.201, NAICS code 517911.</w:t>
      </w:r>
    </w:p>
  </w:footnote>
  <w:footnote w:id="324">
    <w:p w:rsidR="009C1C1C" w:rsidRPr="00802C81" w:rsidP="009C1C1C" w14:paraId="7B3C2E35" w14:textId="77777777">
      <w:pPr>
        <w:pStyle w:val="FootnoteText"/>
        <w:spacing w:after="0"/>
      </w:pPr>
      <w:r>
        <w:rPr>
          <w:rStyle w:val="FootnoteReference"/>
        </w:rPr>
        <w:footnoteRef/>
      </w:r>
      <w:r>
        <w:t xml:space="preserve"> </w:t>
      </w:r>
      <w:r>
        <w:fldChar w:fldCharType="begin"/>
      </w:r>
      <w:r>
        <w:instrText xml:space="preserve"> HYPERLINK "</w:instrText>
      </w:r>
      <w:r w:rsidRPr="00802C81">
        <w:instrText>http://factfinder.census.gov/faces/tableservices/jsf/pages/productview.xhtml?</w:instrText>
      </w:r>
    </w:p>
    <w:p w:rsidR="009C1C1C" w:rsidRPr="00A54FE6" w:rsidP="009C1C1C" w14:paraId="4EC58F41" w14:textId="77777777">
      <w:pPr>
        <w:pStyle w:val="FootnoteText"/>
        <w:spacing w:after="0"/>
        <w:rPr>
          <w:rStyle w:val="Hyperlink"/>
        </w:rPr>
      </w:pPr>
      <w:r w:rsidRPr="00802C81">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0C158EF4"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325">
    <w:p w:rsidR="009C1C1C" w:rsidP="009C1C1C" w14:paraId="3219CE0E" w14:textId="77777777">
      <w:pPr>
        <w:pStyle w:val="FootnoteText"/>
      </w:pPr>
      <w:r>
        <w:rPr>
          <w:rStyle w:val="FootnoteReference"/>
        </w:rPr>
        <w:footnoteRef/>
      </w:r>
      <w:r>
        <w:t xml:space="preserve"> </w:t>
      </w:r>
      <w:r w:rsidRPr="00F7466E">
        <w:rPr>
          <w:i/>
        </w:rPr>
        <w:t>Id</w:t>
      </w:r>
      <w:r>
        <w:t>.</w:t>
      </w:r>
    </w:p>
  </w:footnote>
  <w:footnote w:id="326">
    <w:p w:rsidR="009C1C1C" w:rsidP="009C1C1C" w14:paraId="2302B765"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327">
    <w:p w:rsidR="009C1C1C" w:rsidP="009C1C1C" w14:paraId="3A425C08" w14:textId="77777777">
      <w:pPr>
        <w:pStyle w:val="FootnoteText"/>
      </w:pPr>
      <w:r>
        <w:rPr>
          <w:rStyle w:val="FootnoteReference"/>
        </w:rPr>
        <w:footnoteRef/>
      </w:r>
      <w:r>
        <w:t xml:space="preserve"> </w:t>
      </w:r>
      <w:r w:rsidRPr="00E52E8F">
        <w:rPr>
          <w:i/>
        </w:rPr>
        <w:t>Id.</w:t>
      </w:r>
    </w:p>
  </w:footnote>
  <w:footnote w:id="328">
    <w:p w:rsidR="009C1C1C" w:rsidP="009C1C1C" w14:paraId="1ED17D8B" w14:textId="77777777">
      <w:pPr>
        <w:pStyle w:val="FootnoteText"/>
      </w:pPr>
      <w:r>
        <w:rPr>
          <w:rStyle w:val="FootnoteReference"/>
        </w:rPr>
        <w:footnoteRef/>
      </w:r>
      <w:r>
        <w:t xml:space="preserve"> </w:t>
      </w:r>
      <w:r>
        <w:rPr>
          <w:color w:val="000000"/>
        </w:rPr>
        <w:t>13 CFR § 121.201, NAICS code 517110.</w:t>
      </w:r>
    </w:p>
  </w:footnote>
  <w:footnote w:id="329">
    <w:p w:rsidR="009C1C1C" w:rsidRPr="00DE61B6" w:rsidP="009C1C1C" w14:paraId="65CA00C8" w14:textId="77777777">
      <w:pPr>
        <w:pStyle w:val="FootnoteText"/>
        <w:spacing w:after="0"/>
      </w:pPr>
      <w:r>
        <w:rPr>
          <w:rStyle w:val="FootnoteReference"/>
        </w:rPr>
        <w:footnoteRef/>
      </w:r>
      <w:r>
        <w:t xml:space="preserve"> </w:t>
      </w:r>
      <w:r>
        <w:fldChar w:fldCharType="begin"/>
      </w:r>
      <w:r>
        <w:instrText xml:space="preserve"> HYPERLINK "</w:instrText>
      </w:r>
      <w:r w:rsidRPr="00DE61B6">
        <w:instrText>http://factfinder.census.gov/faces/tableservices/jsf/pages/productview.xhtml?</w:instrText>
      </w:r>
    </w:p>
    <w:p w:rsidR="009C1C1C" w:rsidRPr="00A54FE6" w:rsidP="009C1C1C" w14:paraId="118CD6D8" w14:textId="77777777">
      <w:pPr>
        <w:pStyle w:val="FootnoteText"/>
        <w:spacing w:after="0"/>
        <w:rPr>
          <w:rStyle w:val="Hyperlink"/>
        </w:rPr>
      </w:pPr>
      <w:r w:rsidRPr="00DE61B6">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631ADC4E"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330">
    <w:p w:rsidR="009C1C1C" w:rsidP="009C1C1C" w14:paraId="18829340"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331">
    <w:p w:rsidR="009C1C1C" w:rsidP="009C1C1C" w14:paraId="6457BBD7" w14:textId="77777777">
      <w:pPr>
        <w:pStyle w:val="FootnoteText"/>
      </w:pPr>
      <w:r>
        <w:rPr>
          <w:rStyle w:val="FootnoteReference"/>
        </w:rPr>
        <w:footnoteRef/>
      </w:r>
      <w:r>
        <w:t xml:space="preserve"> </w:t>
      </w:r>
      <w:r w:rsidRPr="00B605CD">
        <w:rPr>
          <w:i/>
        </w:rPr>
        <w:t>Id.</w:t>
      </w:r>
    </w:p>
  </w:footnote>
  <w:footnote w:id="332">
    <w:p w:rsidR="009C1C1C" w:rsidP="009C1C1C" w14:paraId="14CE0CC9" w14:textId="77777777">
      <w:pPr>
        <w:pStyle w:val="FootnoteText"/>
      </w:pPr>
      <w:r>
        <w:rPr>
          <w:rStyle w:val="FootnoteReference"/>
        </w:rPr>
        <w:footnoteRef/>
      </w:r>
      <w:r>
        <w:t xml:space="preserve"> NAICS code 517210.  </w:t>
      </w:r>
      <w:r w:rsidRPr="00C114BE">
        <w:rPr>
          <w:i/>
        </w:rPr>
        <w:t>See</w:t>
      </w:r>
      <w:r>
        <w:t xml:space="preserve"> </w:t>
      </w:r>
      <w:hyperlink r:id="rId9" w:history="1">
        <w:r w:rsidRPr="00C114BE">
          <w:rPr>
            <w:rStyle w:val="Hyperlink"/>
          </w:rPr>
          <w:t>http://www.census.gov/cgi-bin/ssd/naics/naiscsrch</w:t>
        </w:r>
      </w:hyperlink>
      <w:r>
        <w:t>.</w:t>
      </w:r>
    </w:p>
  </w:footnote>
  <w:footnote w:id="333">
    <w:p w:rsidR="009C1C1C" w:rsidP="009C1C1C" w14:paraId="3FCD4127"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334">
    <w:p w:rsidR="009C1C1C" w:rsidP="009C1C1C" w14:paraId="40494F9B" w14:textId="77777777">
      <w:pPr>
        <w:pStyle w:val="FootnoteText"/>
      </w:pPr>
      <w:r>
        <w:rPr>
          <w:rStyle w:val="FootnoteReference"/>
        </w:rPr>
        <w:footnoteRef/>
      </w:r>
      <w:r>
        <w:t xml:space="preserve"> </w:t>
      </w:r>
      <w:r w:rsidRPr="00233E31">
        <w:rPr>
          <w:i/>
        </w:rPr>
        <w:t>Id.</w:t>
      </w:r>
    </w:p>
  </w:footnote>
  <w:footnote w:id="335">
    <w:p w:rsidR="009C1C1C" w:rsidP="009C1C1C" w14:paraId="577FD05D" w14:textId="77777777">
      <w:pPr>
        <w:pStyle w:val="FootnoteText"/>
      </w:pPr>
      <w:r>
        <w:rPr>
          <w:rStyle w:val="FootnoteReference"/>
          <w:szCs w:val="22"/>
        </w:rPr>
        <w:footnoteRef/>
      </w:r>
      <w:r>
        <w:rPr>
          <w:szCs w:val="22"/>
        </w:rPr>
        <w:t xml:space="preserve"> U.S. Census Bureau, 2012 NAICS code Economic Census Definitions,</w:t>
      </w:r>
      <w:r>
        <w:rPr>
          <w:bCs/>
          <w:szCs w:val="22"/>
        </w:rPr>
        <w:t xml:space="preserve"> </w:t>
      </w:r>
      <w:hyperlink r:id="rId10" w:history="1">
        <w:r w:rsidRPr="00A54FE6">
          <w:rPr>
            <w:rStyle w:val="Hyperlink"/>
            <w:bCs/>
            <w:szCs w:val="22"/>
          </w:rPr>
          <w:t>http://www.census.gov.cgi-bin/sssd/naics/naicsrch</w:t>
        </w:r>
      </w:hyperlink>
      <w:r>
        <w:rPr>
          <w:bCs/>
          <w:szCs w:val="22"/>
        </w:rPr>
        <w:t>.</w:t>
      </w:r>
    </w:p>
  </w:footnote>
  <w:footnote w:id="336">
    <w:p w:rsidR="009C1C1C" w:rsidP="009C1C1C" w14:paraId="5D695E91" w14:textId="77777777">
      <w:pPr>
        <w:pStyle w:val="FootnoteText"/>
      </w:pPr>
      <w:r>
        <w:rPr>
          <w:rStyle w:val="FootnoteReference"/>
        </w:rPr>
        <w:footnoteRef/>
      </w:r>
      <w:r>
        <w:t xml:space="preserve"> 13 CFR § 121.201, NAICS code 515120.</w:t>
      </w:r>
    </w:p>
  </w:footnote>
  <w:footnote w:id="337">
    <w:p w:rsidR="009C1C1C" w:rsidP="009C1C1C" w14:paraId="2E5DD843" w14:textId="77777777">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hyperlink r:id="rId11" w:history="1">
        <w:r w:rsidRPr="00EE3A67">
          <w:rPr>
            <w:rStyle w:val="Hyperlink"/>
          </w:rPr>
          <w:t>https://apps.fcc.gov/edocs_public/attachmatch/DOC-344256A1.pdf</w:t>
        </w:r>
      </w:hyperlink>
      <w:r>
        <w:t>.</w:t>
      </w:r>
    </w:p>
  </w:footnote>
  <w:footnote w:id="338">
    <w:p w:rsidR="009C1C1C" w:rsidP="009C1C1C" w14:paraId="613E5848" w14:textId="77777777">
      <w:pPr>
        <w:pStyle w:val="FootnoteText"/>
      </w:pPr>
      <w:r>
        <w:rPr>
          <w:rStyle w:val="FootnoteReference"/>
        </w:rPr>
        <w:footnoteRef/>
      </w:r>
      <w:r>
        <w:t xml:space="preserve"> We recognize that BIA’s estimate differs slightly from the FCC total.</w:t>
      </w:r>
    </w:p>
  </w:footnote>
  <w:footnote w:id="339">
    <w:p w:rsidR="009C1C1C" w:rsidP="009C1C1C" w14:paraId="2FCDA91C" w14:textId="77777777">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w:t>
      </w:r>
      <w:r>
        <w:rPr>
          <w:szCs w:val="22"/>
        </w:rPr>
        <w:t>parties</w:t>
      </w:r>
      <w:r>
        <w:rPr>
          <w:szCs w:val="22"/>
        </w:rPr>
        <w:t xml:space="preserve"> controls or has the power to control both.”  13 CFR § 21.103(a)(1).</w:t>
      </w:r>
    </w:p>
  </w:footnote>
  <w:footnote w:id="340">
    <w:p w:rsidR="009C1C1C" w:rsidP="009C1C1C" w14:paraId="7FDD60AC" w14:textId="77777777">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hyperlink r:id="rId11" w:history="1">
        <w:r w:rsidRPr="00EE3A67">
          <w:rPr>
            <w:rStyle w:val="Hyperlink"/>
          </w:rPr>
          <w:t>https://apps.fcc.gov/edocs_public/attachmatch/DOC-344256A1.pdf</w:t>
        </w:r>
      </w:hyperlink>
      <w:r>
        <w:t>.</w:t>
      </w:r>
    </w:p>
  </w:footnote>
  <w:footnote w:id="341">
    <w:p w:rsidR="009C1C1C" w:rsidP="009C1C1C" w14:paraId="6AD2ADF4" w14:textId="77777777">
      <w:pPr>
        <w:pStyle w:val="FootnoteText"/>
      </w:pPr>
      <w:r>
        <w:rPr>
          <w:rStyle w:val="FootnoteReference"/>
        </w:rPr>
        <w:footnoteRef/>
      </w:r>
      <w:r>
        <w:t xml:space="preserve"> </w:t>
      </w:r>
      <w:r>
        <w:rPr>
          <w:i/>
        </w:rPr>
        <w:t>See generally</w:t>
      </w:r>
      <w:r>
        <w:t xml:space="preserve"> 5 U.S.C. §§ 601(4), (6).</w:t>
      </w:r>
    </w:p>
  </w:footnote>
  <w:footnote w:id="342">
    <w:p w:rsidR="009C1C1C" w:rsidP="009C1C1C" w14:paraId="2F685311" w14:textId="77777777">
      <w:pPr>
        <w:pStyle w:val="FootnoteText"/>
      </w:pPr>
      <w:r>
        <w:rPr>
          <w:rStyle w:val="FootnoteReference"/>
        </w:rPr>
        <w:footnoteRef/>
      </w:r>
      <w:r>
        <w:rPr>
          <w:i/>
        </w:rPr>
        <w:t xml:space="preserve"> See</w:t>
      </w:r>
      <w:r>
        <w:t xml:space="preserve"> </w:t>
      </w:r>
      <w:r>
        <w:rPr>
          <w:i/>
        </w:rPr>
        <w:t>FCC News Release</w:t>
      </w:r>
      <w:r>
        <w:t>, “Broadcast Station Totals as of March 31, 2017,” April 11, 2017;</w:t>
      </w:r>
      <w:r w:rsidRPr="003F41A2">
        <w:t xml:space="preserve"> </w:t>
      </w:r>
      <w:hyperlink r:id="rId11" w:history="1">
        <w:r w:rsidRPr="00EE3A67">
          <w:rPr>
            <w:rStyle w:val="Hyperlink"/>
          </w:rPr>
          <w:t>https://apps.fcc.gov/edocs_public/attachmatch/DOC-344256A1.pdf</w:t>
        </w:r>
      </w:hyperlink>
      <w:r>
        <w:t>.</w:t>
      </w:r>
    </w:p>
  </w:footnote>
  <w:footnote w:id="343">
    <w:p w:rsidR="009C1C1C" w:rsidP="009C1C1C" w14:paraId="50477C88" w14:textId="77777777">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344">
    <w:p w:rsidR="009C1C1C" w:rsidP="009C1C1C" w14:paraId="61814093" w14:textId="77777777">
      <w:pPr>
        <w:pStyle w:val="FootnoteText"/>
      </w:pPr>
      <w:r>
        <w:rPr>
          <w:rStyle w:val="FootnoteReference"/>
        </w:rPr>
        <w:footnoteRef/>
      </w:r>
      <w:r>
        <w:t xml:space="preserve"> 13 CFR</w:t>
      </w:r>
      <w:r>
        <w:rPr>
          <w:szCs w:val="22"/>
        </w:rPr>
        <w:t xml:space="preserve"> § </w:t>
      </w:r>
      <w:r>
        <w:t>121.201, NAICS code 515112.</w:t>
      </w:r>
    </w:p>
  </w:footnote>
  <w:footnote w:id="345">
    <w:p w:rsidR="009C1C1C" w:rsidRPr="00DE61B6" w:rsidP="009C1C1C" w14:paraId="36973912" w14:textId="77777777">
      <w:pPr>
        <w:pStyle w:val="FootnoteText"/>
        <w:spacing w:after="0"/>
      </w:pPr>
      <w:r>
        <w:rPr>
          <w:rStyle w:val="FootnoteReference"/>
        </w:rPr>
        <w:footnoteRef/>
      </w:r>
      <w:r>
        <w:t xml:space="preserve"> </w:t>
      </w:r>
      <w:r>
        <w:fldChar w:fldCharType="begin"/>
      </w:r>
      <w:r>
        <w:instrText xml:space="preserve"> HYPERLINK "</w:instrText>
      </w:r>
      <w:r w:rsidRPr="00DE61B6">
        <w:instrText>http://factfinder.census.gov/faces/tableservices/jsf/pages/productview.xhtml?</w:instrText>
      </w:r>
    </w:p>
    <w:p w:rsidR="009C1C1C" w:rsidRPr="00A54FE6" w:rsidP="009C1C1C" w14:paraId="62753011" w14:textId="77777777">
      <w:pPr>
        <w:pStyle w:val="FootnoteText"/>
        <w:spacing w:after="0"/>
        <w:rPr>
          <w:rStyle w:val="Hyperlink"/>
        </w:rPr>
      </w:pPr>
      <w:r w:rsidRPr="00DE61B6">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44C1F5C9" w14:textId="77777777">
      <w:pPr>
        <w:pStyle w:val="FootnoteText"/>
      </w:pPr>
      <w:r w:rsidRPr="00A54FE6">
        <w:rPr>
          <w:rStyle w:val="Hyperlink"/>
        </w:rPr>
        <w:t>pid</w:t>
      </w:r>
      <w:r w:rsidRPr="00A54FE6">
        <w:rPr>
          <w:rStyle w:val="Hyperlink"/>
        </w:rPr>
        <w:t>=ECN_2012_US_51SSSZ5&amp;prodType=table</w:t>
      </w:r>
      <w:r>
        <w:fldChar w:fldCharType="end"/>
      </w:r>
      <w:r w:rsidRPr="00B013DC">
        <w:t>.</w:t>
      </w:r>
    </w:p>
  </w:footnote>
  <w:footnote w:id="346">
    <w:p w:rsidR="009C1C1C" w:rsidP="009C1C1C" w14:paraId="5FFEF24A" w14:textId="77777777">
      <w:pPr>
        <w:pStyle w:val="FootnoteText"/>
      </w:pPr>
      <w:r>
        <w:rPr>
          <w:rStyle w:val="FootnoteReference"/>
          <w:szCs w:val="22"/>
        </w:rPr>
        <w:footnoteRef/>
      </w:r>
      <w:r>
        <w:rPr>
          <w:szCs w:val="22"/>
        </w:rPr>
        <w:t xml:space="preserve"> </w:t>
      </w:r>
      <w:r w:rsidRPr="00BF32AA">
        <w:t xml:space="preserve">“Concerns and entities are affiliates of each other when one controls or has the power to control the other, or a third party or </w:t>
      </w:r>
      <w:r w:rsidRPr="00BF32AA">
        <w:t>parties</w:t>
      </w:r>
      <w:r w:rsidRPr="00BF32AA">
        <w:t xml:space="preserve"> controls or has the power to control both. It does not matter whether control is exercised, so long as the power to control exists.”  13 CFR § 121.103(a)(1) (an SBA regulation).</w:t>
      </w:r>
    </w:p>
  </w:footnote>
  <w:footnote w:id="347">
    <w:p w:rsidR="009C1C1C" w:rsidP="009C1C1C" w14:paraId="52A1EBA8" w14:textId="77777777">
      <w:pPr>
        <w:pStyle w:val="FootnoteText"/>
      </w:pPr>
      <w:r>
        <w:rPr>
          <w:rStyle w:val="FootnoteReference"/>
        </w:rPr>
        <w:footnoteRef/>
      </w:r>
      <w:r>
        <w:t xml:space="preserve"> 13 CFR </w:t>
      </w:r>
      <w:r>
        <w:rPr>
          <w:szCs w:val="22"/>
        </w:rPr>
        <w:t>§ 121.102(b) (an SBA regulation).</w:t>
      </w:r>
    </w:p>
  </w:footnote>
  <w:footnote w:id="348">
    <w:p w:rsidR="009C1C1C" w:rsidP="009C1C1C" w14:paraId="28DA5FA7" w14:textId="77777777">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349">
    <w:p w:rsidR="009C1C1C" w:rsidP="009C1C1C" w14:paraId="5C94586B" w14:textId="77777777">
      <w:pPr>
        <w:pStyle w:val="FootnoteText"/>
      </w:pPr>
      <w:r>
        <w:rPr>
          <w:rStyle w:val="FootnoteReference"/>
        </w:rPr>
        <w:footnoteRef/>
      </w:r>
      <w:r>
        <w:t xml:space="preserve"> </w:t>
      </w:r>
      <w:hyperlink r:id="rId12" w:history="1">
        <w:r w:rsidRPr="00A54FE6">
          <w:rPr>
            <w:rStyle w:val="Hyperlink"/>
          </w:rPr>
          <w:t>http://factfinder.census.gov/faces/tableservices/jsf/pages/productview.xhtml?pid=ECN_2012_US-51SSSZ5&amp;prodType=Table</w:t>
        </w:r>
      </w:hyperlink>
      <w:r>
        <w:t>.</w:t>
      </w:r>
    </w:p>
  </w:footnote>
  <w:footnote w:id="350">
    <w:p w:rsidR="009C1C1C" w:rsidP="009C1C1C" w14:paraId="4210D70A" w14:textId="77777777">
      <w:pPr>
        <w:pStyle w:val="FootnoteText"/>
      </w:pPr>
      <w:r>
        <w:rPr>
          <w:rStyle w:val="FootnoteReference"/>
        </w:rPr>
        <w:footnoteRef/>
      </w:r>
      <w:r>
        <w:t xml:space="preserve"> 47 CFR </w:t>
      </w:r>
      <w:r w:rsidRPr="00133697">
        <w:t>§</w:t>
      </w:r>
      <w:r>
        <w:t xml:space="preserve"> 76.901(e).</w:t>
      </w:r>
    </w:p>
  </w:footnote>
  <w:footnote w:id="351">
    <w:p w:rsidR="009C1C1C" w:rsidP="009C1C1C" w14:paraId="1B167021" w14:textId="77777777">
      <w:pPr>
        <w:pStyle w:val="FootnoteText"/>
      </w:pPr>
      <w:r>
        <w:rPr>
          <w:rStyle w:val="FootnoteReference"/>
        </w:rPr>
        <w:footnoteRef/>
      </w:r>
      <w:r>
        <w:t xml:space="preserve"> As of July 5, 2018, there were 4,160 active cable systems in the Commission’s Cable Operations and Licensing Systems (COALS) database.</w:t>
      </w:r>
    </w:p>
  </w:footnote>
  <w:footnote w:id="352">
    <w:p w:rsidR="009C1C1C" w:rsidP="009C1C1C" w14:paraId="46D85F21" w14:textId="77777777">
      <w:pPr>
        <w:pStyle w:val="FootnoteText"/>
      </w:pPr>
      <w:r>
        <w:rPr>
          <w:rStyle w:val="FootnoteReference"/>
        </w:rPr>
        <w:footnoteRef/>
      </w:r>
      <w:r>
        <w:t xml:space="preserve"> </w:t>
      </w:r>
      <w:r w:rsidRPr="002936D4">
        <w:rPr>
          <w:i/>
        </w:rPr>
        <w:t>See</w:t>
      </w:r>
      <w:r>
        <w:t xml:space="preserve"> </w:t>
      </w:r>
      <w:hyperlink r:id="rId13" w:anchor="industry/topCableMSOs" w:history="1">
        <w:r w:rsidRPr="000D405F">
          <w:rPr>
            <w:rStyle w:val="Hyperlink"/>
          </w:rPr>
          <w:t>https://www.snl.com/web/client?auth=inherit#industry/topCableMSOs</w:t>
        </w:r>
      </w:hyperlink>
      <w:r>
        <w:t xml:space="preserve"> (last visited July 18, 2017).</w:t>
      </w:r>
    </w:p>
  </w:footnote>
  <w:footnote w:id="353">
    <w:p w:rsidR="009C1C1C" w:rsidP="009C1C1C" w14:paraId="75C65737" w14:textId="77777777">
      <w:pPr>
        <w:pStyle w:val="FootnoteText"/>
      </w:pPr>
      <w:r>
        <w:rPr>
          <w:rStyle w:val="FootnoteReference"/>
        </w:rPr>
        <w:footnoteRef/>
      </w:r>
      <w:r>
        <w:t xml:space="preserve"> 47 CFR </w:t>
      </w:r>
      <w:r w:rsidRPr="00133697">
        <w:t>§</w:t>
      </w:r>
      <w:r>
        <w:t xml:space="preserve"> 76.901(c)</w:t>
      </w:r>
    </w:p>
  </w:footnote>
  <w:footnote w:id="354">
    <w:p w:rsidR="009C1C1C" w:rsidP="009C1C1C" w14:paraId="550CDE34" w14:textId="77777777">
      <w:pPr>
        <w:pStyle w:val="FootnoteText"/>
      </w:pPr>
      <w:r>
        <w:rPr>
          <w:rStyle w:val="FootnoteReference"/>
        </w:rPr>
        <w:footnoteRef/>
      </w:r>
      <w:r>
        <w:t xml:space="preserve"> </w:t>
      </w:r>
      <w:r w:rsidRPr="002B1B38">
        <w:rPr>
          <w:i/>
        </w:rPr>
        <w:t>See</w:t>
      </w:r>
      <w:r>
        <w:t xml:space="preserve"> footnote 2, </w:t>
      </w:r>
      <w:r w:rsidRPr="002B1B38">
        <w:rPr>
          <w:i/>
        </w:rPr>
        <w:t>supra</w:t>
      </w:r>
      <w:r>
        <w:t>.</w:t>
      </w:r>
    </w:p>
  </w:footnote>
  <w:footnote w:id="355">
    <w:p w:rsidR="009C1C1C" w:rsidP="009C1C1C" w14:paraId="69B5493B" w14:textId="77777777">
      <w:pPr>
        <w:pStyle w:val="FootnoteText"/>
      </w:pPr>
      <w:r>
        <w:rPr>
          <w:rStyle w:val="FootnoteReference"/>
        </w:rPr>
        <w:footnoteRef/>
      </w:r>
      <w:r>
        <w:t xml:space="preserve"> 47 CFR </w:t>
      </w:r>
      <w:r w:rsidRPr="00133697">
        <w:t>§</w:t>
      </w:r>
      <w:r>
        <w:t xml:space="preserve"> 76.901 (f) and notes ff. 1, 2, and 3.</w:t>
      </w:r>
    </w:p>
  </w:footnote>
  <w:footnote w:id="356">
    <w:p w:rsidR="009C1C1C" w:rsidP="009C1C1C" w14:paraId="6AC73C31" w14:textId="77777777">
      <w:pPr>
        <w:pStyle w:val="FootnoteText"/>
      </w:pPr>
      <w:r>
        <w:rPr>
          <w:rStyle w:val="FootnoteReference"/>
        </w:rPr>
        <w:footnoteRef/>
      </w:r>
      <w:r>
        <w:t xml:space="preserve"> </w:t>
      </w:r>
      <w:r w:rsidRPr="002B1B38">
        <w:rPr>
          <w:i/>
        </w:rPr>
        <w:t>See</w:t>
      </w:r>
      <w:r>
        <w:t xml:space="preserve"> NCTA Industry Data, Cable’s Customer Base, available at </w:t>
      </w:r>
      <w:hyperlink r:id="rId14" w:history="1">
        <w:r w:rsidRPr="00EE3A67">
          <w:rPr>
            <w:rStyle w:val="Hyperlink"/>
          </w:rPr>
          <w:t>https://www.ncta.com/industry-data</w:t>
        </w:r>
      </w:hyperlink>
      <w:r>
        <w:t xml:space="preserve"> (last visited July 6, 2017).</w:t>
      </w:r>
    </w:p>
  </w:footnote>
  <w:footnote w:id="357">
    <w:p w:rsidR="009C1C1C" w:rsidP="009C1C1C" w14:paraId="785D02E2" w14:textId="77777777">
      <w:pPr>
        <w:pStyle w:val="FootnoteText"/>
      </w:pPr>
      <w:r>
        <w:rPr>
          <w:rStyle w:val="FootnoteReference"/>
        </w:rPr>
        <w:footnoteRef/>
      </w:r>
      <w:r>
        <w:t xml:space="preserve"> </w:t>
      </w:r>
      <w:r w:rsidRPr="00133697">
        <w:t xml:space="preserve">47 CFR § </w:t>
      </w:r>
      <w:r>
        <w:t>76.901(f) and notes ff. 1, 2, and 3.</w:t>
      </w:r>
    </w:p>
  </w:footnote>
  <w:footnote w:id="358">
    <w:p w:rsidR="009C1C1C" w:rsidP="009C1C1C" w14:paraId="23448546" w14:textId="77777777">
      <w:pPr>
        <w:pStyle w:val="FootnoteText"/>
      </w:pPr>
      <w:r>
        <w:rPr>
          <w:rStyle w:val="FootnoteReference"/>
        </w:rPr>
        <w:footnoteRef/>
      </w:r>
      <w:r>
        <w:t xml:space="preserve"> </w:t>
      </w:r>
      <w:r w:rsidRPr="002B1B38">
        <w:rPr>
          <w:i/>
        </w:rPr>
        <w:t>See</w:t>
      </w:r>
      <w:r>
        <w:rPr>
          <w:i/>
        </w:rPr>
        <w:t xml:space="preserve"> </w:t>
      </w:r>
      <w:hyperlink r:id="rId13" w:anchor="industry/topCableMSOs" w:history="1">
        <w:r w:rsidRPr="000D405F">
          <w:rPr>
            <w:rStyle w:val="Hyperlink"/>
          </w:rPr>
          <w:t>https://www.snl.com/web/client?auth=inherit#industry/topCableMSOs</w:t>
        </w:r>
      </w:hyperlink>
      <w:r>
        <w:t xml:space="preserve"> (last visited July 18, 2018).</w:t>
      </w:r>
    </w:p>
  </w:footnote>
  <w:footnote w:id="359">
    <w:p w:rsidR="009C1C1C" w:rsidP="009C1C1C" w14:paraId="16B99AEF" w14:textId="77777777">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360">
    <w:p w:rsidR="009C1C1C" w:rsidP="009C1C1C" w14:paraId="697987C2" w14:textId="77777777">
      <w:pPr>
        <w:pStyle w:val="FootnoteText"/>
      </w:pPr>
      <w:r>
        <w:rPr>
          <w:rStyle w:val="FootnoteReference"/>
        </w:rPr>
        <w:footnoteRef/>
      </w:r>
      <w:r>
        <w:t xml:space="preserve"> </w:t>
      </w:r>
      <w:hyperlink r:id="rId7" w:history="1">
        <w:r w:rsidRPr="00365B1A">
          <w:rPr>
            <w:rStyle w:val="Hyperlink"/>
          </w:rPr>
          <w:t>http://www.census.gov/cgi-bin/sssd/naics/naicsrch</w:t>
        </w:r>
      </w:hyperlink>
      <w:r>
        <w:t xml:space="preserve">. </w:t>
      </w:r>
    </w:p>
  </w:footnote>
  <w:footnote w:id="361">
    <w:p w:rsidR="009C1C1C" w:rsidP="009C1C1C" w14:paraId="7659FB82" w14:textId="77777777">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362">
    <w:p w:rsidR="009C1C1C" w:rsidRPr="00851F3F" w:rsidP="009C1C1C" w14:paraId="7512A8DA" w14:textId="77777777">
      <w:pPr>
        <w:pStyle w:val="FootnoteText"/>
        <w:spacing w:after="0"/>
      </w:pPr>
      <w:r>
        <w:rPr>
          <w:rStyle w:val="FootnoteReference"/>
        </w:rPr>
        <w:footnoteRef/>
      </w:r>
      <w:r>
        <w:t xml:space="preserve"> </w:t>
      </w:r>
      <w:r>
        <w:fldChar w:fldCharType="begin"/>
      </w:r>
      <w:r>
        <w:instrText xml:space="preserve"> HYPERLINK "</w:instrText>
      </w:r>
      <w:r w:rsidRPr="00851F3F">
        <w:instrText>http://factfinder.census.gov/faces/tableservices.jasf/pages/productview.xhtml?</w:instrText>
      </w:r>
    </w:p>
    <w:p w:rsidR="009C1C1C" w:rsidRPr="00A54FE6" w:rsidP="009C1C1C" w14:paraId="67E4B27F" w14:textId="77777777">
      <w:pPr>
        <w:pStyle w:val="FootnoteText"/>
        <w:spacing w:after="0"/>
        <w:rPr>
          <w:rStyle w:val="Hyperlink"/>
        </w:rPr>
      </w:pPr>
      <w:r w:rsidRPr="00851F3F">
        <w:instrText>pid+ECN_2012_US.51SSSZ4&amp;prodType=table</w:instrText>
      </w:r>
      <w:r>
        <w:instrText xml:space="preserve">" </w:instrText>
      </w:r>
      <w:r>
        <w:fldChar w:fldCharType="separate"/>
      </w:r>
      <w:r w:rsidRPr="00A54FE6">
        <w:rPr>
          <w:rStyle w:val="Hyperlink"/>
        </w:rPr>
        <w:t>http://factfinder.census.gov/faces/tableservices.jasf/pages/productview.xhtml?</w:t>
      </w:r>
    </w:p>
    <w:p w:rsidR="009C1C1C" w:rsidP="009C1C1C" w14:paraId="4BA0A35A" w14:textId="77777777">
      <w:pPr>
        <w:pStyle w:val="FootnoteText"/>
      </w:pPr>
      <w:r w:rsidRPr="00A54FE6">
        <w:rPr>
          <w:rStyle w:val="Hyperlink"/>
        </w:rPr>
        <w:t>pid+ECN_2012_US.51SSSZ4&amp;prodType=table</w:t>
      </w:r>
      <w:r>
        <w:fldChar w:fldCharType="end"/>
      </w:r>
      <w:r>
        <w:rPr>
          <w:sz w:val="16"/>
          <w:szCs w:val="16"/>
        </w:rPr>
        <w:t>.</w:t>
      </w:r>
      <w:r>
        <w:t xml:space="preserve"> </w:t>
      </w:r>
    </w:p>
  </w:footnote>
  <w:footnote w:id="363">
    <w:p w:rsidR="009C1C1C" w:rsidP="009C1C1C" w14:paraId="6CA79F24" w14:textId="77777777">
      <w:pPr>
        <w:pStyle w:val="FootnoteText"/>
      </w:pPr>
      <w:r>
        <w:rPr>
          <w:rStyle w:val="FootnoteReference"/>
        </w:rPr>
        <w:footnoteRef/>
      </w:r>
      <w:r>
        <w:t xml:space="preserve"> </w:t>
      </w:r>
      <w:hyperlink r:id="rId15" w:history="1">
        <w:r w:rsidRPr="00080C31">
          <w:rPr>
            <w:rStyle w:val="Hyperlink"/>
          </w:rPr>
          <w:t>http://www.census.gov/cgi-bin/ssssd/naics/naicsrch</w:t>
        </w:r>
      </w:hyperlink>
      <w:r>
        <w:t>.</w:t>
      </w:r>
    </w:p>
  </w:footnote>
  <w:footnote w:id="364">
    <w:p w:rsidR="009C1C1C" w:rsidP="009C1C1C" w14:paraId="7591140C" w14:textId="77777777">
      <w:pPr>
        <w:pStyle w:val="FootnoteText"/>
      </w:pPr>
      <w:r>
        <w:rPr>
          <w:rStyle w:val="FootnoteReference"/>
        </w:rPr>
        <w:footnoteRef/>
      </w:r>
      <w:r>
        <w:t xml:space="preserve"> 13 CFR </w:t>
      </w:r>
      <w:r w:rsidRPr="00133697">
        <w:t>§</w:t>
      </w:r>
      <w:r>
        <w:t xml:space="preserve"> 121.201; NAICS code 517919.</w:t>
      </w:r>
    </w:p>
  </w:footnote>
  <w:footnote w:id="365">
    <w:p w:rsidR="009C1C1C" w:rsidRPr="00B141B0" w:rsidP="009C1C1C" w14:paraId="59BB06D2"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1C1C" w:rsidRPr="00A54FE6" w:rsidP="009C1C1C" w14:paraId="770186DE"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109FF806" w14:textId="77777777">
      <w:pPr>
        <w:pStyle w:val="FootnoteText"/>
      </w:pPr>
      <w:r w:rsidRPr="00A54FE6">
        <w:rPr>
          <w:rStyle w:val="Hyperlink"/>
        </w:rPr>
        <w:t>pid</w:t>
      </w:r>
      <w:r w:rsidRPr="00A54FE6">
        <w:rPr>
          <w:rStyle w:val="Hyperlink"/>
        </w:rPr>
        <w:t>=ECN_2012_US_51SSSZ4&amp;prodType=table</w:t>
      </w:r>
      <w:r>
        <w:fldChar w:fldCharType="end"/>
      </w:r>
      <w:r w:rsidRPr="00B013DC">
        <w:t>.</w:t>
      </w:r>
    </w:p>
  </w:footnote>
  <w:footnote w:id="366">
    <w:p w:rsidR="009C1C1C" w:rsidP="009C1C1C" w14:paraId="63FABDF1" w14:textId="7777777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367">
    <w:p w:rsidR="009C1C1C" w:rsidP="009C1C1C" w14:paraId="2555B67F" w14:textId="77777777">
      <w:pPr>
        <w:pStyle w:val="FootnoteText"/>
      </w:pPr>
      <w:r>
        <w:rPr>
          <w:rStyle w:val="FootnoteReference"/>
        </w:rPr>
        <w:footnoteRef/>
      </w:r>
      <w:r>
        <w:t xml:space="preserve"> 13 CFR </w:t>
      </w:r>
      <w:r w:rsidRPr="00133697">
        <w:t>§</w:t>
      </w:r>
      <w:r>
        <w:t xml:space="preserve"> 121.201, NAICS code 517110</w:t>
      </w:r>
    </w:p>
  </w:footnote>
  <w:footnote w:id="368">
    <w:p w:rsidR="009C1C1C" w:rsidP="009C1C1C" w14:paraId="6446E7D9" w14:textId="77777777">
      <w:pPr>
        <w:pStyle w:val="FootnoteText"/>
      </w:pPr>
      <w:r>
        <w:rPr>
          <w:rStyle w:val="FootnoteReference"/>
        </w:rPr>
        <w:footnoteRef/>
      </w:r>
      <w:r>
        <w:t xml:space="preserve"> 13 CFR </w:t>
      </w:r>
      <w:r w:rsidRPr="00133697">
        <w:t>§</w:t>
      </w:r>
      <w:r>
        <w:t xml:space="preserve"> 121.201, NAICS code 517210.</w:t>
      </w:r>
    </w:p>
  </w:footnote>
  <w:footnote w:id="369">
    <w:p w:rsidR="009C1C1C" w:rsidP="009C1C1C" w14:paraId="0F395523" w14:textId="7777777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370">
    <w:p w:rsidR="009C1C1C" w:rsidP="009C1C1C" w14:paraId="2583E95F" w14:textId="77777777">
      <w:pPr>
        <w:pStyle w:val="FootnoteText"/>
      </w:pPr>
      <w:r>
        <w:rPr>
          <w:rStyle w:val="FootnoteReference"/>
        </w:rPr>
        <w:footnoteRef/>
      </w:r>
      <w:r>
        <w:t xml:space="preserve"> 13 CFR </w:t>
      </w:r>
      <w:r w:rsidRPr="00133697">
        <w:t>§</w:t>
      </w:r>
      <w:r>
        <w:t xml:space="preserve"> 120,201, NAICS code 517110.</w:t>
      </w:r>
    </w:p>
  </w:footnote>
  <w:footnote w:id="371">
    <w:p w:rsidR="009C1C1C" w:rsidRPr="00B141B0" w:rsidP="009C1C1C" w14:paraId="509CAA31"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1C1C" w:rsidRPr="00A54FE6" w:rsidP="009C1C1C" w14:paraId="2539FAFC"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3C5E5F94" w14:textId="77777777">
      <w:pPr>
        <w:pStyle w:val="FootnoteText"/>
      </w:pPr>
      <w:r w:rsidRPr="00A54FE6">
        <w:rPr>
          <w:rStyle w:val="Hyperlink"/>
        </w:rPr>
        <w:t>pid</w:t>
      </w:r>
      <w:r w:rsidRPr="00A54FE6">
        <w:rPr>
          <w:rStyle w:val="Hyperlink"/>
        </w:rPr>
        <w:t>=ECN_2012_US_51SSSZ4&amp;prodType=table</w:t>
      </w:r>
      <w:r>
        <w:fldChar w:fldCharType="end"/>
      </w:r>
      <w:r w:rsidRPr="00B013DC">
        <w:t>.</w:t>
      </w:r>
    </w:p>
  </w:footnote>
  <w:footnote w:id="372">
    <w:p w:rsidR="009C1C1C" w:rsidP="009C1C1C" w14:paraId="0B8575EE" w14:textId="77777777">
      <w:pPr>
        <w:pStyle w:val="FootnoteText"/>
      </w:pPr>
      <w:r>
        <w:rPr>
          <w:rStyle w:val="FootnoteReference"/>
        </w:rPr>
        <w:footnoteRef/>
      </w:r>
      <w:r>
        <w:t xml:space="preserve"> </w:t>
      </w:r>
      <w:r w:rsidRPr="00CD3CED">
        <w:rPr>
          <w:rStyle w:val="Hyperlink"/>
        </w:rPr>
        <w:t>http://www.census,gov/cgi-bin/sssd/naics.naicsrch</w:t>
      </w:r>
      <w:r>
        <w:t>.</w:t>
      </w:r>
    </w:p>
  </w:footnote>
  <w:footnote w:id="373">
    <w:p w:rsidR="009C1C1C" w:rsidP="009C1C1C" w14:paraId="1A09D1AD" w14:textId="77777777">
      <w:pPr>
        <w:pStyle w:val="FootnoteText"/>
      </w:pPr>
      <w:r>
        <w:rPr>
          <w:rStyle w:val="FootnoteReference"/>
        </w:rPr>
        <w:footnoteRef/>
      </w:r>
      <w:r>
        <w:t xml:space="preserve"> 13 CFR </w:t>
      </w:r>
      <w:r w:rsidRPr="00133697">
        <w:t>§</w:t>
      </w:r>
      <w:r>
        <w:t xml:space="preserve"> 120.201, NAICS code 517120.</w:t>
      </w:r>
    </w:p>
  </w:footnote>
  <w:footnote w:id="374">
    <w:p w:rsidR="009C1C1C" w:rsidRPr="00B141B0" w:rsidP="009C1C1C" w14:paraId="05BDA5C1"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1C1C" w:rsidRPr="00A54FE6" w:rsidP="009C1C1C" w14:paraId="578C90AA"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4696A266" w14:textId="77777777">
      <w:pPr>
        <w:pStyle w:val="FootnoteText"/>
      </w:pPr>
      <w:r w:rsidRPr="00A54FE6">
        <w:rPr>
          <w:rStyle w:val="Hyperlink"/>
        </w:rPr>
        <w:t>pid</w:t>
      </w:r>
      <w:r w:rsidRPr="00A54FE6">
        <w:rPr>
          <w:rStyle w:val="Hyperlink"/>
        </w:rPr>
        <w:t>=ECN_2012_US_51SSSZ4&amp;prodType=table</w:t>
      </w:r>
      <w:r>
        <w:fldChar w:fldCharType="end"/>
      </w:r>
      <w:r w:rsidRPr="00B013DC">
        <w:t>.</w:t>
      </w:r>
    </w:p>
  </w:footnote>
  <w:footnote w:id="375">
    <w:p w:rsidR="009C1C1C" w:rsidP="009C1C1C" w14:paraId="1BE0F853" w14:textId="77777777">
      <w:pPr>
        <w:pStyle w:val="FootnoteText"/>
      </w:pPr>
      <w:r>
        <w:rPr>
          <w:rStyle w:val="FootnoteReference"/>
        </w:rPr>
        <w:footnoteRef/>
      </w:r>
      <w:r>
        <w:t xml:space="preserve"> 13 CFR </w:t>
      </w:r>
      <w:r w:rsidRPr="00133697">
        <w:t>§</w:t>
      </w:r>
      <w:r>
        <w:t xml:space="preserve"> 120.201, NAICS code 541890.</w:t>
      </w:r>
    </w:p>
  </w:footnote>
  <w:footnote w:id="376">
    <w:p w:rsidR="009C1C1C" w:rsidP="009C1C1C" w14:paraId="20A356C1" w14:textId="77777777">
      <w:pPr>
        <w:pStyle w:val="FootnoteText"/>
      </w:pPr>
      <w:r>
        <w:rPr>
          <w:rStyle w:val="FootnoteReference"/>
        </w:rPr>
        <w:footnoteRef/>
      </w:r>
      <w:r>
        <w:t xml:space="preserve"> 13 CFR </w:t>
      </w:r>
      <w:r w:rsidRPr="00133697">
        <w:t>§</w:t>
      </w:r>
      <w:r>
        <w:t xml:space="preserve"> 120.201, NAICS code 541618.</w:t>
      </w:r>
    </w:p>
  </w:footnote>
  <w:footnote w:id="377">
    <w:p w:rsidR="009C1C1C" w:rsidP="009C1C1C" w14:paraId="3543F258" w14:textId="77777777">
      <w:pPr>
        <w:pStyle w:val="FootnoteText"/>
      </w:pPr>
      <w:r>
        <w:rPr>
          <w:rStyle w:val="FootnoteReference"/>
        </w:rPr>
        <w:footnoteRef/>
      </w:r>
      <w:r>
        <w:t xml:space="preserve"> </w:t>
      </w:r>
      <w:r w:rsidRPr="005B51CD">
        <w:t xml:space="preserve"> </w:t>
      </w:r>
      <w:r w:rsidRPr="00CD3CED">
        <w:rPr>
          <w:rStyle w:val="Hyperlink"/>
        </w:rPr>
        <w:t>http://www.census,gov/cgi-bin/sssd/naics.naicsrch</w:t>
      </w:r>
      <w:r>
        <w:rPr>
          <w:rStyle w:val="Hyperlink"/>
        </w:rPr>
        <w:t>.</w:t>
      </w:r>
    </w:p>
  </w:footnote>
  <w:footnote w:id="378">
    <w:p w:rsidR="009C1C1C" w:rsidP="009C1C1C" w14:paraId="0AB4F7B5" w14:textId="77777777">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379">
    <w:p w:rsidR="009C1C1C" w:rsidRPr="00B141B0" w:rsidP="009C1C1C" w14:paraId="5B8F9725"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1C1C" w:rsidRPr="00A54FE6" w:rsidP="009C1C1C" w14:paraId="2EA64FB8"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3D4D0130" w14:textId="77777777">
      <w:pPr>
        <w:pStyle w:val="FootnoteText"/>
      </w:pPr>
      <w:r w:rsidRPr="00A54FE6">
        <w:rPr>
          <w:rStyle w:val="Hyperlink"/>
        </w:rPr>
        <w:t>pid</w:t>
      </w:r>
      <w:r w:rsidRPr="00A54FE6">
        <w:rPr>
          <w:rStyle w:val="Hyperlink"/>
        </w:rPr>
        <w:t>=ECN_2012_US_51SSSZ4&amp;prodType=table</w:t>
      </w:r>
      <w:r>
        <w:fldChar w:fldCharType="end"/>
      </w:r>
      <w:r w:rsidRPr="00B013DC">
        <w:t>.</w:t>
      </w:r>
    </w:p>
  </w:footnote>
  <w:footnote w:id="380">
    <w:p w:rsidR="009C1C1C" w:rsidP="009C1C1C" w14:paraId="4E3362E2" w14:textId="77777777">
      <w:pPr>
        <w:pStyle w:val="FootnoteText"/>
      </w:pPr>
      <w:r>
        <w:rPr>
          <w:rStyle w:val="FootnoteReference"/>
        </w:rPr>
        <w:footnoteRef/>
      </w:r>
      <w:r w:rsidRPr="00470358">
        <w:t xml:space="preserve"> </w:t>
      </w:r>
      <w:r w:rsidRPr="00B974AD">
        <w:rPr>
          <w:rStyle w:val="Hyperlink"/>
        </w:rPr>
        <w:t>http://www.census,gov/cgi-bin/sssd/naics.naicsrch</w:t>
      </w:r>
      <w:r>
        <w:t>.</w:t>
      </w:r>
    </w:p>
  </w:footnote>
  <w:footnote w:id="381">
    <w:p w:rsidR="009C1C1C" w:rsidP="009C1C1C" w14:paraId="246546C7" w14:textId="77777777">
      <w:pPr>
        <w:pStyle w:val="FootnoteText"/>
      </w:pPr>
      <w:r>
        <w:rPr>
          <w:rStyle w:val="FootnoteReference"/>
        </w:rPr>
        <w:footnoteRef/>
      </w:r>
      <w:r>
        <w:t xml:space="preserve"> 13 CFR </w:t>
      </w:r>
      <w:r w:rsidRPr="00133697">
        <w:t>§</w:t>
      </w:r>
      <w:r>
        <w:t xml:space="preserve"> 120.201, NAICS code 514618.</w:t>
      </w:r>
    </w:p>
  </w:footnote>
  <w:footnote w:id="382">
    <w:p w:rsidR="009C1C1C" w:rsidRPr="00B141B0" w:rsidP="009C1C1C" w14:paraId="5C590F7E"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1C1C" w:rsidRPr="00A54FE6" w:rsidP="009C1C1C" w14:paraId="5FB42E63"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1C1C" w:rsidRPr="00B013DC" w:rsidP="009C1C1C" w14:paraId="1E646F19" w14:textId="77777777">
      <w:pPr>
        <w:pStyle w:val="FootnoteText"/>
      </w:pPr>
      <w:r w:rsidRPr="00A54FE6">
        <w:rPr>
          <w:rStyle w:val="Hyperlink"/>
        </w:rPr>
        <w:t>pid</w:t>
      </w:r>
      <w:r w:rsidRPr="00A54FE6">
        <w:rPr>
          <w:rStyle w:val="Hyperlink"/>
        </w:rPr>
        <w:t>=ECN_2012_US_51SSSZ4&amp;prodType=table</w:t>
      </w:r>
      <w:r>
        <w:fldChar w:fldCharType="end"/>
      </w:r>
      <w:r w:rsidRPr="00B013DC">
        <w:t>.</w:t>
      </w:r>
    </w:p>
  </w:footnote>
  <w:footnote w:id="383">
    <w:p w:rsidR="009C1C1C" w:rsidP="009C1C1C" w14:paraId="0E06D17A" w14:textId="77777777">
      <w:pPr>
        <w:pStyle w:val="FootnoteText"/>
      </w:pPr>
      <w:r>
        <w:rPr>
          <w:rStyle w:val="FootnoteReference"/>
        </w:rPr>
        <w:footnoteRef/>
      </w:r>
      <w:r>
        <w:t xml:space="preserve"> The four NAICS code-based categories selected above to provide definitions for Carrier and Non-Carrier </w:t>
      </w:r>
      <w:r>
        <w:t>RespOrgs</w:t>
      </w:r>
      <w:r>
        <w:t xml:space="preserve"> were selected because as a group they refer generically and comprehensively to all </w:t>
      </w:r>
      <w:r>
        <w:t>RespOrgs</w:t>
      </w:r>
      <w:r>
        <w:t xml:space="preserve">.  Therefore, all </w:t>
      </w:r>
      <w:r>
        <w:t>RespOrgs</w:t>
      </w:r>
      <w:r>
        <w:t xml:space="preserve">, including those not identified specifically or individually, must comply with the rules adopted in the Regulatory Fees Report and Order associated with this Final Regulatory Flexibility Analysis. </w:t>
      </w:r>
    </w:p>
  </w:footnote>
  <w:footnote w:id="384">
    <w:p w:rsidR="009C1C1C" w:rsidP="009C1C1C" w14:paraId="369EDC0F" w14:textId="77777777">
      <w:pPr>
        <w:pStyle w:val="FootnoteText"/>
      </w:pPr>
      <w:r>
        <w:rPr>
          <w:rStyle w:val="FootnoteReference"/>
        </w:rPr>
        <w:footnoteRef/>
      </w:r>
      <w:r>
        <w:t xml:space="preserve"> Email from Jennifer Blanchard, </w:t>
      </w:r>
      <w:r>
        <w:t>Somos</w:t>
      </w:r>
      <w:r>
        <w:t>, July 1, 2016.</w:t>
      </w:r>
    </w:p>
  </w:footnote>
  <w:footnote w:id="385">
    <w:p w:rsidR="009C1C1C" w:rsidP="009C1C1C" w14:paraId="076D01C5" w14:textId="77777777">
      <w:pPr>
        <w:pStyle w:val="FootnoteText"/>
      </w:pPr>
      <w:r>
        <w:rPr>
          <w:rStyle w:val="FootnoteReference"/>
        </w:rPr>
        <w:footnoteRef/>
      </w:r>
      <w:r>
        <w:t xml:space="preserve"> </w:t>
      </w:r>
      <w:r w:rsidRPr="00185ED3">
        <w:t>5 U.S.C. § 603(c)(1)–(c)(4).</w:t>
      </w:r>
    </w:p>
  </w:footnote>
  <w:footnote w:id="386">
    <w:p w:rsidR="009C1C1C" w:rsidP="009C1C1C" w14:paraId="7BE99FA1"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387">
    <w:p w:rsidR="009C1C1C" w:rsidP="009C1C1C" w14:paraId="4C9DE51D" w14:textId="77777777">
      <w:pPr>
        <w:pStyle w:val="FootnoteText"/>
      </w:pPr>
      <w:r>
        <w:rPr>
          <w:rStyle w:val="FootnoteReference"/>
        </w:rPr>
        <w:footnoteRef/>
      </w:r>
      <w:r>
        <w:t xml:space="preserve"> 5 U.S.C.</w:t>
      </w:r>
      <w:r>
        <w:rPr>
          <w:spacing w:val="-2"/>
        </w:rPr>
        <w:t xml:space="preserve"> §</w:t>
      </w:r>
      <w:r>
        <w:t xml:space="preserve"> 603(a).</w:t>
      </w:r>
    </w:p>
  </w:footnote>
  <w:footnote w:id="388">
    <w:p w:rsidR="009C1C1C" w:rsidP="009C1C1C" w14:paraId="606B6CAA" w14:textId="77777777">
      <w:pPr>
        <w:pStyle w:val="FootnoteText"/>
      </w:pPr>
      <w:r>
        <w:rPr>
          <w:rStyle w:val="FootnoteReference"/>
        </w:rPr>
        <w:footnoteRef/>
      </w:r>
      <w:r>
        <w:t xml:space="preserve"> </w:t>
      </w:r>
      <w:r w:rsidRPr="00820DF8">
        <w:rPr>
          <w:i/>
        </w:rPr>
        <w:t>Id.</w:t>
      </w:r>
    </w:p>
  </w:footnote>
  <w:footnote w:id="389">
    <w:p w:rsidR="009C1C1C" w:rsidP="009C1C1C" w14:paraId="14349B83" w14:textId="77777777">
      <w:pPr>
        <w:pStyle w:val="FootnoteText"/>
      </w:pPr>
      <w:r>
        <w:rPr>
          <w:rStyle w:val="FootnoteReference"/>
        </w:rPr>
        <w:footnoteRef/>
      </w:r>
      <w:r>
        <w:t xml:space="preserve"> 47 U.S.C. </w:t>
      </w:r>
      <w:r>
        <w:rPr>
          <w:rStyle w:val="Footnote"/>
        </w:rPr>
        <w:t xml:space="preserve">§§ </w:t>
      </w:r>
      <w:r>
        <w:t>154(</w:t>
      </w:r>
      <w:r>
        <w:t>i</w:t>
      </w:r>
      <w:r>
        <w:t>) and (j), 159, and 303(r).</w:t>
      </w:r>
    </w:p>
  </w:footnote>
  <w:footnote w:id="390">
    <w:p w:rsidR="009C1C1C" w:rsidP="009C1C1C" w14:paraId="413EBDB1" w14:textId="77777777">
      <w:pPr>
        <w:pStyle w:val="FootnoteText"/>
      </w:pPr>
      <w:r>
        <w:rPr>
          <w:rStyle w:val="FootnoteReference"/>
        </w:rPr>
        <w:footnoteRef/>
      </w:r>
      <w:r>
        <w:t xml:space="preserve"> </w:t>
      </w:r>
      <w:r>
        <w:rPr>
          <w:rStyle w:val="Footnote"/>
        </w:rPr>
        <w:t>5 U.S.C. § 603(b)(3).</w:t>
      </w:r>
    </w:p>
  </w:footnote>
  <w:footnote w:id="391">
    <w:p w:rsidR="009C1C1C" w:rsidP="009C1C1C" w14:paraId="1F00059F" w14:textId="77777777">
      <w:pPr>
        <w:pStyle w:val="FootnoteText"/>
      </w:pPr>
      <w:r>
        <w:rPr>
          <w:rStyle w:val="FootnoteReference"/>
        </w:rPr>
        <w:footnoteRef/>
      </w:r>
      <w:r>
        <w:t xml:space="preserve"> </w:t>
      </w:r>
      <w:r>
        <w:rPr>
          <w:rStyle w:val="Footnote"/>
        </w:rPr>
        <w:t>5 U.S.C. § 601(6).</w:t>
      </w:r>
    </w:p>
  </w:footnote>
  <w:footnote w:id="392">
    <w:p w:rsidR="009C1C1C" w:rsidP="009C1C1C" w14:paraId="5EE461D4"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393">
    <w:p w:rsidR="009C1C1C" w:rsidP="009C1C1C" w14:paraId="7A89DD46" w14:textId="77777777">
      <w:pPr>
        <w:pStyle w:val="FootnoteText"/>
      </w:pPr>
      <w:r>
        <w:rPr>
          <w:rStyle w:val="FootnoteReference"/>
        </w:rPr>
        <w:footnoteRef/>
      </w:r>
      <w:r>
        <w:t xml:space="preserve"> </w:t>
      </w:r>
      <w:r>
        <w:rPr>
          <w:rStyle w:val="Footnote"/>
        </w:rPr>
        <w:t>15 U.S.C. § 632.</w:t>
      </w:r>
    </w:p>
  </w:footnote>
  <w:footnote w:id="394">
    <w:p w:rsidR="009C1C1C" w:rsidP="009C1C1C" w14:paraId="15FACFC7"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395">
    <w:p w:rsidR="009C1C1C" w:rsidP="009C1C1C" w14:paraId="5201B6D2"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6" w:history="1">
        <w:r w:rsidRPr="00CE6CB1">
          <w:rPr>
            <w:rStyle w:val="Hyperlink"/>
          </w:rPr>
          <w:t>https://www.sba.gov/sites/default/files/advocacy/SB-FAQ-2016_WEB.pdf</w:t>
        </w:r>
      </w:hyperlink>
      <w:r>
        <w:t xml:space="preserve"> (June 2016).</w:t>
      </w:r>
    </w:p>
  </w:footnote>
  <w:footnote w:id="396">
    <w:p w:rsidR="009C1C1C" w:rsidP="009C1C1C" w14:paraId="26CF729A"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6" w:history="1">
        <w:r w:rsidRPr="00CE6CB1">
          <w:rPr>
            <w:rStyle w:val="Hyperlink"/>
          </w:rPr>
          <w:t>https://www.sba.gov/sites/default/files/advocacy/SB-FAQ-2016_WEB.pdf</w:t>
        </w:r>
      </w:hyperlink>
      <w:r>
        <w:t xml:space="preserve"> (June 2016).</w:t>
      </w:r>
    </w:p>
  </w:footnote>
  <w:footnote w:id="397">
    <w:p w:rsidR="009C1C1C" w:rsidRPr="006B076E" w:rsidP="009C1C1C" w14:paraId="7F6C4F64"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398">
    <w:p w:rsidR="009C1C1C" w:rsidRPr="006B076E" w:rsidP="009C1C1C" w14:paraId="792E9A2C" w14:textId="77777777">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16"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399">
    <w:p w:rsidR="009C1C1C" w:rsidRPr="006B076E" w:rsidP="009C1C1C" w14:paraId="0BDD8B17" w14:textId="77777777">
      <w:pPr>
        <w:pStyle w:val="FootnoteText"/>
      </w:pPr>
      <w:r w:rsidRPr="006B076E">
        <w:rPr>
          <w:rStyle w:val="FootnoteReference"/>
          <w:spacing w:val="-2"/>
        </w:rPr>
        <w:footnoteRef/>
      </w:r>
      <w:r w:rsidRPr="006B076E">
        <w:t xml:space="preserve"> 5 U.S.C. § 601(5).</w:t>
      </w:r>
    </w:p>
  </w:footnote>
  <w:footnote w:id="400">
    <w:p w:rsidR="009C1C1C" w:rsidRPr="005E7451" w:rsidP="009C1C1C" w14:paraId="4D2DA3A2" w14:textId="7777777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17" w:history="1">
        <w:r w:rsidRPr="009A1F07">
          <w:rPr>
            <w:rStyle w:val="Hyperlink"/>
          </w:rPr>
          <w:t>https://factfinder.census.gov/faces/affhelp/jsf/pages/metadata.xhtml?lang=en&amp;type=program&amp;id=program.en.COG#</w:t>
        </w:r>
      </w:hyperlink>
    </w:p>
  </w:footnote>
  <w:footnote w:id="401">
    <w:p w:rsidR="009C1C1C" w:rsidRPr="006B076E" w:rsidP="009C1C1C" w14:paraId="6AEB531E" w14:textId="7777777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t>,</w:t>
      </w:r>
      <w:r w:rsidRPr="00333EB9">
        <w:t xml:space="preserve"> </w:t>
      </w:r>
      <w:hyperlink r:id="rId18"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402">
    <w:p w:rsidR="009C1C1C" w:rsidRPr="00835723" w:rsidP="009C1C1C" w14:paraId="60E09ADC" w14:textId="77777777">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19"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403">
    <w:p w:rsidR="009C1C1C" w:rsidRPr="00835723" w:rsidP="009C1C1C" w14:paraId="23A1D898"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20"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404">
    <w:p w:rsidR="009C1C1C" w:rsidRPr="00835723" w:rsidP="009C1C1C" w14:paraId="12FEFD90"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21" w:history="1">
        <w:r w:rsidRPr="006B7181">
          <w:rPr>
            <w:rStyle w:val="Hyperlink"/>
            <w:bCs/>
          </w:rPr>
          <w:t>https://factfinder.census.gov/bkmk/table/1.0/en/COG/2012/ORG11.US01</w:t>
        </w:r>
      </w:hyperlink>
      <w:r w:rsidRPr="006B7181">
        <w:rPr>
          <w:bCs/>
          <w:color w:val="4E4B47"/>
        </w:rPr>
        <w:t xml:space="preserve">. </w:t>
      </w:r>
      <w:r>
        <w:rPr>
          <w:bCs/>
          <w:color w:val="4E4B47"/>
        </w:rPr>
        <w:t xml:space="preserve"> </w:t>
      </w:r>
      <w:r w:rsidRPr="006B7181">
        <w:t xml:space="preserve">There were </w:t>
      </w:r>
      <w:r w:rsidRPr="00835723">
        <w:t>12,184 independent school districts with enrollment populations less than 50,000.</w:t>
      </w:r>
    </w:p>
  </w:footnote>
  <w:footnote w:id="405">
    <w:p w:rsidR="009C1C1C" w:rsidRPr="00835723" w:rsidP="009C1C1C" w14:paraId="5B523595"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22"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406">
    <w:p w:rsidR="009C1C1C" w:rsidRPr="00930D2A" w:rsidP="009C1C1C" w14:paraId="7BDE7EC6"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hyperlink r:id="rId19"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20"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21" w:history="1">
        <w:r w:rsidRPr="007F3B6C">
          <w:rPr>
            <w:rStyle w:val="Hyperlink"/>
            <w:bCs/>
          </w:rPr>
          <w:t>https://factfinder.census.gov/bkmk/table/1.0/en/COG/2012/ORG11.US01</w:t>
        </w:r>
      </w:hyperlink>
      <w:r w:rsidRPr="007F3B6C">
        <w:rPr>
          <w:rStyle w:val="Hyperlink"/>
          <w:bCs/>
        </w:rPr>
        <w:t>.</w:t>
      </w:r>
      <w:r w:rsidRPr="00930D2A">
        <w:rPr>
          <w:rStyle w:val="Hyperlink"/>
          <w:bCs/>
        </w:rPr>
        <w:t xml:space="preserve">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407">
    <w:p w:rsidR="009C1C1C" w:rsidP="009C1C1C" w14:paraId="21B2767B" w14:textId="77777777">
      <w:pPr>
        <w:pStyle w:val="FootnoteText"/>
      </w:pPr>
      <w:r>
        <w:rPr>
          <w:rStyle w:val="FootnoteReference"/>
        </w:rPr>
        <w:footnoteRef/>
      </w:r>
      <w:r>
        <w:t xml:space="preserve"> </w:t>
      </w:r>
      <w:r w:rsidRPr="00BE1BA4">
        <w:rPr>
          <w:i/>
        </w:rPr>
        <w:t>Id.</w:t>
      </w:r>
    </w:p>
  </w:footnote>
  <w:footnote w:id="408">
    <w:p w:rsidR="009C1C1C" w:rsidP="009C1C1C" w14:paraId="56780C99" w14:textId="77777777">
      <w:pPr>
        <w:pStyle w:val="FootnoteText"/>
      </w:pPr>
      <w:r>
        <w:rPr>
          <w:rStyle w:val="FootnoteReference"/>
        </w:rPr>
        <w:footnoteRef/>
      </w:r>
      <w:r>
        <w:t xml:space="preserve"> 47 U.S.C. </w:t>
      </w:r>
      <w:r>
        <w:rPr>
          <w:rStyle w:val="Footnote"/>
        </w:rPr>
        <w:t xml:space="preserve">§ </w:t>
      </w:r>
      <w:r>
        <w:t>158(d)(1)(A).</w:t>
      </w:r>
    </w:p>
  </w:footnote>
  <w:footnote w:id="409">
    <w:p w:rsidR="009C1C1C" w:rsidP="009C1C1C" w14:paraId="56882119" w14:textId="77777777">
      <w:pPr>
        <w:pStyle w:val="FootnoteText"/>
      </w:pPr>
      <w:r>
        <w:rPr>
          <w:rStyle w:val="FootnoteReference"/>
        </w:rPr>
        <w:footnoteRef/>
      </w:r>
      <w:r>
        <w:t xml:space="preserve"> </w:t>
      </w:r>
      <w:hyperlink r:id="rId15" w:history="1">
        <w:r w:rsidRPr="00900913">
          <w:rPr>
            <w:rStyle w:val="Hyperlink"/>
          </w:rPr>
          <w:t>http://www.census.gov/cgi-bin/ssssd/naics/naicsrch</w:t>
        </w:r>
      </w:hyperlink>
      <w:r>
        <w:t>.</w:t>
      </w:r>
    </w:p>
  </w:footnote>
  <w:footnote w:id="410">
    <w:p w:rsidR="009C1C1C" w:rsidP="009C1C1C" w14:paraId="3F6A9BEA" w14:textId="77777777">
      <w:pPr>
        <w:pStyle w:val="FootnoteText"/>
      </w:pPr>
      <w:r>
        <w:rPr>
          <w:rStyle w:val="FootnoteReference"/>
        </w:rPr>
        <w:footnoteRef/>
      </w:r>
      <w:r>
        <w:t xml:space="preserve"> 13 CFR </w:t>
      </w:r>
      <w:r w:rsidRPr="00133697">
        <w:t>§</w:t>
      </w:r>
      <w:r>
        <w:t xml:space="preserve"> 121.201; NAICs code 517919.</w:t>
      </w:r>
    </w:p>
  </w:footnote>
  <w:footnote w:id="411">
    <w:p w:rsidR="009C1C1C" w:rsidRPr="00CB2E37" w:rsidP="009C1C1C" w14:paraId="77EC460F" w14:textId="77777777">
      <w:pPr>
        <w:pStyle w:val="FootnoteText"/>
        <w:spacing w:after="0"/>
      </w:pPr>
      <w:r>
        <w:rPr>
          <w:rStyle w:val="FootnoteReference"/>
        </w:rPr>
        <w:footnoteRef/>
      </w:r>
      <w:r>
        <w:t xml:space="preserve"> </w:t>
      </w:r>
      <w:r>
        <w:fldChar w:fldCharType="begin"/>
      </w:r>
      <w:r>
        <w:instrText xml:space="preserve"> HYPERLINK "</w:instrText>
      </w:r>
      <w:r w:rsidRPr="00CB2E37">
        <w:instrText>http://factfinder.census.gov/faces/tableservices.jasf/pages/productview.xhtml?</w:instrText>
      </w:r>
    </w:p>
    <w:p w:rsidR="009C1C1C" w:rsidRPr="00783D14" w:rsidP="009C1C1C" w14:paraId="3E48966D" w14:textId="77777777">
      <w:pPr>
        <w:pStyle w:val="FootnoteText"/>
        <w:spacing w:after="0"/>
        <w:rPr>
          <w:rStyle w:val="Hyperlink"/>
        </w:rPr>
      </w:pPr>
      <w:r w:rsidRPr="00CB2E37">
        <w:instrText>pid+ECN_2012_US.51SSSZ4&amp;prodType=table</w:instrText>
      </w:r>
      <w:r>
        <w:instrText xml:space="preserve">" </w:instrText>
      </w:r>
      <w:r>
        <w:fldChar w:fldCharType="separate"/>
      </w:r>
      <w:r w:rsidRPr="00783D14">
        <w:rPr>
          <w:rStyle w:val="Hyperlink"/>
        </w:rPr>
        <w:t>http://factfinder.census.gov/faces/tableservices.jasf/pages/productview.xhtml?</w:t>
      </w:r>
    </w:p>
    <w:p w:rsidR="009C1C1C" w:rsidP="009C1C1C" w14:paraId="01BF9983" w14:textId="77777777">
      <w:pPr>
        <w:pStyle w:val="FootnoteText"/>
      </w:pPr>
      <w:r w:rsidRPr="00783D14">
        <w:rPr>
          <w:rStyle w:val="Hyperlink"/>
        </w:rPr>
        <w:t>pid+ECN_2012_US.51SSSZ4&amp;prodType=table</w:t>
      </w:r>
      <w:r>
        <w:fldChar w:fldCharType="end"/>
      </w:r>
      <w:r>
        <w:rPr>
          <w:sz w:val="16"/>
          <w:szCs w:val="16"/>
        </w:rPr>
        <w:t>.</w:t>
      </w:r>
    </w:p>
  </w:footnote>
  <w:footnote w:id="412">
    <w:p w:rsidR="009C1C1C" w:rsidP="009C1C1C" w14:paraId="2E70D5C3" w14:textId="77777777">
      <w:pPr>
        <w:pStyle w:val="FootnoteText"/>
      </w:pPr>
      <w:r>
        <w:rPr>
          <w:rStyle w:val="FootnoteReference"/>
        </w:rPr>
        <w:footnoteRef/>
      </w:r>
      <w:r>
        <w:t xml:space="preserve"> </w:t>
      </w:r>
      <w:r w:rsidRPr="00185ED3">
        <w:t>5 U.S.C. § 603(c)(1)–(c)(4).</w:t>
      </w:r>
    </w:p>
  </w:footnote>
  <w:footnote w:id="413">
    <w:p w:rsidR="009C1C1C" w:rsidRPr="007819A1" w:rsidP="009C1C1C" w14:paraId="39C562E6" w14:textId="77777777">
      <w:pPr>
        <w:pStyle w:val="FootnoteText"/>
        <w:spacing w:after="240"/>
        <w:rPr>
          <w:spacing w:val="-2"/>
        </w:rPr>
      </w:pPr>
      <w:r>
        <w:rPr>
          <w:rStyle w:val="FootnoteReference"/>
        </w:rPr>
        <w:footnoteRef/>
      </w:r>
      <w:r>
        <w:t xml:space="preserve"> </w:t>
      </w:r>
      <w:r w:rsidRPr="00B60211">
        <w:rPr>
          <w:spacing w:val="-2"/>
        </w:rPr>
        <w:t xml:space="preserve">Note that </w:t>
      </w:r>
      <w:r>
        <w:rPr>
          <w:spacing w:val="-2"/>
        </w:rPr>
        <w:t>“</w:t>
      </w:r>
      <w:r w:rsidRPr="00B60211">
        <w:rPr>
          <w:spacing w:val="-2"/>
        </w:rPr>
        <w:t>small fees</w:t>
      </w:r>
      <w:r>
        <w:rPr>
          <w:spacing w:val="-2"/>
        </w:rPr>
        <w:t>”</w:t>
      </w:r>
      <w:r w:rsidRPr="00B60211">
        <w:rPr>
          <w:spacing w:val="-2"/>
        </w:rPr>
        <w:t xml:space="preserve">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w:t>
      </w:r>
      <w:r>
        <w:rPr>
          <w:spacing w:val="-2"/>
        </w:rPr>
        <w:t xml:space="preserve"> </w:t>
      </w:r>
      <w:r w:rsidRPr="00B60211">
        <w:rPr>
          <w:spacing w:val="-2"/>
        </w:rPr>
        <w:t>1.1102 of this chapter.</w:t>
      </w:r>
    </w:p>
  </w:footnote>
  <w:footnote w:id="414">
    <w:p w:rsidR="009C1C1C" w:rsidRPr="00B60211" w:rsidP="009C1C1C" w14:paraId="646FDFDA" w14:textId="77777777">
      <w:pPr>
        <w:pStyle w:val="FootnoteText"/>
      </w:pPr>
      <w:r w:rsidRPr="00B60211">
        <w:rPr>
          <w:rStyle w:val="FootnoteReference"/>
        </w:rPr>
        <w:footnoteRef/>
      </w:r>
      <w:r w:rsidRPr="00B60211">
        <w:t xml:space="preserve"> These are standard fees that are to be paid in accordance with § 1.1157(b) of this chapter.</w:t>
      </w:r>
    </w:p>
  </w:footnote>
  <w:footnote w:id="415">
    <w:p w:rsidR="009C1C1C" w:rsidRPr="005A3505" w:rsidP="009C1C1C" w14:paraId="32EBA748" w14:textId="77777777">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210" w:rsidP="00810B6F" w14:paraId="3A410D6C" w14:textId="37871678">
    <w:pPr>
      <w:pStyle w:val="Header"/>
      <w:rPr>
        <w:b w:val="0"/>
      </w:rPr>
    </w:pPr>
    <w:r>
      <w:tab/>
      <w:t>Federal Communications Commission</w:t>
    </w:r>
    <w:r>
      <w:tab/>
    </w:r>
    <w:r w:rsidR="00DC49D8">
      <w:t>FCC 20-120</w:t>
    </w:r>
  </w:p>
  <w:p w:rsidR="00EA1210" w:rsidRPr="00584CDC" w:rsidP="00584CDC" w14:paraId="6CACBB67" w14:textId="42964FF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210" w:rsidP="00810B6F" w14:paraId="58731ACA" w14:textId="3DC0CE7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C49D8">
      <w:rPr>
        <w:spacing w:val="-2"/>
      </w:rPr>
      <w:t>FCC 20-120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14:paraId="157D3D0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rsidP="004E38B4" w14:paraId="41C79054" w14:textId="6A602372">
    <w:pPr>
      <w:pStyle w:val="Header"/>
      <w:rPr>
        <w:b w:val="0"/>
      </w:rPr>
    </w:pPr>
    <w:r>
      <w:tab/>
      <w:t>Federal Communications Commission</w:t>
    </w:r>
    <w:r>
      <w:tab/>
    </w:r>
    <w:r w:rsidR="003D5095">
      <w:t>FCC 20-120</w:t>
    </w:r>
  </w:p>
  <w:p w:rsidR="009C1C1C" w:rsidRPr="003D5095" w:rsidP="003D5095" w14:paraId="270088CA" w14:textId="6924571B">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rsidP="004E38B4" w14:paraId="6678584B" w14:textId="08A37E4B">
    <w:pPr>
      <w:pStyle w:val="Header"/>
      <w:rPr>
        <w:b w:val="0"/>
      </w:rPr>
    </w:pPr>
    <w:r>
      <w:tab/>
      <w:t>Federal Communications Commission</w:t>
    </w:r>
    <w:r>
      <w:tab/>
    </w:r>
    <w:r w:rsidR="003D5095">
      <w:t>FCC 20-120</w:t>
    </w:r>
  </w:p>
  <w:p w:rsidR="009C1C1C" w:rsidP="004E38B4" w14:paraId="31E0323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p w:rsidR="009C1C1C" w:rsidRPr="004E38B4" w:rsidP="004E38B4" w14:paraId="00F3B40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rsidP="00810B6F" w14:paraId="10E3E39B" w14:textId="3399AF3D">
    <w:pPr>
      <w:pStyle w:val="Header"/>
      <w:rPr>
        <w:b w:val="0"/>
      </w:rPr>
    </w:pPr>
    <w:r>
      <w:tab/>
      <w:t>Federal Communications Commission</w:t>
    </w:r>
    <w:r>
      <w:tab/>
    </w:r>
    <w:r w:rsidR="003D5095">
      <w:t>FCC 20-120</w:t>
    </w:r>
  </w:p>
  <w:p w:rsidR="009C1C1C" w14:paraId="119F781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9C1C1C" w14:paraId="2DCFE354"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C1C" w:rsidP="00810B6F" w14:paraId="799DD7B9"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CE85CA5"/>
    <w:multiLevelType w:val="hybridMultilevel"/>
    <w:tmpl w:val="DA34A902"/>
    <w:styleLink w:val="ImportedStyle2"/>
    <w:lvl w:ilvl="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5B81240C"/>
    <w:multiLevelType w:val="hybridMultilevel"/>
    <w:tmpl w:val="292E23E6"/>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7">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0"/>
  </w:num>
  <w:num w:numId="8">
    <w:abstractNumId w:val="5"/>
  </w:num>
  <w:num w:numId="9">
    <w:abstractNumId w:val="4"/>
    <w:lvlOverride w:ilvl="0">
      <w:startOverride w:val="1"/>
    </w:lvlOverride>
  </w:num>
  <w:num w:numId="10">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DC"/>
    <w:rsid w:val="00000BE0"/>
    <w:rsid w:val="00004A61"/>
    <w:rsid w:val="0000664D"/>
    <w:rsid w:val="00007763"/>
    <w:rsid w:val="000123E2"/>
    <w:rsid w:val="00014D1A"/>
    <w:rsid w:val="000172EB"/>
    <w:rsid w:val="00017333"/>
    <w:rsid w:val="00020CD7"/>
    <w:rsid w:val="00027EFD"/>
    <w:rsid w:val="00035315"/>
    <w:rsid w:val="000356D0"/>
    <w:rsid w:val="00036039"/>
    <w:rsid w:val="00037586"/>
    <w:rsid w:val="00037A95"/>
    <w:rsid w:val="00037F90"/>
    <w:rsid w:val="00042F14"/>
    <w:rsid w:val="000460D5"/>
    <w:rsid w:val="00057564"/>
    <w:rsid w:val="000618A2"/>
    <w:rsid w:val="00080C31"/>
    <w:rsid w:val="000815A6"/>
    <w:rsid w:val="00087530"/>
    <w:rsid w:val="000875BF"/>
    <w:rsid w:val="00090B06"/>
    <w:rsid w:val="00096D8C"/>
    <w:rsid w:val="00097952"/>
    <w:rsid w:val="000A053B"/>
    <w:rsid w:val="000A4AE0"/>
    <w:rsid w:val="000A61E4"/>
    <w:rsid w:val="000A70F5"/>
    <w:rsid w:val="000C0B65"/>
    <w:rsid w:val="000C5F54"/>
    <w:rsid w:val="000C6050"/>
    <w:rsid w:val="000D1C2D"/>
    <w:rsid w:val="000D405F"/>
    <w:rsid w:val="000E053B"/>
    <w:rsid w:val="000E05FE"/>
    <w:rsid w:val="000E3D42"/>
    <w:rsid w:val="000E6579"/>
    <w:rsid w:val="000F189F"/>
    <w:rsid w:val="000F1BB7"/>
    <w:rsid w:val="000F5C56"/>
    <w:rsid w:val="00102314"/>
    <w:rsid w:val="00105D71"/>
    <w:rsid w:val="0010607C"/>
    <w:rsid w:val="00107C98"/>
    <w:rsid w:val="001163F6"/>
    <w:rsid w:val="0011764D"/>
    <w:rsid w:val="00122BD5"/>
    <w:rsid w:val="00133697"/>
    <w:rsid w:val="00133F79"/>
    <w:rsid w:val="0014092A"/>
    <w:rsid w:val="00141957"/>
    <w:rsid w:val="001440AF"/>
    <w:rsid w:val="0014569E"/>
    <w:rsid w:val="00146E07"/>
    <w:rsid w:val="001544D9"/>
    <w:rsid w:val="001621B7"/>
    <w:rsid w:val="00172614"/>
    <w:rsid w:val="00175D04"/>
    <w:rsid w:val="00185ED3"/>
    <w:rsid w:val="00194A66"/>
    <w:rsid w:val="001976BA"/>
    <w:rsid w:val="001A62C0"/>
    <w:rsid w:val="001B0532"/>
    <w:rsid w:val="001B08D4"/>
    <w:rsid w:val="001C4125"/>
    <w:rsid w:val="001D0A8B"/>
    <w:rsid w:val="001D161A"/>
    <w:rsid w:val="001D6BCF"/>
    <w:rsid w:val="001D7610"/>
    <w:rsid w:val="001E01CA"/>
    <w:rsid w:val="001E1D22"/>
    <w:rsid w:val="001E36B6"/>
    <w:rsid w:val="001E39E8"/>
    <w:rsid w:val="001E46EC"/>
    <w:rsid w:val="001E632D"/>
    <w:rsid w:val="001F1BC6"/>
    <w:rsid w:val="001F4743"/>
    <w:rsid w:val="001F635E"/>
    <w:rsid w:val="00200423"/>
    <w:rsid w:val="00203E3C"/>
    <w:rsid w:val="0020482D"/>
    <w:rsid w:val="00212E23"/>
    <w:rsid w:val="00220341"/>
    <w:rsid w:val="002223CA"/>
    <w:rsid w:val="00222625"/>
    <w:rsid w:val="00223794"/>
    <w:rsid w:val="00225428"/>
    <w:rsid w:val="00233E31"/>
    <w:rsid w:val="0023628C"/>
    <w:rsid w:val="0023751D"/>
    <w:rsid w:val="00241B2E"/>
    <w:rsid w:val="002509CE"/>
    <w:rsid w:val="00253F4C"/>
    <w:rsid w:val="0026080E"/>
    <w:rsid w:val="00262B27"/>
    <w:rsid w:val="00262FD1"/>
    <w:rsid w:val="002652B6"/>
    <w:rsid w:val="0026657E"/>
    <w:rsid w:val="002667E6"/>
    <w:rsid w:val="00271039"/>
    <w:rsid w:val="00275CF5"/>
    <w:rsid w:val="00276BFF"/>
    <w:rsid w:val="00281A08"/>
    <w:rsid w:val="0028301F"/>
    <w:rsid w:val="00285017"/>
    <w:rsid w:val="00290BC5"/>
    <w:rsid w:val="00291255"/>
    <w:rsid w:val="002936D4"/>
    <w:rsid w:val="00296FEE"/>
    <w:rsid w:val="002A2D2E"/>
    <w:rsid w:val="002A5E1F"/>
    <w:rsid w:val="002A77D8"/>
    <w:rsid w:val="002B1B38"/>
    <w:rsid w:val="002B58E2"/>
    <w:rsid w:val="002C00E8"/>
    <w:rsid w:val="002C7C70"/>
    <w:rsid w:val="002D01A9"/>
    <w:rsid w:val="002D21FE"/>
    <w:rsid w:val="002E14F4"/>
    <w:rsid w:val="002E4B94"/>
    <w:rsid w:val="002F0F38"/>
    <w:rsid w:val="002F6A99"/>
    <w:rsid w:val="00300D37"/>
    <w:rsid w:val="00306471"/>
    <w:rsid w:val="0031324C"/>
    <w:rsid w:val="003216AF"/>
    <w:rsid w:val="00333EB9"/>
    <w:rsid w:val="00342331"/>
    <w:rsid w:val="00343749"/>
    <w:rsid w:val="003456FB"/>
    <w:rsid w:val="00346EBB"/>
    <w:rsid w:val="003570D6"/>
    <w:rsid w:val="00357400"/>
    <w:rsid w:val="00365B1A"/>
    <w:rsid w:val="003660ED"/>
    <w:rsid w:val="00372869"/>
    <w:rsid w:val="0037553B"/>
    <w:rsid w:val="00392798"/>
    <w:rsid w:val="003A20B0"/>
    <w:rsid w:val="003A7C2B"/>
    <w:rsid w:val="003B0550"/>
    <w:rsid w:val="003B0FF1"/>
    <w:rsid w:val="003B3FAB"/>
    <w:rsid w:val="003B430E"/>
    <w:rsid w:val="003B694F"/>
    <w:rsid w:val="003C560E"/>
    <w:rsid w:val="003C6937"/>
    <w:rsid w:val="003D5095"/>
    <w:rsid w:val="003D7E69"/>
    <w:rsid w:val="003E3FA2"/>
    <w:rsid w:val="003E49B7"/>
    <w:rsid w:val="003E784F"/>
    <w:rsid w:val="003F171C"/>
    <w:rsid w:val="003F41A2"/>
    <w:rsid w:val="003F6DAA"/>
    <w:rsid w:val="00410E02"/>
    <w:rsid w:val="0041294C"/>
    <w:rsid w:val="00412FC5"/>
    <w:rsid w:val="004163A7"/>
    <w:rsid w:val="004213FC"/>
    <w:rsid w:val="00422276"/>
    <w:rsid w:val="004242F1"/>
    <w:rsid w:val="004264F2"/>
    <w:rsid w:val="0042777E"/>
    <w:rsid w:val="004302CB"/>
    <w:rsid w:val="0044466B"/>
    <w:rsid w:val="00445A00"/>
    <w:rsid w:val="0045000A"/>
    <w:rsid w:val="00451B0F"/>
    <w:rsid w:val="0046118E"/>
    <w:rsid w:val="00461FF4"/>
    <w:rsid w:val="00470358"/>
    <w:rsid w:val="004708B2"/>
    <w:rsid w:val="00473113"/>
    <w:rsid w:val="0047313F"/>
    <w:rsid w:val="004771CF"/>
    <w:rsid w:val="00481BBB"/>
    <w:rsid w:val="00484D62"/>
    <w:rsid w:val="0049102A"/>
    <w:rsid w:val="004A2643"/>
    <w:rsid w:val="004A56AB"/>
    <w:rsid w:val="004A5F20"/>
    <w:rsid w:val="004B0E7E"/>
    <w:rsid w:val="004B2BEE"/>
    <w:rsid w:val="004B7ECD"/>
    <w:rsid w:val="004C2EE3"/>
    <w:rsid w:val="004C6EB2"/>
    <w:rsid w:val="004D43A5"/>
    <w:rsid w:val="004D45F6"/>
    <w:rsid w:val="004E38B4"/>
    <w:rsid w:val="004E438E"/>
    <w:rsid w:val="004E4A22"/>
    <w:rsid w:val="004F3FEC"/>
    <w:rsid w:val="004F412B"/>
    <w:rsid w:val="004F4803"/>
    <w:rsid w:val="004F5D40"/>
    <w:rsid w:val="004F62DC"/>
    <w:rsid w:val="004F6B35"/>
    <w:rsid w:val="00500EA4"/>
    <w:rsid w:val="005077B3"/>
    <w:rsid w:val="00511968"/>
    <w:rsid w:val="005336F3"/>
    <w:rsid w:val="005365D4"/>
    <w:rsid w:val="00537DFF"/>
    <w:rsid w:val="00540469"/>
    <w:rsid w:val="00541A5F"/>
    <w:rsid w:val="00546C27"/>
    <w:rsid w:val="0055614C"/>
    <w:rsid w:val="00565E15"/>
    <w:rsid w:val="00566891"/>
    <w:rsid w:val="00566D06"/>
    <w:rsid w:val="00573746"/>
    <w:rsid w:val="005775EF"/>
    <w:rsid w:val="00580112"/>
    <w:rsid w:val="00584333"/>
    <w:rsid w:val="00584CDC"/>
    <w:rsid w:val="00590488"/>
    <w:rsid w:val="00593971"/>
    <w:rsid w:val="00593FA6"/>
    <w:rsid w:val="0059512C"/>
    <w:rsid w:val="005974A4"/>
    <w:rsid w:val="005A1475"/>
    <w:rsid w:val="005A3505"/>
    <w:rsid w:val="005B36CB"/>
    <w:rsid w:val="005B4944"/>
    <w:rsid w:val="005B4DE5"/>
    <w:rsid w:val="005B51CD"/>
    <w:rsid w:val="005C2FF6"/>
    <w:rsid w:val="005D1C7F"/>
    <w:rsid w:val="005E14C2"/>
    <w:rsid w:val="005E2B12"/>
    <w:rsid w:val="005E64AB"/>
    <w:rsid w:val="005E7451"/>
    <w:rsid w:val="005F25F1"/>
    <w:rsid w:val="005F26B3"/>
    <w:rsid w:val="005F52CB"/>
    <w:rsid w:val="005F63E9"/>
    <w:rsid w:val="005F6BC2"/>
    <w:rsid w:val="005F705F"/>
    <w:rsid w:val="0060228C"/>
    <w:rsid w:val="00603E5E"/>
    <w:rsid w:val="00607BA5"/>
    <w:rsid w:val="0061180A"/>
    <w:rsid w:val="0062117D"/>
    <w:rsid w:val="006220A7"/>
    <w:rsid w:val="00622243"/>
    <w:rsid w:val="00626EB6"/>
    <w:rsid w:val="00631546"/>
    <w:rsid w:val="006353AE"/>
    <w:rsid w:val="006358BC"/>
    <w:rsid w:val="00644BFC"/>
    <w:rsid w:val="00654CB6"/>
    <w:rsid w:val="00655D03"/>
    <w:rsid w:val="00661179"/>
    <w:rsid w:val="00661CF6"/>
    <w:rsid w:val="006626EF"/>
    <w:rsid w:val="0066448F"/>
    <w:rsid w:val="00670611"/>
    <w:rsid w:val="00671377"/>
    <w:rsid w:val="00675820"/>
    <w:rsid w:val="00677CF6"/>
    <w:rsid w:val="0068056B"/>
    <w:rsid w:val="006810B2"/>
    <w:rsid w:val="00683388"/>
    <w:rsid w:val="00683F84"/>
    <w:rsid w:val="0068429C"/>
    <w:rsid w:val="0069017D"/>
    <w:rsid w:val="0069685E"/>
    <w:rsid w:val="006A3CE3"/>
    <w:rsid w:val="006A6A81"/>
    <w:rsid w:val="006A75BE"/>
    <w:rsid w:val="006B076E"/>
    <w:rsid w:val="006B0F19"/>
    <w:rsid w:val="006B48CA"/>
    <w:rsid w:val="006B7181"/>
    <w:rsid w:val="006C2392"/>
    <w:rsid w:val="006C2C38"/>
    <w:rsid w:val="006C50D8"/>
    <w:rsid w:val="006E3367"/>
    <w:rsid w:val="006E5954"/>
    <w:rsid w:val="006E760E"/>
    <w:rsid w:val="006F130E"/>
    <w:rsid w:val="006F3A15"/>
    <w:rsid w:val="006F6C54"/>
    <w:rsid w:val="006F7393"/>
    <w:rsid w:val="0070224F"/>
    <w:rsid w:val="007061BD"/>
    <w:rsid w:val="007115F7"/>
    <w:rsid w:val="00723723"/>
    <w:rsid w:val="00730BA3"/>
    <w:rsid w:val="00731D5C"/>
    <w:rsid w:val="00737095"/>
    <w:rsid w:val="0074550F"/>
    <w:rsid w:val="007473E1"/>
    <w:rsid w:val="0075547C"/>
    <w:rsid w:val="00755F2E"/>
    <w:rsid w:val="007667BE"/>
    <w:rsid w:val="00767BEB"/>
    <w:rsid w:val="007749D2"/>
    <w:rsid w:val="0078091C"/>
    <w:rsid w:val="007819A1"/>
    <w:rsid w:val="00783D14"/>
    <w:rsid w:val="00785689"/>
    <w:rsid w:val="00785CA6"/>
    <w:rsid w:val="00796527"/>
    <w:rsid w:val="0079754B"/>
    <w:rsid w:val="007A1E6D"/>
    <w:rsid w:val="007A28E2"/>
    <w:rsid w:val="007A4872"/>
    <w:rsid w:val="007B0EB2"/>
    <w:rsid w:val="007B65BD"/>
    <w:rsid w:val="007C02C7"/>
    <w:rsid w:val="007D15C3"/>
    <w:rsid w:val="007E129D"/>
    <w:rsid w:val="007E1E68"/>
    <w:rsid w:val="007E476D"/>
    <w:rsid w:val="007E4D9C"/>
    <w:rsid w:val="007E653A"/>
    <w:rsid w:val="007E7BF8"/>
    <w:rsid w:val="007F066D"/>
    <w:rsid w:val="007F1595"/>
    <w:rsid w:val="007F2DAD"/>
    <w:rsid w:val="007F3B6C"/>
    <w:rsid w:val="007F42CE"/>
    <w:rsid w:val="007F4D44"/>
    <w:rsid w:val="008006D1"/>
    <w:rsid w:val="00802C81"/>
    <w:rsid w:val="00810B6F"/>
    <w:rsid w:val="00810DAD"/>
    <w:rsid w:val="00815D63"/>
    <w:rsid w:val="00820DF8"/>
    <w:rsid w:val="0082202C"/>
    <w:rsid w:val="00822CE0"/>
    <w:rsid w:val="0082423F"/>
    <w:rsid w:val="008242F1"/>
    <w:rsid w:val="00835723"/>
    <w:rsid w:val="0083579A"/>
    <w:rsid w:val="00837BCE"/>
    <w:rsid w:val="00841258"/>
    <w:rsid w:val="00841AB1"/>
    <w:rsid w:val="008443E5"/>
    <w:rsid w:val="00851F3F"/>
    <w:rsid w:val="00855298"/>
    <w:rsid w:val="00857FA7"/>
    <w:rsid w:val="00860117"/>
    <w:rsid w:val="00864CD8"/>
    <w:rsid w:val="008703CF"/>
    <w:rsid w:val="0087740C"/>
    <w:rsid w:val="00877FCD"/>
    <w:rsid w:val="00881C18"/>
    <w:rsid w:val="008A079A"/>
    <w:rsid w:val="008A0921"/>
    <w:rsid w:val="008A1C84"/>
    <w:rsid w:val="008A47A6"/>
    <w:rsid w:val="008A4B2E"/>
    <w:rsid w:val="008B2E75"/>
    <w:rsid w:val="008B4DC3"/>
    <w:rsid w:val="008B7D47"/>
    <w:rsid w:val="008C0B4F"/>
    <w:rsid w:val="008C68F1"/>
    <w:rsid w:val="008E0D6F"/>
    <w:rsid w:val="008E15A8"/>
    <w:rsid w:val="008E385B"/>
    <w:rsid w:val="008E6C2E"/>
    <w:rsid w:val="008F595F"/>
    <w:rsid w:val="008F6C69"/>
    <w:rsid w:val="00900913"/>
    <w:rsid w:val="0091451A"/>
    <w:rsid w:val="0092092E"/>
    <w:rsid w:val="00921803"/>
    <w:rsid w:val="00922012"/>
    <w:rsid w:val="009234F5"/>
    <w:rsid w:val="00926503"/>
    <w:rsid w:val="00927E1D"/>
    <w:rsid w:val="00930D2A"/>
    <w:rsid w:val="009320F9"/>
    <w:rsid w:val="0093310F"/>
    <w:rsid w:val="00940327"/>
    <w:rsid w:val="00943B91"/>
    <w:rsid w:val="00953418"/>
    <w:rsid w:val="009541C1"/>
    <w:rsid w:val="009542B9"/>
    <w:rsid w:val="009617A3"/>
    <w:rsid w:val="00966510"/>
    <w:rsid w:val="009726D8"/>
    <w:rsid w:val="00972C8A"/>
    <w:rsid w:val="00975554"/>
    <w:rsid w:val="009842C6"/>
    <w:rsid w:val="00990A69"/>
    <w:rsid w:val="00994172"/>
    <w:rsid w:val="009950C8"/>
    <w:rsid w:val="00995C9F"/>
    <w:rsid w:val="009A1436"/>
    <w:rsid w:val="009A1F07"/>
    <w:rsid w:val="009A317F"/>
    <w:rsid w:val="009B5533"/>
    <w:rsid w:val="009B6409"/>
    <w:rsid w:val="009B6A19"/>
    <w:rsid w:val="009B73B1"/>
    <w:rsid w:val="009C03A7"/>
    <w:rsid w:val="009C1C1C"/>
    <w:rsid w:val="009D7308"/>
    <w:rsid w:val="009E29E7"/>
    <w:rsid w:val="009E62D9"/>
    <w:rsid w:val="009F76DB"/>
    <w:rsid w:val="00A017E4"/>
    <w:rsid w:val="00A02F8F"/>
    <w:rsid w:val="00A1103B"/>
    <w:rsid w:val="00A12D52"/>
    <w:rsid w:val="00A1340D"/>
    <w:rsid w:val="00A13DC4"/>
    <w:rsid w:val="00A17ED9"/>
    <w:rsid w:val="00A20938"/>
    <w:rsid w:val="00A242B0"/>
    <w:rsid w:val="00A24BCC"/>
    <w:rsid w:val="00A2541F"/>
    <w:rsid w:val="00A32C3B"/>
    <w:rsid w:val="00A36DA0"/>
    <w:rsid w:val="00A40B88"/>
    <w:rsid w:val="00A45D42"/>
    <w:rsid w:val="00A45F4F"/>
    <w:rsid w:val="00A5060E"/>
    <w:rsid w:val="00A54FE6"/>
    <w:rsid w:val="00A55495"/>
    <w:rsid w:val="00A555F7"/>
    <w:rsid w:val="00A600A9"/>
    <w:rsid w:val="00A6365A"/>
    <w:rsid w:val="00A6477A"/>
    <w:rsid w:val="00A67406"/>
    <w:rsid w:val="00A7270F"/>
    <w:rsid w:val="00A727BC"/>
    <w:rsid w:val="00A7513F"/>
    <w:rsid w:val="00A77182"/>
    <w:rsid w:val="00A77F40"/>
    <w:rsid w:val="00A8466B"/>
    <w:rsid w:val="00A9006F"/>
    <w:rsid w:val="00A909D8"/>
    <w:rsid w:val="00A9148B"/>
    <w:rsid w:val="00A93FD4"/>
    <w:rsid w:val="00A94765"/>
    <w:rsid w:val="00A96562"/>
    <w:rsid w:val="00AA0CC0"/>
    <w:rsid w:val="00AA1125"/>
    <w:rsid w:val="00AA55B7"/>
    <w:rsid w:val="00AA5B9E"/>
    <w:rsid w:val="00AA6993"/>
    <w:rsid w:val="00AB00AF"/>
    <w:rsid w:val="00AB19E6"/>
    <w:rsid w:val="00AB1D3A"/>
    <w:rsid w:val="00AB2407"/>
    <w:rsid w:val="00AB3CCB"/>
    <w:rsid w:val="00AB4579"/>
    <w:rsid w:val="00AB53DF"/>
    <w:rsid w:val="00AB5C78"/>
    <w:rsid w:val="00AB6E3F"/>
    <w:rsid w:val="00AC73B6"/>
    <w:rsid w:val="00AD169D"/>
    <w:rsid w:val="00AD3355"/>
    <w:rsid w:val="00AF1916"/>
    <w:rsid w:val="00B0106B"/>
    <w:rsid w:val="00B013DC"/>
    <w:rsid w:val="00B06F8A"/>
    <w:rsid w:val="00B07CAD"/>
    <w:rsid w:val="00B07E5C"/>
    <w:rsid w:val="00B141B0"/>
    <w:rsid w:val="00B15760"/>
    <w:rsid w:val="00B1692B"/>
    <w:rsid w:val="00B21C02"/>
    <w:rsid w:val="00B400CE"/>
    <w:rsid w:val="00B409B4"/>
    <w:rsid w:val="00B409F3"/>
    <w:rsid w:val="00B4251C"/>
    <w:rsid w:val="00B556FE"/>
    <w:rsid w:val="00B57B6C"/>
    <w:rsid w:val="00B60211"/>
    <w:rsid w:val="00B605CD"/>
    <w:rsid w:val="00B64A88"/>
    <w:rsid w:val="00B726D4"/>
    <w:rsid w:val="00B72A06"/>
    <w:rsid w:val="00B73B5E"/>
    <w:rsid w:val="00B80C6E"/>
    <w:rsid w:val="00B811F7"/>
    <w:rsid w:val="00B87B22"/>
    <w:rsid w:val="00B90DD2"/>
    <w:rsid w:val="00B96F3E"/>
    <w:rsid w:val="00B974AD"/>
    <w:rsid w:val="00BA0557"/>
    <w:rsid w:val="00BA08C8"/>
    <w:rsid w:val="00BA38BD"/>
    <w:rsid w:val="00BA408F"/>
    <w:rsid w:val="00BA5DC6"/>
    <w:rsid w:val="00BA6196"/>
    <w:rsid w:val="00BB1C29"/>
    <w:rsid w:val="00BB229F"/>
    <w:rsid w:val="00BB3AED"/>
    <w:rsid w:val="00BB6760"/>
    <w:rsid w:val="00BC6D8C"/>
    <w:rsid w:val="00BD3545"/>
    <w:rsid w:val="00BD35BF"/>
    <w:rsid w:val="00BD3791"/>
    <w:rsid w:val="00BD3795"/>
    <w:rsid w:val="00BD39A9"/>
    <w:rsid w:val="00BD4318"/>
    <w:rsid w:val="00BE04D3"/>
    <w:rsid w:val="00BE05FB"/>
    <w:rsid w:val="00BE1BA4"/>
    <w:rsid w:val="00BE34EB"/>
    <w:rsid w:val="00BE4D74"/>
    <w:rsid w:val="00BE5F12"/>
    <w:rsid w:val="00BF211E"/>
    <w:rsid w:val="00BF32AA"/>
    <w:rsid w:val="00BF7B11"/>
    <w:rsid w:val="00C01FEA"/>
    <w:rsid w:val="00C04EDE"/>
    <w:rsid w:val="00C063F6"/>
    <w:rsid w:val="00C114BE"/>
    <w:rsid w:val="00C15690"/>
    <w:rsid w:val="00C1658E"/>
    <w:rsid w:val="00C17768"/>
    <w:rsid w:val="00C2728E"/>
    <w:rsid w:val="00C308B6"/>
    <w:rsid w:val="00C34006"/>
    <w:rsid w:val="00C358E1"/>
    <w:rsid w:val="00C36012"/>
    <w:rsid w:val="00C36B4C"/>
    <w:rsid w:val="00C36CAA"/>
    <w:rsid w:val="00C402C4"/>
    <w:rsid w:val="00C426B1"/>
    <w:rsid w:val="00C43D23"/>
    <w:rsid w:val="00C5052D"/>
    <w:rsid w:val="00C52DA6"/>
    <w:rsid w:val="00C6273A"/>
    <w:rsid w:val="00C62B24"/>
    <w:rsid w:val="00C65CAC"/>
    <w:rsid w:val="00C66160"/>
    <w:rsid w:val="00C662B9"/>
    <w:rsid w:val="00C67BED"/>
    <w:rsid w:val="00C715B0"/>
    <w:rsid w:val="00C71B0F"/>
    <w:rsid w:val="00C721AC"/>
    <w:rsid w:val="00C729E8"/>
    <w:rsid w:val="00C86AD8"/>
    <w:rsid w:val="00C877E4"/>
    <w:rsid w:val="00C90D6A"/>
    <w:rsid w:val="00C913A9"/>
    <w:rsid w:val="00C932C7"/>
    <w:rsid w:val="00C9656E"/>
    <w:rsid w:val="00C9734C"/>
    <w:rsid w:val="00C97D3F"/>
    <w:rsid w:val="00CA247E"/>
    <w:rsid w:val="00CA6D21"/>
    <w:rsid w:val="00CB175E"/>
    <w:rsid w:val="00CB2DF4"/>
    <w:rsid w:val="00CB2E37"/>
    <w:rsid w:val="00CB308D"/>
    <w:rsid w:val="00CB7298"/>
    <w:rsid w:val="00CC1F19"/>
    <w:rsid w:val="00CC5478"/>
    <w:rsid w:val="00CC72B6"/>
    <w:rsid w:val="00CD0259"/>
    <w:rsid w:val="00CD3CED"/>
    <w:rsid w:val="00CE0A78"/>
    <w:rsid w:val="00CE0BF8"/>
    <w:rsid w:val="00CE6CB1"/>
    <w:rsid w:val="00CF6908"/>
    <w:rsid w:val="00D00F01"/>
    <w:rsid w:val="00D0218D"/>
    <w:rsid w:val="00D02EC8"/>
    <w:rsid w:val="00D1090E"/>
    <w:rsid w:val="00D13D23"/>
    <w:rsid w:val="00D14A6E"/>
    <w:rsid w:val="00D15B65"/>
    <w:rsid w:val="00D16434"/>
    <w:rsid w:val="00D16F26"/>
    <w:rsid w:val="00D23917"/>
    <w:rsid w:val="00D25525"/>
    <w:rsid w:val="00D25FB5"/>
    <w:rsid w:val="00D37059"/>
    <w:rsid w:val="00D44223"/>
    <w:rsid w:val="00D54B3B"/>
    <w:rsid w:val="00D57776"/>
    <w:rsid w:val="00D61887"/>
    <w:rsid w:val="00D659D9"/>
    <w:rsid w:val="00D66682"/>
    <w:rsid w:val="00D71C78"/>
    <w:rsid w:val="00D8403F"/>
    <w:rsid w:val="00D9238C"/>
    <w:rsid w:val="00D92F25"/>
    <w:rsid w:val="00D92F85"/>
    <w:rsid w:val="00D97D01"/>
    <w:rsid w:val="00DA2529"/>
    <w:rsid w:val="00DA2B24"/>
    <w:rsid w:val="00DA323B"/>
    <w:rsid w:val="00DB130A"/>
    <w:rsid w:val="00DB24AF"/>
    <w:rsid w:val="00DB2EBB"/>
    <w:rsid w:val="00DB31C6"/>
    <w:rsid w:val="00DB7F63"/>
    <w:rsid w:val="00DC10A1"/>
    <w:rsid w:val="00DC2279"/>
    <w:rsid w:val="00DC28B3"/>
    <w:rsid w:val="00DC49D8"/>
    <w:rsid w:val="00DC655F"/>
    <w:rsid w:val="00DD0B59"/>
    <w:rsid w:val="00DD41E6"/>
    <w:rsid w:val="00DD64CF"/>
    <w:rsid w:val="00DD7D00"/>
    <w:rsid w:val="00DD7EBD"/>
    <w:rsid w:val="00DE09BB"/>
    <w:rsid w:val="00DE3088"/>
    <w:rsid w:val="00DE61B6"/>
    <w:rsid w:val="00DE6E25"/>
    <w:rsid w:val="00DE74EC"/>
    <w:rsid w:val="00DF3041"/>
    <w:rsid w:val="00DF4D06"/>
    <w:rsid w:val="00DF4E4B"/>
    <w:rsid w:val="00DF6220"/>
    <w:rsid w:val="00DF62B6"/>
    <w:rsid w:val="00E003F1"/>
    <w:rsid w:val="00E00A5C"/>
    <w:rsid w:val="00E024DD"/>
    <w:rsid w:val="00E07225"/>
    <w:rsid w:val="00E106F6"/>
    <w:rsid w:val="00E15DB8"/>
    <w:rsid w:val="00E31C8D"/>
    <w:rsid w:val="00E3654B"/>
    <w:rsid w:val="00E36DAD"/>
    <w:rsid w:val="00E409C0"/>
    <w:rsid w:val="00E42C66"/>
    <w:rsid w:val="00E43672"/>
    <w:rsid w:val="00E52E8F"/>
    <w:rsid w:val="00E5409F"/>
    <w:rsid w:val="00E600B7"/>
    <w:rsid w:val="00E62246"/>
    <w:rsid w:val="00E71A2B"/>
    <w:rsid w:val="00E77119"/>
    <w:rsid w:val="00E81AE1"/>
    <w:rsid w:val="00E82875"/>
    <w:rsid w:val="00E8366B"/>
    <w:rsid w:val="00E85B28"/>
    <w:rsid w:val="00E869AC"/>
    <w:rsid w:val="00E92011"/>
    <w:rsid w:val="00E93795"/>
    <w:rsid w:val="00EA1210"/>
    <w:rsid w:val="00EA289F"/>
    <w:rsid w:val="00EC1391"/>
    <w:rsid w:val="00EC1895"/>
    <w:rsid w:val="00EC23F9"/>
    <w:rsid w:val="00EC2B4E"/>
    <w:rsid w:val="00EC54B9"/>
    <w:rsid w:val="00EC5DFD"/>
    <w:rsid w:val="00ED2CCE"/>
    <w:rsid w:val="00ED333A"/>
    <w:rsid w:val="00ED4679"/>
    <w:rsid w:val="00ED4FB1"/>
    <w:rsid w:val="00EE3A67"/>
    <w:rsid w:val="00EE58D5"/>
    <w:rsid w:val="00EE6488"/>
    <w:rsid w:val="00EF0981"/>
    <w:rsid w:val="00F021FA"/>
    <w:rsid w:val="00F0238B"/>
    <w:rsid w:val="00F02E8E"/>
    <w:rsid w:val="00F11F71"/>
    <w:rsid w:val="00F12B45"/>
    <w:rsid w:val="00F1403A"/>
    <w:rsid w:val="00F1495A"/>
    <w:rsid w:val="00F16C3B"/>
    <w:rsid w:val="00F203D6"/>
    <w:rsid w:val="00F35DB5"/>
    <w:rsid w:val="00F4003D"/>
    <w:rsid w:val="00F4288E"/>
    <w:rsid w:val="00F474A8"/>
    <w:rsid w:val="00F479F2"/>
    <w:rsid w:val="00F51D2A"/>
    <w:rsid w:val="00F577ED"/>
    <w:rsid w:val="00F62B51"/>
    <w:rsid w:val="00F62E97"/>
    <w:rsid w:val="00F63943"/>
    <w:rsid w:val="00F64126"/>
    <w:rsid w:val="00F64209"/>
    <w:rsid w:val="00F64B3C"/>
    <w:rsid w:val="00F64C32"/>
    <w:rsid w:val="00F66708"/>
    <w:rsid w:val="00F71063"/>
    <w:rsid w:val="00F71FA2"/>
    <w:rsid w:val="00F7466E"/>
    <w:rsid w:val="00F80169"/>
    <w:rsid w:val="00F858FB"/>
    <w:rsid w:val="00F90546"/>
    <w:rsid w:val="00F93BF5"/>
    <w:rsid w:val="00F96DD4"/>
    <w:rsid w:val="00F97F67"/>
    <w:rsid w:val="00FA1713"/>
    <w:rsid w:val="00FA37A3"/>
    <w:rsid w:val="00FA64AD"/>
    <w:rsid w:val="00FB0F17"/>
    <w:rsid w:val="00FB3153"/>
    <w:rsid w:val="00FB428B"/>
    <w:rsid w:val="00FB4910"/>
    <w:rsid w:val="00FB7EF1"/>
    <w:rsid w:val="00FC58A7"/>
    <w:rsid w:val="00FD1050"/>
    <w:rsid w:val="00FD2128"/>
    <w:rsid w:val="00FD46A1"/>
    <w:rsid w:val="00FD5467"/>
    <w:rsid w:val="00FE0680"/>
    <w:rsid w:val="00FE533B"/>
    <w:rsid w:val="00FF1170"/>
    <w:rsid w:val="0E6F4A2D"/>
    <w:rsid w:val="3C85307C"/>
    <w:rsid w:val="4BBD8B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7B57739-F24F-41E1-B5DF-73C25D04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D8"/>
    <w:pPr>
      <w:widowControl w:val="0"/>
    </w:pPr>
    <w:rPr>
      <w:snapToGrid w:val="0"/>
      <w:kern w:val="28"/>
      <w:sz w:val="22"/>
    </w:rPr>
  </w:style>
  <w:style w:type="paragraph" w:styleId="Heading1">
    <w:name w:val="heading 1"/>
    <w:basedOn w:val="Normal"/>
    <w:next w:val="ParaNum"/>
    <w:link w:val="Heading1Char"/>
    <w:qFormat/>
    <w:rsid w:val="00DC49D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593971"/>
    <w:pPr>
      <w:widowControl/>
      <w:spacing w:after="120"/>
      <w:ind w:left="1440"/>
      <w:outlineLvl w:val="1"/>
    </w:pPr>
    <w:rPr>
      <w:b/>
    </w:rPr>
  </w:style>
  <w:style w:type="paragraph" w:styleId="Heading3">
    <w:name w:val="heading 3"/>
    <w:basedOn w:val="Normal"/>
    <w:next w:val="ParaNum"/>
    <w:link w:val="Heading3Char"/>
    <w:qFormat/>
    <w:rsid w:val="00DC49D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C49D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C49D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C49D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C49D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C49D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C49D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4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9D8"/>
  </w:style>
  <w:style w:type="paragraph" w:customStyle="1" w:styleId="ParaNum">
    <w:name w:val="ParaNum"/>
    <w:basedOn w:val="Normal"/>
    <w:link w:val="ParaNumChar1"/>
    <w:rsid w:val="00DC49D8"/>
    <w:pPr>
      <w:numPr>
        <w:numId w:val="1"/>
      </w:numPr>
      <w:tabs>
        <w:tab w:val="clear" w:pos="1080"/>
        <w:tab w:val="num" w:pos="1440"/>
      </w:tabs>
      <w:spacing w:after="120"/>
    </w:pPr>
  </w:style>
  <w:style w:type="paragraph" w:styleId="EndnoteText">
    <w:name w:val="endnote text"/>
    <w:basedOn w:val="Normal"/>
    <w:link w:val="EndnoteTextChar"/>
    <w:semiHidden/>
    <w:rsid w:val="00DC49D8"/>
    <w:rPr>
      <w:sz w:val="20"/>
    </w:rPr>
  </w:style>
  <w:style w:type="character" w:styleId="EndnoteReference">
    <w:name w:val="endnote reference"/>
    <w:semiHidden/>
    <w:rsid w:val="00DC49D8"/>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DC49D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C49D8"/>
    <w:rPr>
      <w:rFonts w:ascii="Times New Roman" w:hAnsi="Times New Roman"/>
      <w:dstrike w:val="0"/>
      <w:color w:val="auto"/>
      <w:sz w:val="20"/>
      <w:vertAlign w:val="superscript"/>
    </w:rPr>
  </w:style>
  <w:style w:type="paragraph" w:styleId="TOC1">
    <w:name w:val="toc 1"/>
    <w:basedOn w:val="Normal"/>
    <w:next w:val="Normal"/>
    <w:rsid w:val="00DC49D8"/>
    <w:pPr>
      <w:tabs>
        <w:tab w:val="left" w:pos="360"/>
        <w:tab w:val="right" w:leader="dot" w:pos="9360"/>
      </w:tabs>
      <w:suppressAutoHyphens/>
      <w:ind w:left="360" w:right="720" w:hanging="360"/>
    </w:pPr>
    <w:rPr>
      <w:caps/>
      <w:noProof/>
    </w:rPr>
  </w:style>
  <w:style w:type="paragraph" w:styleId="TOC2">
    <w:name w:val="toc 2"/>
    <w:basedOn w:val="Normal"/>
    <w:next w:val="Normal"/>
    <w:rsid w:val="00DC49D8"/>
    <w:pPr>
      <w:tabs>
        <w:tab w:val="left" w:pos="720"/>
        <w:tab w:val="right" w:leader="dot" w:pos="9360"/>
      </w:tabs>
      <w:suppressAutoHyphens/>
      <w:ind w:left="720" w:right="720" w:hanging="360"/>
    </w:pPr>
    <w:rPr>
      <w:noProof/>
    </w:rPr>
  </w:style>
  <w:style w:type="paragraph" w:styleId="TOC3">
    <w:name w:val="toc 3"/>
    <w:basedOn w:val="Normal"/>
    <w:next w:val="Normal"/>
    <w:rsid w:val="00DC49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49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49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49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49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49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49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49D8"/>
    <w:pPr>
      <w:tabs>
        <w:tab w:val="right" w:pos="9360"/>
      </w:tabs>
      <w:suppressAutoHyphens/>
    </w:pPr>
  </w:style>
  <w:style w:type="character" w:customStyle="1" w:styleId="EquationCaption">
    <w:name w:val="_Equation Caption"/>
    <w:rsid w:val="00DC49D8"/>
  </w:style>
  <w:style w:type="paragraph" w:styleId="Header">
    <w:name w:val="header"/>
    <w:basedOn w:val="Normal"/>
    <w:link w:val="HeaderChar"/>
    <w:autoRedefine/>
    <w:rsid w:val="00DC49D8"/>
    <w:pPr>
      <w:tabs>
        <w:tab w:val="center" w:pos="4680"/>
        <w:tab w:val="right" w:pos="9360"/>
      </w:tabs>
    </w:pPr>
    <w:rPr>
      <w:b/>
    </w:rPr>
  </w:style>
  <w:style w:type="paragraph" w:styleId="Footer">
    <w:name w:val="footer"/>
    <w:basedOn w:val="Normal"/>
    <w:link w:val="FooterChar"/>
    <w:uiPriority w:val="99"/>
    <w:rsid w:val="00DC49D8"/>
    <w:pPr>
      <w:tabs>
        <w:tab w:val="center" w:pos="4320"/>
        <w:tab w:val="right" w:pos="8640"/>
      </w:tabs>
    </w:pPr>
  </w:style>
  <w:style w:type="character" w:styleId="PageNumber">
    <w:name w:val="page number"/>
    <w:basedOn w:val="DefaultParagraphFont"/>
    <w:rsid w:val="00DC49D8"/>
  </w:style>
  <w:style w:type="paragraph" w:styleId="BlockText">
    <w:name w:val="Block Text"/>
    <w:basedOn w:val="Normal"/>
    <w:rsid w:val="00DC49D8"/>
    <w:pPr>
      <w:spacing w:after="240"/>
      <w:ind w:left="1440" w:right="1440"/>
    </w:pPr>
  </w:style>
  <w:style w:type="paragraph" w:customStyle="1" w:styleId="Paratitle">
    <w:name w:val="Para title"/>
    <w:basedOn w:val="Normal"/>
    <w:rsid w:val="00DC49D8"/>
    <w:pPr>
      <w:tabs>
        <w:tab w:val="center" w:pos="9270"/>
      </w:tabs>
      <w:spacing w:after="240"/>
    </w:pPr>
    <w:rPr>
      <w:spacing w:val="-2"/>
    </w:rPr>
  </w:style>
  <w:style w:type="paragraph" w:customStyle="1" w:styleId="Bullet">
    <w:name w:val="Bullet"/>
    <w:basedOn w:val="Normal"/>
    <w:rsid w:val="00DC49D8"/>
    <w:pPr>
      <w:tabs>
        <w:tab w:val="left" w:pos="2160"/>
      </w:tabs>
      <w:spacing w:after="220"/>
      <w:ind w:left="2160" w:hanging="720"/>
    </w:pPr>
  </w:style>
  <w:style w:type="paragraph" w:customStyle="1" w:styleId="TableFormat">
    <w:name w:val="TableFormat"/>
    <w:basedOn w:val="Bullet"/>
    <w:rsid w:val="00DC49D8"/>
    <w:pPr>
      <w:tabs>
        <w:tab w:val="clear" w:pos="2160"/>
        <w:tab w:val="left" w:pos="5040"/>
      </w:tabs>
      <w:ind w:left="5040" w:hanging="3600"/>
    </w:pPr>
  </w:style>
  <w:style w:type="paragraph" w:customStyle="1" w:styleId="TOCTitle">
    <w:name w:val="TOC Title"/>
    <w:basedOn w:val="Normal"/>
    <w:rsid w:val="00DC49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49D8"/>
    <w:pPr>
      <w:jc w:val="center"/>
    </w:pPr>
    <w:rPr>
      <w:rFonts w:ascii="Times New Roman Bold" w:hAnsi="Times New Roman Bold"/>
      <w:b/>
      <w:bCs/>
      <w:caps/>
      <w:szCs w:val="22"/>
    </w:rPr>
  </w:style>
  <w:style w:type="character" w:styleId="Hyperlink">
    <w:name w:val="Hyperlink"/>
    <w:rsid w:val="00DC49D8"/>
    <w:rPr>
      <w:color w:val="0000FF"/>
      <w:u w:val="single"/>
    </w:rPr>
  </w:style>
  <w:style w:type="character" w:customStyle="1" w:styleId="FooterChar">
    <w:name w:val="Footer Char"/>
    <w:link w:val="Footer"/>
    <w:uiPriority w:val="99"/>
    <w:rsid w:val="00DC49D8"/>
    <w:rPr>
      <w:snapToGrid w:val="0"/>
      <w:kern w:val="28"/>
      <w:sz w:val="22"/>
    </w:rPr>
  </w:style>
  <w:style w:type="paragraph" w:styleId="BalloonText">
    <w:name w:val="Balloon Text"/>
    <w:basedOn w:val="Normal"/>
    <w:link w:val="BalloonTextChar"/>
    <w:uiPriority w:val="99"/>
    <w:rsid w:val="00584CDC"/>
    <w:rPr>
      <w:rFonts w:ascii="Segoe UI" w:hAnsi="Segoe UI" w:cs="Segoe UI"/>
      <w:sz w:val="18"/>
      <w:szCs w:val="18"/>
    </w:rPr>
  </w:style>
  <w:style w:type="character" w:customStyle="1" w:styleId="BalloonTextChar">
    <w:name w:val="Balloon Text Char"/>
    <w:link w:val="BalloonText"/>
    <w:uiPriority w:val="99"/>
    <w:rsid w:val="00584CDC"/>
    <w:rPr>
      <w:rFonts w:ascii="Segoe UI" w:hAnsi="Segoe UI" w:cs="Segoe UI"/>
      <w:snapToGrid w:val="0"/>
      <w:kern w:val="28"/>
      <w:sz w:val="18"/>
      <w:szCs w:val="18"/>
    </w:rPr>
  </w:style>
  <w:style w:type="character" w:customStyle="1" w:styleId="Heading1Char">
    <w:name w:val="Heading 1 Char"/>
    <w:link w:val="Heading1"/>
    <w:rsid w:val="00584CDC"/>
    <w:rPr>
      <w:rFonts w:ascii="Times New Roman Bold" w:hAnsi="Times New Roman Bold"/>
      <w:b/>
      <w:caps/>
      <w:snapToGrid w:val="0"/>
      <w:kern w:val="28"/>
      <w:sz w:val="22"/>
    </w:rPr>
  </w:style>
  <w:style w:type="character" w:customStyle="1" w:styleId="Heading2Char">
    <w:name w:val="Heading 2 Char"/>
    <w:uiPriority w:val="9"/>
    <w:semiHidden/>
    <w:rsid w:val="00584CDC"/>
    <w:rPr>
      <w:rFonts w:ascii="Calibri Light" w:eastAsia="Times New Roman" w:hAnsi="Calibri Light" w:cs="Times New Roman"/>
      <w:snapToGrid w:val="0"/>
      <w:color w:val="2F5496"/>
      <w:kern w:val="28"/>
      <w:sz w:val="26"/>
      <w:szCs w:val="26"/>
    </w:rPr>
  </w:style>
  <w:style w:type="character" w:customStyle="1" w:styleId="Heading3Char">
    <w:name w:val="Heading 3 Char"/>
    <w:link w:val="Heading3"/>
    <w:rsid w:val="00584CDC"/>
    <w:rPr>
      <w:b/>
      <w:snapToGrid w:val="0"/>
      <w:kern w:val="28"/>
      <w:sz w:val="22"/>
    </w:rPr>
  </w:style>
  <w:style w:type="character" w:customStyle="1" w:styleId="Heading4Char">
    <w:name w:val="Heading 4 Char"/>
    <w:link w:val="Heading4"/>
    <w:rsid w:val="00584CDC"/>
    <w:rPr>
      <w:b/>
      <w:snapToGrid w:val="0"/>
      <w:kern w:val="28"/>
      <w:sz w:val="22"/>
    </w:rPr>
  </w:style>
  <w:style w:type="character" w:customStyle="1" w:styleId="Heading5Char">
    <w:name w:val="Heading 5 Char"/>
    <w:link w:val="Heading5"/>
    <w:rsid w:val="00584CDC"/>
    <w:rPr>
      <w:b/>
      <w:snapToGrid w:val="0"/>
      <w:kern w:val="28"/>
      <w:sz w:val="22"/>
    </w:rPr>
  </w:style>
  <w:style w:type="character" w:customStyle="1" w:styleId="Heading6Char">
    <w:name w:val="Heading 6 Char"/>
    <w:aliases w:val="h6 Char"/>
    <w:link w:val="Heading6"/>
    <w:rsid w:val="00584CDC"/>
    <w:rPr>
      <w:b/>
      <w:snapToGrid w:val="0"/>
      <w:kern w:val="28"/>
      <w:sz w:val="22"/>
    </w:rPr>
  </w:style>
  <w:style w:type="character" w:customStyle="1" w:styleId="Heading7Char">
    <w:name w:val="Heading 7 Char"/>
    <w:link w:val="Heading7"/>
    <w:rsid w:val="00584CDC"/>
    <w:rPr>
      <w:b/>
      <w:snapToGrid w:val="0"/>
      <w:kern w:val="28"/>
      <w:sz w:val="22"/>
    </w:rPr>
  </w:style>
  <w:style w:type="character" w:customStyle="1" w:styleId="Heading8Char">
    <w:name w:val="Heading 8 Char"/>
    <w:link w:val="Heading8"/>
    <w:rsid w:val="00584CDC"/>
    <w:rPr>
      <w:b/>
      <w:snapToGrid w:val="0"/>
      <w:kern w:val="28"/>
      <w:sz w:val="22"/>
    </w:rPr>
  </w:style>
  <w:style w:type="character" w:customStyle="1" w:styleId="Heading9Char">
    <w:name w:val="Heading 9 Char"/>
    <w:link w:val="Heading9"/>
    <w:rsid w:val="00584CDC"/>
    <w:rPr>
      <w:b/>
      <w:snapToGrid w:val="0"/>
      <w:kern w:val="28"/>
      <w:sz w:val="22"/>
    </w:rPr>
  </w:style>
  <w:style w:type="character" w:customStyle="1" w:styleId="EndnoteTextChar">
    <w:name w:val="Endnote Text Char"/>
    <w:link w:val="EndnoteText"/>
    <w:semiHidden/>
    <w:rsid w:val="00584CDC"/>
    <w:rPr>
      <w:snapToGrid w:val="0"/>
      <w:kern w:val="28"/>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584CDC"/>
  </w:style>
  <w:style w:type="character" w:customStyle="1" w:styleId="HeaderChar">
    <w:name w:val="Header Char"/>
    <w:link w:val="Header"/>
    <w:rsid w:val="00584CDC"/>
    <w:rPr>
      <w:b/>
      <w:snapToGrid w:val="0"/>
      <w:kern w:val="28"/>
      <w:sz w:val="22"/>
    </w:rPr>
  </w:style>
  <w:style w:type="character" w:styleId="Emphasis">
    <w:name w:val="Emphasis"/>
    <w:qFormat/>
    <w:rsid w:val="00584CDC"/>
    <w:rPr>
      <w:i/>
      <w:iCs/>
    </w:rPr>
  </w:style>
  <w:style w:type="character" w:customStyle="1" w:styleId="ParaNumChar1">
    <w:name w:val="ParaNum Char1"/>
    <w:link w:val="ParaNum"/>
    <w:locked/>
    <w:rsid w:val="00584CDC"/>
    <w:rPr>
      <w:snapToGrid w:val="0"/>
      <w:kern w:val="28"/>
      <w:sz w:val="22"/>
    </w:rPr>
  </w:style>
  <w:style w:type="character" w:customStyle="1" w:styleId="documentbody">
    <w:name w:val="documentbody"/>
    <w:rsid w:val="00584CDC"/>
  </w:style>
  <w:style w:type="character" w:customStyle="1" w:styleId="searchterm">
    <w:name w:val="searchterm"/>
    <w:rsid w:val="00584CDC"/>
  </w:style>
  <w:style w:type="character" w:customStyle="1" w:styleId="apple-converted-space">
    <w:name w:val="apple-converted-space"/>
    <w:rsid w:val="00584CDC"/>
  </w:style>
  <w:style w:type="paragraph" w:styleId="Caption">
    <w:name w:val="caption"/>
    <w:basedOn w:val="Normal"/>
    <w:next w:val="Normal"/>
    <w:qFormat/>
    <w:rsid w:val="00584CDC"/>
    <w:pPr>
      <w:spacing w:before="120" w:after="120"/>
    </w:pPr>
    <w:rPr>
      <w:b/>
      <w:snapToGrid/>
    </w:rPr>
  </w:style>
  <w:style w:type="numbering" w:customStyle="1" w:styleId="Style1">
    <w:name w:val="Style1"/>
    <w:uiPriority w:val="99"/>
    <w:rsid w:val="00584CDC"/>
    <w:pPr>
      <w:numPr>
        <w:numId w:val="3"/>
      </w:numPr>
    </w:pPr>
  </w:style>
  <w:style w:type="paragraph" w:customStyle="1" w:styleId="Paranum0">
    <w:name w:val="Paranum"/>
    <w:rsid w:val="00584CDC"/>
    <w:pPr>
      <w:numPr>
        <w:numId w:val="4"/>
      </w:numPr>
      <w:tabs>
        <w:tab w:val="left" w:pos="1440"/>
      </w:tabs>
      <w:spacing w:after="240"/>
      <w:jc w:val="both"/>
    </w:pPr>
    <w:rPr>
      <w:sz w:val="22"/>
    </w:rPr>
  </w:style>
  <w:style w:type="character" w:customStyle="1" w:styleId="Heading2Char2">
    <w:name w:val="Heading 2 Char2"/>
    <w:aliases w:val="Heading 2 Char Char Char Char Char,Heading 2 Char Char Char Char Char Char1 Char Char,Heading 2 Char1 Char,Heading 2 Char1 Char Char Char,Heading 2 Char1 Char Char Char Char1 Char Char,Heading 2 Char1 Char Char1 Char"/>
    <w:link w:val="Heading2"/>
    <w:rsid w:val="00593971"/>
    <w:rPr>
      <w:b/>
      <w:snapToGrid w:val="0"/>
      <w:kern w:val="28"/>
      <w:sz w:val="22"/>
    </w:rPr>
  </w:style>
  <w:style w:type="character" w:styleId="CommentReference">
    <w:name w:val="annotation reference"/>
    <w:uiPriority w:val="99"/>
    <w:rsid w:val="00584CDC"/>
    <w:rPr>
      <w:sz w:val="16"/>
      <w:szCs w:val="16"/>
    </w:rPr>
  </w:style>
  <w:style w:type="character" w:customStyle="1" w:styleId="Footnote">
    <w:name w:val="Footnote"/>
    <w:rsid w:val="00584CDC"/>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584CDC"/>
    <w:rPr>
      <w:rFonts w:cs="Times New Roman"/>
      <w:lang w:val="en-US" w:eastAsia="en-US" w:bidi="ar-SA"/>
    </w:rPr>
  </w:style>
  <w:style w:type="character" w:customStyle="1" w:styleId="documentbody1">
    <w:name w:val="documentbody1"/>
    <w:rsid w:val="00584CDC"/>
    <w:rPr>
      <w:rFonts w:ascii="Verdana" w:hAnsi="Verdana" w:cs="Times New Roman"/>
      <w:sz w:val="19"/>
      <w:szCs w:val="19"/>
    </w:rPr>
  </w:style>
  <w:style w:type="paragraph" w:styleId="CommentText">
    <w:name w:val="annotation text"/>
    <w:basedOn w:val="Normal"/>
    <w:link w:val="CommentTextChar"/>
    <w:uiPriority w:val="99"/>
    <w:rsid w:val="00584CDC"/>
    <w:rPr>
      <w:sz w:val="20"/>
    </w:rPr>
  </w:style>
  <w:style w:type="character" w:customStyle="1" w:styleId="CommentTextChar">
    <w:name w:val="Comment Text Char"/>
    <w:link w:val="CommentText"/>
    <w:uiPriority w:val="99"/>
    <w:rsid w:val="00584CDC"/>
    <w:rPr>
      <w:snapToGrid w:val="0"/>
      <w:kern w:val="28"/>
    </w:rPr>
  </w:style>
  <w:style w:type="paragraph" w:styleId="CommentSubject">
    <w:name w:val="annotation subject"/>
    <w:basedOn w:val="CommentText"/>
    <w:next w:val="CommentText"/>
    <w:link w:val="CommentSubjectChar"/>
    <w:rsid w:val="00584CDC"/>
    <w:rPr>
      <w:b/>
      <w:bCs/>
    </w:rPr>
  </w:style>
  <w:style w:type="character" w:customStyle="1" w:styleId="CommentSubjectChar">
    <w:name w:val="Comment Subject Char"/>
    <w:link w:val="CommentSubject"/>
    <w:rsid w:val="00584CDC"/>
    <w:rPr>
      <w:b/>
      <w:bCs/>
      <w:snapToGrid w:val="0"/>
      <w:kern w:val="28"/>
    </w:rPr>
  </w:style>
  <w:style w:type="paragraph" w:styleId="BodyText">
    <w:name w:val="Body Text"/>
    <w:basedOn w:val="Normal"/>
    <w:link w:val="BodyTextChar"/>
    <w:rsid w:val="00584CDC"/>
    <w:pPr>
      <w:widowControl/>
    </w:pPr>
    <w:rPr>
      <w:rFonts w:ascii="CG Times (W1)" w:hAnsi="CG Times (W1)"/>
      <w:snapToGrid/>
      <w:kern w:val="0"/>
      <w:lang w:val="x-none" w:eastAsia="x-none"/>
    </w:rPr>
  </w:style>
  <w:style w:type="character" w:customStyle="1" w:styleId="BodyTextChar">
    <w:name w:val="Body Text Char"/>
    <w:link w:val="BodyText"/>
    <w:rsid w:val="00584CDC"/>
    <w:rPr>
      <w:rFonts w:ascii="CG Times (W1)" w:hAnsi="CG Times (W1)"/>
      <w:sz w:val="22"/>
      <w:lang w:val="x-none" w:eastAsia="x-none"/>
    </w:rPr>
  </w:style>
  <w:style w:type="character" w:styleId="FollowedHyperlink">
    <w:name w:val="FollowedHyperlink"/>
    <w:uiPriority w:val="99"/>
    <w:rsid w:val="00584CDC"/>
    <w:rPr>
      <w:color w:val="954F72"/>
      <w:u w:val="single"/>
    </w:rPr>
  </w:style>
  <w:style w:type="character" w:customStyle="1" w:styleId="cosearchterm">
    <w:name w:val="co_searchterm"/>
    <w:rsid w:val="00584CDC"/>
  </w:style>
  <w:style w:type="character" w:customStyle="1" w:styleId="ParaNumChar">
    <w:name w:val="ParaNum Char"/>
    <w:locked/>
    <w:rsid w:val="00584CDC"/>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584CDC"/>
    <w:rPr>
      <w:color w:val="808080"/>
      <w:shd w:val="clear" w:color="auto" w:fill="E6E6E6"/>
    </w:rPr>
  </w:style>
  <w:style w:type="paragraph" w:styleId="ListParagraph">
    <w:name w:val="List Paragraph"/>
    <w:basedOn w:val="Normal"/>
    <w:uiPriority w:val="34"/>
    <w:qFormat/>
    <w:rsid w:val="00584CDC"/>
    <w:pPr>
      <w:ind w:left="720"/>
      <w:contextualSpacing/>
    </w:pPr>
  </w:style>
  <w:style w:type="paragraph" w:customStyle="1" w:styleId="msonormal">
    <w:name w:val="msonormal"/>
    <w:basedOn w:val="Normal"/>
    <w:rsid w:val="00584CDC"/>
    <w:pPr>
      <w:widowControl/>
      <w:spacing w:before="100" w:beforeAutospacing="1" w:after="100" w:afterAutospacing="1"/>
    </w:pPr>
    <w:rPr>
      <w:snapToGrid/>
      <w:kern w:val="0"/>
      <w:sz w:val="24"/>
      <w:szCs w:val="24"/>
    </w:rPr>
  </w:style>
  <w:style w:type="paragraph" w:customStyle="1" w:styleId="xl63">
    <w:name w:val="xl63"/>
    <w:basedOn w:val="Normal"/>
    <w:rsid w:val="00584CDC"/>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584CDC"/>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584CDC"/>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584CD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584CDC"/>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584CDC"/>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584CDC"/>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584CDC"/>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584CDC"/>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styleId="NormalWeb">
    <w:name w:val="Normal (Web)"/>
    <w:basedOn w:val="Normal"/>
    <w:unhideWhenUsed/>
    <w:rsid w:val="00584CDC"/>
    <w:pPr>
      <w:widowControl/>
      <w:spacing w:before="100" w:beforeAutospacing="1" w:after="100" w:afterAutospacing="1"/>
    </w:pPr>
    <w:rPr>
      <w:snapToGrid/>
      <w:kern w:val="0"/>
      <w:sz w:val="24"/>
      <w:szCs w:val="24"/>
    </w:rPr>
  </w:style>
  <w:style w:type="character" w:customStyle="1" w:styleId="hits">
    <w:name w:val="hits"/>
    <w:rsid w:val="00584CDC"/>
  </w:style>
  <w:style w:type="table" w:styleId="TableGrid">
    <w:name w:val="Table Grid"/>
    <w:basedOn w:val="TableNormal"/>
    <w:uiPriority w:val="39"/>
    <w:rsid w:val="00584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4CD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FootnoteTextChar3">
    <w:name w:val="Footnote Text Char3"/>
    <w:aliases w:val="Footnote Text Char Char Char Char Char Char3,Footnote Text Char Char4 Char2,Footnote Text Char1 Char Char Char Char Char Char3,Footnote Text Char1 Char1 Char Char Char3,Footnote Text Char2 Char Char Char2,Footnote Text Char2 Char2"/>
    <w:locked/>
    <w:rsid w:val="00584CDC"/>
  </w:style>
  <w:style w:type="character" w:customStyle="1" w:styleId="UnresolvedMention">
    <w:name w:val="Unresolved Mention"/>
    <w:uiPriority w:val="99"/>
    <w:semiHidden/>
    <w:unhideWhenUsed/>
    <w:rsid w:val="00584CDC"/>
    <w:rPr>
      <w:color w:val="605E5C"/>
      <w:shd w:val="clear" w:color="auto" w:fill="E1DFDD"/>
    </w:rPr>
  </w:style>
  <w:style w:type="paragraph" w:styleId="Revision">
    <w:name w:val="Revision"/>
    <w:hidden/>
    <w:uiPriority w:val="99"/>
    <w:semiHidden/>
    <w:rsid w:val="00584CDC"/>
    <w:rPr>
      <w:snapToGrid w:val="0"/>
      <w:kern w:val="28"/>
      <w:sz w:val="22"/>
    </w:rPr>
  </w:style>
  <w:style w:type="character" w:customStyle="1" w:styleId="UnresolvedMention2">
    <w:name w:val="Unresolved Mention2"/>
    <w:uiPriority w:val="99"/>
    <w:semiHidden/>
    <w:unhideWhenUsed/>
    <w:rsid w:val="00584CDC"/>
    <w:rPr>
      <w:color w:val="605E5C"/>
      <w:shd w:val="clear" w:color="auto" w:fill="E1DFDD"/>
    </w:rPr>
  </w:style>
  <w:style w:type="paragraph" w:customStyle="1" w:styleId="xmsonormal">
    <w:name w:val="x_msonormal"/>
    <w:basedOn w:val="Normal"/>
    <w:rsid w:val="00584CDC"/>
    <w:pPr>
      <w:widowControl/>
      <w:spacing w:before="100" w:beforeAutospacing="1" w:after="100" w:afterAutospacing="1"/>
    </w:pPr>
    <w:rPr>
      <w:snapToGrid/>
      <w:kern w:val="0"/>
      <w:sz w:val="24"/>
      <w:szCs w:val="24"/>
    </w:rPr>
  </w:style>
  <w:style w:type="character" w:styleId="LineNumber">
    <w:name w:val="line number"/>
    <w:rsid w:val="00584CDC"/>
  </w:style>
  <w:style w:type="paragraph" w:styleId="Subtitle">
    <w:name w:val="Subtitle"/>
    <w:basedOn w:val="Normal"/>
    <w:next w:val="Normal"/>
    <w:link w:val="SubtitleChar"/>
    <w:uiPriority w:val="11"/>
    <w:qFormat/>
    <w:rsid w:val="00584CDC"/>
    <w:pPr>
      <w:widowControl/>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584CDC"/>
    <w:rPr>
      <w:rFonts w:ascii="Calibri" w:hAnsi="Calibri"/>
      <w:color w:val="5A5A5A"/>
      <w:spacing w:val="15"/>
      <w:sz w:val="22"/>
      <w:szCs w:val="22"/>
    </w:rPr>
  </w:style>
  <w:style w:type="character" w:customStyle="1" w:styleId="UnresolvedMention3">
    <w:name w:val="Unresolved Mention3"/>
    <w:uiPriority w:val="99"/>
    <w:semiHidden/>
    <w:unhideWhenUsed/>
    <w:rsid w:val="00584CDC"/>
    <w:rPr>
      <w:color w:val="605E5C"/>
      <w:shd w:val="clear" w:color="auto" w:fill="E1DFDD"/>
    </w:rPr>
  </w:style>
  <w:style w:type="paragraph" w:customStyle="1" w:styleId="xl77">
    <w:name w:val="xl77"/>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8">
    <w:name w:val="xl78"/>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9">
    <w:name w:val="xl79"/>
    <w:basedOn w:val="Normal"/>
    <w:rsid w:val="00584CDC"/>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kern w:val="0"/>
      <w:sz w:val="24"/>
      <w:szCs w:val="24"/>
    </w:rPr>
  </w:style>
  <w:style w:type="paragraph" w:customStyle="1" w:styleId="xl80">
    <w:name w:val="xl80"/>
    <w:basedOn w:val="Normal"/>
    <w:rsid w:val="00584CDC"/>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kern w:val="0"/>
      <w:sz w:val="24"/>
      <w:szCs w:val="24"/>
    </w:rPr>
  </w:style>
  <w:style w:type="paragraph" w:customStyle="1" w:styleId="xl81">
    <w:name w:val="xl81"/>
    <w:basedOn w:val="Normal"/>
    <w:rsid w:val="00584CDC"/>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kern w:val="0"/>
      <w:sz w:val="24"/>
      <w:szCs w:val="24"/>
    </w:rPr>
  </w:style>
  <w:style w:type="paragraph" w:customStyle="1" w:styleId="xl82">
    <w:name w:val="xl82"/>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kern w:val="0"/>
      <w:sz w:val="24"/>
      <w:szCs w:val="24"/>
    </w:rPr>
  </w:style>
  <w:style w:type="paragraph" w:customStyle="1" w:styleId="xl83">
    <w:name w:val="xl83"/>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4">
    <w:name w:val="xl84"/>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5">
    <w:name w:val="xl85"/>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6">
    <w:name w:val="xl86"/>
    <w:basedOn w:val="Normal"/>
    <w:rsid w:val="00584CDC"/>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kern w:val="0"/>
      <w:sz w:val="24"/>
      <w:szCs w:val="24"/>
    </w:rPr>
  </w:style>
  <w:style w:type="paragraph" w:customStyle="1" w:styleId="xl87">
    <w:name w:val="xl87"/>
    <w:basedOn w:val="Normal"/>
    <w:rsid w:val="00584CDC"/>
    <w:pPr>
      <w:widowControl/>
      <w:spacing w:before="100" w:beforeAutospacing="1" w:after="100" w:afterAutospacing="1"/>
      <w:jc w:val="center"/>
    </w:pPr>
    <w:rPr>
      <w:snapToGrid/>
      <w:kern w:val="0"/>
      <w:sz w:val="24"/>
      <w:szCs w:val="24"/>
    </w:rPr>
  </w:style>
  <w:style w:type="paragraph" w:customStyle="1" w:styleId="xl88">
    <w:name w:val="xl88"/>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89">
    <w:name w:val="xl89"/>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0">
    <w:name w:val="xl90"/>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1">
    <w:name w:val="xl91"/>
    <w:basedOn w:val="Normal"/>
    <w:rsid w:val="00584CDC"/>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kern w:val="0"/>
      <w:sz w:val="24"/>
      <w:szCs w:val="24"/>
    </w:rPr>
  </w:style>
  <w:style w:type="paragraph" w:customStyle="1" w:styleId="xl92">
    <w:name w:val="xl92"/>
    <w:basedOn w:val="Normal"/>
    <w:rsid w:val="00584CDC"/>
    <w:pPr>
      <w:widowControl/>
      <w:spacing w:before="100" w:beforeAutospacing="1" w:after="100" w:afterAutospacing="1"/>
    </w:pPr>
    <w:rPr>
      <w:snapToGrid/>
      <w:kern w:val="0"/>
      <w:sz w:val="24"/>
      <w:szCs w:val="24"/>
    </w:rPr>
  </w:style>
  <w:style w:type="paragraph" w:customStyle="1" w:styleId="xl93">
    <w:name w:val="xl93"/>
    <w:basedOn w:val="Normal"/>
    <w:rsid w:val="00584CDC"/>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kern w:val="0"/>
      <w:sz w:val="24"/>
      <w:szCs w:val="24"/>
    </w:rPr>
  </w:style>
  <w:style w:type="paragraph" w:customStyle="1" w:styleId="xl94">
    <w:name w:val="xl94"/>
    <w:basedOn w:val="Normal"/>
    <w:rsid w:val="00584CDC"/>
    <w:pPr>
      <w:widowControl/>
      <w:spacing w:before="100" w:beforeAutospacing="1" w:after="100" w:afterAutospacing="1"/>
      <w:jc w:val="center"/>
    </w:pPr>
    <w:rPr>
      <w:snapToGrid/>
      <w:color w:val="FF0000"/>
      <w:kern w:val="0"/>
      <w:sz w:val="24"/>
      <w:szCs w:val="24"/>
    </w:rPr>
  </w:style>
  <w:style w:type="paragraph" w:customStyle="1" w:styleId="xl95">
    <w:name w:val="xl95"/>
    <w:basedOn w:val="Normal"/>
    <w:rsid w:val="00584CDC"/>
    <w:pPr>
      <w:widowControl/>
      <w:spacing w:before="100" w:beforeAutospacing="1" w:after="100" w:afterAutospacing="1"/>
      <w:jc w:val="center"/>
    </w:pPr>
    <w:rPr>
      <w:snapToGrid/>
      <w:color w:val="70AD47"/>
      <w:kern w:val="0"/>
      <w:sz w:val="24"/>
      <w:szCs w:val="24"/>
    </w:rPr>
  </w:style>
  <w:style w:type="paragraph" w:customStyle="1" w:styleId="xl96">
    <w:name w:val="xl96"/>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paragraph" w:customStyle="1" w:styleId="xl97">
    <w:name w:val="xl97"/>
    <w:basedOn w:val="Normal"/>
    <w:rsid w:val="00584C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character" w:customStyle="1" w:styleId="et03">
    <w:name w:val="et03"/>
    <w:rsid w:val="00584CDC"/>
  </w:style>
  <w:style w:type="paragraph" w:customStyle="1" w:styleId="psection-1">
    <w:name w:val="psection-1"/>
    <w:basedOn w:val="Normal"/>
    <w:rsid w:val="00584CDC"/>
    <w:pPr>
      <w:widowControl/>
      <w:spacing w:before="100" w:beforeAutospacing="1" w:after="100" w:afterAutospacing="1"/>
    </w:pPr>
    <w:rPr>
      <w:snapToGrid/>
      <w:kern w:val="0"/>
      <w:sz w:val="24"/>
      <w:szCs w:val="24"/>
    </w:rPr>
  </w:style>
  <w:style w:type="character" w:customStyle="1" w:styleId="enumxml">
    <w:name w:val="enumxml"/>
    <w:rsid w:val="00584CDC"/>
  </w:style>
  <w:style w:type="paragraph" w:customStyle="1" w:styleId="psection-2">
    <w:name w:val="psection-2"/>
    <w:basedOn w:val="Normal"/>
    <w:rsid w:val="00584CDC"/>
    <w:pPr>
      <w:widowControl/>
      <w:spacing w:before="100" w:beforeAutospacing="1" w:after="100" w:afterAutospacing="1"/>
    </w:pPr>
    <w:rPr>
      <w:snapToGrid/>
      <w:kern w:val="0"/>
      <w:sz w:val="24"/>
      <w:szCs w:val="24"/>
    </w:rPr>
  </w:style>
  <w:style w:type="numbering" w:customStyle="1" w:styleId="ImportedStyle2">
    <w:name w:val="Imported Style 2"/>
    <w:rsid w:val="00584CDC"/>
    <w:pPr>
      <w:numPr>
        <w:numId w:val="6"/>
      </w:numPr>
    </w:pPr>
  </w:style>
  <w:style w:type="character" w:customStyle="1" w:styleId="UnresolvedMention4">
    <w:name w:val="Unresolved Mention4"/>
    <w:uiPriority w:val="99"/>
    <w:semiHidden/>
    <w:unhideWhenUsed/>
    <w:rsid w:val="0058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hyperlink" Target="https://www.fcc.gov/licensing-databases/fees/regulatory-fees" TargetMode="External" /><Relationship Id="rId21" Type="http://schemas.openxmlformats.org/officeDocument/2006/relationships/header" Target="header6.xml" /><Relationship Id="rId22" Type="http://schemas.openxmlformats.org/officeDocument/2006/relationships/footer" Target="footer5.xml" /><Relationship Id="rId23" Type="http://schemas.openxmlformats.org/officeDocument/2006/relationships/header" Target="header7.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2020regfeerelief@fcc.gov" TargetMode="External" /><Relationship Id="rId6" Type="http://schemas.openxmlformats.org/officeDocument/2006/relationships/hyperlink" Target="https://www.fcc.gov/regfees" TargetMode="External" /><Relationship Id="rId7" Type="http://schemas.openxmlformats.org/officeDocument/2006/relationships/hyperlink" Target="http://transition.fcc.gov/fees/regfees.html" TargetMode="External" /><Relationship Id="rId8" Type="http://schemas.openxmlformats.org/officeDocument/2006/relationships/hyperlink" Target="http://transition.fcc.gov/fees/wiretran.html" TargetMode="External" /><Relationship Id="rId9" Type="http://schemas.openxmlformats.org/officeDocument/2006/relationships/hyperlink" Target="http://apps.fcc.gov/ecfs/"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quickfacts/PR" TargetMode="External" /><Relationship Id="rId10" Type="http://schemas.openxmlformats.org/officeDocument/2006/relationships/hyperlink" Target="http://www.census.gov.cgi-bin/sssd/naics/naicsrch" TargetMode="External" /><Relationship Id="rId11" Type="http://schemas.openxmlformats.org/officeDocument/2006/relationships/hyperlink" Target="https://apps.fcc.gov/edocs_public/attachmatch/DOC-344256A1.pdf" TargetMode="External" /><Relationship Id="rId12" Type="http://schemas.openxmlformats.org/officeDocument/2006/relationships/hyperlink" Target="http://factfinder.census.gov/faces/tableservices/jsf/pages/productview.xhtml?pid=ECN_2012_US-51SSSZ5&amp;prodType=Table" TargetMode="External" /><Relationship Id="rId13" Type="http://schemas.openxmlformats.org/officeDocument/2006/relationships/hyperlink" Target="https://www.snl.com/web/client?auth=inherit" TargetMode="External" /><Relationship Id="rId14" Type="http://schemas.openxmlformats.org/officeDocument/2006/relationships/hyperlink" Target="https://www.ncta.com/industry-data" TargetMode="External" /><Relationship Id="rId15" Type="http://schemas.openxmlformats.org/officeDocument/2006/relationships/hyperlink" Target="http://www.census.gov/cgi-bin/ssssd/naics/naicsrch" TargetMode="External" /><Relationship Id="rId16" Type="http://schemas.openxmlformats.org/officeDocument/2006/relationships/hyperlink" Target="http://nccs.urban.org/sites/all/nccs-archive/html/tablewiz/tw.php" TargetMode="External" /><Relationship Id="rId17" Type="http://schemas.openxmlformats.org/officeDocument/2006/relationships/hyperlink" Target="https://factfinder.census.gov/faces/affhelp/jsf/pages/metadata.xhtml?lang=en&amp;type=program&amp;id=program.en.COG" TargetMode="External" /><Relationship Id="rId18" Type="http://schemas.openxmlformats.org/officeDocument/2006/relationships/hyperlink" Target="https://factfinder.census.gov/bkmk/table/1.0/en/COG/2012/ORG02.US01" TargetMode="External" /><Relationship Id="rId19" Type="http://schemas.openxmlformats.org/officeDocument/2006/relationships/hyperlink" Target="https://factfinder.census.gov/bkmk/table/1.0/en/COG/2012/ORG06.US01" TargetMode="External" /><Relationship Id="rId2" Type="http://schemas.openxmlformats.org/officeDocument/2006/relationships/hyperlink" Target="http://www.sms800.com/Controls/NAC/Serviceprovider.aspx" TargetMode="External" /><Relationship Id="rId20" Type="http://schemas.openxmlformats.org/officeDocument/2006/relationships/hyperlink" Target="https://factfinder.census.gov/bkmk/table/1.0/en/COG/2012/ORG07.US01" TargetMode="External" /><Relationship Id="rId21" Type="http://schemas.openxmlformats.org/officeDocument/2006/relationships/hyperlink" Target="https://factfinder.census.gov/bkmk/table/1.0/en/COG/2012/ORG11.US01" TargetMode="External" /><Relationship Id="rId22" Type="http://schemas.openxmlformats.org/officeDocument/2006/relationships/hyperlink" Target="https://factfinder.census.gov/bkmk/table/1.0/en/COG/2012/ORG09.US01" TargetMode="External" /><Relationship Id="rId3" Type="http://schemas.openxmlformats.org/officeDocument/2006/relationships/hyperlink" Target="https://www2.telegeography.com/submarine-cable-faqs-frequently-asked-questions" TargetMode="External" /><Relationship Id="rId4" Type="http://schemas.openxmlformats.org/officeDocument/2006/relationships/hyperlink" Target="http://www.whitehouse.gov/the-press-office/2011/06/13/executive-order-13576-delivering-efficient-effective-and-accountable-gov" TargetMode="Externa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https://www.sba.gov/sites/default/files/advocacy/SB-FAQ-2016_WEB.pdf"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www.census.gov/cgi-bin/ssd/naics/naicsrch" TargetMode="External" /><Relationship Id="rId9" Type="http://schemas.openxmlformats.org/officeDocument/2006/relationships/hyperlink" Target="http://www.census.gov/cgi-bin/ssd/naics/nais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