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F2B7D" w:rsidRPr="005577AD" w:rsidP="006F2B7D" w14:paraId="3C8BF1F1" w14:textId="77777777">
      <w:pPr>
        <w:jc w:val="center"/>
        <w:rPr>
          <w:b/>
          <w:bCs/>
          <w:caps/>
          <w:szCs w:val="22"/>
        </w:rPr>
      </w:pPr>
      <w:r w:rsidRPr="005577AD">
        <w:rPr>
          <w:b/>
          <w:bCs/>
          <w:caps/>
          <w:szCs w:val="22"/>
        </w:rPr>
        <w:t>Statement of</w:t>
      </w:r>
    </w:p>
    <w:p w:rsidR="006F2B7D" w:rsidRPr="005577AD" w:rsidP="006F2B7D" w14:paraId="5FCD873C" w14:textId="77777777">
      <w:pPr>
        <w:jc w:val="center"/>
        <w:rPr>
          <w:b/>
          <w:bCs/>
          <w:caps/>
          <w:szCs w:val="22"/>
        </w:rPr>
      </w:pPr>
      <w:r>
        <w:rPr>
          <w:b/>
          <w:bCs/>
          <w:caps/>
          <w:szCs w:val="22"/>
        </w:rPr>
        <w:t>commissioner Geoffrey starks</w:t>
      </w:r>
    </w:p>
    <w:p w:rsidR="006F2B7D" w:rsidRPr="005577AD" w:rsidP="006F2B7D" w14:paraId="6AC9FD15" w14:textId="77777777">
      <w:pPr>
        <w:jc w:val="center"/>
        <w:rPr>
          <w:b/>
          <w:bCs/>
          <w:caps/>
          <w:szCs w:val="22"/>
        </w:rPr>
      </w:pPr>
    </w:p>
    <w:p w:rsidR="006F2B7D" w:rsidRPr="002355C5" w:rsidP="006F2B7D" w14:paraId="61FF0B3C" w14:textId="77777777">
      <w:pPr>
        <w:rPr>
          <w:i/>
          <w:iCs/>
          <w:szCs w:val="22"/>
        </w:rPr>
      </w:pPr>
      <w:r w:rsidRPr="005577AD">
        <w:rPr>
          <w:iCs/>
          <w:szCs w:val="22"/>
        </w:rPr>
        <w:t>Re</w:t>
      </w:r>
      <w:r w:rsidRPr="002355C5">
        <w:rPr>
          <w:iCs/>
          <w:szCs w:val="22"/>
        </w:rPr>
        <w:t>:</w:t>
      </w:r>
      <w:r w:rsidRPr="002355C5">
        <w:rPr>
          <w:szCs w:val="22"/>
        </w:rPr>
        <w:t xml:space="preserve"> </w:t>
      </w:r>
      <w:r w:rsidRPr="002355C5">
        <w:rPr>
          <w:szCs w:val="22"/>
        </w:rPr>
        <w:tab/>
      </w:r>
      <w:r w:rsidRPr="002355C5">
        <w:rPr>
          <w:i/>
          <w:iCs/>
          <w:szCs w:val="22"/>
        </w:rPr>
        <w:t>DIRECTV, LLC; AT&amp;T Services, Inc., Complainants, v. Deerfield Media, Inc. et al., Defendants</w:t>
      </w:r>
      <w:r w:rsidRPr="002355C5">
        <w:rPr>
          <w:szCs w:val="22"/>
        </w:rPr>
        <w:t>, MB Docket No. 19-168.</w:t>
      </w:r>
    </w:p>
    <w:p w:rsidR="006F2B7D" w:rsidRPr="002355C5" w:rsidP="006F2B7D" w14:paraId="105ED956" w14:textId="77777777">
      <w:pPr>
        <w:ind w:firstLine="720"/>
        <w:rPr>
          <w:szCs w:val="22"/>
        </w:rPr>
      </w:pPr>
    </w:p>
    <w:p w:rsidR="006F2B7D" w:rsidP="006F2B7D" w14:paraId="21C4783C" w14:textId="77777777">
      <w:pPr>
        <w:ind w:firstLine="720"/>
        <w:rPr>
          <w:szCs w:val="22"/>
        </w:rPr>
      </w:pPr>
      <w:r w:rsidRPr="004158F4">
        <w:rPr>
          <w:szCs w:val="22"/>
        </w:rPr>
        <w:t xml:space="preserve">The Commission’s rules requiring good faith negotiation for retransmission consent are intended to do more than make sure parties play nice with each other.  When effective, they also protect consumers from service interruptions when negotiations between broadcasters and multichannel video programming distributors break down.  Consumer protection is a core responsibility of this Commission and, as such, we must </w:t>
      </w:r>
      <w:r w:rsidRPr="004158F4">
        <w:rPr>
          <w:szCs w:val="22"/>
        </w:rPr>
        <w:t>take action</w:t>
      </w:r>
      <w:r w:rsidRPr="004158F4">
        <w:rPr>
          <w:szCs w:val="22"/>
        </w:rPr>
        <w:t xml:space="preserve"> in response to the kind of egregious behavior apparently exhibited here, especially since it resulted in broadcast television service blackouts lasting in some cases roughly four months.</w:t>
      </w:r>
    </w:p>
    <w:p w:rsidR="006F2B7D" w:rsidRPr="004158F4" w:rsidP="006F2B7D" w14:paraId="09454DEC" w14:textId="77777777">
      <w:pPr>
        <w:ind w:firstLine="720"/>
        <w:rPr>
          <w:szCs w:val="22"/>
        </w:rPr>
      </w:pPr>
    </w:p>
    <w:p w:rsidR="006F2B7D" w:rsidP="006F2B7D" w14:paraId="42CB0C15" w14:textId="77777777">
      <w:pPr>
        <w:ind w:firstLine="720"/>
        <w:rPr>
          <w:szCs w:val="22"/>
        </w:rPr>
      </w:pPr>
      <w:r w:rsidRPr="004158F4">
        <w:rPr>
          <w:szCs w:val="22"/>
        </w:rPr>
        <w:t>Last year was a banner year for blackouts,</w:t>
      </w:r>
      <w:r>
        <w:rPr>
          <w:rStyle w:val="FootnoteReference"/>
          <w:sz w:val="22"/>
          <w:szCs w:val="22"/>
        </w:rPr>
        <w:footnoteReference w:id="3"/>
      </w:r>
      <w:r w:rsidRPr="004158F4">
        <w:rPr>
          <w:szCs w:val="22"/>
        </w:rPr>
        <w:t xml:space="preserve"> and this year, even in the midst of a pandemic that has brought countless other hardships, consumers continue to experience blackouts, losing local broadcast programming at a time when access to local news and information can be critical.</w:t>
      </w:r>
      <w:r>
        <w:rPr>
          <w:rStyle w:val="FootnoteReference"/>
          <w:sz w:val="22"/>
          <w:szCs w:val="22"/>
        </w:rPr>
        <w:footnoteReference w:id="4"/>
      </w:r>
      <w:r w:rsidRPr="004158F4">
        <w:rPr>
          <w:szCs w:val="22"/>
        </w:rPr>
        <w:t xml:space="preserve">  Filing a complaint may eventually bring some relief, but often not before the damage is done to consumers who are blindsided when they turn their televisions on and their local channel has gone dark.</w:t>
      </w:r>
    </w:p>
    <w:p w:rsidR="006F2B7D" w:rsidRPr="004158F4" w:rsidP="006F2B7D" w14:paraId="029B680F" w14:textId="77777777">
      <w:pPr>
        <w:ind w:firstLine="720"/>
        <w:rPr>
          <w:szCs w:val="22"/>
        </w:rPr>
      </w:pPr>
    </w:p>
    <w:p w:rsidR="006F2B7D" w:rsidP="006F2B7D" w14:paraId="1EF3C68B" w14:textId="77777777">
      <w:pPr>
        <w:ind w:firstLine="720"/>
        <w:rPr>
          <w:szCs w:val="22"/>
        </w:rPr>
      </w:pPr>
      <w:r w:rsidRPr="004158F4">
        <w:rPr>
          <w:szCs w:val="22"/>
        </w:rPr>
        <w:t>The Media Bureau noted in the underlying order that this was the most egregious example of delay we’ve seen since the good faith negotiation rules were adopted.</w:t>
      </w:r>
      <w:r>
        <w:rPr>
          <w:rStyle w:val="FootnoteReference"/>
          <w:sz w:val="22"/>
          <w:szCs w:val="22"/>
        </w:rPr>
        <w:footnoteReference w:id="5"/>
      </w:r>
      <w:r w:rsidRPr="004158F4">
        <w:rPr>
          <w:szCs w:val="22"/>
        </w:rPr>
        <w:t xml:space="preserve">  I therefore fully support proposing the maximum statutory forfeiture for these apparent, </w:t>
      </w:r>
      <w:r w:rsidRPr="004158F4">
        <w:rPr>
          <w:i/>
          <w:iCs/>
          <w:szCs w:val="22"/>
        </w:rPr>
        <w:t>per se</w:t>
      </w:r>
      <w:r w:rsidRPr="004158F4">
        <w:rPr>
          <w:szCs w:val="22"/>
        </w:rPr>
        <w:t>, violations, given the resulting direct harm to consumers.  Going forward, Negotiating Entities should be on notice that similar instances of apparent failure to negotiate for retransmission in good faith, especially when resulting in blackouts and other harms to consumers, could result in similar proposed penalties.</w:t>
      </w:r>
    </w:p>
    <w:p w:rsidR="006F2B7D" w:rsidRPr="004158F4" w:rsidP="006F2B7D" w14:paraId="091473BB" w14:textId="77777777">
      <w:pPr>
        <w:ind w:firstLine="720"/>
        <w:rPr>
          <w:szCs w:val="22"/>
        </w:rPr>
      </w:pPr>
    </w:p>
    <w:p w:rsidR="002C00E8" w:rsidRPr="00FB049B" w:rsidP="00FB049B" w14:paraId="712E8A00" w14:textId="36A80C70">
      <w:pPr>
        <w:ind w:firstLine="720"/>
        <w:rPr>
          <w:szCs w:val="22"/>
        </w:rPr>
      </w:pPr>
      <w:r w:rsidRPr="004158F4">
        <w:rPr>
          <w:szCs w:val="22"/>
        </w:rPr>
        <w:t>My thanks to the staff for their work on this item.</w:t>
      </w:r>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D106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E48B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12EF6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7642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9F1C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63A" w14:paraId="217126ED" w14:textId="77777777">
      <w:r>
        <w:separator/>
      </w:r>
    </w:p>
  </w:footnote>
  <w:footnote w:type="continuationSeparator" w:id="1">
    <w:p w:rsidR="00D5163A" w:rsidP="00C721AC" w14:paraId="4A0E9A8E" w14:textId="77777777">
      <w:pPr>
        <w:spacing w:before="120"/>
        <w:rPr>
          <w:sz w:val="20"/>
        </w:rPr>
      </w:pPr>
      <w:r>
        <w:rPr>
          <w:sz w:val="20"/>
        </w:rPr>
        <w:t xml:space="preserve">(Continued from previous page)  </w:t>
      </w:r>
      <w:r>
        <w:rPr>
          <w:sz w:val="20"/>
        </w:rPr>
        <w:separator/>
      </w:r>
    </w:p>
  </w:footnote>
  <w:footnote w:type="continuationNotice" w:id="2">
    <w:p w:rsidR="00D5163A" w:rsidP="00C721AC" w14:paraId="5B21C7CD" w14:textId="77777777">
      <w:pPr>
        <w:jc w:val="right"/>
        <w:rPr>
          <w:sz w:val="20"/>
        </w:rPr>
      </w:pPr>
      <w:r>
        <w:rPr>
          <w:sz w:val="20"/>
        </w:rPr>
        <w:t>(continued….)</w:t>
      </w:r>
    </w:p>
  </w:footnote>
  <w:footnote w:id="3">
    <w:p w:rsidR="006F2B7D" w:rsidRPr="004158F4" w:rsidP="006F2B7D" w14:paraId="0AF711F5" w14:textId="77777777">
      <w:pPr>
        <w:pStyle w:val="FootnoteText"/>
      </w:pPr>
      <w:r w:rsidRPr="004158F4">
        <w:rPr>
          <w:rStyle w:val="FootnoteReference"/>
        </w:rPr>
        <w:footnoteRef/>
      </w:r>
      <w:r w:rsidRPr="004158F4">
        <w:t xml:space="preserve"> </w:t>
      </w:r>
      <w:r w:rsidRPr="004158F4">
        <w:rPr>
          <w:i/>
          <w:iCs/>
        </w:rPr>
        <w:t xml:space="preserve">See </w:t>
      </w:r>
      <w:r w:rsidRPr="004158F4">
        <w:t xml:space="preserve">Letter from American Television Alliance to the U.S. Senate Committee on Commerce, Science and Transportation (October 22, 2019) (noting that the 276 blackouts to date in 2019 had eclipsed the prior annual record of 213), at </w:t>
      </w:r>
      <w:hyperlink r:id="rId1" w:history="1">
        <w:r w:rsidRPr="004158F4">
          <w:rPr>
            <w:rStyle w:val="Hyperlink"/>
          </w:rPr>
          <w:t>https://www.americantelevisionalliance.org/wp-content/uploads/2019/10/ATVA-Senate-Hearing-Oct-23-FINAL.pdf</w:t>
        </w:r>
      </w:hyperlink>
      <w:r w:rsidRPr="004158F4">
        <w:t>.</w:t>
      </w:r>
    </w:p>
  </w:footnote>
  <w:footnote w:id="4">
    <w:p w:rsidR="006F2B7D" w:rsidRPr="004158F4" w:rsidP="006F2B7D" w14:paraId="4378A7F7" w14:textId="77777777">
      <w:pPr>
        <w:pStyle w:val="FootnoteText"/>
      </w:pPr>
      <w:r w:rsidRPr="004158F4">
        <w:rPr>
          <w:rStyle w:val="FootnoteReference"/>
        </w:rPr>
        <w:footnoteRef/>
      </w:r>
      <w:r w:rsidRPr="004158F4">
        <w:t xml:space="preserve"> </w:t>
      </w:r>
      <w:r w:rsidRPr="004158F4">
        <w:t>Axios</w:t>
      </w:r>
      <w:r w:rsidRPr="004158F4">
        <w:t xml:space="preserve">, “Dozens of local stations blacked out for Dish customers amid pandemic” (July 27, 2020) (noting that Dish’s “recent slew of local blackouts is creating an enormous local news draught for many communities during the pandemic”), at </w:t>
      </w:r>
      <w:hyperlink r:id="rId2" w:history="1">
        <w:r w:rsidRPr="004158F4">
          <w:rPr>
            <w:rStyle w:val="Hyperlink"/>
          </w:rPr>
          <w:t>https://www.axios.com/dozens-of-local-stations-blacked-out-for-dish-customers-amid-pandemic-d6da75ba-65c6-4f17-ab7b-96e55d9a0764.html</w:t>
        </w:r>
      </w:hyperlink>
      <w:r w:rsidRPr="004158F4">
        <w:t>.</w:t>
      </w:r>
    </w:p>
  </w:footnote>
  <w:footnote w:id="5">
    <w:p w:rsidR="006F2B7D" w:rsidP="006F2B7D" w14:paraId="06D07EE8" w14:textId="77777777">
      <w:pPr>
        <w:pStyle w:val="FootnoteText"/>
      </w:pPr>
      <w:r w:rsidRPr="004158F4">
        <w:t xml:space="preserve"> </w:t>
      </w:r>
      <w:r w:rsidRPr="004158F4">
        <w:rPr>
          <w:rStyle w:val="FootnoteReference"/>
        </w:rPr>
        <w:footnoteRef/>
      </w:r>
      <w:r w:rsidRPr="004158F4">
        <w:t xml:space="preserve"> </w:t>
      </w:r>
      <w:r w:rsidRPr="004158F4">
        <w:rPr>
          <w:i/>
          <w:snapToGrid w:val="0"/>
          <w:kern w:val="28"/>
        </w:rPr>
        <w:t>DIRECTV, LLC; AT&amp;T Services, Inc., Complainants v. Deerfield Media, Inc., et al.,</w:t>
      </w:r>
      <w:r w:rsidRPr="004158F4">
        <w:rPr>
          <w:snapToGrid w:val="0"/>
          <w:kern w:val="28"/>
        </w:rPr>
        <w:t xml:space="preserve"> </w:t>
      </w:r>
      <w:r w:rsidRPr="004158F4">
        <w:rPr>
          <w:i/>
          <w:iCs/>
          <w:snapToGrid w:val="0"/>
          <w:kern w:val="28"/>
        </w:rPr>
        <w:t>Defendants</w:t>
      </w:r>
      <w:r w:rsidRPr="004158F4">
        <w:rPr>
          <w:snapToGrid w:val="0"/>
          <w:kern w:val="28"/>
        </w:rPr>
        <w:t xml:space="preserve">, MB Docket No. 19-168, Memorandum Opinion and Order, 34 FCC </w:t>
      </w:r>
      <w:r w:rsidRPr="004158F4">
        <w:rPr>
          <w:snapToGrid w:val="0"/>
          <w:kern w:val="28"/>
        </w:rPr>
        <w:t>Rcd</w:t>
      </w:r>
      <w:r w:rsidRPr="004158F4">
        <w:rPr>
          <w:snapToGrid w:val="0"/>
          <w:kern w:val="28"/>
        </w:rPr>
        <w:t xml:space="preserve"> 10367, 10381 ¶ 31 (MB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A500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6D5EC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D90B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7FF515" w14:textId="3005B9A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5163A">
      <w:rPr>
        <w:spacing w:val="-2"/>
      </w:rPr>
      <w:t>FCC 20-122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3A"/>
    <w:rsid w:val="00036039"/>
    <w:rsid w:val="00037F90"/>
    <w:rsid w:val="000875BF"/>
    <w:rsid w:val="00096D8C"/>
    <w:rsid w:val="000C0B65"/>
    <w:rsid w:val="000E05FE"/>
    <w:rsid w:val="000E3D42"/>
    <w:rsid w:val="00122BD5"/>
    <w:rsid w:val="00133F79"/>
    <w:rsid w:val="00194A66"/>
    <w:rsid w:val="001D2924"/>
    <w:rsid w:val="001D6BCF"/>
    <w:rsid w:val="001E01CA"/>
    <w:rsid w:val="002355C5"/>
    <w:rsid w:val="00275CF5"/>
    <w:rsid w:val="0028301F"/>
    <w:rsid w:val="00285017"/>
    <w:rsid w:val="002A2D2E"/>
    <w:rsid w:val="002B7EDD"/>
    <w:rsid w:val="002C00E8"/>
    <w:rsid w:val="00343749"/>
    <w:rsid w:val="003660ED"/>
    <w:rsid w:val="003B0550"/>
    <w:rsid w:val="003B694F"/>
    <w:rsid w:val="003F171C"/>
    <w:rsid w:val="00412FC5"/>
    <w:rsid w:val="004158F4"/>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0B8C"/>
    <w:rsid w:val="006A6A81"/>
    <w:rsid w:val="006F2B7D"/>
    <w:rsid w:val="006F7393"/>
    <w:rsid w:val="0070224F"/>
    <w:rsid w:val="007115F7"/>
    <w:rsid w:val="00785689"/>
    <w:rsid w:val="0079754B"/>
    <w:rsid w:val="007A1E6D"/>
    <w:rsid w:val="007B0EB2"/>
    <w:rsid w:val="00810B6F"/>
    <w:rsid w:val="00822CE0"/>
    <w:rsid w:val="00841AB1"/>
    <w:rsid w:val="00892F5D"/>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163A"/>
    <w:rsid w:val="00DA2529"/>
    <w:rsid w:val="00DB130A"/>
    <w:rsid w:val="00DB2EBB"/>
    <w:rsid w:val="00DC10A1"/>
    <w:rsid w:val="00DC655F"/>
    <w:rsid w:val="00DD0B59"/>
    <w:rsid w:val="00DD7EBD"/>
    <w:rsid w:val="00DF62B6"/>
    <w:rsid w:val="00E07225"/>
    <w:rsid w:val="00E16CFF"/>
    <w:rsid w:val="00E5409F"/>
    <w:rsid w:val="00EE6488"/>
    <w:rsid w:val="00F021FA"/>
    <w:rsid w:val="00F62E97"/>
    <w:rsid w:val="00F64209"/>
    <w:rsid w:val="00F93BF5"/>
    <w:rsid w:val="00FB04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CC754F-AFEB-49F6-B8D0-80FBFCA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7D"/>
    <w:pPr>
      <w:widowControl w:val="0"/>
    </w:pPr>
    <w:rPr>
      <w:snapToGrid w:val="0"/>
      <w:kern w:val="28"/>
      <w:sz w:val="22"/>
    </w:rPr>
  </w:style>
  <w:style w:type="paragraph" w:styleId="Heading1">
    <w:name w:val="heading 1"/>
    <w:basedOn w:val="Normal"/>
    <w:next w:val="ParaNum"/>
    <w:qFormat/>
    <w:rsid w:val="006F2B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2B7D"/>
    <w:pPr>
      <w:keepNext/>
      <w:numPr>
        <w:ilvl w:val="1"/>
        <w:numId w:val="3"/>
      </w:numPr>
      <w:spacing w:after="120"/>
      <w:outlineLvl w:val="1"/>
    </w:pPr>
    <w:rPr>
      <w:b/>
    </w:rPr>
  </w:style>
  <w:style w:type="paragraph" w:styleId="Heading3">
    <w:name w:val="heading 3"/>
    <w:basedOn w:val="Normal"/>
    <w:next w:val="ParaNum"/>
    <w:qFormat/>
    <w:rsid w:val="006F2B7D"/>
    <w:pPr>
      <w:keepNext/>
      <w:numPr>
        <w:ilvl w:val="2"/>
        <w:numId w:val="3"/>
      </w:numPr>
      <w:tabs>
        <w:tab w:val="left" w:pos="2160"/>
      </w:tabs>
      <w:spacing w:after="120"/>
      <w:outlineLvl w:val="2"/>
    </w:pPr>
    <w:rPr>
      <w:b/>
    </w:rPr>
  </w:style>
  <w:style w:type="paragraph" w:styleId="Heading4">
    <w:name w:val="heading 4"/>
    <w:basedOn w:val="Normal"/>
    <w:next w:val="ParaNum"/>
    <w:qFormat/>
    <w:rsid w:val="006F2B7D"/>
    <w:pPr>
      <w:keepNext/>
      <w:numPr>
        <w:ilvl w:val="3"/>
        <w:numId w:val="3"/>
      </w:numPr>
      <w:tabs>
        <w:tab w:val="left" w:pos="2880"/>
      </w:tabs>
      <w:spacing w:after="120"/>
      <w:outlineLvl w:val="3"/>
    </w:pPr>
    <w:rPr>
      <w:b/>
    </w:rPr>
  </w:style>
  <w:style w:type="paragraph" w:styleId="Heading5">
    <w:name w:val="heading 5"/>
    <w:basedOn w:val="Normal"/>
    <w:next w:val="ParaNum"/>
    <w:qFormat/>
    <w:rsid w:val="006F2B7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2B7D"/>
    <w:pPr>
      <w:numPr>
        <w:ilvl w:val="5"/>
        <w:numId w:val="3"/>
      </w:numPr>
      <w:tabs>
        <w:tab w:val="left" w:pos="4320"/>
      </w:tabs>
      <w:spacing w:after="120"/>
      <w:outlineLvl w:val="5"/>
    </w:pPr>
    <w:rPr>
      <w:b/>
    </w:rPr>
  </w:style>
  <w:style w:type="paragraph" w:styleId="Heading7">
    <w:name w:val="heading 7"/>
    <w:basedOn w:val="Normal"/>
    <w:next w:val="ParaNum"/>
    <w:qFormat/>
    <w:rsid w:val="006F2B7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2B7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2B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2B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2B7D"/>
  </w:style>
  <w:style w:type="paragraph" w:customStyle="1" w:styleId="ParaNum">
    <w:name w:val="ParaNum"/>
    <w:basedOn w:val="Normal"/>
    <w:rsid w:val="006F2B7D"/>
    <w:pPr>
      <w:numPr>
        <w:numId w:val="2"/>
      </w:numPr>
      <w:tabs>
        <w:tab w:val="clear" w:pos="1080"/>
        <w:tab w:val="num" w:pos="1440"/>
      </w:tabs>
      <w:spacing w:after="120"/>
    </w:pPr>
  </w:style>
  <w:style w:type="paragraph" w:styleId="EndnoteText">
    <w:name w:val="endnote text"/>
    <w:basedOn w:val="Normal"/>
    <w:semiHidden/>
    <w:rsid w:val="006F2B7D"/>
    <w:rPr>
      <w:sz w:val="20"/>
    </w:rPr>
  </w:style>
  <w:style w:type="character" w:styleId="EndnoteReference">
    <w:name w:val="endnote reference"/>
    <w:semiHidden/>
    <w:rsid w:val="006F2B7D"/>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link w:val="FootnoteTextChar"/>
    <w:rsid w:val="006F2B7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F2B7D"/>
    <w:rPr>
      <w:rFonts w:ascii="Times New Roman" w:hAnsi="Times New Roman"/>
      <w:dstrike w:val="0"/>
      <w:color w:val="auto"/>
      <w:sz w:val="20"/>
      <w:vertAlign w:val="superscript"/>
    </w:rPr>
  </w:style>
  <w:style w:type="paragraph" w:styleId="TOC1">
    <w:name w:val="toc 1"/>
    <w:basedOn w:val="Normal"/>
    <w:next w:val="Normal"/>
    <w:semiHidden/>
    <w:rsid w:val="006F2B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2B7D"/>
    <w:pPr>
      <w:tabs>
        <w:tab w:val="left" w:pos="720"/>
        <w:tab w:val="right" w:leader="dot" w:pos="9360"/>
      </w:tabs>
      <w:suppressAutoHyphens/>
      <w:ind w:left="720" w:right="720" w:hanging="360"/>
    </w:pPr>
    <w:rPr>
      <w:noProof/>
    </w:rPr>
  </w:style>
  <w:style w:type="paragraph" w:styleId="TOC3">
    <w:name w:val="toc 3"/>
    <w:basedOn w:val="Normal"/>
    <w:next w:val="Normal"/>
    <w:semiHidden/>
    <w:rsid w:val="006F2B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2B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2B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2B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2B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2B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2B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2B7D"/>
    <w:pPr>
      <w:tabs>
        <w:tab w:val="right" w:pos="9360"/>
      </w:tabs>
      <w:suppressAutoHyphens/>
    </w:pPr>
  </w:style>
  <w:style w:type="character" w:customStyle="1" w:styleId="EquationCaption">
    <w:name w:val="_Equation Caption"/>
    <w:rsid w:val="006F2B7D"/>
  </w:style>
  <w:style w:type="paragraph" w:styleId="Header">
    <w:name w:val="header"/>
    <w:basedOn w:val="Normal"/>
    <w:autoRedefine/>
    <w:rsid w:val="006F2B7D"/>
    <w:pPr>
      <w:tabs>
        <w:tab w:val="center" w:pos="4680"/>
        <w:tab w:val="right" w:pos="9360"/>
      </w:tabs>
    </w:pPr>
    <w:rPr>
      <w:b/>
    </w:rPr>
  </w:style>
  <w:style w:type="paragraph" w:styleId="Footer">
    <w:name w:val="footer"/>
    <w:basedOn w:val="Normal"/>
    <w:rsid w:val="006F2B7D"/>
    <w:pPr>
      <w:tabs>
        <w:tab w:val="center" w:pos="4320"/>
        <w:tab w:val="right" w:pos="8640"/>
      </w:tabs>
    </w:pPr>
  </w:style>
  <w:style w:type="character" w:styleId="PageNumber">
    <w:name w:val="page number"/>
    <w:basedOn w:val="DefaultParagraphFont"/>
    <w:rsid w:val="006F2B7D"/>
  </w:style>
  <w:style w:type="paragraph" w:styleId="BlockText">
    <w:name w:val="Block Text"/>
    <w:basedOn w:val="Normal"/>
    <w:rsid w:val="006F2B7D"/>
    <w:pPr>
      <w:spacing w:after="240"/>
      <w:ind w:left="1440" w:right="1440"/>
    </w:pPr>
  </w:style>
  <w:style w:type="paragraph" w:customStyle="1" w:styleId="Paratitle">
    <w:name w:val="Para title"/>
    <w:basedOn w:val="Normal"/>
    <w:rsid w:val="006F2B7D"/>
    <w:pPr>
      <w:tabs>
        <w:tab w:val="center" w:pos="9270"/>
      </w:tabs>
      <w:spacing w:after="240"/>
    </w:pPr>
    <w:rPr>
      <w:spacing w:val="-2"/>
    </w:rPr>
  </w:style>
  <w:style w:type="paragraph" w:customStyle="1" w:styleId="Bullet">
    <w:name w:val="Bullet"/>
    <w:basedOn w:val="Normal"/>
    <w:rsid w:val="006F2B7D"/>
    <w:pPr>
      <w:tabs>
        <w:tab w:val="left" w:pos="2160"/>
      </w:tabs>
      <w:spacing w:after="220"/>
      <w:ind w:left="2160" w:hanging="720"/>
    </w:pPr>
  </w:style>
  <w:style w:type="paragraph" w:customStyle="1" w:styleId="TableFormat">
    <w:name w:val="TableFormat"/>
    <w:basedOn w:val="Bullet"/>
    <w:rsid w:val="006F2B7D"/>
    <w:pPr>
      <w:tabs>
        <w:tab w:val="clear" w:pos="2160"/>
        <w:tab w:val="left" w:pos="5040"/>
      </w:tabs>
      <w:ind w:left="5040" w:hanging="3600"/>
    </w:pPr>
  </w:style>
  <w:style w:type="paragraph" w:customStyle="1" w:styleId="TOCTitle">
    <w:name w:val="TOC Title"/>
    <w:basedOn w:val="Normal"/>
    <w:rsid w:val="006F2B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2B7D"/>
    <w:pPr>
      <w:jc w:val="center"/>
    </w:pPr>
    <w:rPr>
      <w:rFonts w:ascii="Times New Roman Bold" w:hAnsi="Times New Roman Bold"/>
      <w:b/>
      <w:bCs/>
      <w:caps/>
      <w:szCs w:val="22"/>
    </w:rPr>
  </w:style>
  <w:style w:type="character" w:styleId="Hyperlink">
    <w:name w:val="Hyperlink"/>
    <w:rsid w:val="006F2B7D"/>
    <w:rPr>
      <w:color w:val="0000FF"/>
      <w:u w:val="single"/>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D5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mericantelevisionalliance.org/wp-content/uploads/2019/10/ATVA-Senate-Hearing-Oct-23-FINAL.pdf" TargetMode="External" /><Relationship Id="rId2" Type="http://schemas.openxmlformats.org/officeDocument/2006/relationships/hyperlink" Target="https://www.axios.com/dozens-of-local-stations-blacked-out-for-dish-customers-amid-pandemic-d6da75ba-65c6-4f17-ab7b-96e55d9a0764.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