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828A9" w:rsidRPr="007D2116" w:rsidP="008828A9" w14:paraId="5E471D1D" w14:textId="77777777">
      <w:pPr>
        <w:jc w:val="center"/>
        <w:rPr>
          <w:b/>
        </w:rPr>
      </w:pPr>
      <w:r w:rsidRPr="004203C2">
        <w:rPr>
          <w:b/>
          <w:kern w:val="0"/>
          <w:szCs w:val="22"/>
        </w:rPr>
        <w:t>Before</w:t>
      </w:r>
      <w:r w:rsidRPr="001844D1">
        <w:rPr>
          <w:b/>
        </w:rPr>
        <w:t xml:space="preserve"> the</w:t>
      </w:r>
    </w:p>
    <w:p w:rsidR="008828A9" w:rsidRPr="004203C2" w:rsidP="008828A9" w14:paraId="6934CC9B" w14:textId="77777777">
      <w:pPr>
        <w:pStyle w:val="StyleBoldCentered"/>
        <w:rPr>
          <w:rFonts w:ascii="Times New Roman" w:hAnsi="Times New Roman"/>
        </w:rPr>
      </w:pPr>
      <w:r w:rsidRPr="004203C2">
        <w:rPr>
          <w:rFonts w:ascii="Times New Roman" w:hAnsi="Times New Roman"/>
        </w:rPr>
        <w:t>F</w:t>
      </w:r>
      <w:r w:rsidRPr="004203C2">
        <w:rPr>
          <w:rFonts w:ascii="Times New Roman" w:hAnsi="Times New Roman"/>
          <w:caps w:val="0"/>
        </w:rPr>
        <w:t>ederal Communications Commission</w:t>
      </w:r>
    </w:p>
    <w:p w:rsidR="008828A9" w:rsidRPr="004203C2" w:rsidP="008828A9" w14:paraId="299A45CE" w14:textId="77777777">
      <w:pPr>
        <w:pStyle w:val="StyleBoldCentered"/>
        <w:rPr>
          <w:rFonts w:ascii="Times New Roman" w:hAnsi="Times New Roman"/>
        </w:rPr>
      </w:pPr>
      <w:r w:rsidRPr="004203C2">
        <w:rPr>
          <w:rFonts w:ascii="Times New Roman" w:hAnsi="Times New Roman"/>
          <w:caps w:val="0"/>
        </w:rPr>
        <w:t>Washington, D.C. 20554</w:t>
      </w:r>
    </w:p>
    <w:p w:rsidR="008828A9" w:rsidRPr="001844D1" w:rsidP="008828A9" w14:paraId="1E74AE1B" w14:textId="77777777"/>
    <w:p w:rsidR="008828A9" w:rsidRPr="001844D1" w:rsidP="008828A9" w14:paraId="7D47F31C" w14:textId="77777777"/>
    <w:tbl>
      <w:tblPr>
        <w:tblW w:w="0" w:type="auto"/>
        <w:tblLayout w:type="fixed"/>
        <w:tblLook w:val="0000"/>
      </w:tblPr>
      <w:tblGrid>
        <w:gridCol w:w="4698"/>
        <w:gridCol w:w="630"/>
        <w:gridCol w:w="4248"/>
      </w:tblGrid>
      <w:tr w14:paraId="2CCC46E7" w14:textId="77777777" w:rsidTr="006744B5">
        <w:tblPrEx>
          <w:tblW w:w="0" w:type="auto"/>
          <w:tblLayout w:type="fixed"/>
          <w:tblLook w:val="0000"/>
        </w:tblPrEx>
        <w:tc>
          <w:tcPr>
            <w:tcW w:w="4698" w:type="dxa"/>
          </w:tcPr>
          <w:p w:rsidR="008828A9" w:rsidRPr="001844D1" w:rsidP="006744B5" w14:paraId="4C4666F1" w14:textId="77777777">
            <w:pPr>
              <w:tabs>
                <w:tab w:val="center" w:pos="4680"/>
              </w:tabs>
              <w:suppressAutoHyphens/>
              <w:rPr>
                <w:spacing w:val="-2"/>
              </w:rPr>
            </w:pPr>
            <w:r w:rsidRPr="001844D1">
              <w:rPr>
                <w:spacing w:val="-2"/>
              </w:rPr>
              <w:t>In the Matter of</w:t>
            </w:r>
          </w:p>
          <w:p w:rsidR="008828A9" w:rsidRPr="001844D1" w:rsidP="006744B5" w14:paraId="43E80970" w14:textId="77777777">
            <w:pPr>
              <w:tabs>
                <w:tab w:val="center" w:pos="4680"/>
              </w:tabs>
              <w:suppressAutoHyphens/>
              <w:rPr>
                <w:spacing w:val="-2"/>
              </w:rPr>
            </w:pPr>
          </w:p>
          <w:p w:rsidR="008828A9" w:rsidRPr="001844D1" w:rsidP="006744B5" w14:paraId="37BED804" w14:textId="77777777">
            <w:pPr>
              <w:tabs>
                <w:tab w:val="center" w:pos="4680"/>
              </w:tabs>
              <w:suppressAutoHyphens/>
              <w:rPr>
                <w:spacing w:val="-2"/>
              </w:rPr>
            </w:pPr>
            <w:r w:rsidRPr="001844D1">
              <w:rPr>
                <w:spacing w:val="-2"/>
              </w:rPr>
              <w:t>911 Fee Diversion</w:t>
            </w:r>
          </w:p>
          <w:p w:rsidR="008828A9" w:rsidRPr="001844D1" w:rsidP="006744B5" w14:paraId="2F71F27D" w14:textId="77777777">
            <w:pPr>
              <w:tabs>
                <w:tab w:val="center" w:pos="4680"/>
              </w:tabs>
              <w:suppressAutoHyphens/>
              <w:rPr>
                <w:spacing w:val="-2"/>
              </w:rPr>
            </w:pPr>
          </w:p>
          <w:p w:rsidR="008828A9" w:rsidRPr="001844D1" w:rsidP="006744B5" w14:paraId="41706181" w14:textId="77777777">
            <w:pPr>
              <w:tabs>
                <w:tab w:val="center" w:pos="4680"/>
              </w:tabs>
              <w:suppressAutoHyphens/>
              <w:rPr>
                <w:spacing w:val="-2"/>
              </w:rPr>
            </w:pPr>
            <w:r w:rsidRPr="001844D1">
              <w:t>New and Emerging Technologies 911 Improvement Act of 2008</w:t>
            </w:r>
          </w:p>
        </w:tc>
        <w:tc>
          <w:tcPr>
            <w:tcW w:w="630" w:type="dxa"/>
          </w:tcPr>
          <w:p w:rsidR="008828A9" w:rsidRPr="001844D1" w:rsidP="006744B5" w14:paraId="0F595F44" w14:textId="77777777">
            <w:pPr>
              <w:tabs>
                <w:tab w:val="center" w:pos="4680"/>
              </w:tabs>
              <w:suppressAutoHyphens/>
              <w:rPr>
                <w:b/>
                <w:spacing w:val="-2"/>
              </w:rPr>
            </w:pPr>
            <w:r w:rsidRPr="001844D1">
              <w:rPr>
                <w:b/>
                <w:spacing w:val="-2"/>
              </w:rPr>
              <w:t>)</w:t>
            </w:r>
          </w:p>
          <w:p w:rsidR="008828A9" w:rsidRPr="001844D1" w:rsidP="006744B5" w14:paraId="72A87F87" w14:textId="77777777">
            <w:pPr>
              <w:tabs>
                <w:tab w:val="center" w:pos="4680"/>
              </w:tabs>
              <w:suppressAutoHyphens/>
              <w:rPr>
                <w:b/>
                <w:spacing w:val="-2"/>
              </w:rPr>
            </w:pPr>
            <w:r w:rsidRPr="001844D1">
              <w:rPr>
                <w:b/>
                <w:spacing w:val="-2"/>
              </w:rPr>
              <w:t>)</w:t>
            </w:r>
          </w:p>
          <w:p w:rsidR="008828A9" w:rsidRPr="001844D1" w:rsidP="006744B5" w14:paraId="4531575A" w14:textId="77777777">
            <w:pPr>
              <w:tabs>
                <w:tab w:val="center" w:pos="4680"/>
              </w:tabs>
              <w:suppressAutoHyphens/>
              <w:rPr>
                <w:b/>
                <w:spacing w:val="-2"/>
              </w:rPr>
            </w:pPr>
            <w:r w:rsidRPr="001844D1">
              <w:rPr>
                <w:b/>
                <w:spacing w:val="-2"/>
              </w:rPr>
              <w:t>)</w:t>
            </w:r>
          </w:p>
          <w:p w:rsidR="008828A9" w:rsidRPr="001844D1" w:rsidP="006744B5" w14:paraId="10F0F489" w14:textId="77777777">
            <w:pPr>
              <w:tabs>
                <w:tab w:val="center" w:pos="4680"/>
              </w:tabs>
              <w:suppressAutoHyphens/>
              <w:rPr>
                <w:b/>
                <w:spacing w:val="-2"/>
              </w:rPr>
            </w:pPr>
            <w:r w:rsidRPr="001844D1">
              <w:rPr>
                <w:b/>
                <w:spacing w:val="-2"/>
              </w:rPr>
              <w:t>)</w:t>
            </w:r>
          </w:p>
          <w:p w:rsidR="008828A9" w:rsidRPr="001844D1" w:rsidP="006744B5" w14:paraId="06E1E146" w14:textId="77777777">
            <w:pPr>
              <w:tabs>
                <w:tab w:val="center" w:pos="4680"/>
              </w:tabs>
              <w:suppressAutoHyphens/>
              <w:rPr>
                <w:b/>
                <w:spacing w:val="-2"/>
              </w:rPr>
            </w:pPr>
            <w:r w:rsidRPr="001844D1">
              <w:rPr>
                <w:b/>
                <w:spacing w:val="-2"/>
              </w:rPr>
              <w:t>)</w:t>
            </w:r>
          </w:p>
          <w:p w:rsidR="008828A9" w:rsidRPr="001844D1" w:rsidP="006744B5" w14:paraId="228BE212" w14:textId="77777777">
            <w:pPr>
              <w:tabs>
                <w:tab w:val="center" w:pos="4680"/>
              </w:tabs>
              <w:suppressAutoHyphens/>
              <w:rPr>
                <w:b/>
                <w:spacing w:val="-2"/>
              </w:rPr>
            </w:pPr>
            <w:r w:rsidRPr="001844D1">
              <w:rPr>
                <w:b/>
                <w:spacing w:val="-2"/>
              </w:rPr>
              <w:t>)</w:t>
            </w:r>
          </w:p>
          <w:p w:rsidR="008828A9" w:rsidRPr="001844D1" w:rsidP="006744B5" w14:paraId="6B6C8362" w14:textId="77777777">
            <w:pPr>
              <w:tabs>
                <w:tab w:val="center" w:pos="4680"/>
              </w:tabs>
              <w:suppressAutoHyphens/>
              <w:rPr>
                <w:spacing w:val="-2"/>
              </w:rPr>
            </w:pPr>
          </w:p>
        </w:tc>
        <w:tc>
          <w:tcPr>
            <w:tcW w:w="4248" w:type="dxa"/>
          </w:tcPr>
          <w:p w:rsidR="008828A9" w:rsidRPr="001844D1" w:rsidP="006744B5" w14:paraId="3CF9454E" w14:textId="77777777">
            <w:pPr>
              <w:tabs>
                <w:tab w:val="center" w:pos="4680"/>
              </w:tabs>
              <w:suppressAutoHyphens/>
              <w:rPr>
                <w:spacing w:val="-2"/>
              </w:rPr>
            </w:pPr>
          </w:p>
          <w:p w:rsidR="008828A9" w:rsidRPr="001844D1" w:rsidP="006744B5" w14:paraId="41E4A12B" w14:textId="77777777">
            <w:pPr>
              <w:pStyle w:val="TOAHeading"/>
              <w:tabs>
                <w:tab w:val="center" w:pos="4680"/>
                <w:tab w:val="clear" w:pos="9360"/>
              </w:tabs>
              <w:rPr>
                <w:spacing w:val="-2"/>
              </w:rPr>
            </w:pPr>
          </w:p>
          <w:p w:rsidR="008828A9" w:rsidRPr="004203C2" w:rsidP="006744B5" w14:paraId="7B07D4AC" w14:textId="77777777">
            <w:pPr>
              <w:tabs>
                <w:tab w:val="center" w:pos="4680"/>
              </w:tabs>
              <w:suppressAutoHyphens/>
            </w:pPr>
            <w:r w:rsidRPr="001844D1">
              <w:rPr>
                <w:spacing w:val="-2"/>
              </w:rPr>
              <w:t>PS Docket No. 20-291</w:t>
            </w:r>
          </w:p>
          <w:p w:rsidR="008828A9" w:rsidRPr="001844D1" w:rsidP="006744B5" w14:paraId="7676B375" w14:textId="77777777">
            <w:pPr>
              <w:tabs>
                <w:tab w:val="center" w:pos="4680"/>
              </w:tabs>
              <w:suppressAutoHyphens/>
              <w:rPr>
                <w:spacing w:val="-2"/>
              </w:rPr>
            </w:pPr>
          </w:p>
          <w:p w:rsidR="008828A9" w:rsidRPr="001844D1" w:rsidP="006744B5" w14:paraId="42CF7BC7" w14:textId="77777777">
            <w:pPr>
              <w:tabs>
                <w:tab w:val="center" w:pos="4680"/>
              </w:tabs>
              <w:suppressAutoHyphens/>
              <w:rPr>
                <w:spacing w:val="-2"/>
              </w:rPr>
            </w:pPr>
            <w:r w:rsidRPr="001844D1">
              <w:rPr>
                <w:spacing w:val="-2"/>
              </w:rPr>
              <w:t>PS Docket No. 09-14</w:t>
            </w:r>
          </w:p>
        </w:tc>
      </w:tr>
    </w:tbl>
    <w:p w:rsidR="008828A9" w:rsidRPr="001844D1" w:rsidP="008828A9" w14:paraId="33C8DBF1" w14:textId="77777777"/>
    <w:p w:rsidR="008828A9" w:rsidRPr="004203C2" w:rsidP="008828A9" w14:paraId="3BAA8617" w14:textId="77777777">
      <w:pPr>
        <w:pStyle w:val="StyleBoldCentered"/>
        <w:rPr>
          <w:rFonts w:ascii="Times New Roman" w:hAnsi="Times New Roman"/>
        </w:rPr>
      </w:pPr>
      <w:r w:rsidRPr="004203C2">
        <w:rPr>
          <w:rFonts w:ascii="Times New Roman" w:hAnsi="Times New Roman"/>
        </w:rPr>
        <w:t>NOTICE OF INQUIRY</w:t>
      </w:r>
    </w:p>
    <w:p w:rsidR="008828A9" w:rsidRPr="001844D1" w:rsidP="008828A9" w14:paraId="17E6FC85" w14:textId="77777777">
      <w:pPr>
        <w:tabs>
          <w:tab w:val="left" w:pos="-720"/>
        </w:tabs>
        <w:suppressAutoHyphens/>
        <w:spacing w:line="227" w:lineRule="auto"/>
        <w:rPr>
          <w:spacing w:val="-2"/>
        </w:rPr>
      </w:pPr>
    </w:p>
    <w:p w:rsidR="008828A9" w:rsidRPr="001844D1" w:rsidP="008828A9" w14:paraId="13723DD4" w14:textId="00EE32E4">
      <w:pPr>
        <w:tabs>
          <w:tab w:val="left" w:pos="720"/>
          <w:tab w:val="right" w:pos="9360"/>
        </w:tabs>
        <w:suppressAutoHyphens/>
        <w:spacing w:line="227" w:lineRule="auto"/>
        <w:rPr>
          <w:spacing w:val="-2"/>
        </w:rPr>
      </w:pPr>
      <w:r w:rsidRPr="007D2116">
        <w:rPr>
          <w:b/>
          <w:spacing w:val="-2"/>
        </w:rPr>
        <w:t xml:space="preserve">Adopted:  </w:t>
      </w:r>
      <w:r w:rsidR="009A7479">
        <w:rPr>
          <w:b/>
          <w:spacing w:val="-2"/>
        </w:rPr>
        <w:t>September 30, 2020</w:t>
      </w:r>
      <w:r w:rsidRPr="001844D1">
        <w:rPr>
          <w:b/>
          <w:spacing w:val="-2"/>
        </w:rPr>
        <w:tab/>
        <w:t xml:space="preserve">Released:  </w:t>
      </w:r>
      <w:r w:rsidR="009A7479">
        <w:rPr>
          <w:b/>
          <w:spacing w:val="-2"/>
        </w:rPr>
        <w:t xml:space="preserve">October </w:t>
      </w:r>
      <w:r w:rsidR="00E874F9">
        <w:rPr>
          <w:b/>
          <w:spacing w:val="-2"/>
        </w:rPr>
        <w:t>2</w:t>
      </w:r>
      <w:r w:rsidR="009A7479">
        <w:rPr>
          <w:b/>
          <w:spacing w:val="-2"/>
        </w:rPr>
        <w:t>, 2020</w:t>
      </w:r>
    </w:p>
    <w:p w:rsidR="008828A9" w:rsidRPr="001844D1" w:rsidP="008828A9" w14:paraId="20BABABF" w14:textId="77777777"/>
    <w:p w:rsidR="00F57C88" w:rsidRPr="00F57C88" w:rsidP="008828A9" w14:paraId="685AF6CB" w14:textId="441EF8C8">
      <w:pPr>
        <w:rPr>
          <w:b/>
          <w:bCs/>
        </w:rPr>
      </w:pPr>
      <w:r w:rsidRPr="00F57C88">
        <w:rPr>
          <w:b/>
          <w:bCs/>
        </w:rPr>
        <w:t xml:space="preserve">Comment Date: </w:t>
      </w:r>
      <w:r w:rsidR="00417DFA">
        <w:rPr>
          <w:b/>
          <w:bCs/>
        </w:rPr>
        <w:t xml:space="preserve">November </w:t>
      </w:r>
      <w:r w:rsidR="00365B4E">
        <w:rPr>
          <w:b/>
          <w:bCs/>
        </w:rPr>
        <w:t>2</w:t>
      </w:r>
      <w:r w:rsidR="00417DFA">
        <w:rPr>
          <w:b/>
          <w:bCs/>
        </w:rPr>
        <w:t>, 2020</w:t>
      </w:r>
      <w:r w:rsidRPr="00F57C88">
        <w:rPr>
          <w:b/>
          <w:bCs/>
        </w:rPr>
        <w:t xml:space="preserve"> </w:t>
      </w:r>
    </w:p>
    <w:p w:rsidR="00F57C88" w:rsidRPr="00F57C88" w:rsidP="008828A9" w14:paraId="51D2B70F" w14:textId="77765F0E">
      <w:pPr>
        <w:rPr>
          <w:b/>
          <w:bCs/>
        </w:rPr>
      </w:pPr>
      <w:r w:rsidRPr="00F57C88">
        <w:rPr>
          <w:b/>
          <w:bCs/>
        </w:rPr>
        <w:t xml:space="preserve">Reply Comment Date: </w:t>
      </w:r>
      <w:r w:rsidR="00E30E73">
        <w:rPr>
          <w:b/>
          <w:bCs/>
        </w:rPr>
        <w:t>December 2</w:t>
      </w:r>
      <w:r w:rsidR="00417DFA">
        <w:rPr>
          <w:b/>
          <w:bCs/>
        </w:rPr>
        <w:t>, 2020</w:t>
      </w:r>
    </w:p>
    <w:p w:rsidR="00F57C88" w:rsidP="008828A9" w14:paraId="05AB8E80" w14:textId="77777777"/>
    <w:p w:rsidR="008828A9" w:rsidRPr="00267362" w:rsidP="008828A9" w14:paraId="369AE4DD" w14:textId="5ABA8EA2">
      <w:pPr>
        <w:rPr>
          <w:snapToGrid/>
          <w:kern w:val="0"/>
        </w:rPr>
      </w:pPr>
      <w:r w:rsidRPr="001844D1">
        <w:t xml:space="preserve">By the </w:t>
      </w:r>
      <w:r w:rsidRPr="001844D1">
        <w:rPr>
          <w:spacing w:val="-2"/>
        </w:rPr>
        <w:t>Commission:</w:t>
      </w:r>
      <w:r w:rsidR="00B46113">
        <w:rPr>
          <w:spacing w:val="-2"/>
        </w:rPr>
        <w:t xml:space="preserve"> </w:t>
      </w:r>
      <w:r w:rsidR="00B46113">
        <w:t xml:space="preserve">Chairman Pai and Commissioners </w:t>
      </w:r>
      <w:r w:rsidR="00B46113">
        <w:t>O’Rielly</w:t>
      </w:r>
      <w:r w:rsidR="00B46113">
        <w:t xml:space="preserve"> and </w:t>
      </w:r>
      <w:r w:rsidR="00B46113">
        <w:t>Rosenworcel</w:t>
      </w:r>
      <w:r w:rsidR="00B46113">
        <w:t xml:space="preserve"> issuing separate statements.</w:t>
      </w:r>
    </w:p>
    <w:p w:rsidR="008828A9" w:rsidRPr="001844D1" w:rsidP="008828A9" w14:paraId="6F4AC3F4" w14:textId="77777777">
      <w:pPr>
        <w:rPr>
          <w:spacing w:val="-2"/>
        </w:rPr>
      </w:pPr>
    </w:p>
    <w:p w:rsidR="008828A9" w:rsidP="008828A9" w14:paraId="224C6765" w14:textId="77777777">
      <w:pPr>
        <w:pStyle w:val="TOCTitle"/>
      </w:pPr>
      <w:bookmarkStart w:id="0" w:name="TOChere"/>
      <w:r>
        <w:t>Table of Contents</w:t>
      </w:r>
    </w:p>
    <w:p w:rsidR="008828A9" w:rsidP="008828A9" w14:paraId="68275BFD" w14:textId="77777777">
      <w:pPr>
        <w:pStyle w:val="Paratitle"/>
      </w:pPr>
      <w:r>
        <w:t>Heading</w:t>
      </w:r>
      <w:r>
        <w:tab/>
        <w:t>Paragraph #</w:t>
      </w:r>
      <w:bookmarkStart w:id="1" w:name="start_here"/>
      <w:bookmarkEnd w:id="1"/>
    </w:p>
    <w:p w:rsidR="008828A9" w:rsidRPr="008828A9" w:rsidP="008828A9" w14:paraId="4900F1FE" w14:textId="77777777">
      <w:pPr>
        <w:pStyle w:val="TOC1"/>
        <w:rPr>
          <w:rFonts w:ascii="Calibri" w:hAnsi="Calibri"/>
          <w:caps w:val="0"/>
          <w:snapToGrid/>
          <w:kern w:val="0"/>
          <w:szCs w:val="22"/>
        </w:rPr>
      </w:pPr>
      <w:r w:rsidRPr="00CC1DF1">
        <w:t>I.</w:t>
      </w:r>
      <w:r w:rsidRPr="008828A9">
        <w:rPr>
          <w:rFonts w:ascii="Calibri" w:hAnsi="Calibri"/>
          <w:caps w:val="0"/>
          <w:snapToGrid/>
          <w:kern w:val="0"/>
          <w:szCs w:val="22"/>
        </w:rPr>
        <w:tab/>
      </w:r>
      <w:r w:rsidRPr="00CC1DF1">
        <w:t>INTRODUCTION</w:t>
      </w:r>
      <w:r>
        <w:tab/>
        <w:t>1</w:t>
      </w:r>
    </w:p>
    <w:p w:rsidR="008828A9" w:rsidRPr="008828A9" w:rsidP="008828A9" w14:paraId="44508B7E" w14:textId="77777777">
      <w:pPr>
        <w:pStyle w:val="TOC1"/>
        <w:rPr>
          <w:rFonts w:ascii="Calibri" w:hAnsi="Calibri"/>
          <w:caps w:val="0"/>
          <w:snapToGrid/>
          <w:kern w:val="0"/>
          <w:szCs w:val="22"/>
        </w:rPr>
      </w:pPr>
      <w:r w:rsidRPr="00CC1DF1">
        <w:t>II.</w:t>
      </w:r>
      <w:r w:rsidRPr="008828A9">
        <w:rPr>
          <w:rFonts w:ascii="Calibri" w:hAnsi="Calibri"/>
          <w:caps w:val="0"/>
          <w:snapToGrid/>
          <w:kern w:val="0"/>
          <w:szCs w:val="22"/>
        </w:rPr>
        <w:tab/>
      </w:r>
      <w:r w:rsidRPr="00CC1DF1">
        <w:t>BACKGROUND</w:t>
      </w:r>
      <w:r>
        <w:tab/>
        <w:t>7</w:t>
      </w:r>
    </w:p>
    <w:p w:rsidR="008828A9" w:rsidRPr="008828A9" w:rsidP="008828A9" w14:paraId="61044207" w14:textId="77777777">
      <w:pPr>
        <w:pStyle w:val="TOC1"/>
        <w:rPr>
          <w:rFonts w:ascii="Calibri" w:hAnsi="Calibri"/>
          <w:caps w:val="0"/>
          <w:snapToGrid/>
          <w:kern w:val="0"/>
          <w:szCs w:val="22"/>
        </w:rPr>
      </w:pPr>
      <w:r w:rsidRPr="00CC1DF1">
        <w:rPr>
          <w:bCs/>
        </w:rPr>
        <w:t>III.</w:t>
      </w:r>
      <w:r w:rsidRPr="008828A9">
        <w:rPr>
          <w:rFonts w:ascii="Calibri" w:hAnsi="Calibri"/>
          <w:caps w:val="0"/>
          <w:snapToGrid/>
          <w:kern w:val="0"/>
          <w:szCs w:val="22"/>
        </w:rPr>
        <w:tab/>
      </w:r>
      <w:r w:rsidRPr="00CC1DF1">
        <w:rPr>
          <w:bCs/>
        </w:rPr>
        <w:t>DISCUSSION</w:t>
      </w:r>
      <w:r>
        <w:tab/>
        <w:t>12</w:t>
      </w:r>
    </w:p>
    <w:p w:rsidR="008828A9" w:rsidRPr="008828A9" w:rsidP="008828A9" w14:paraId="7B65FDE7" w14:textId="77777777">
      <w:pPr>
        <w:pStyle w:val="TOC2"/>
        <w:tabs>
          <w:tab w:val="left" w:pos="360"/>
        </w:tabs>
        <w:rPr>
          <w:rFonts w:ascii="Calibri" w:hAnsi="Calibri"/>
          <w:snapToGrid/>
          <w:kern w:val="0"/>
          <w:szCs w:val="22"/>
        </w:rPr>
      </w:pPr>
      <w:r>
        <w:t>A.</w:t>
      </w:r>
      <w:r w:rsidRPr="008828A9">
        <w:rPr>
          <w:rFonts w:ascii="Calibri" w:hAnsi="Calibri"/>
          <w:snapToGrid/>
          <w:kern w:val="0"/>
          <w:szCs w:val="22"/>
        </w:rPr>
        <w:tab/>
      </w:r>
      <w:r>
        <w:t>Dissuading States from Instituting or Continuing 911 Fee Diversion</w:t>
      </w:r>
      <w:r>
        <w:tab/>
        <w:t>16</w:t>
      </w:r>
    </w:p>
    <w:p w:rsidR="008828A9" w:rsidRPr="008828A9" w:rsidP="008828A9" w14:paraId="12CA6E52" w14:textId="77777777">
      <w:pPr>
        <w:pStyle w:val="TOC3"/>
        <w:tabs>
          <w:tab w:val="left" w:pos="360"/>
        </w:tabs>
        <w:rPr>
          <w:rFonts w:ascii="Calibri" w:hAnsi="Calibri"/>
          <w:snapToGrid/>
          <w:kern w:val="0"/>
          <w:szCs w:val="22"/>
        </w:rPr>
      </w:pPr>
      <w:r>
        <w:t>1.</w:t>
      </w:r>
      <w:r w:rsidRPr="008828A9">
        <w:rPr>
          <w:rFonts w:ascii="Calibri" w:hAnsi="Calibri"/>
          <w:snapToGrid/>
          <w:kern w:val="0"/>
          <w:szCs w:val="22"/>
        </w:rPr>
        <w:tab/>
      </w:r>
      <w:r>
        <w:t>Restrictions on Federal Grant Funding for States that Divert 911 Fees</w:t>
      </w:r>
      <w:r>
        <w:tab/>
        <w:t>18</w:t>
      </w:r>
    </w:p>
    <w:p w:rsidR="008828A9" w:rsidRPr="008828A9" w:rsidP="008828A9" w14:paraId="7AF70CBD" w14:textId="77777777">
      <w:pPr>
        <w:pStyle w:val="TOC3"/>
        <w:tabs>
          <w:tab w:val="left" w:pos="360"/>
        </w:tabs>
        <w:rPr>
          <w:rFonts w:ascii="Calibri" w:hAnsi="Calibri"/>
          <w:snapToGrid/>
          <w:kern w:val="0"/>
          <w:szCs w:val="22"/>
        </w:rPr>
      </w:pPr>
      <w:r>
        <w:t>2.</w:t>
      </w:r>
      <w:r w:rsidRPr="008828A9">
        <w:rPr>
          <w:rFonts w:ascii="Calibri" w:hAnsi="Calibri"/>
          <w:snapToGrid/>
          <w:kern w:val="0"/>
          <w:szCs w:val="22"/>
        </w:rPr>
        <w:tab/>
      </w:r>
      <w:r>
        <w:t>Commission Regulatory Options</w:t>
      </w:r>
      <w:r>
        <w:tab/>
        <w:t>20</w:t>
      </w:r>
    </w:p>
    <w:p w:rsidR="008828A9" w:rsidRPr="008828A9" w:rsidP="008828A9" w14:paraId="72B09D67" w14:textId="77777777">
      <w:pPr>
        <w:pStyle w:val="TOC3"/>
        <w:tabs>
          <w:tab w:val="left" w:pos="360"/>
        </w:tabs>
        <w:rPr>
          <w:rFonts w:ascii="Calibri" w:hAnsi="Calibri"/>
          <w:snapToGrid/>
          <w:kern w:val="0"/>
          <w:szCs w:val="22"/>
        </w:rPr>
      </w:pPr>
      <w:r>
        <w:t>3.</w:t>
      </w:r>
      <w:r w:rsidRPr="008828A9">
        <w:rPr>
          <w:rFonts w:ascii="Calibri" w:hAnsi="Calibri"/>
          <w:snapToGrid/>
          <w:kern w:val="0"/>
          <w:szCs w:val="22"/>
        </w:rPr>
        <w:tab/>
      </w:r>
      <w:r>
        <w:t>Facilitating the Revision of State Funding Mechanisms to Eliminate Fee Diversion</w:t>
      </w:r>
      <w:r>
        <w:tab/>
        <w:t>27</w:t>
      </w:r>
    </w:p>
    <w:p w:rsidR="008828A9" w:rsidRPr="008828A9" w:rsidP="008828A9" w14:paraId="7C93643D" w14:textId="77777777">
      <w:pPr>
        <w:pStyle w:val="TOC2"/>
        <w:tabs>
          <w:tab w:val="left" w:pos="360"/>
        </w:tabs>
        <w:rPr>
          <w:rFonts w:ascii="Calibri" w:hAnsi="Calibri"/>
          <w:snapToGrid/>
          <w:kern w:val="0"/>
          <w:szCs w:val="22"/>
        </w:rPr>
      </w:pPr>
      <w:r>
        <w:t>B.</w:t>
      </w:r>
      <w:r w:rsidRPr="008828A9">
        <w:rPr>
          <w:rFonts w:ascii="Calibri" w:hAnsi="Calibri"/>
          <w:snapToGrid/>
          <w:kern w:val="0"/>
          <w:szCs w:val="22"/>
        </w:rPr>
        <w:tab/>
      </w:r>
      <w:r>
        <w:t>Sufficiency and Accuracy of the Annual Reports to Congress on 911 Fees</w:t>
      </w:r>
      <w:r>
        <w:tab/>
        <w:t>34</w:t>
      </w:r>
    </w:p>
    <w:p w:rsidR="008828A9" w:rsidRPr="008828A9" w:rsidP="008828A9" w14:paraId="3D7960B0" w14:textId="77777777">
      <w:pPr>
        <w:pStyle w:val="TOC1"/>
        <w:rPr>
          <w:rFonts w:ascii="Calibri" w:hAnsi="Calibri"/>
          <w:caps w:val="0"/>
          <w:snapToGrid/>
          <w:kern w:val="0"/>
          <w:szCs w:val="22"/>
        </w:rPr>
      </w:pPr>
      <w:r w:rsidRPr="00CC1DF1">
        <w:t>IV.</w:t>
      </w:r>
      <w:r w:rsidRPr="008828A9">
        <w:rPr>
          <w:rFonts w:ascii="Calibri" w:hAnsi="Calibri"/>
          <w:caps w:val="0"/>
          <w:snapToGrid/>
          <w:kern w:val="0"/>
          <w:szCs w:val="22"/>
        </w:rPr>
        <w:tab/>
      </w:r>
      <w:r w:rsidRPr="00CC1DF1">
        <w:t>Procedural Matters</w:t>
      </w:r>
      <w:r>
        <w:tab/>
        <w:t>44</w:t>
      </w:r>
    </w:p>
    <w:p w:rsidR="008828A9" w:rsidRPr="008828A9" w:rsidP="008828A9" w14:paraId="747F0265" w14:textId="77777777">
      <w:pPr>
        <w:pStyle w:val="TOC1"/>
        <w:rPr>
          <w:rFonts w:ascii="Calibri" w:hAnsi="Calibri"/>
          <w:caps w:val="0"/>
          <w:snapToGrid/>
          <w:kern w:val="0"/>
          <w:szCs w:val="22"/>
        </w:rPr>
      </w:pPr>
      <w:r w:rsidRPr="00CC1DF1">
        <w:t>V.</w:t>
      </w:r>
      <w:r w:rsidRPr="008828A9">
        <w:rPr>
          <w:rFonts w:ascii="Calibri" w:hAnsi="Calibri"/>
          <w:caps w:val="0"/>
          <w:snapToGrid/>
          <w:kern w:val="0"/>
          <w:szCs w:val="22"/>
        </w:rPr>
        <w:tab/>
      </w:r>
      <w:r w:rsidRPr="00CC1DF1">
        <w:t>ordering clause</w:t>
      </w:r>
      <w:r>
        <w:tab/>
        <w:t>47</w:t>
      </w:r>
    </w:p>
    <w:bookmarkEnd w:id="0"/>
    <w:p w:rsidR="008828A9" w:rsidRPr="007D2116" w:rsidP="008828A9" w14:paraId="478BE150" w14:textId="77777777">
      <w:pPr>
        <w:rPr>
          <w:spacing w:val="-2"/>
        </w:rPr>
      </w:pPr>
      <w:r w:rsidRPr="001844D1">
        <w:rPr>
          <w:spacing w:val="-2"/>
        </w:rPr>
        <w:t>APPENDIX A</w:t>
      </w:r>
    </w:p>
    <w:p w:rsidR="008828A9" w:rsidRPr="001844D1" w:rsidP="008828A9" w14:paraId="5C4FA762" w14:textId="77777777">
      <w:pPr>
        <w:rPr>
          <w:spacing w:val="-2"/>
        </w:rPr>
      </w:pPr>
      <w:r w:rsidRPr="001844D1">
        <w:rPr>
          <w:spacing w:val="-2"/>
        </w:rPr>
        <w:t>APPENDIX B</w:t>
      </w:r>
    </w:p>
    <w:p w:rsidR="008828A9" w:rsidRPr="001844D1" w:rsidP="008828A9" w14:paraId="76D534F6" w14:textId="77777777">
      <w:pPr>
        <w:rPr>
          <w:spacing w:val="-2"/>
        </w:rPr>
      </w:pPr>
    </w:p>
    <w:p w:rsidR="008828A9" w:rsidRPr="004203C2" w:rsidP="008828A9" w14:paraId="6C5DC3D1" w14:textId="77777777">
      <w:pPr>
        <w:pStyle w:val="Heading1"/>
        <w:rPr>
          <w:rFonts w:ascii="Times New Roman" w:hAnsi="Times New Roman"/>
        </w:rPr>
      </w:pPr>
      <w:bookmarkStart w:id="2" w:name="_Toc46157514"/>
      <w:bookmarkStart w:id="3" w:name="_Toc46157926"/>
      <w:bookmarkStart w:id="4" w:name="_Toc47717991"/>
      <w:bookmarkStart w:id="5" w:name="_Toc47718418"/>
      <w:bookmarkStart w:id="6" w:name="_Toc48905869"/>
      <w:bookmarkStart w:id="7" w:name="_Toc48918245"/>
      <w:bookmarkStart w:id="8" w:name="_Toc49272661"/>
      <w:bookmarkStart w:id="9" w:name="_Toc50448330"/>
      <w:r w:rsidRPr="004203C2">
        <w:rPr>
          <w:rFonts w:ascii="Times New Roman" w:hAnsi="Times New Roman"/>
        </w:rPr>
        <w:t>INTRODUCTION</w:t>
      </w:r>
      <w:bookmarkEnd w:id="2"/>
      <w:bookmarkEnd w:id="3"/>
      <w:bookmarkEnd w:id="4"/>
      <w:bookmarkEnd w:id="5"/>
      <w:bookmarkEnd w:id="6"/>
      <w:bookmarkEnd w:id="7"/>
      <w:bookmarkEnd w:id="8"/>
      <w:bookmarkEnd w:id="9"/>
    </w:p>
    <w:p w:rsidR="008828A9" w:rsidRPr="001844D1" w:rsidP="008828A9" w14:paraId="642E0BE7" w14:textId="77777777">
      <w:pPr>
        <w:pStyle w:val="ParaNum"/>
        <w:numPr>
          <w:ilvl w:val="0"/>
          <w:numId w:val="3"/>
        </w:numPr>
        <w:tabs>
          <w:tab w:val="clear" w:pos="1080"/>
          <w:tab w:val="num" w:pos="1440"/>
        </w:tabs>
      </w:pPr>
      <w:r w:rsidRPr="001844D1">
        <w:t>Between 2012 and 2018, American states and jurisdictions diverted a total of over $1.275 billion in fees collected for 911 and Enhanced 911 (E911) services to non-911 purposes.</w:t>
      </w:r>
      <w:r>
        <w:rPr>
          <w:rStyle w:val="FootnoteReference"/>
        </w:rPr>
        <w:footnoteReference w:id="3"/>
      </w:r>
      <w:r w:rsidRPr="001844D1">
        <w:t xml:space="preserve">  </w:t>
      </w:r>
      <w:r w:rsidRPr="007D2116">
        <w:t xml:space="preserve">This </w:t>
      </w:r>
      <w:r w:rsidRPr="001844D1">
        <w:t xml:space="preserve">diversion of funding directly undermines the public safety communications system.  In this Notice of Inquiry, we seek comment on the effects of this fee diversion, and the most effective ways to dissuade states and jurisdictions from continuing or instituting the diversion of 911/E911 fees.  </w:t>
      </w:r>
    </w:p>
    <w:p w:rsidR="008828A9" w:rsidRPr="007D2116" w:rsidP="0035391C" w14:paraId="558B9B2C" w14:textId="77777777">
      <w:pPr>
        <w:pStyle w:val="ParaNum"/>
        <w:widowControl/>
        <w:numPr>
          <w:ilvl w:val="0"/>
          <w:numId w:val="3"/>
        </w:numPr>
        <w:tabs>
          <w:tab w:val="clear" w:pos="1080"/>
          <w:tab w:val="num" w:pos="1440"/>
        </w:tabs>
      </w:pPr>
      <w:r w:rsidRPr="001844D1">
        <w:t>Each year in the United States, people in urgent need of assistance place over 200 million emergency calls to public safety answering points (PSAPs), either on their own behalf or on behalf of another who needs help.</w:t>
      </w:r>
      <w:r>
        <w:rPr>
          <w:rStyle w:val="FootnoteReference"/>
        </w:rPr>
        <w:footnoteReference w:id="4"/>
      </w:r>
      <w:r w:rsidRPr="001844D1">
        <w:t xml:space="preserve">  To ensure that the 911 system provides Americans with the life-saving services they need in times of crisis, PSAPs must be adequately funded so that they can implement modern call-handling technology and maintain well-trained personnel.  The 911 system also must modernize by migrating from legacy phone network-based 911 technology to advanced, IP-enabled next generation technology (NG911) that supports the services Americans increasingly use to communicate, such as text messaging and streaming video.</w:t>
      </w:r>
      <w:r>
        <w:rPr>
          <w:rStyle w:val="FootnoteReference"/>
        </w:rPr>
        <w:footnoteReference w:id="5"/>
      </w:r>
      <w:r w:rsidRPr="001844D1">
        <w:t xml:space="preserve">  </w:t>
      </w:r>
    </w:p>
    <w:p w:rsidR="008828A9" w:rsidRPr="001844D1" w:rsidP="008828A9" w14:paraId="67CCC34B" w14:textId="77777777">
      <w:pPr>
        <w:pStyle w:val="ParaNum"/>
        <w:numPr>
          <w:ilvl w:val="0"/>
          <w:numId w:val="3"/>
        </w:numPr>
        <w:tabs>
          <w:tab w:val="clear" w:pos="1080"/>
          <w:tab w:val="num" w:pos="1440"/>
        </w:tabs>
      </w:pPr>
      <w:r w:rsidRPr="001844D1">
        <w:t>One of the principal sources of funding for 911 is fees assessed by states on a per-line basis on wireless, wireline, and Voice over Internet Protocol (VoIP) services over which 911 calls are made.  Service providers typically collect these fees via monthly subscriber bills, then remit the fees to the governmental authority assessing the fee.</w:t>
      </w:r>
      <w:r>
        <w:rPr>
          <w:rStyle w:val="FootnoteReference"/>
        </w:rPr>
        <w:footnoteReference w:id="6"/>
      </w:r>
      <w:r w:rsidRPr="001844D1">
        <w:t xml:space="preserve">  In 2018, 49 states, </w:t>
      </w:r>
      <w:r w:rsidRPr="007D2116">
        <w:t>the District of Columbia, Guam, Puerto Rico, and the U.</w:t>
      </w:r>
      <w:r w:rsidRPr="001844D1">
        <w:t>S. Virgin Islands reported that their state or jurisdiction had established a funding mechanism for the support or implementation of 911.</w:t>
      </w:r>
      <w:r>
        <w:rPr>
          <w:rStyle w:val="FootnoteReference"/>
        </w:rPr>
        <w:footnoteReference w:id="7"/>
      </w:r>
    </w:p>
    <w:p w:rsidR="008828A9" w:rsidRPr="001844D1" w:rsidP="008828A9" w14:paraId="356D0C0F" w14:textId="77777777">
      <w:pPr>
        <w:pStyle w:val="ParaNum"/>
        <w:numPr>
          <w:ilvl w:val="0"/>
          <w:numId w:val="3"/>
        </w:numPr>
        <w:tabs>
          <w:tab w:val="clear" w:pos="1080"/>
          <w:tab w:val="num" w:pos="1440"/>
        </w:tabs>
      </w:pPr>
      <w:r w:rsidRPr="001844D1">
        <w:t xml:space="preserve">Despite the critical importance of funding for 911 services, some states use funds collected for 911 for other budgetary purposes, such as the state’s general fund.  This diversion of 911 fees could put lives at risk.  Without full funding for 911 services in these states, citizens attempting to reach a PSAP could encounter busy signals or overwhelmed call takers, or they could be unable to reach 911 because of obsolete call-handling technology.  Moreover, the demands on PSAPs typically increase during </w:t>
      </w:r>
      <w:r w:rsidRPr="007D2116">
        <w:t xml:space="preserve">major emergencies </w:t>
      </w:r>
      <w:r w:rsidRPr="00AE31B6">
        <w:t>such as hurricanes and wildfires.</w:t>
      </w:r>
    </w:p>
    <w:p w:rsidR="008828A9" w:rsidRPr="001844D1" w:rsidP="0035391C" w14:paraId="33745FEF" w14:textId="77777777">
      <w:pPr>
        <w:pStyle w:val="ParaNum"/>
        <w:widowControl/>
        <w:numPr>
          <w:ilvl w:val="0"/>
          <w:numId w:val="3"/>
        </w:numPr>
        <w:tabs>
          <w:tab w:val="clear" w:pos="1080"/>
          <w:tab w:val="num" w:pos="1440"/>
        </w:tabs>
      </w:pPr>
      <w:r w:rsidRPr="001844D1">
        <w:t>Each year, the Commission provides a report to Congress on state 911 fee collection and use that identifies which states have improperly diverted 911 fees.</w:t>
      </w:r>
      <w:r>
        <w:rPr>
          <w:rStyle w:val="FootnoteReference"/>
        </w:rPr>
        <w:footnoteReference w:id="8"/>
      </w:r>
      <w:r w:rsidRPr="001844D1">
        <w:t xml:space="preserve">  While identifying states that divert 911 fees in these reports has arguably helped discourage the practice, this step alone has failed to </w:t>
      </w:r>
      <w:r w:rsidRPr="001844D1">
        <w:t>eliminate it.  Each year a number of states have been identified as diverters, and a few states persist in the practice year after year.</w:t>
      </w:r>
    </w:p>
    <w:p w:rsidR="008828A9" w:rsidRPr="001844D1" w:rsidP="008828A9" w14:paraId="12912E6A" w14:textId="77777777">
      <w:pPr>
        <w:pStyle w:val="ParaNum"/>
        <w:numPr>
          <w:ilvl w:val="0"/>
          <w:numId w:val="3"/>
        </w:numPr>
        <w:tabs>
          <w:tab w:val="clear" w:pos="1080"/>
          <w:tab w:val="num" w:pos="1440"/>
        </w:tabs>
      </w:pPr>
      <w:bookmarkStart w:id="10" w:name="_Hlk37695992"/>
      <w:r w:rsidRPr="001844D1">
        <w:t xml:space="preserve">In this Notice of Inquiry, we seek comment on the effects of 911 fee diversion, including the specific impact that 911 fee diversion has had on the provision of 911 service in states that have diverted fees.  In addition, we seek comment on additional steps the Commission or others could take to discourage states from diverting 911 fees, thereby ensuring that Americans are not misled into believing that the 911 fees they have paid are being used for 911-related services, and not being misdirected by the state to other uses.  Finally, we seek comment on the sufficiency and accuracy of our annual fee reports.  </w:t>
      </w:r>
    </w:p>
    <w:p w:rsidR="008828A9" w:rsidRPr="004203C2" w:rsidP="008828A9" w14:paraId="66AE6322" w14:textId="77777777">
      <w:pPr>
        <w:pStyle w:val="Heading1"/>
        <w:rPr>
          <w:rFonts w:ascii="Times New Roman" w:hAnsi="Times New Roman"/>
        </w:rPr>
      </w:pPr>
      <w:bookmarkStart w:id="11" w:name="_Toc46157515"/>
      <w:bookmarkStart w:id="12" w:name="_Toc46157927"/>
      <w:bookmarkStart w:id="13" w:name="_Toc48905870"/>
      <w:bookmarkStart w:id="14" w:name="_Toc48918246"/>
      <w:bookmarkStart w:id="15" w:name="_Toc49272662"/>
      <w:bookmarkStart w:id="16" w:name="_Toc50448331"/>
      <w:bookmarkStart w:id="17" w:name="_Toc47717992"/>
      <w:bookmarkStart w:id="18" w:name="_Toc47718419"/>
      <w:bookmarkEnd w:id="10"/>
      <w:r w:rsidRPr="004203C2">
        <w:rPr>
          <w:rFonts w:ascii="Times New Roman" w:hAnsi="Times New Roman"/>
        </w:rPr>
        <w:t>BACKGROUND</w:t>
      </w:r>
      <w:bookmarkEnd w:id="11"/>
      <w:bookmarkEnd w:id="12"/>
      <w:bookmarkEnd w:id="13"/>
      <w:bookmarkEnd w:id="14"/>
      <w:bookmarkEnd w:id="15"/>
      <w:bookmarkEnd w:id="16"/>
      <w:r w:rsidRPr="004203C2">
        <w:rPr>
          <w:rFonts w:ascii="Times New Roman" w:hAnsi="Times New Roman"/>
        </w:rPr>
        <w:t xml:space="preserve"> </w:t>
      </w:r>
    </w:p>
    <w:p w:rsidR="008828A9" w:rsidRPr="007D2116" w:rsidP="008828A9" w14:paraId="4B1E0C42" w14:textId="77777777">
      <w:pPr>
        <w:pStyle w:val="ParaNum"/>
        <w:numPr>
          <w:ilvl w:val="0"/>
          <w:numId w:val="3"/>
        </w:numPr>
        <w:tabs>
          <w:tab w:val="clear" w:pos="1080"/>
          <w:tab w:val="num" w:pos="1440"/>
        </w:tabs>
      </w:pPr>
      <w:r w:rsidRPr="001844D1">
        <w:rPr>
          <w:i/>
          <w:iCs/>
        </w:rPr>
        <w:t>The NET 911 Act</w:t>
      </w:r>
      <w:r w:rsidRPr="007D2116">
        <w:rPr>
          <w:i/>
          <w:iCs/>
        </w:rPr>
        <w:t xml:space="preserve"> and State Authority Over Fees</w:t>
      </w:r>
      <w:bookmarkEnd w:id="17"/>
      <w:bookmarkEnd w:id="18"/>
      <w:r w:rsidRPr="00AE31B6">
        <w:t xml:space="preserve">.  Congress enacted the </w:t>
      </w:r>
      <w:r w:rsidRPr="001844D1">
        <w:t>New and Emerging Technologies 911 Improvement Act of 2008 (NET 911 Act) to “promote and enhance public safety by facilitating the rapid deployment of IP-enabled 911 and E-911 services, encourage the Nation’s transition to a national IP-enabled emergency network, and improve 911 and E-911 access to those with disabilities.”</w:t>
      </w:r>
      <w:r>
        <w:rPr>
          <w:rStyle w:val="FootnoteReference"/>
        </w:rPr>
        <w:footnoteReference w:id="9"/>
      </w:r>
      <w:r w:rsidRPr="001844D1">
        <w:t xml:space="preserve"> </w:t>
      </w:r>
      <w:r w:rsidRPr="007D2116">
        <w:rPr>
          <w:b/>
          <w:szCs w:val="22"/>
        </w:rPr>
        <w:t xml:space="preserve"> </w:t>
      </w:r>
      <w:r w:rsidRPr="00AE31B6">
        <w:t>The NET 911 Act includes measures intended to ensure “efficiency, transparency, and accountability” in the collection and expenditure of fees for the support or implementation of 911 or E911 services.</w:t>
      </w:r>
      <w:r>
        <w:rPr>
          <w:rStyle w:val="FootnoteReference"/>
        </w:rPr>
        <w:footnoteReference w:id="10"/>
      </w:r>
      <w:r w:rsidRPr="001844D1">
        <w:t xml:space="preserve">  It provides that nothing in the NET</w:t>
      </w:r>
      <w:r w:rsidRPr="007D2116">
        <w:t xml:space="preserve"> 911 Act, the Communications Act of 1934,</w:t>
      </w:r>
      <w:r>
        <w:rPr>
          <w:rStyle w:val="FootnoteReference"/>
        </w:rPr>
        <w:footnoteReference w:id="11"/>
      </w:r>
      <w:r w:rsidRPr="001844D1">
        <w:t xml:space="preserve"> “</w:t>
      </w:r>
      <w:r w:rsidRPr="007D2116">
        <w:t xml:space="preserve">or any Commission regulation or order shall prevent </w:t>
      </w:r>
      <w:r w:rsidRPr="00AE31B6">
        <w:t xml:space="preserve">the imposition and collection of a fee or charge applicable to commercial mobile services or IP-enabled voice services specifically designated </w:t>
      </w:r>
      <w:r w:rsidRPr="001844D1">
        <w:rPr>
          <w:color w:val="3D3D3D"/>
          <w:szCs w:val="22"/>
          <w:shd w:val="clear" w:color="auto" w:fill="FFFFFF"/>
        </w:rPr>
        <w:t>by a State, political subdivision thereof, Indian tribe, or village or regional corporation</w:t>
      </w:r>
      <w:r w:rsidRPr="001844D1">
        <w:t xml:space="preserve"> . . . </w:t>
      </w:r>
      <w:r w:rsidRPr="001844D1">
        <w:rPr>
          <w:color w:val="3D3D3D"/>
          <w:szCs w:val="22"/>
          <w:shd w:val="clear" w:color="auto" w:fill="FFFFFF"/>
        </w:rPr>
        <w:t xml:space="preserve">for the support or implementation of 9-1-1 or enhanced 9-1-1 services, </w:t>
      </w:r>
      <w:bookmarkStart w:id="19" w:name="_Hlk49125920"/>
      <w:r w:rsidRPr="001844D1">
        <w:rPr>
          <w:color w:val="3D3D3D"/>
          <w:szCs w:val="22"/>
          <w:shd w:val="clear" w:color="auto" w:fill="FFFFFF"/>
        </w:rPr>
        <w:t xml:space="preserve">provided that the fee or charge is </w:t>
      </w:r>
      <w:r w:rsidRPr="001844D1">
        <w:rPr>
          <w:color w:val="3D3D3D"/>
          <w:shd w:val="clear" w:color="auto" w:fill="FFFFFF"/>
        </w:rPr>
        <w:t>obligated or expended only in support of</w:t>
      </w:r>
      <w:r w:rsidRPr="001844D1">
        <w:rPr>
          <w:color w:val="3D3D3D"/>
          <w:szCs w:val="22"/>
          <w:shd w:val="clear" w:color="auto" w:fill="FFFFFF"/>
        </w:rPr>
        <w:t xml:space="preserve"> 9-1-1 and enhanced 9-1-1 services, or enhancements of such</w:t>
      </w:r>
      <w:r w:rsidRPr="001844D1">
        <w:rPr>
          <w:color w:val="3D3D3D"/>
          <w:shd w:val="clear" w:color="auto" w:fill="FFFFFF"/>
        </w:rPr>
        <w:t xml:space="preserve"> services, as specified in the </w:t>
      </w:r>
      <w:r w:rsidRPr="001844D1">
        <w:rPr>
          <w:color w:val="3D3D3D"/>
          <w:szCs w:val="22"/>
          <w:shd w:val="clear" w:color="auto" w:fill="FFFFFF"/>
        </w:rPr>
        <w:t>provision of State</w:t>
      </w:r>
      <w:r w:rsidRPr="001844D1">
        <w:rPr>
          <w:color w:val="3D3D3D"/>
          <w:shd w:val="clear" w:color="auto" w:fill="FFFFFF"/>
        </w:rPr>
        <w:t xml:space="preserve"> or local law adopting the fee</w:t>
      </w:r>
      <w:r w:rsidRPr="001844D1">
        <w:rPr>
          <w:color w:val="3D3D3D"/>
          <w:szCs w:val="22"/>
          <w:shd w:val="clear" w:color="auto" w:fill="FFFFFF"/>
        </w:rPr>
        <w:t xml:space="preserve"> or charge.</w:t>
      </w:r>
      <w:bookmarkEnd w:id="19"/>
      <w:r w:rsidRPr="001844D1">
        <w:rPr>
          <w:color w:val="3D3D3D"/>
          <w:szCs w:val="22"/>
          <w:shd w:val="clear" w:color="auto" w:fill="FFFFFF"/>
        </w:rPr>
        <w:t>”</w:t>
      </w:r>
      <w:r>
        <w:rPr>
          <w:rStyle w:val="FootnoteReference"/>
        </w:rPr>
        <w:footnoteReference w:id="12"/>
      </w:r>
      <w:r w:rsidRPr="001844D1">
        <w:t xml:space="preserve">  </w:t>
      </w:r>
    </w:p>
    <w:p w:rsidR="008828A9" w:rsidRPr="001844D1" w:rsidP="008828A9" w14:paraId="5AC911F2" w14:textId="3A741B49">
      <w:pPr>
        <w:pStyle w:val="ParaNum"/>
        <w:numPr>
          <w:ilvl w:val="0"/>
          <w:numId w:val="3"/>
        </w:numPr>
        <w:tabs>
          <w:tab w:val="clear" w:pos="1080"/>
          <w:tab w:val="num" w:pos="1440"/>
        </w:tabs>
      </w:pPr>
      <w:r w:rsidRPr="001844D1">
        <w:t>While the NET 911 Act limits the Commission’s authority to regulate fees that are both collected and used for 911</w:t>
      </w:r>
      <w:r w:rsidR="00DD5D1F">
        <w:t xml:space="preserve"> </w:t>
      </w:r>
      <w:r w:rsidRPr="001844D1">
        <w:t xml:space="preserve">purposes, the quoted language seems to expressly reserve any authority the Commission would otherwise have to regulate the collection of fees that are ostensibly collected for 911 purposes but that are in fact used for something else.  The NET 911 Act also gives the Commission affirmative responsibilities; the Commission must report annually on the status in each state of the collection and distribution of fees for the support or implementation of 911 or E911 services, </w:t>
      </w:r>
      <w:r w:rsidRPr="007D2116">
        <w:t>including findings on the amount of revenues obligated or expended by each state “for any purpose other than the purpose for which any such fees or charges are specified.”</w:t>
      </w:r>
      <w:r>
        <w:rPr>
          <w:rStyle w:val="FootnoteReference"/>
        </w:rPr>
        <w:footnoteReference w:id="13"/>
      </w:r>
      <w:r w:rsidRPr="001844D1">
        <w:t xml:space="preserve">  </w:t>
      </w:r>
    </w:p>
    <w:p w:rsidR="008828A9" w:rsidRPr="007D2116" w:rsidP="008828A9" w14:paraId="6EC2662D" w14:textId="77777777">
      <w:pPr>
        <w:pStyle w:val="ParaNum"/>
        <w:numPr>
          <w:ilvl w:val="0"/>
          <w:numId w:val="3"/>
        </w:numPr>
        <w:tabs>
          <w:tab w:val="clear" w:pos="1080"/>
          <w:tab w:val="num" w:pos="1440"/>
        </w:tabs>
        <w:rPr>
          <w:b/>
          <w:szCs w:val="22"/>
        </w:rPr>
      </w:pPr>
      <w:r w:rsidRPr="001844D1">
        <w:t xml:space="preserve">Like the statutory language quoted above, </w:t>
      </w:r>
      <w:r w:rsidRPr="007D2116">
        <w:t>t</w:t>
      </w:r>
      <w:r w:rsidRPr="00AE31B6">
        <w:t xml:space="preserve">he legislative history of the NET </w:t>
      </w:r>
      <w:r w:rsidRPr="001844D1">
        <w:t>911 Act demonstrates Congress’s concern with the diversion of 911 fees by states to non-911 uses.  In its report on H.R. 3403 (the bill that was enacted as the NET 911 Act), the House Committee on Energy and Commerce noted that several states were known to be using 911 fees for “purposes other than 911 or emergency communications services.”</w:t>
      </w:r>
      <w:r>
        <w:rPr>
          <w:rStyle w:val="FootnoteReference"/>
        </w:rPr>
        <w:footnoteReference w:id="14"/>
      </w:r>
      <w:r w:rsidRPr="001844D1">
        <w:t xml:space="preserve">  The Report also noted that under Section 6(f) of the proposed </w:t>
      </w:r>
      <w:r w:rsidRPr="001844D1">
        <w:t>legislation, “[s]</w:t>
      </w:r>
      <w:r w:rsidRPr="001844D1">
        <w:t>tates</w:t>
      </w:r>
      <w:r w:rsidRPr="001844D1">
        <w:t xml:space="preserve"> and their political subdivisions should use 911 or E-911 fees only for direct improvements to the 911 system.  Such improvements could include improving the technical and operational aspects of PSAPs; establishing connections between PSAPs and other public safety operations, such as a poison control center; or implementing the migration of PSAPs to an IP-enabled emergency network.”</w:t>
      </w:r>
      <w:r>
        <w:rPr>
          <w:rStyle w:val="FootnoteReference"/>
        </w:rPr>
        <w:footnoteReference w:id="15"/>
      </w:r>
      <w:r w:rsidRPr="001844D1">
        <w:t xml:space="preserve">  Further, “[t]his provision is not intended to allow 911 or E-911 fees to be used for other public safety activities that, although potentially worthwhile, are not directly tied to the operation and provision of emergency services by the PSAPs.”</w:t>
      </w:r>
      <w:r>
        <w:rPr>
          <w:rStyle w:val="FootnoteReference"/>
        </w:rPr>
        <w:footnoteReference w:id="16"/>
      </w:r>
      <w:r w:rsidRPr="001844D1">
        <w:t xml:space="preserve">  </w:t>
      </w:r>
      <w:r w:rsidRPr="007D2116">
        <w:t>Despite this concern, Congress did not directly prohibit the imposition and collection of fees or charges for 911 to be used for no</w:t>
      </w:r>
      <w:r w:rsidRPr="001844D1">
        <w:t>n-911 purposes, e.g., by stating that such practices “shall” or “must” not occur.  In 2010, the National Broadband Plan recommended that Congress “consider steps to curtail Tribal, state and local use of 911 funds for purposes other than 911,”</w:t>
      </w:r>
      <w:r>
        <w:rPr>
          <w:rStyle w:val="FootnoteReference"/>
        </w:rPr>
        <w:footnoteReference w:id="17"/>
      </w:r>
      <w:r w:rsidRPr="001844D1">
        <w:t xml:space="preserve"> and in 2012 legislation, Congress </w:t>
      </w:r>
      <w:r w:rsidRPr="007D2116">
        <w:t>authorized new funding for a grant program (described below) to upgrade PSAP</w:t>
      </w:r>
      <w:r w:rsidRPr="001844D1">
        <w:t>s to NG911 capabilities without making other changes to how state, local, and Tribal 911 fees could be imposed and collected.</w:t>
      </w:r>
      <w:r>
        <w:rPr>
          <w:rStyle w:val="FootnoteReference"/>
        </w:rPr>
        <w:footnoteReference w:id="18"/>
      </w:r>
      <w:r w:rsidRPr="001844D1">
        <w:t xml:space="preserve">  </w:t>
      </w:r>
    </w:p>
    <w:p w:rsidR="008828A9" w:rsidRPr="001844D1" w:rsidP="008828A9" w14:paraId="32D6B074" w14:textId="18CEAEEC">
      <w:pPr>
        <w:pStyle w:val="ParaNum"/>
        <w:numPr>
          <w:ilvl w:val="0"/>
          <w:numId w:val="3"/>
        </w:numPr>
        <w:tabs>
          <w:tab w:val="clear" w:pos="1080"/>
          <w:tab w:val="num" w:pos="1440"/>
        </w:tabs>
        <w:rPr>
          <w:b/>
          <w:szCs w:val="22"/>
        </w:rPr>
      </w:pPr>
      <w:r w:rsidRPr="001844D1">
        <w:rPr>
          <w:bCs/>
          <w:i/>
          <w:iCs/>
          <w:szCs w:val="22"/>
        </w:rPr>
        <w:t>Annual Report to Congress on State Collection and Distribution of 911 and E911 Fees and Charges.</w:t>
      </w:r>
      <w:r w:rsidRPr="001844D1">
        <w:rPr>
          <w:bCs/>
          <w:szCs w:val="22"/>
        </w:rPr>
        <w:t xml:space="preserve">  </w:t>
      </w:r>
      <w:r w:rsidRPr="001844D1">
        <w:t xml:space="preserve">Pursuant to the NET 911 Act, the Commission has </w:t>
      </w:r>
      <w:r w:rsidRPr="007D2116">
        <w:t xml:space="preserve">prepared an </w:t>
      </w:r>
      <w:r w:rsidRPr="00AE31B6">
        <w:t xml:space="preserve">annual report to Congress on 911 fee diversion </w:t>
      </w:r>
      <w:r w:rsidRPr="001844D1">
        <w:t xml:space="preserve">every year since 2009.  To compile these reports, the Commission’s Public Safety and Homeland Security Bureau sends a questionnaire each year to the Governor of each state and territory and </w:t>
      </w:r>
      <w:r w:rsidRPr="007D2116">
        <w:t>the Mayor of the District of Columbia</w:t>
      </w:r>
      <w:r w:rsidRPr="00AE31B6">
        <w:t>,</w:t>
      </w:r>
      <w:r w:rsidRPr="001844D1">
        <w:t xml:space="preserve"> requesting information on 911 fee collection and expenditures for the preceding calendar year.</w:t>
      </w:r>
      <w:r>
        <w:rPr>
          <w:rStyle w:val="FootnoteReference"/>
        </w:rPr>
        <w:footnoteReference w:id="19"/>
      </w:r>
      <w:r w:rsidRPr="001844D1">
        <w:t xml:space="preserve">  All eleven of the annual reports </w:t>
      </w:r>
      <w:r w:rsidRPr="007D2116">
        <w:t xml:space="preserve">issued to date </w:t>
      </w:r>
      <w:r w:rsidRPr="00AE31B6">
        <w:t xml:space="preserve">have identified some states that have diverted 911 fees to other uses.  A few states have diverted 911 fees repeatedly.  For example, the Commission has found </w:t>
      </w:r>
      <w:r w:rsidR="007517CA">
        <w:t xml:space="preserve">that </w:t>
      </w:r>
      <w:r w:rsidRPr="00AE31B6">
        <w:t>two states</w:t>
      </w:r>
      <w:r w:rsidRPr="001844D1">
        <w:t>—New York and Rhode Island—</w:t>
      </w:r>
      <w:r w:rsidR="00DF04CB">
        <w:t xml:space="preserve">have </w:t>
      </w:r>
      <w:r w:rsidR="007517CA">
        <w:t xml:space="preserve">diverted fees every year </w:t>
      </w:r>
      <w:r w:rsidRPr="007D2116">
        <w:t>since 2009.  I</w:t>
      </w:r>
      <w:r w:rsidRPr="001844D1">
        <w:t xml:space="preserve">t has found New Jersey to be a diverter in the last six annual reports, covering the years 2013-2018.  Appendix A shows the states and other jurisdictions that have been identified as diverters in the eleven annual reports prepared by the Commission between 2009 and 2019. </w:t>
      </w:r>
    </w:p>
    <w:p w:rsidR="008828A9" w:rsidRPr="007D2116" w:rsidP="00267362" w14:paraId="713C1F64" w14:textId="77777777">
      <w:pPr>
        <w:pStyle w:val="ParaNum"/>
        <w:widowControl/>
        <w:numPr>
          <w:ilvl w:val="0"/>
          <w:numId w:val="3"/>
        </w:numPr>
        <w:tabs>
          <w:tab w:val="clear" w:pos="1080"/>
          <w:tab w:val="num" w:pos="1440"/>
        </w:tabs>
      </w:pPr>
      <w:r w:rsidRPr="001844D1">
        <w:t>The Commission’s most recent annual fee report identified five states that diverted 911 fees to other purposes in 2018:  Nevada, New Jersey, New York, Rhode Island, and West Virginia.</w:t>
      </w:r>
      <w:r>
        <w:rPr>
          <w:rStyle w:val="FootnoteReference"/>
        </w:rPr>
        <w:footnoteReference w:id="20"/>
      </w:r>
      <w:r w:rsidRPr="001844D1">
        <w:t xml:space="preserve">  These five states diverted a total of approximately $187 million, or 7% of all 911 fees collected in all states in 2018.</w:t>
      </w:r>
      <w:r>
        <w:rPr>
          <w:rStyle w:val="FootnoteReference"/>
        </w:rPr>
        <w:footnoteReference w:id="21"/>
      </w:r>
      <w:r w:rsidRPr="001844D1">
        <w:t xml:space="preserve">  </w:t>
      </w:r>
    </w:p>
    <w:p w:rsidR="008828A9" w:rsidRPr="004203C2" w:rsidP="008828A9" w14:paraId="2A8D2395" w14:textId="77777777">
      <w:pPr>
        <w:pStyle w:val="Heading1"/>
        <w:rPr>
          <w:rFonts w:ascii="Times New Roman" w:hAnsi="Times New Roman"/>
          <w:bCs/>
        </w:rPr>
      </w:pPr>
      <w:bookmarkStart w:id="20" w:name="_Toc46157516"/>
      <w:bookmarkStart w:id="21" w:name="_Toc46157928"/>
      <w:bookmarkStart w:id="22" w:name="_Toc47717993"/>
      <w:bookmarkStart w:id="23" w:name="_Toc47718420"/>
      <w:bookmarkStart w:id="24" w:name="_Toc48905871"/>
      <w:bookmarkStart w:id="25" w:name="_Toc48918247"/>
      <w:bookmarkStart w:id="26" w:name="_Toc49272663"/>
      <w:bookmarkStart w:id="27" w:name="_Toc50448332"/>
      <w:r w:rsidRPr="004203C2">
        <w:rPr>
          <w:rFonts w:ascii="Times New Roman" w:hAnsi="Times New Roman"/>
          <w:bCs/>
        </w:rPr>
        <w:t>DISCUSSION</w:t>
      </w:r>
      <w:bookmarkEnd w:id="20"/>
      <w:bookmarkEnd w:id="21"/>
      <w:bookmarkEnd w:id="22"/>
      <w:bookmarkEnd w:id="23"/>
      <w:bookmarkEnd w:id="24"/>
      <w:bookmarkEnd w:id="25"/>
      <w:bookmarkEnd w:id="26"/>
      <w:bookmarkEnd w:id="27"/>
    </w:p>
    <w:p w:rsidR="008828A9" w:rsidRPr="007D2116" w:rsidP="008828A9" w14:paraId="039AE678" w14:textId="77777777">
      <w:pPr>
        <w:pStyle w:val="ParaNum"/>
        <w:numPr>
          <w:ilvl w:val="0"/>
          <w:numId w:val="3"/>
        </w:numPr>
        <w:tabs>
          <w:tab w:val="clear" w:pos="1080"/>
          <w:tab w:val="num" w:pos="1440"/>
        </w:tabs>
      </w:pPr>
      <w:r w:rsidRPr="001844D1">
        <w:t>Diversion of 911 fees undermines public safety.  Diversion of 911 fees also decreases the resources available for modernization of 911 operations, including advances such as text-to-911 and NG911 technologies.</w:t>
      </w:r>
      <w:r>
        <w:rPr>
          <w:rStyle w:val="FootnoteReference"/>
        </w:rPr>
        <w:footnoteReference w:id="22"/>
      </w:r>
      <w:r w:rsidRPr="001844D1">
        <w:t xml:space="preserve">  </w:t>
      </w:r>
      <w:r w:rsidRPr="007D2116">
        <w:t>In response to the Tenth Report,</w:t>
      </w:r>
      <w:r>
        <w:rPr>
          <w:rStyle w:val="FootnoteReference"/>
        </w:rPr>
        <w:footnoteReference w:id="23"/>
      </w:r>
      <w:r w:rsidRPr="001844D1">
        <w:t xml:space="preserve"> </w:t>
      </w:r>
      <w:r w:rsidRPr="007D2116">
        <w:t>for example, t</w:t>
      </w:r>
      <w:r w:rsidRPr="00AE31B6">
        <w:t xml:space="preserve">he New Jersey Wireless Association has commented that instead of upgrading to new, </w:t>
      </w:r>
      <w:r w:rsidRPr="001844D1">
        <w:t>more efficient NG911 technology, New Jersey is maintaining a 911 selective router system that “was installed in our state nearly 20 years ago, is past its useful life and is now costing more to maintain from previous years, due to its obsolescence.”</w:t>
      </w:r>
      <w:r>
        <w:rPr>
          <w:rStyle w:val="FootnoteReference"/>
        </w:rPr>
        <w:footnoteReference w:id="24"/>
      </w:r>
      <w:r w:rsidRPr="001844D1">
        <w:t xml:space="preserve">  The Nevada Chapter of the Association of Public-Safety Communications Officials (APCO) has noted in testimony before the Nevada legislature that a state law requiring peace officers to wear body cameras has led to the diversion of 911 fees at a time when “several counties and jurisdictions . . . are still not equipped with enhanced 9-1-1 services.”</w:t>
      </w:r>
      <w:r>
        <w:rPr>
          <w:rStyle w:val="FootnoteReference"/>
        </w:rPr>
        <w:footnoteReference w:id="25"/>
      </w:r>
      <w:r w:rsidRPr="001844D1">
        <w:t xml:space="preserve">  This, in turn, means that when a 911 call is placed, these counties and jurisdictions “receive only extremely basic location information and no cellular location</w:t>
      </w:r>
      <w:r w:rsidRPr="007D2116">
        <w:t>s.”</w:t>
      </w:r>
      <w:r>
        <w:rPr>
          <w:rStyle w:val="FootnoteReference"/>
        </w:rPr>
        <w:footnoteReference w:id="26"/>
      </w:r>
      <w:r w:rsidRPr="001844D1">
        <w:t xml:space="preserve">   </w:t>
      </w:r>
    </w:p>
    <w:p w:rsidR="008828A9" w:rsidRPr="001844D1" w:rsidP="008828A9" w14:paraId="68884D2D" w14:textId="77777777">
      <w:pPr>
        <w:pStyle w:val="ParaNum"/>
        <w:numPr>
          <w:ilvl w:val="0"/>
          <w:numId w:val="3"/>
        </w:numPr>
        <w:tabs>
          <w:tab w:val="clear" w:pos="1080"/>
          <w:tab w:val="num" w:pos="1440"/>
        </w:tabs>
      </w:pPr>
      <w:r w:rsidRPr="001844D1">
        <w:t>CTIA asserts that while it sympathizes with the fact that a number of states are dealing with budget shortfalls, “diverting hundreds of millions of dollars that wireless consumers pay each year to support 9-1-1 is a violation of the public’s trust and puts lives at significant risk by exacerbating the challenges for resource-strained local PSAPs.”</w:t>
      </w:r>
      <w:r>
        <w:rPr>
          <w:rStyle w:val="FootnoteReference"/>
        </w:rPr>
        <w:footnoteReference w:id="27"/>
      </w:r>
      <w:r w:rsidRPr="001844D1">
        <w:t xml:space="preserve">  CTIA also states that the problem of 911 fee diversion may be greater than indicated in the Commission’s annual fee reports because the Commission has only “limited visibility” into 911 fee expenditures at the local level and is not able to assess the level of local 911 fee diversion.</w:t>
      </w:r>
      <w:r>
        <w:rPr>
          <w:rStyle w:val="FootnoteReference"/>
        </w:rPr>
        <w:footnoteReference w:id="28"/>
      </w:r>
    </w:p>
    <w:p w:rsidR="008828A9" w:rsidRPr="007D2116" w:rsidP="008828A9" w14:paraId="5005B168" w14:textId="77777777">
      <w:pPr>
        <w:pStyle w:val="ParaNum"/>
        <w:numPr>
          <w:ilvl w:val="0"/>
          <w:numId w:val="3"/>
        </w:numPr>
        <w:tabs>
          <w:tab w:val="clear" w:pos="1080"/>
          <w:tab w:val="num" w:pos="1440"/>
        </w:tabs>
      </w:pPr>
      <w:r w:rsidRPr="001844D1">
        <w:t xml:space="preserve">The adverse consequences of 911 fee diversion could be exacerbated during the COVID-19 pandemic, which is creating additional, unanticipated challenges for 911 operations.  NENA has been surveying PSAPs periodically during the pandemic and has documented some of these challenges.  NENA reports that many PSAPs have quarantined or sent home staff members who showed signs of </w:t>
      </w:r>
      <w:r w:rsidRPr="001844D1">
        <w:t>COVID-19 and that this “threatens to exacerbate an already significant PSAP-staffing shortage across the country.”</w:t>
      </w:r>
      <w:r>
        <w:rPr>
          <w:rStyle w:val="FootnoteReference"/>
        </w:rPr>
        <w:footnoteReference w:id="29"/>
      </w:r>
      <w:r w:rsidRPr="001844D1">
        <w:t xml:space="preserve">  The Police Executive Research Forum notes some of the expenses PSAPs have incurred as a result of the pandemic, including the purchase of equipment that makes it possible for telecommunicators to work remotely, moving 911 personnel to multiple locations to keep employees at a distance from one another, and increased cleaning and sanitizing of facilities.</w:t>
      </w:r>
      <w:r>
        <w:rPr>
          <w:rStyle w:val="FootnoteReference"/>
        </w:rPr>
        <w:footnoteReference w:id="30"/>
      </w:r>
      <w:r w:rsidRPr="001844D1">
        <w:t xml:space="preserve">  NENA also reports that </w:t>
      </w:r>
      <w:r w:rsidRPr="007D2116">
        <w:t xml:space="preserve">PSAPs are anticipating longer-term adverse consequences </w:t>
      </w:r>
      <w:r w:rsidRPr="001844D1">
        <w:t>from COVID-19, with some anticipating significant budget shortfalls from falling tax revenues.</w:t>
      </w:r>
      <w:r>
        <w:rPr>
          <w:rStyle w:val="FootnoteReference"/>
        </w:rPr>
        <w:footnoteReference w:id="31"/>
      </w:r>
      <w:r w:rsidRPr="001844D1">
        <w:t xml:space="preserve">   </w:t>
      </w:r>
    </w:p>
    <w:p w:rsidR="008828A9" w:rsidRPr="001844D1" w:rsidP="008828A9" w14:paraId="0573B881" w14:textId="77777777">
      <w:pPr>
        <w:pStyle w:val="ParaNum"/>
        <w:numPr>
          <w:ilvl w:val="0"/>
          <w:numId w:val="3"/>
        </w:numPr>
        <w:tabs>
          <w:tab w:val="clear" w:pos="1080"/>
          <w:tab w:val="num" w:pos="1440"/>
        </w:tabs>
      </w:pPr>
      <w:r w:rsidRPr="001844D1">
        <w:t xml:space="preserve">We seek comment on the specific effect that 911 fee diversion has had on the provision of 911 service and the transition to NG911 in states that have diverted fees.  For example, have jurisdictions deferred 911 improvements or faced budgetary shortfalls because of 911 fee diversion? </w:t>
      </w:r>
      <w:r w:rsidRPr="007D2116">
        <w:t xml:space="preserve"> </w:t>
      </w:r>
      <w:r w:rsidRPr="001844D1">
        <w:t>Have there been adverse impacts on staffing, training, o</w:t>
      </w:r>
      <w:r w:rsidRPr="007D2116">
        <w:t>r equipment maintenance?  What effect is the COVID-19 pandemic having on PSAP funding and operations?  Is the pandemic affecting 911 fee diversion and, if so, how?</w:t>
      </w:r>
    </w:p>
    <w:p w:rsidR="008828A9" w:rsidRPr="001844D1" w:rsidP="008828A9" w14:paraId="4379D88C" w14:textId="77777777">
      <w:pPr>
        <w:pStyle w:val="Heading2"/>
      </w:pPr>
      <w:bookmarkStart w:id="28" w:name="_Toc46157518"/>
      <w:bookmarkStart w:id="29" w:name="_Toc46157930"/>
      <w:bookmarkStart w:id="30" w:name="_Toc47717995"/>
      <w:bookmarkStart w:id="31" w:name="_Toc47718422"/>
      <w:bookmarkStart w:id="32" w:name="_Toc48905873"/>
      <w:bookmarkStart w:id="33" w:name="_Toc48918249"/>
      <w:bookmarkStart w:id="34" w:name="_Toc49272665"/>
      <w:bookmarkStart w:id="35" w:name="_Toc50448333"/>
      <w:r w:rsidRPr="001844D1">
        <w:t>Dissuading States from Instituting or Continuing 911 Fee Diversion</w:t>
      </w:r>
      <w:bookmarkEnd w:id="28"/>
      <w:bookmarkEnd w:id="29"/>
      <w:bookmarkEnd w:id="30"/>
      <w:bookmarkEnd w:id="31"/>
      <w:bookmarkEnd w:id="32"/>
      <w:bookmarkEnd w:id="33"/>
      <w:bookmarkEnd w:id="34"/>
      <w:bookmarkEnd w:id="35"/>
    </w:p>
    <w:p w:rsidR="008828A9" w:rsidRPr="001844D1" w:rsidP="008828A9" w14:paraId="347548BA" w14:textId="77777777">
      <w:pPr>
        <w:pStyle w:val="ParaNum"/>
        <w:numPr>
          <w:ilvl w:val="0"/>
          <w:numId w:val="3"/>
        </w:numPr>
        <w:tabs>
          <w:tab w:val="clear" w:pos="1080"/>
          <w:tab w:val="num" w:pos="1440"/>
        </w:tabs>
      </w:pPr>
      <w:r w:rsidRPr="001844D1">
        <w:t>In this Notice of Inquiry, we seek comment on ways to discourage states from diverting 911 fees.  We seek comment on whether particular mechanisms have been effective in deterring 911 fee diversion and whether those or similar mechanisms could be incorporated into programs administered by the Commission and/or interagency efforts in this area.  In particular, we seek comment on restrictions on federal grant funding for states that divert 911 fees, as well as regulatory steps the Commission could take to discourage fee diversion, such as regulation of the description of 911 fees on consumer bills or conditioning state and local eligibility for FCC licenses, programs, or other benefits on the absence of fee diversion.  We also seek comment on ways to encourage states to pass legislation or adopt rules that would end 911 fee diversion.  In addition, we seek comment on any other means that commenters believe would be helpful in dissuading states from diverting 911 fees, including the potential costs and benefits of any such measures.</w:t>
      </w:r>
    </w:p>
    <w:p w:rsidR="008828A9" w:rsidRPr="00AE31B6" w:rsidP="008828A9" w14:paraId="1273E78E" w14:textId="7238FF4A">
      <w:pPr>
        <w:pStyle w:val="ParaNum"/>
        <w:numPr>
          <w:ilvl w:val="0"/>
          <w:numId w:val="3"/>
        </w:numPr>
        <w:tabs>
          <w:tab w:val="clear" w:pos="1080"/>
          <w:tab w:val="num" w:pos="1440"/>
        </w:tabs>
      </w:pPr>
      <w:r>
        <w:t>We also</w:t>
      </w:r>
      <w:r w:rsidRPr="004A46D9">
        <w:t xml:space="preserve"> </w:t>
      </w:r>
      <w:r w:rsidRPr="001844D1">
        <w:t>seek comment on the extent to which the Commission’s legal authority and responsibilities may support taking the measures outlined below or other similar measures.  As mentioned above, the NET 911 Act directs the Commission to report t</w:t>
      </w:r>
      <w:r w:rsidRPr="007D2116">
        <w:t>o Congress annually on the status of state collection and distribution of fees or charges “for the support or implementation of 9-1-1 or enhanced 9</w:t>
      </w:r>
      <w:r w:rsidR="00AA0E7F">
        <w:noBreakHyphen/>
      </w:r>
      <w:r w:rsidRPr="007D2116">
        <w:t>1</w:t>
      </w:r>
      <w:r w:rsidR="00AA0E7F">
        <w:noBreakHyphen/>
      </w:r>
      <w:r w:rsidRPr="007D2116">
        <w:t xml:space="preserve">1 </w:t>
      </w:r>
      <w:r w:rsidRPr="001844D1">
        <w:t>services.”</w:t>
      </w:r>
      <w:r>
        <w:rPr>
          <w:rStyle w:val="FootnoteReference"/>
        </w:rPr>
        <w:footnoteReference w:id="32"/>
      </w:r>
      <w:r w:rsidRPr="001844D1">
        <w:t xml:space="preserve">  It also provides that nothing in the NET 911 Act, certain other federal statutes, or any Commission regulation or order shall prevent states or other jurisdictions from imposing and collecting fees or charges applicable to commercial mobile services or I</w:t>
      </w:r>
      <w:r w:rsidRPr="007D2116">
        <w:t xml:space="preserve">P-enabled voice services “for the support or implementation of 9-1-1 or enhanced 9-1-1 services, </w:t>
      </w:r>
      <w:r w:rsidRPr="007D2116">
        <w:rPr>
          <w:i/>
          <w:iCs/>
        </w:rPr>
        <w:t>provided that the fee or charge is obligated or expended only in support of 9-1-1 and enhanced 9-1-1 services</w:t>
      </w:r>
      <w:r w:rsidRPr="001844D1">
        <w:t xml:space="preserve"> . . . as specified in the provision of State or local law adopting the fee or charge.”</w:t>
      </w:r>
      <w:r>
        <w:rPr>
          <w:rStyle w:val="FootnoteReference"/>
        </w:rPr>
        <w:footnoteReference w:id="33"/>
      </w:r>
      <w:r w:rsidRPr="001844D1">
        <w:t xml:space="preserve">  While this statutory provision clearly prohibits the Commission from imposing regulations that prevent states and local jurisdictions from imposing and collecting such 911 fees and charges to the extent the fee or c</w:t>
      </w:r>
      <w:r w:rsidRPr="007D2116">
        <w:t xml:space="preserve">harge is used only to support 911 or enhanced 911 services, </w:t>
      </w:r>
      <w:r w:rsidRPr="001844D1">
        <w:t>it does not otherwise constrain the Commission from taking action to address the diversion by states and localities of fees and services they might impose in the name of 911 or E911 sup</w:t>
      </w:r>
      <w:r w:rsidRPr="002C0710">
        <w:t xml:space="preserve">port.  </w:t>
      </w:r>
      <w:r w:rsidRPr="001844D1">
        <w:t>Moreover, we see nothing in this provision that implicitly or expressly reserves authority</w:t>
      </w:r>
      <w:r w:rsidRPr="007D2116">
        <w:t xml:space="preserve"> regarding 911 and E911 fees and charges to the states and localities, other than the expressly stated protection of state and local authority to impose and collect fees and charges that are obligated or </w:t>
      </w:r>
      <w:r w:rsidRPr="007D2116">
        <w:t xml:space="preserve">expended only in support of 911 and E911 services.  </w:t>
      </w:r>
      <w:r w:rsidRPr="001844D1">
        <w:t xml:space="preserve">We seek comment on these conclusions and on the legal authority that would support </w:t>
      </w:r>
      <w:r>
        <w:t xml:space="preserve">the </w:t>
      </w:r>
      <w:r w:rsidRPr="00AE31B6">
        <w:t xml:space="preserve">affirmative steps described below that the Commission might consider </w:t>
      </w:r>
      <w:r w:rsidRPr="00AE31B6">
        <w:t>to address</w:t>
      </w:r>
      <w:r w:rsidRPr="00AE31B6">
        <w:t xml:space="preserve"> the problem of 911 fee diversion.</w:t>
      </w:r>
    </w:p>
    <w:p w:rsidR="008828A9" w:rsidRPr="001844D1" w:rsidP="008828A9" w14:paraId="03870037" w14:textId="77777777">
      <w:pPr>
        <w:pStyle w:val="Heading3"/>
      </w:pPr>
      <w:bookmarkStart w:id="36" w:name="_Toc46157519"/>
      <w:bookmarkStart w:id="37" w:name="_Toc46157931"/>
      <w:bookmarkStart w:id="38" w:name="_Toc47717996"/>
      <w:bookmarkStart w:id="39" w:name="_Toc47718423"/>
      <w:bookmarkStart w:id="40" w:name="_Toc48905874"/>
      <w:bookmarkStart w:id="41" w:name="_Toc48918250"/>
      <w:bookmarkStart w:id="42" w:name="_Toc49272666"/>
      <w:bookmarkStart w:id="43" w:name="_Toc50448334"/>
      <w:r w:rsidRPr="00AE31B6">
        <w:t>Restrictions on F</w:t>
      </w:r>
      <w:r w:rsidRPr="001844D1">
        <w:t>ederal Grant Funding for States that Divert 911 Fees</w:t>
      </w:r>
      <w:bookmarkEnd w:id="36"/>
      <w:bookmarkEnd w:id="37"/>
      <w:bookmarkEnd w:id="38"/>
      <w:bookmarkEnd w:id="39"/>
      <w:bookmarkEnd w:id="40"/>
      <w:bookmarkEnd w:id="41"/>
      <w:bookmarkEnd w:id="42"/>
      <w:bookmarkEnd w:id="43"/>
      <w:r w:rsidRPr="001844D1">
        <w:t xml:space="preserve">  </w:t>
      </w:r>
    </w:p>
    <w:p w:rsidR="008828A9" w:rsidRPr="001844D1" w:rsidP="008828A9" w14:paraId="6D1FF859" w14:textId="77777777">
      <w:pPr>
        <w:pStyle w:val="ParaNum"/>
        <w:numPr>
          <w:ilvl w:val="0"/>
          <w:numId w:val="3"/>
        </w:numPr>
        <w:tabs>
          <w:tab w:val="clear" w:pos="1080"/>
          <w:tab w:val="num" w:pos="1440"/>
        </w:tabs>
      </w:pPr>
      <w:r w:rsidRPr="001844D1">
        <w:t>One approach for discouraging the diversion of 911 fees has been to condition the receipt of federal 911 grant funding on the elimination</w:t>
      </w:r>
      <w:r>
        <w:t xml:space="preserve"> </w:t>
      </w:r>
      <w:r w:rsidRPr="001844D1">
        <w:t xml:space="preserve">of 911 fee diversion by the state or other jurisdiction receiving funding.  </w:t>
      </w:r>
      <w:r w:rsidRPr="007D2116">
        <w:t xml:space="preserve">An </w:t>
      </w:r>
      <w:r w:rsidRPr="00AE31B6">
        <w:t>example is the matching gran</w:t>
      </w:r>
      <w:r w:rsidRPr="001844D1">
        <w:t>t program for state 911, E911, and NG911 services that Congress funded pursuant to the NG911 Advancement Act of 2012.</w:t>
      </w:r>
      <w:r>
        <w:rPr>
          <w:rStyle w:val="FootnoteReference"/>
        </w:rPr>
        <w:footnoteReference w:id="34"/>
      </w:r>
      <w:r w:rsidRPr="001844D1">
        <w:t xml:space="preserve">  The NG911 Advancement Act provides for matching grants to eligible states for, among other things, “the implementation and operation of</w:t>
      </w:r>
      <w:r w:rsidRPr="007D2116">
        <w:t xml:space="preserve"> </w:t>
      </w:r>
      <w:r w:rsidRPr="001844D1">
        <w:t>9-1-1 services, E9-1-1 services, migration to an IP-enabled emergency network, and adoption and operation of Next Generation 9-1-1 services and applications.”</w:t>
      </w:r>
      <w:r>
        <w:rPr>
          <w:rStyle w:val="FootnoteReference"/>
        </w:rPr>
        <w:footnoteReference w:id="35"/>
      </w:r>
      <w:r w:rsidRPr="001844D1">
        <w:t xml:space="preserve">  The Act also provides that grant applicants must certify that they are not diverting any portion of the 911 fees collected in the state or other jurisdiction and must agree to return grant funds to the federal government if they divert 911 fees during th</w:t>
      </w:r>
      <w:r w:rsidRPr="002C0710">
        <w:t>e term of the grant.</w:t>
      </w:r>
      <w:r>
        <w:rPr>
          <w:rStyle w:val="FootnoteReference"/>
        </w:rPr>
        <w:footnoteReference w:id="36"/>
      </w:r>
      <w:r w:rsidRPr="001844D1">
        <w:t xml:space="preserve">  The grant program is administered by the National Telecommunications and Information Administration (NTIA) and the National Highway Traffic Safety Administration (NHTSA), which developed implementing regulations for the grant progra</w:t>
      </w:r>
      <w:r w:rsidRPr="002C0710">
        <w:t>m.</w:t>
      </w:r>
      <w:r>
        <w:rPr>
          <w:rStyle w:val="FootnoteReference"/>
        </w:rPr>
        <w:footnoteReference w:id="37"/>
      </w:r>
      <w:r w:rsidRPr="001844D1">
        <w:t xml:space="preserve">  Consistent with the requirements of the Act, these regulations provide that applicants must certify that they have not diverted 911 fees in the 180 days preceding the date of their initial application and that they will not divert 911 fees during the</w:t>
      </w:r>
      <w:r w:rsidRPr="007D2116">
        <w:t xml:space="preserve"> time grant funds are available to them.</w:t>
      </w:r>
      <w:r>
        <w:rPr>
          <w:rStyle w:val="FootnoteReference"/>
        </w:rPr>
        <w:footnoteReference w:id="38"/>
      </w:r>
      <w:r w:rsidRPr="001844D1">
        <w:t xml:space="preserve">  Grant recipients also must return any grant awarded on the basis of an invalid certification.</w:t>
      </w:r>
      <w:r>
        <w:rPr>
          <w:rStyle w:val="FootnoteReference"/>
        </w:rPr>
        <w:footnoteReference w:id="39"/>
      </w:r>
      <w:r w:rsidRPr="001844D1">
        <w:t xml:space="preserve">  In 2019, NTIA and NHTSA awarded matching grants under this program totaling more than $109 million to thirty-four states and two Tribal Nations.</w:t>
      </w:r>
      <w:r>
        <w:rPr>
          <w:rStyle w:val="FootnoteReference"/>
        </w:rPr>
        <w:footnoteReference w:id="40"/>
      </w:r>
      <w:r w:rsidRPr="001844D1">
        <w:t xml:space="preserve"> </w:t>
      </w:r>
      <w:r w:rsidRPr="002C0710">
        <w:t xml:space="preserve"> </w:t>
      </w:r>
      <w:r w:rsidRPr="007D2116">
        <w:t>The five states identified as diverters by the Eleventh Report</w:t>
      </w:r>
      <w:r w:rsidRPr="00AE31B6">
        <w:t>, which would appear not to qualify for such grants</w:t>
      </w:r>
      <w:r w:rsidRPr="001844D1">
        <w:t>, did not receive funding.</w:t>
      </w:r>
    </w:p>
    <w:p w:rsidR="008828A9" w:rsidRPr="001844D1" w:rsidP="008828A9" w14:paraId="7E875B46" w14:textId="0FA6BB70">
      <w:pPr>
        <w:pStyle w:val="ParaNum"/>
        <w:numPr>
          <w:ilvl w:val="0"/>
          <w:numId w:val="3"/>
        </w:numPr>
        <w:tabs>
          <w:tab w:val="clear" w:pos="1080"/>
          <w:tab w:val="num" w:pos="1440"/>
        </w:tabs>
      </w:pPr>
      <w:r w:rsidRPr="001844D1">
        <w:t>To inform whether participation in Commission programs</w:t>
      </w:r>
      <w:r>
        <w:rPr>
          <w:rStyle w:val="FootnoteReference"/>
        </w:rPr>
        <w:footnoteReference w:id="41"/>
      </w:r>
      <w:r w:rsidRPr="001844D1">
        <w:t xml:space="preserve"> </w:t>
      </w:r>
      <w:r w:rsidRPr="002C0710">
        <w:t xml:space="preserve">should similarly be conditioned on the absence of 911 fee diversion, </w:t>
      </w:r>
      <w:r w:rsidRPr="007D2116">
        <w:t xml:space="preserve">and to inform interagency efforts regarding administration of 911 programs, </w:t>
      </w:r>
      <w:r w:rsidRPr="00AE31B6">
        <w:t>w</w:t>
      </w:r>
      <w:r w:rsidRPr="001844D1">
        <w:t xml:space="preserve">e seek comment on whether the eligibility restrictions in the 911 grant program have caused states to alter their 911 funding statutes to avoid losing eligibility for these grants.  If so, which states have altered their practices to avoid losing grant eligibility?  Does the risk of losing eligibility for future (but unspecified) 911 grant funding act as an incentive for additional states to discontinue, or for these thirty-four states and two Tribal Nations to continue to refrain from, fee </w:t>
      </w:r>
      <w:r w:rsidRPr="001844D1">
        <w:t>diversion?  Would it be more effective if the grant-related sanctions for fee diversion extended to other grant programs besides those directly related to 911?  For example, should states that divert 911 funds be prohibited from receiving other public safety grants, even if such grants are not 911</w:t>
      </w:r>
      <w:r w:rsidR="00024F10">
        <w:t xml:space="preserve"> </w:t>
      </w:r>
      <w:r w:rsidRPr="001844D1">
        <w:t xml:space="preserve">related?  Should </w:t>
      </w:r>
      <w:r>
        <w:t>the federal government</w:t>
      </w:r>
      <w:r w:rsidRPr="00666744">
        <w:t xml:space="preserve"> condition non-public safety grant programs, such as grants for highways and other infrastructure, on the absence of 911 fee diversion?  If so, what principles should be used to make this determination?  Do other factors, such as the amount of grants being awarded, have an impact on the effectiveness of grant restrictions as a deterrent?  </w:t>
      </w:r>
      <w:r w:rsidRPr="001844D1">
        <w:t xml:space="preserve">Are there any legal limitations </w:t>
      </w:r>
      <w:r w:rsidRPr="002C0710">
        <w:t xml:space="preserve">that might </w:t>
      </w:r>
      <w:r>
        <w:t>impact such conditions</w:t>
      </w:r>
      <w:r w:rsidRPr="007D2116">
        <w:t xml:space="preserve">?      </w:t>
      </w:r>
      <w:r w:rsidRPr="00AE31B6">
        <w:t xml:space="preserve">   </w:t>
      </w:r>
    </w:p>
    <w:p w:rsidR="008828A9" w:rsidRPr="00AE31B6" w:rsidP="008828A9" w14:paraId="29C590D4" w14:textId="77777777">
      <w:pPr>
        <w:pStyle w:val="Heading3"/>
      </w:pPr>
      <w:bookmarkStart w:id="46" w:name="_Toc46157520"/>
      <w:bookmarkStart w:id="47" w:name="_Toc46157932"/>
      <w:bookmarkStart w:id="48" w:name="_Toc47717997"/>
      <w:bookmarkStart w:id="49" w:name="_Toc47718424"/>
      <w:bookmarkStart w:id="50" w:name="_Toc48905875"/>
      <w:bookmarkStart w:id="51" w:name="_Toc48918251"/>
      <w:bookmarkStart w:id="52" w:name="_Toc49272667"/>
      <w:bookmarkStart w:id="53" w:name="_Toc50448335"/>
      <w:r w:rsidRPr="007D2116">
        <w:t>Commission Regulatory Options</w:t>
      </w:r>
      <w:bookmarkEnd w:id="46"/>
      <w:bookmarkEnd w:id="47"/>
      <w:bookmarkEnd w:id="48"/>
      <w:bookmarkEnd w:id="49"/>
      <w:bookmarkEnd w:id="50"/>
      <w:bookmarkEnd w:id="51"/>
      <w:bookmarkEnd w:id="52"/>
      <w:bookmarkEnd w:id="53"/>
      <w:r w:rsidRPr="007D2116">
        <w:t xml:space="preserve">   </w:t>
      </w:r>
    </w:p>
    <w:p w:rsidR="008828A9" w:rsidRPr="001844D1" w:rsidP="008828A9" w14:paraId="1B51ED5C" w14:textId="77777777">
      <w:pPr>
        <w:pStyle w:val="ParaNum"/>
        <w:numPr>
          <w:ilvl w:val="0"/>
          <w:numId w:val="3"/>
        </w:numPr>
        <w:tabs>
          <w:tab w:val="clear" w:pos="1080"/>
          <w:tab w:val="num" w:pos="1440"/>
        </w:tabs>
      </w:pPr>
      <w:r w:rsidRPr="00666744">
        <w:t xml:space="preserve">We seek comment on potential measures the Commission could take to discourage fee diversion, sources of authority for such measures, and the costs and </w:t>
      </w:r>
      <w:r w:rsidRPr="000E6A2A">
        <w:t>benefits associated with such measures</w:t>
      </w:r>
      <w:r w:rsidRPr="0012228D">
        <w:t xml:space="preserve">. </w:t>
      </w:r>
      <w:r w:rsidRPr="001844D1">
        <w:t xml:space="preserve"> We also seek comment on whether the NET 911 Act gives the Commission authority to take steps to eliminate 911 fee diversion, as well as reporting to Congress on 911 fee diversion issues.</w:t>
      </w:r>
    </w:p>
    <w:p w:rsidR="008828A9" w:rsidRPr="00AE31B6" w:rsidP="008828A9" w14:paraId="310B9BD1" w14:textId="10ADC253">
      <w:pPr>
        <w:pStyle w:val="ParaNum"/>
        <w:numPr>
          <w:ilvl w:val="0"/>
          <w:numId w:val="3"/>
        </w:numPr>
        <w:tabs>
          <w:tab w:val="clear" w:pos="1080"/>
          <w:tab w:val="num" w:pos="1440"/>
        </w:tabs>
      </w:pPr>
      <w:r w:rsidRPr="001844D1">
        <w:rPr>
          <w:i/>
          <w:iCs/>
        </w:rPr>
        <w:t>Regulation of 911 fee descriptions on consumer bills</w:t>
      </w:r>
      <w:r w:rsidRPr="001844D1">
        <w:t>.  A possible approach for discouraging fee diversion would be for the Commission to require service providers to disclose on their bills that the state or other jurisdiction in which the consumer resides is a 911 fee diverter.  Under the Commission’s truth-in-billing rules, telecommunications common carriers must clearly organize consumer bills and must ensure that charges contained on such bills are accompanied by “a brief, clear, non-misleading, plain language description of the service or services rendered.”</w:t>
      </w:r>
      <w:r>
        <w:rPr>
          <w:rStyle w:val="FootnoteReference"/>
        </w:rPr>
        <w:footnoteReference w:id="42"/>
      </w:r>
      <w:r w:rsidRPr="001844D1">
        <w:t xml:space="preserve"> </w:t>
      </w:r>
      <w:r w:rsidRPr="002C0710">
        <w:t xml:space="preserve"> </w:t>
      </w:r>
      <w:r w:rsidRPr="007D2116">
        <w:t>The diversion of 911 fees may result in inaccurate and misleading bills because consumers are unaware that the fees they are nominally paying for 911 services may actually be diverted to other uses once the state or other jurisdiction receives them.</w:t>
      </w:r>
    </w:p>
    <w:p w:rsidR="008828A9" w:rsidRPr="001844D1" w:rsidP="008828A9" w14:paraId="25658003" w14:textId="77777777">
      <w:pPr>
        <w:pStyle w:val="ParaNum"/>
        <w:numPr>
          <w:ilvl w:val="0"/>
          <w:numId w:val="3"/>
        </w:numPr>
        <w:tabs>
          <w:tab w:val="clear" w:pos="1080"/>
          <w:tab w:val="num" w:pos="1440"/>
        </w:tabs>
      </w:pPr>
      <w:r w:rsidRPr="00AE31B6">
        <w:t xml:space="preserve">Should </w:t>
      </w:r>
      <w:r w:rsidRPr="00666744">
        <w:t>the Commission consider requir</w:t>
      </w:r>
      <w:r w:rsidRPr="000E6A2A">
        <w:t>ing</w:t>
      </w:r>
      <w:r w:rsidRPr="0012228D">
        <w:t xml:space="preserve"> service providers to disclose 911 fee diversion on subscriber bills, for example through </w:t>
      </w:r>
      <w:r w:rsidRPr="001844D1">
        <w:t>reliance on its truth-in-billing authority?</w:t>
      </w:r>
      <w:r>
        <w:rPr>
          <w:rStyle w:val="FootnoteReference"/>
        </w:rPr>
        <w:footnoteReference w:id="43"/>
      </w:r>
      <w:r w:rsidRPr="001844D1">
        <w:t xml:space="preserve"> </w:t>
      </w:r>
      <w:r w:rsidRPr="002C0710">
        <w:t xml:space="preserve"> </w:t>
      </w:r>
      <w:r w:rsidRPr="007D2116">
        <w:t xml:space="preserve">What characteristics should an effective disclosure have if we were to </w:t>
      </w:r>
      <w:r w:rsidRPr="00AE31B6">
        <w:t xml:space="preserve">consider imposing such a requirement?  More specifically, </w:t>
      </w:r>
      <w:r w:rsidRPr="00666744">
        <w:t>what form and content should such disclosures</w:t>
      </w:r>
      <w:r w:rsidRPr="000E6A2A">
        <w:t xml:space="preserve"> have?  </w:t>
      </w:r>
      <w:r w:rsidRPr="0012228D">
        <w:t>S</w:t>
      </w:r>
      <w:r w:rsidRPr="001844D1">
        <w:t xml:space="preserve">hould the disclosure include contact information for the appropriate governmental authorities, so that consumers can voice opinions on the diversion?  How effective would such a regulation be in discouraging 911 fee diversion?  Would consumers reading a disclosure of fee diversion on their bills be likely to put pressure on the relevant governmental entity to stop the practice?    </w:t>
      </w:r>
    </w:p>
    <w:p w:rsidR="008828A9" w:rsidRPr="007D2116" w:rsidP="0035391C" w14:paraId="41ECB9D3" w14:textId="77777777">
      <w:pPr>
        <w:pStyle w:val="ParaNum"/>
        <w:widowControl/>
        <w:numPr>
          <w:ilvl w:val="0"/>
          <w:numId w:val="3"/>
        </w:numPr>
        <w:tabs>
          <w:tab w:val="clear" w:pos="1080"/>
          <w:tab w:val="num" w:pos="1440"/>
        </w:tabs>
      </w:pPr>
      <w:r w:rsidRPr="001844D1">
        <w:t xml:space="preserve">As a practical matter, how would service providers determine the current 911 fee expenditure practices of states in which they provide service?  The Commission’s annual 911 fee reports are based on information from the preceding calendar year and do not identify which states are </w:t>
      </w:r>
      <w:r w:rsidRPr="001844D1">
        <w:rPr>
          <w:i/>
          <w:iCs/>
        </w:rPr>
        <w:t>currently</w:t>
      </w:r>
      <w:r w:rsidRPr="001844D1">
        <w:t xml:space="preserve"> diverting funds.  Are there cost-effective ways for service providers to ascertain accurately whether a state or other jurisdiction is currently diverting 911 fees, given the reporting delay?  If not, should a service provider’s bills label a state as a 911 fee diverter if the Commission’s most recent annual 911 fee report designated the state as a diverter, perhaps with a notation in the bill that the state was designated a diverter during a given time period?  Alternatively, rather than specifically labeling the state as a fee diverter, should the provider simply note on the consumer bill that the FCC, in an annual report to Congress, reported that during a certain year the state had expended fees collected as 911 fees for purposes other than to support 911 services?  What are the costs to the service provider associated with implementing such a disclosure requirement?  Would such costs be commensurate with the resulting benefits?  In addition, </w:t>
      </w:r>
      <w:r w:rsidRPr="002C0710">
        <w:t>would</w:t>
      </w:r>
      <w:r w:rsidRPr="007D2116">
        <w:t xml:space="preserve"> requiring service providers to disclose a </w:t>
      </w:r>
      <w:r w:rsidRPr="001844D1">
        <w:t>state or other jurisdiction’s diverter status on bills have First Amendment implications?  We also invite commenters to address whether service providers should be required to identify, on their websites, states that divert 911 fees.</w:t>
      </w:r>
      <w:r>
        <w:rPr>
          <w:rStyle w:val="FootnoteReference"/>
        </w:rPr>
        <w:footnoteReference w:id="44"/>
      </w:r>
      <w:r w:rsidRPr="001844D1">
        <w:t xml:space="preserve">  What </w:t>
      </w:r>
      <w:r w:rsidRPr="002C0710">
        <w:t xml:space="preserve">would be </w:t>
      </w:r>
      <w:r w:rsidRPr="001844D1">
        <w:t xml:space="preserve">the costs, benefits, and appropriate schedules for making such information </w:t>
      </w:r>
      <w:r w:rsidRPr="002C0710">
        <w:t>available to consumers on service providers’ websites?  Would this approach be preferable to requiring disclosure on consumer bills?</w:t>
      </w:r>
    </w:p>
    <w:p w:rsidR="008828A9" w:rsidRPr="001844D1" w:rsidP="008828A9" w14:paraId="31A1991D" w14:textId="77777777">
      <w:pPr>
        <w:pStyle w:val="ParaNum"/>
        <w:numPr>
          <w:ilvl w:val="0"/>
          <w:numId w:val="3"/>
        </w:numPr>
        <w:tabs>
          <w:tab w:val="left" w:pos="360"/>
          <w:tab w:val="clear" w:pos="1080"/>
          <w:tab w:val="num" w:pos="1440"/>
        </w:tabs>
      </w:pPr>
      <w:r w:rsidRPr="00AE31B6">
        <w:rPr>
          <w:i/>
          <w:iCs/>
        </w:rPr>
        <w:t>Regulation of 911 fee collections by service providers</w:t>
      </w:r>
      <w:r w:rsidRPr="00666744">
        <w:t xml:space="preserve">.  Another possibility is for </w:t>
      </w:r>
      <w:r w:rsidRPr="000E6A2A">
        <w:t xml:space="preserve">the Commission </w:t>
      </w:r>
      <w:r w:rsidRPr="0012228D">
        <w:t>to direct service provid</w:t>
      </w:r>
      <w:r w:rsidRPr="001844D1">
        <w:t>ers not to collect 911 fees for calls in a diverting state or other jurisdiction or to limit 911 fees to the amount that was not diverted in the prior year.  Does the Commission have authority for such measures and, if so, what theory would support such approach?  Would this effectively make service providers responsible for the actions of third parties (state or other jurisdiction’s legislatures) over which they have no control?  As noted above, the Commission’s annual 911 fee reports are based on information from the preceding calendar year, so the reports’ findings about which states divert 911 fees</w:t>
      </w:r>
      <w:r>
        <w:t>—</w:t>
      </w:r>
      <w:r w:rsidRPr="001844D1">
        <w:t>and in what amounts</w:t>
      </w:r>
      <w:r>
        <w:t>—</w:t>
      </w:r>
      <w:r w:rsidRPr="001844D1">
        <w:t xml:space="preserve">are not necessarily current.  Do service providers have a cost-effective means of accurately identifying current 911 fee diversion practices?  If not, should service providers be allowed to rely on information from the Commission’s most recent annual 911 fee report to make such determinations, notwithstanding that the diversion information may not be current?  What are the additional costs to the service provider of determining whether it must limit its collection of some or all 911 fees in a diverting state or other jurisdiction, and how would such a practice affect the state or other jurisdiction, its 911 system, and consumers?  Would the derived benefits outweigh the costs?  </w:t>
      </w:r>
    </w:p>
    <w:p w:rsidR="008828A9" w:rsidRPr="001844D1" w:rsidP="0035391C" w14:paraId="1F7BAFA0" w14:textId="0A718458">
      <w:pPr>
        <w:pStyle w:val="ParaNum"/>
        <w:widowControl/>
        <w:numPr>
          <w:ilvl w:val="0"/>
          <w:numId w:val="3"/>
        </w:numPr>
        <w:tabs>
          <w:tab w:val="clear" w:pos="1080"/>
          <w:tab w:val="num" w:pos="1440"/>
        </w:tabs>
      </w:pPr>
      <w:r w:rsidRPr="007D2116">
        <w:rPr>
          <w:i/>
          <w:iCs/>
        </w:rPr>
        <w:t>Conditioning eligibility for FCC licenses, programs, or advisory committees</w:t>
      </w:r>
      <w:r w:rsidRPr="00AE31B6">
        <w:t xml:space="preserve">.  The Commission </w:t>
      </w:r>
      <w:r w:rsidRPr="00666744">
        <w:t xml:space="preserve">may </w:t>
      </w:r>
      <w:r w:rsidRPr="000E6A2A">
        <w:t>impose public interest conditions on Commission licensees and applicants for Commission programs.</w:t>
      </w:r>
      <w:r>
        <w:rPr>
          <w:rStyle w:val="FootnoteReference"/>
        </w:rPr>
        <w:footnoteReference w:id="45"/>
      </w:r>
      <w:r w:rsidRPr="001844D1">
        <w:t xml:space="preserve">  Are there licensing, </w:t>
      </w:r>
      <w:r w:rsidRPr="007D2116">
        <w:t>funding,</w:t>
      </w:r>
      <w:r w:rsidRPr="00AE31B6">
        <w:t xml:space="preserve"> or other benefits administered by the Commission</w:t>
      </w:r>
      <w:r w:rsidRPr="00666744">
        <w:t xml:space="preserve"> that could be conditioned on a state </w:t>
      </w:r>
      <w:r w:rsidRPr="000E6A2A">
        <w:t xml:space="preserve">or other jurisdiction </w:t>
      </w:r>
      <w:r w:rsidRPr="0012228D">
        <w:t xml:space="preserve">not being a diverter?  For example, should a state or </w:t>
      </w:r>
      <w:r w:rsidRPr="001844D1">
        <w:t>other jurisdiction seeking a spectrum license be required to certify that it is not diverting 911 fees?</w:t>
      </w:r>
      <w:r>
        <w:rPr>
          <w:rStyle w:val="FootnoteReference"/>
        </w:rPr>
        <w:footnoteReference w:id="46"/>
      </w:r>
      <w:r w:rsidRPr="001844D1">
        <w:t xml:space="preserve">  Should the Commission bar representatives of diverting states from participating on FCC advisory committees?  Given the inherent reporting delays for state 911 fee expenditures, what time period should </w:t>
      </w:r>
      <w:r w:rsidRPr="001844D1">
        <w:t>the Commission use to determine if a state is an ineligible diverter?  What principles should we use to determine whether it would be helpful to condition a particular program or benefit on a state’s status as a 911 fee diverter?  Are there some Commission programs that should not be conditioned on th</w:t>
      </w:r>
      <w:r w:rsidRPr="007D2116">
        <w:t>e basis of fee diversion?</w:t>
      </w:r>
      <w:r>
        <w:rPr>
          <w:rStyle w:val="FootnoteReference"/>
        </w:rPr>
        <w:footnoteReference w:id="47"/>
      </w:r>
    </w:p>
    <w:p w:rsidR="008828A9" w:rsidRPr="001844D1" w:rsidP="008828A9" w14:paraId="670D488B" w14:textId="77777777">
      <w:pPr>
        <w:pStyle w:val="ParaNum"/>
        <w:numPr>
          <w:ilvl w:val="0"/>
          <w:numId w:val="3"/>
        </w:numPr>
        <w:tabs>
          <w:tab w:val="clear" w:pos="1080"/>
          <w:tab w:val="num" w:pos="1440"/>
        </w:tabs>
      </w:pPr>
      <w:r w:rsidRPr="007D2116">
        <w:rPr>
          <w:i/>
          <w:iCs/>
        </w:rPr>
        <w:t>Other regulatory options.</w:t>
      </w:r>
      <w:r w:rsidRPr="00AE31B6">
        <w:t xml:space="preserve">  Should </w:t>
      </w:r>
      <w:r w:rsidRPr="00666744">
        <w:t>the Commission consider other regulatory options to discourage fee diversion?  What other sources of authority might the Commission invoke to deter or prohibit</w:t>
      </w:r>
      <w:r w:rsidRPr="000E6A2A">
        <w:t xml:space="preserve"> 911 fee diversion? </w:t>
      </w:r>
      <w:r w:rsidRPr="0012228D">
        <w:t xml:space="preserve"> What are the c</w:t>
      </w:r>
      <w:r w:rsidRPr="001844D1">
        <w:t>osts and benefits of such measures, including costs that would be incurred by service providers or consumers?</w:t>
      </w:r>
    </w:p>
    <w:p w:rsidR="008828A9" w:rsidRPr="001844D1" w:rsidP="008828A9" w14:paraId="03A4D7EA" w14:textId="77777777">
      <w:pPr>
        <w:pStyle w:val="Heading3"/>
      </w:pPr>
      <w:bookmarkStart w:id="56" w:name="_Hlk37706725"/>
      <w:bookmarkStart w:id="57" w:name="_Toc46157521"/>
      <w:bookmarkStart w:id="58" w:name="_Toc46157933"/>
      <w:bookmarkStart w:id="59" w:name="_Toc47717998"/>
      <w:bookmarkStart w:id="60" w:name="_Toc47718425"/>
      <w:bookmarkStart w:id="61" w:name="_Toc48905876"/>
      <w:bookmarkStart w:id="62" w:name="_Toc48918252"/>
      <w:bookmarkStart w:id="63" w:name="_Toc49272668"/>
      <w:bookmarkStart w:id="64" w:name="_Toc50448336"/>
      <w:bookmarkEnd w:id="56"/>
      <w:r w:rsidRPr="001844D1">
        <w:t>Facilitating the Revision of State Funding Mechanisms to Eliminate Fee Diversion</w:t>
      </w:r>
      <w:bookmarkEnd w:id="57"/>
      <w:bookmarkEnd w:id="58"/>
      <w:bookmarkEnd w:id="59"/>
      <w:bookmarkEnd w:id="60"/>
      <w:bookmarkEnd w:id="61"/>
      <w:bookmarkEnd w:id="62"/>
      <w:bookmarkEnd w:id="63"/>
      <w:bookmarkEnd w:id="64"/>
    </w:p>
    <w:p w:rsidR="008828A9" w:rsidRPr="001844D1" w:rsidP="008828A9" w14:paraId="65FBD032" w14:textId="77777777">
      <w:pPr>
        <w:pStyle w:val="ParaNum"/>
        <w:numPr>
          <w:ilvl w:val="0"/>
          <w:numId w:val="3"/>
        </w:numPr>
        <w:tabs>
          <w:tab w:val="clear" w:pos="1080"/>
          <w:tab w:val="num" w:pos="1440"/>
        </w:tabs>
      </w:pPr>
      <w:r w:rsidRPr="001844D1">
        <w:t>Another possibility for eliminating fee diversion is for the Commission to encourage states to pass legislation or adopt rules that would end fee diversion.</w:t>
      </w:r>
      <w:r>
        <w:rPr>
          <w:rStyle w:val="FootnoteReference"/>
        </w:rPr>
        <w:footnoteReference w:id="48"/>
      </w:r>
      <w:r w:rsidRPr="001844D1">
        <w:t xml:space="preserve">  In addition, the Commission could encourage </w:t>
      </w:r>
      <w:r w:rsidRPr="007D2116">
        <w:t xml:space="preserve">states to </w:t>
      </w:r>
      <w:r w:rsidRPr="00AE31B6">
        <w:t xml:space="preserve">leverage existing auditing mechanisms or similar financial controls to ensure accountability for the way 911 </w:t>
      </w:r>
      <w:r w:rsidRPr="00666744">
        <w:t>funds are spent</w:t>
      </w:r>
      <w:r w:rsidRPr="000E6A2A">
        <w:t xml:space="preserve"> or, in the event existing auditing mechanisms do not permit uncovering</w:t>
      </w:r>
      <w:r w:rsidRPr="0012228D">
        <w:t xml:space="preserve"> 911 fee diversion, states could be encouraged to take executive or legislative action to establish those mechanisms</w:t>
      </w:r>
      <w:r w:rsidRPr="001844D1">
        <w:t xml:space="preserve">.   </w:t>
      </w:r>
    </w:p>
    <w:p w:rsidR="008828A9" w:rsidRPr="000E6A2A" w:rsidP="008828A9" w14:paraId="086F041B" w14:textId="77777777">
      <w:pPr>
        <w:pStyle w:val="ParaNum"/>
        <w:numPr>
          <w:ilvl w:val="0"/>
          <w:numId w:val="3"/>
        </w:numPr>
        <w:tabs>
          <w:tab w:val="clear" w:pos="1080"/>
          <w:tab w:val="num" w:pos="1440"/>
        </w:tabs>
      </w:pPr>
      <w:r w:rsidRPr="001844D1">
        <w:rPr>
          <w:i/>
          <w:iCs/>
        </w:rPr>
        <w:t xml:space="preserve">State Legislative Reforms.  </w:t>
      </w:r>
      <w:r w:rsidRPr="001844D1">
        <w:t>Several states recently have acted to address fee diversion.  For example, the Eleventh Report notes that Montana and the U.S. Virgin Islands passed 911 funding legislation to eliminate fee diversion.</w:t>
      </w:r>
      <w:r>
        <w:rPr>
          <w:rStyle w:val="FootnoteReference"/>
        </w:rPr>
        <w:footnoteReference w:id="49"/>
      </w:r>
      <w:r w:rsidRPr="001844D1">
        <w:t xml:space="preserve">  In addition, following the release of the Eleventh Report, West Virginia reportedly amended its 911 fee mechanism.</w:t>
      </w:r>
      <w:r>
        <w:rPr>
          <w:rStyle w:val="FootnoteReference"/>
        </w:rPr>
        <w:footnoteReference w:id="50"/>
      </w:r>
      <w:r w:rsidRPr="001844D1">
        <w:t xml:space="preserve">  We seek comment on which states have passed legislation to eliminate 911 fee diversion since the FCC began reporting on the practice.  What provisions have these states included in their 911 fee legislation or regulations to ensure that 911 fees are not </w:t>
      </w:r>
      <w:r w:rsidRPr="007D2116">
        <w:t xml:space="preserve">diverted?  We ask commenters to discuss any state(s) that have enacted legislation defining valid 911 and E911 expenditures, including how they have defined </w:t>
      </w:r>
      <w:r w:rsidRPr="00AE31B6">
        <w:t>diversion</w:t>
      </w:r>
      <w:r w:rsidRPr="00666744">
        <w:t xml:space="preserve"> of funds for non-911/E911 purposes.  What steps could the Commission take to encourage diverting states to revise their funding mechanisms to eliminate fee diversion?</w:t>
      </w:r>
    </w:p>
    <w:p w:rsidR="008828A9" w:rsidRPr="00AE31B6" w:rsidP="008828A9" w14:paraId="25FD2F8A" w14:textId="77777777">
      <w:pPr>
        <w:pStyle w:val="ParaNum"/>
        <w:numPr>
          <w:ilvl w:val="0"/>
          <w:numId w:val="3"/>
        </w:numPr>
        <w:tabs>
          <w:tab w:val="clear" w:pos="1080"/>
          <w:tab w:val="num" w:pos="1440"/>
        </w:tabs>
      </w:pPr>
      <w:r w:rsidRPr="0012228D">
        <w:t>It is also possible for a state or other jurisdiction that previously has not diverted 911 fees to change its funding mechanism to introduce fee diversion.  For example, the Comm</w:t>
      </w:r>
      <w:r w:rsidRPr="001844D1">
        <w:t xml:space="preserve">ission noted in the Tenth Report that Nevada had reported increasing the state’s 911 fee “to help pay for body cameras for officers” and for “the purchase and maintenance of portable event recording devices and vehicular </w:t>
      </w:r>
      <w:r w:rsidRPr="001844D1">
        <w:t>recording devices.”</w:t>
      </w:r>
      <w:r>
        <w:rPr>
          <w:rStyle w:val="FootnoteReference"/>
        </w:rPr>
        <w:footnoteReference w:id="51"/>
      </w:r>
      <w:r w:rsidRPr="001844D1">
        <w:t xml:space="preserve">  The Commission concluded in the Tenth Report that the expenditure of 911 fees for police body cameras and recording devices constituted diversion of 911 fees for non-911 public safety </w:t>
      </w:r>
      <w:r w:rsidRPr="007D2116">
        <w:t>purposes.</w:t>
      </w:r>
      <w:r>
        <w:rPr>
          <w:rStyle w:val="FootnoteReference"/>
        </w:rPr>
        <w:footnoteReference w:id="52"/>
      </w:r>
      <w:r w:rsidRPr="001844D1">
        <w:t xml:space="preserve">  Are there other examples of states that revised their 911 funding mechanism to authorize fee diversion?  What steps could the Commission take to discourage states from revising their funding mechanisms in such a manner?  What steps could the Commission take to discourage states from adopting funding mechanisms that allow fee </w:t>
      </w:r>
      <w:r w:rsidRPr="007D2116">
        <w:t xml:space="preserve">diversion?  </w:t>
      </w:r>
    </w:p>
    <w:p w:rsidR="008828A9" w:rsidRPr="00AE31B6" w:rsidP="008828A9" w14:paraId="7D158FA7" w14:textId="77777777">
      <w:pPr>
        <w:pStyle w:val="ParaNum"/>
        <w:numPr>
          <w:ilvl w:val="0"/>
          <w:numId w:val="3"/>
        </w:numPr>
        <w:tabs>
          <w:tab w:val="clear" w:pos="1080"/>
          <w:tab w:val="num" w:pos="1440"/>
        </w:tabs>
      </w:pPr>
      <w:r w:rsidRPr="00AE31B6">
        <w:t>In comments on the Tenth Report, the Colorado Public Utilities Commission</w:t>
      </w:r>
      <w:r w:rsidRPr="00666744">
        <w:t xml:space="preserve"> (COPUC)</w:t>
      </w:r>
      <w:r w:rsidRPr="000E6A2A">
        <w:t xml:space="preserve"> </w:t>
      </w:r>
      <w:r w:rsidRPr="0012228D">
        <w:t xml:space="preserve">suggests that the Commission consider asking NENA to publish model state 911 fee legislation, </w:t>
      </w:r>
      <w:r w:rsidRPr="001844D1">
        <w:t>“using best practices from existing state statutes.”</w:t>
      </w:r>
      <w:r>
        <w:rPr>
          <w:rStyle w:val="FootnoteReference"/>
        </w:rPr>
        <w:footnoteReference w:id="53"/>
      </w:r>
      <w:r w:rsidRPr="001844D1">
        <w:t xml:space="preserve">  The </w:t>
      </w:r>
      <w:r w:rsidRPr="007D2116">
        <w:t>National 911 Program has also noted the need for development of an “adequate and sustainable jurisdictional financial model that includes clear funding and spending guidelines,”</w:t>
      </w:r>
      <w:r>
        <w:rPr>
          <w:rStyle w:val="FootnoteReference"/>
        </w:rPr>
        <w:footnoteReference w:id="54"/>
      </w:r>
      <w:r w:rsidRPr="001844D1">
        <w:t xml:space="preserve"> and noted that model language from states such as Virginia, Pennsylvania, and Minnesota may provide useful models.</w:t>
      </w:r>
      <w:r>
        <w:rPr>
          <w:rStyle w:val="FootnoteReference"/>
        </w:rPr>
        <w:footnoteReference w:id="55"/>
      </w:r>
      <w:r w:rsidRPr="001844D1">
        <w:t xml:space="preserve">  For states considering revisions to their 911 funding mechanisms, would model statutory/regulatory language or drafting guidelines be helpful?  Should such model language or guidelines address both the collection a</w:t>
      </w:r>
      <w:r w:rsidRPr="007D2116">
        <w:t>nd expenditure of 911 fees?  What are best practices and suggested provisions for model 911 fee legislation or drafting guidelines?  Is such guidance currently available?</w:t>
      </w:r>
    </w:p>
    <w:p w:rsidR="008828A9" w:rsidRPr="00AE31B6" w:rsidP="008828A9" w14:paraId="3F3507A8" w14:textId="77777777">
      <w:pPr>
        <w:pStyle w:val="ParaNum"/>
        <w:numPr>
          <w:ilvl w:val="0"/>
          <w:numId w:val="3"/>
        </w:numPr>
        <w:tabs>
          <w:tab w:val="clear" w:pos="1080"/>
          <w:tab w:val="num" w:pos="1440"/>
        </w:tabs>
      </w:pPr>
      <w:r w:rsidRPr="00666744">
        <w:t>As discussed more fully in Section III.</w:t>
      </w:r>
      <w:r>
        <w:t>B</w:t>
      </w:r>
      <w:r w:rsidRPr="00666744">
        <w:t xml:space="preserve"> below, some commenters have urged the Commis</w:t>
      </w:r>
      <w:r w:rsidRPr="000E6A2A">
        <w:t>sion to adopt guidelines for which expenditures qualify as “in support of” 911 and which do not.</w:t>
      </w:r>
      <w:r>
        <w:rPr>
          <w:rStyle w:val="FootnoteReference"/>
        </w:rPr>
        <w:footnoteReference w:id="56"/>
      </w:r>
      <w:r w:rsidRPr="001844D1">
        <w:t xml:space="preserve">  The National 911 Program notes that the development of a “nationally adopted baseline taxonomy by which jurisdictions can develop effective legislative lang</w:t>
      </w:r>
      <w:r w:rsidRPr="007D2116">
        <w:t>uage” would help to prevent “state-level raiding of 911 fees.”</w:t>
      </w:r>
      <w:r>
        <w:rPr>
          <w:rStyle w:val="FootnoteReference"/>
        </w:rPr>
        <w:footnoteReference w:id="57"/>
      </w:r>
      <w:r w:rsidRPr="001844D1">
        <w:t xml:space="preserve">  Do commenters agree that such guidance would be helpful to states considering revision of their 911 funding mechanisms?  If so, what form should such guidance take?  What criteria should app</w:t>
      </w:r>
      <w:r w:rsidRPr="007D2116">
        <w:t>ly to an expenditure or category of expenditures to give it a sufficient nexus to 911?  Conversely, what expenditures would not have such a nexus to 911?</w:t>
      </w:r>
    </w:p>
    <w:p w:rsidR="008828A9" w:rsidRPr="007D2116" w:rsidP="0035391C" w14:paraId="707399F6" w14:textId="77777777">
      <w:pPr>
        <w:pStyle w:val="ParaNum"/>
        <w:widowControl/>
        <w:numPr>
          <w:ilvl w:val="0"/>
          <w:numId w:val="3"/>
        </w:numPr>
        <w:tabs>
          <w:tab w:val="clear" w:pos="1080"/>
          <w:tab w:val="num" w:pos="1440"/>
        </w:tabs>
      </w:pPr>
      <w:r w:rsidRPr="00666744">
        <w:t>Finally, i</w:t>
      </w:r>
      <w:r w:rsidRPr="000E6A2A">
        <w:t>s there a concern that states</w:t>
      </w:r>
      <w:r w:rsidRPr="0012228D">
        <w:t xml:space="preserve"> that do not want to be identified as fee diverters </w:t>
      </w:r>
      <w:r w:rsidRPr="001844D1">
        <w:t>could revise their funding mechanisms in an effort to make fee diversion more difficult to detect?  For example, CTIA notes in its response to the Tenth Report that because the Commission collects 911 fee information at the state level, the Commission has limited visibility into 911 fee expenditures at the local level and is not able to assess the level of local 911 fee diversion.</w:t>
      </w:r>
      <w:r>
        <w:rPr>
          <w:rStyle w:val="FootnoteReference"/>
        </w:rPr>
        <w:footnoteReference w:id="58"/>
      </w:r>
      <w:r w:rsidRPr="001844D1">
        <w:t xml:space="preserve">  What steps can the Commission take </w:t>
      </w:r>
      <w:r w:rsidRPr="001844D1">
        <w:t>to discourage states from revising their funding mechanisms in a way that decreases transparency,</w:t>
      </w:r>
      <w:r w:rsidRPr="007D2116">
        <w:t xml:space="preserve"> </w:t>
      </w:r>
      <w:r w:rsidRPr="001844D1">
        <w:t xml:space="preserve">either in terms of Commission review or fair notice to the consumer?    </w:t>
      </w:r>
    </w:p>
    <w:p w:rsidR="008828A9" w:rsidRPr="001844D1" w:rsidP="008828A9" w14:paraId="1DE65BB8" w14:textId="77777777">
      <w:pPr>
        <w:pStyle w:val="ParaNum"/>
        <w:numPr>
          <w:ilvl w:val="0"/>
          <w:numId w:val="3"/>
        </w:numPr>
        <w:tabs>
          <w:tab w:val="clear" w:pos="1080"/>
          <w:tab w:val="num" w:pos="1440"/>
        </w:tabs>
      </w:pPr>
      <w:r w:rsidRPr="00AE31B6">
        <w:rPr>
          <w:i/>
          <w:iCs/>
        </w:rPr>
        <w:t xml:space="preserve">State Audit Mechanisms.  </w:t>
      </w:r>
      <w:r w:rsidRPr="00666744">
        <w:t xml:space="preserve">As in previous years, the Eleventh Report finds that almost every </w:t>
      </w:r>
      <w:r w:rsidRPr="000E6A2A">
        <w:t>state</w:t>
      </w:r>
      <w:r w:rsidRPr="0012228D">
        <w:t xml:space="preserve"> collects 911 fees from in-state subscribers, but that some </w:t>
      </w:r>
      <w:r w:rsidRPr="001844D1">
        <w:t>states do not effectively oversee or audit whether collected funds have been used for the purposes designated by the funding mechanism or otherwise to implement or support 911.</w:t>
      </w:r>
      <w:r>
        <w:rPr>
          <w:rStyle w:val="FootnoteReference"/>
        </w:rPr>
        <w:footnoteReference w:id="59"/>
      </w:r>
      <w:r w:rsidRPr="001844D1">
        <w:t xml:space="preserve">  We seek comment on any limitations in state program audit authority that should be addressed to mitigate or</w:t>
      </w:r>
      <w:r w:rsidRPr="007D2116">
        <w:t xml:space="preserve"> eliminate</w:t>
      </w:r>
      <w:r w:rsidRPr="00AE31B6">
        <w:t xml:space="preserve"> diversion of 911 fees.  Do states and localities that have auditing authority regularly audit their 911 fee programs?  If not, why?  Are there additional barriers to states’ effective oversight of 911 fee collection and expenditures?  What measu</w:t>
      </w:r>
      <w:r w:rsidRPr="00666744">
        <w:t xml:space="preserve">res are available to improve state </w:t>
      </w:r>
      <w:r w:rsidRPr="000E6A2A">
        <w:t xml:space="preserve">or other jurisdiction </w:t>
      </w:r>
      <w:r w:rsidRPr="0012228D">
        <w:t>oversight of 911 fee programs</w:t>
      </w:r>
      <w:r w:rsidRPr="001844D1">
        <w:t>?</w:t>
      </w:r>
    </w:p>
    <w:p w:rsidR="008828A9" w:rsidRPr="001844D1" w:rsidP="008828A9" w14:paraId="2959644F" w14:textId="77777777">
      <w:pPr>
        <w:pStyle w:val="Heading2"/>
      </w:pPr>
      <w:bookmarkStart w:id="66" w:name="_Toc46157522"/>
      <w:bookmarkStart w:id="67" w:name="_Toc46157934"/>
      <w:bookmarkStart w:id="68" w:name="_Toc47717999"/>
      <w:bookmarkStart w:id="69" w:name="_Toc47718426"/>
      <w:bookmarkStart w:id="70" w:name="_Toc48905877"/>
      <w:bookmarkStart w:id="71" w:name="_Toc48918253"/>
      <w:bookmarkStart w:id="72" w:name="_Toc49272669"/>
      <w:bookmarkStart w:id="73" w:name="_Toc50448337"/>
      <w:r w:rsidRPr="001844D1">
        <w:t>Sufficiency and Accuracy of the Annual Reports to Congress on 911 Fees</w:t>
      </w:r>
      <w:bookmarkEnd w:id="66"/>
      <w:bookmarkEnd w:id="67"/>
      <w:bookmarkEnd w:id="68"/>
      <w:bookmarkEnd w:id="69"/>
      <w:bookmarkEnd w:id="70"/>
      <w:bookmarkEnd w:id="71"/>
      <w:bookmarkEnd w:id="72"/>
      <w:bookmarkEnd w:id="73"/>
    </w:p>
    <w:p w:rsidR="008828A9" w:rsidRPr="001844D1" w:rsidP="008828A9" w14:paraId="6569E298" w14:textId="77777777">
      <w:pPr>
        <w:pStyle w:val="ParaNum"/>
        <w:numPr>
          <w:ilvl w:val="0"/>
          <w:numId w:val="3"/>
        </w:numPr>
        <w:tabs>
          <w:tab w:val="clear" w:pos="1080"/>
          <w:tab w:val="num" w:pos="1440"/>
        </w:tabs>
      </w:pPr>
      <w:r w:rsidRPr="001844D1">
        <w:t xml:space="preserve">As required by the NET 911 Act, the Commission will continue to report annually to Congress on 911 fee collections and expenditures.  In addition to seeking comment on the alternatives discussed above, we seek comment on whether improvements to the Commission’s data collection and reporting process could further discourage fee diversion.  </w:t>
      </w:r>
    </w:p>
    <w:p w:rsidR="008828A9" w:rsidRPr="001844D1" w:rsidP="0035391C" w14:paraId="2A26CE64" w14:textId="47C0AE1D">
      <w:pPr>
        <w:pStyle w:val="ParaNum"/>
        <w:widowControl/>
        <w:numPr>
          <w:ilvl w:val="0"/>
          <w:numId w:val="3"/>
        </w:numPr>
        <w:tabs>
          <w:tab w:val="clear" w:pos="1080"/>
          <w:tab w:val="num" w:pos="1440"/>
        </w:tabs>
      </w:pPr>
      <w:r w:rsidRPr="001844D1">
        <w:rPr>
          <w:i/>
          <w:iCs/>
        </w:rPr>
        <w:t>Commission Guidance on What Constitutes Fee Diversion</w:t>
      </w:r>
      <w:r w:rsidRPr="001844D1">
        <w:t>.  The Eleventh Report and prior reports provide guidance on whether specific practices constitute fee diversion.</w:t>
      </w:r>
      <w:r>
        <w:rPr>
          <w:rStyle w:val="FootnoteReference"/>
        </w:rPr>
        <w:footnoteReference w:id="60"/>
      </w:r>
      <w:r w:rsidRPr="001844D1">
        <w:t xml:space="preserve">  For example, </w:t>
      </w:r>
      <w:r w:rsidRPr="007D2116">
        <w:rPr>
          <w:szCs w:val="22"/>
        </w:rPr>
        <w:t xml:space="preserve">the Commission has stated that </w:t>
      </w:r>
      <w:r w:rsidRPr="00AE31B6">
        <w:rPr>
          <w:szCs w:val="22"/>
        </w:rPr>
        <w:t>the requisite nexus to 911 includes expenditures that (1) support PSAP functions or operations, (2) have a reasonable nexus to PSAPs’ ability to receive 911 calls and/or dispatch emergency responders, or (3) relate to communications infrastructure that connects PSAPs (or otherwise ensures the reliable reception and processing of emergency calls and their dispatch to first responders).</w:t>
      </w:r>
      <w:r>
        <w:rPr>
          <w:rStyle w:val="FootnoteReference"/>
          <w:szCs w:val="22"/>
        </w:rPr>
        <w:footnoteReference w:id="61"/>
      </w:r>
      <w:r w:rsidRPr="001844D1">
        <w:rPr>
          <w:szCs w:val="22"/>
        </w:rPr>
        <w:t xml:space="preserve">  </w:t>
      </w:r>
      <w:r w:rsidRPr="007D2116">
        <w:rPr>
          <w:szCs w:val="22"/>
        </w:rPr>
        <w:t xml:space="preserve">The Commission has also stated that </w:t>
      </w:r>
      <w:r w:rsidRPr="00AE31B6">
        <w:t>funds used to support public safety radio systems, including maintenance, upgrades, and new system acquisitions, are not 911</w:t>
      </w:r>
      <w:r w:rsidR="00E050A9">
        <w:t xml:space="preserve"> </w:t>
      </w:r>
      <w:r w:rsidRPr="00AE31B6">
        <w:t>related but that expenses associated with integrating public safety dispatch and 911 systems (e.g., purchase of CAD hardware and software to support integrated 911 and disp</w:t>
      </w:r>
      <w:r w:rsidRPr="00666744">
        <w:t>atch operations) may be 911</w:t>
      </w:r>
      <w:r w:rsidR="008B51F0">
        <w:t xml:space="preserve"> </w:t>
      </w:r>
      <w:r w:rsidRPr="00666744">
        <w:t xml:space="preserve">related, provided the state </w:t>
      </w:r>
      <w:r w:rsidRPr="000E6A2A">
        <w:t xml:space="preserve">or other jurisdiction </w:t>
      </w:r>
      <w:r w:rsidRPr="0012228D">
        <w:t>can document a</w:t>
      </w:r>
      <w:r w:rsidRPr="001844D1">
        <w:t xml:space="preserve"> connection to 911.</w:t>
      </w:r>
      <w:r>
        <w:rPr>
          <w:rStyle w:val="FootnoteReference"/>
        </w:rPr>
        <w:footnoteReference w:id="62"/>
      </w:r>
      <w:r w:rsidRPr="001844D1">
        <w:t xml:space="preserve">  Further, the Commission has found that transferring or otherwise using 911 fees for the state’s general fund constitutes fee diversion,</w:t>
      </w:r>
      <w:r>
        <w:rPr>
          <w:rStyle w:val="FootnoteReference"/>
        </w:rPr>
        <w:footnoteReference w:id="63"/>
      </w:r>
      <w:r w:rsidRPr="001844D1">
        <w:t xml:space="preserve"> and that using 911 fees </w:t>
      </w:r>
      <w:r w:rsidRPr="001844D1">
        <w:t>for non-911 purposes constitutes fee diversion even if expressly authorized by the state or other jurisdiction’s funding mechanism.</w:t>
      </w:r>
      <w:r>
        <w:rPr>
          <w:rStyle w:val="FootnoteReference"/>
        </w:rPr>
        <w:footnoteReference w:id="64"/>
      </w:r>
    </w:p>
    <w:p w:rsidR="008828A9" w:rsidRPr="001844D1" w:rsidP="008828A9" w14:paraId="2DC89EC2" w14:textId="66655DF8">
      <w:pPr>
        <w:pStyle w:val="ParaNum"/>
        <w:numPr>
          <w:ilvl w:val="0"/>
          <w:numId w:val="3"/>
        </w:numPr>
        <w:tabs>
          <w:tab w:val="clear" w:pos="1080"/>
          <w:tab w:val="num" w:pos="1440"/>
        </w:tabs>
      </w:pPr>
      <w:r w:rsidRPr="007D2116">
        <w:t>Despite the guidance the Commission has given in its annual fee reports, commenters and other stakeho</w:t>
      </w:r>
      <w:r w:rsidRPr="00AE31B6">
        <w:t>lders have noted that disagreements persist over what constitutes diversion.</w:t>
      </w:r>
      <w:r>
        <w:rPr>
          <w:rStyle w:val="FootnoteReference"/>
        </w:rPr>
        <w:footnoteReference w:id="65"/>
      </w:r>
      <w:r w:rsidRPr="001844D1">
        <w:t xml:space="preserve">  These entities urge the Commission to go beyond the case-by-case approach of past fee reports and issue comprehensive guidelines.  For example, CTIA states </w:t>
      </w:r>
      <w:r w:rsidRPr="007D2116">
        <w:t>in its response to t</w:t>
      </w:r>
      <w:r w:rsidRPr="00AE31B6">
        <w:t>he Tenth Report that it supports the adoption of guidelines on which expenditures qualify as “in support of” 911 and which do not, noting that “[w]</w:t>
      </w:r>
      <w:r w:rsidRPr="00AE31B6">
        <w:t>ith</w:t>
      </w:r>
      <w:r w:rsidRPr="00AE31B6">
        <w:t xml:space="preserve"> such specificity in place, it will be more difficult for states to claim they are compliant with the NET </w:t>
      </w:r>
      <w:r w:rsidRPr="00666744">
        <w:t>9</w:t>
      </w:r>
      <w:r w:rsidR="00AA0E7F">
        <w:noBreakHyphen/>
      </w:r>
      <w:r w:rsidRPr="00666744">
        <w:t>1</w:t>
      </w:r>
      <w:r w:rsidR="00AA0E7F">
        <w:noBreakHyphen/>
      </w:r>
      <w:r w:rsidRPr="00666744">
        <w:t xml:space="preserve">1 </w:t>
      </w:r>
      <w:r w:rsidRPr="001844D1">
        <w:t>Act even as they divert funds for non-9-1-1 purposes.”</w:t>
      </w:r>
      <w:r>
        <w:rPr>
          <w:rStyle w:val="FootnoteReference"/>
        </w:rPr>
        <w:footnoteReference w:id="66"/>
      </w:r>
      <w:r w:rsidRPr="001844D1">
        <w:t xml:space="preserve">  APCO urges the Commission to provide additional guidance and asserts that “[s]</w:t>
      </w:r>
      <w:r w:rsidRPr="001844D1">
        <w:t>tates</w:t>
      </w:r>
      <w:r w:rsidRPr="001844D1">
        <w:t xml:space="preserve"> need clear notice about what constitutes fee diversion in order to appropriately document and combat the practice.”</w:t>
      </w:r>
      <w:r>
        <w:rPr>
          <w:rStyle w:val="FootnoteReference"/>
        </w:rPr>
        <w:footnoteReference w:id="67"/>
      </w:r>
      <w:r w:rsidRPr="001844D1">
        <w:t xml:space="preserve">  In addition, the National 911 Program has stated that there is no nationally accepted definition of what constitutes eligible spending of 911 funds and has called for the development of a “concrete” definition.</w:t>
      </w:r>
      <w:r>
        <w:rPr>
          <w:rStyle w:val="FootnoteReference"/>
        </w:rPr>
        <w:footnoteReference w:id="68"/>
      </w:r>
      <w:r w:rsidRPr="001844D1">
        <w:t xml:space="preserve">        </w:t>
      </w:r>
    </w:p>
    <w:p w:rsidR="008828A9" w:rsidRPr="007D2116" w:rsidP="0035391C" w14:paraId="047F3672" w14:textId="77777777">
      <w:pPr>
        <w:pStyle w:val="ParaNum"/>
        <w:widowControl/>
        <w:numPr>
          <w:ilvl w:val="0"/>
          <w:numId w:val="3"/>
        </w:numPr>
        <w:tabs>
          <w:tab w:val="clear" w:pos="1080"/>
          <w:tab w:val="num" w:pos="1440"/>
        </w:tabs>
      </w:pPr>
      <w:r w:rsidRPr="007D2116">
        <w:t xml:space="preserve">We seek </w:t>
      </w:r>
      <w:r w:rsidRPr="00AE31B6">
        <w:t xml:space="preserve">comment on whether the Commission should provide </w:t>
      </w:r>
      <w:r w:rsidRPr="00666744">
        <w:t xml:space="preserve">additional </w:t>
      </w:r>
      <w:r w:rsidRPr="000E6A2A">
        <w:t>g</w:t>
      </w:r>
      <w:r w:rsidRPr="0012228D">
        <w:t xml:space="preserve">uidance on </w:t>
      </w:r>
      <w:r w:rsidRPr="001844D1">
        <w:t xml:space="preserve">what constitutes fee diversion beyond the guidance provided in the annual reports.  If so, how should such guidance be developed, and what form should it take?  Should the Commission propose binding rules governing the basis for the certifications in these reports, and the requirements for knowledge of the basis of the certification by the certifying official?  Should any additional guidance be in the form of a list of allowable expenses, an overarching analytical framework, or a set of guidelines, or all three?  Some states have already developed lists of allowable uses of 911 funds.  For example, Minnesota’s 911 funding statute provides that 911 fees must be used “to fund implementation, operation, maintenance, </w:t>
      </w:r>
      <w:r w:rsidRPr="001844D1">
        <w:t>enhancement, and expansion of enhanced 911 service, including acquisition of necessary equipment.”</w:t>
      </w:r>
      <w:r>
        <w:rPr>
          <w:rStyle w:val="FootnoteReference"/>
        </w:rPr>
        <w:footnoteReference w:id="69"/>
      </w:r>
      <w:r w:rsidRPr="001844D1">
        <w:t xml:space="preserve">  The statute also provides that local jurisdictions may spend 911 funds for the following purposes:</w:t>
      </w:r>
    </w:p>
    <w:p w:rsidR="008828A9" w:rsidRPr="001844D1" w:rsidP="008828A9" w14:paraId="1F586F36" w14:textId="77777777">
      <w:pPr>
        <w:pStyle w:val="ParaNum"/>
        <w:numPr>
          <w:ilvl w:val="0"/>
          <w:numId w:val="0"/>
        </w:numPr>
        <w:ind w:left="720"/>
      </w:pPr>
      <w:r w:rsidRPr="00AE31B6">
        <w:t>to lease, purchase, lease-purchase, or maintain enhanced 911 equipment, including telephone equipment; recording equipment; comput</w:t>
      </w:r>
      <w:r w:rsidRPr="00666744">
        <w:t>er hardware; computer software for database provisioning, addressing, mapping, and any other software necessary for automatic location identification or local location identification; trunk lines; selective routing equipment; the master street address guid</w:t>
      </w:r>
      <w:r w:rsidRPr="000E6A2A">
        <w:t xml:space="preserve">e; dispatcher public safety answering point equipment proficiency and operational skills; pay for long-distance charges incurred due to transferring 911 calls to other jurisdictions; and the equipment necessary within the public safety answering point for </w:t>
      </w:r>
      <w:r w:rsidRPr="0012228D">
        <w:t>community alert systems and to notify and communicate with the emergency services requested by the 911 caller</w:t>
      </w:r>
      <w:r w:rsidRPr="001844D1">
        <w:t>.</w:t>
      </w:r>
      <w:r>
        <w:rPr>
          <w:rStyle w:val="FootnoteReference"/>
        </w:rPr>
        <w:footnoteReference w:id="70"/>
      </w:r>
    </w:p>
    <w:p w:rsidR="008828A9" w:rsidRPr="00666744" w:rsidP="008828A9" w14:paraId="1EAF1C26" w14:textId="77777777">
      <w:pPr>
        <w:pStyle w:val="ParaNum"/>
        <w:numPr>
          <w:ilvl w:val="0"/>
          <w:numId w:val="0"/>
        </w:numPr>
      </w:pPr>
      <w:r w:rsidRPr="007D2116">
        <w:t>Pennsylvania’s 911 funding statute directs the Pennsylvania Emergency Management Agency to publish a list of eligible uses of 911 fees each yea</w:t>
      </w:r>
      <w:r w:rsidRPr="00AE31B6">
        <w:t>r.</w:t>
      </w:r>
      <w:r>
        <w:rPr>
          <w:rStyle w:val="FootnoteReference"/>
        </w:rPr>
        <w:footnoteReference w:id="71"/>
      </w:r>
      <w:r w:rsidRPr="001844D1">
        <w:t xml:space="preserve">  The list of eligible uses for 2020 includes multiple cost categories, such as call handling equipment, computer aided dispatch facilities, and specific uses within each category.</w:t>
      </w:r>
      <w:r>
        <w:rPr>
          <w:rStyle w:val="FootnoteReference"/>
        </w:rPr>
        <w:footnoteReference w:id="72"/>
      </w:r>
      <w:r w:rsidRPr="001844D1">
        <w:t xml:space="preserve">  Similarly, the Virginia Department of Emergency Management’s PSAP Grant Program Guidelines include specific expenditures for NG911 that are eligible for grants from the state’s wireless E911 fund.</w:t>
      </w:r>
      <w:r>
        <w:rPr>
          <w:rStyle w:val="FootnoteReference"/>
        </w:rPr>
        <w:footnoteReference w:id="73"/>
      </w:r>
      <w:r w:rsidRPr="001844D1">
        <w:t xml:space="preserve">  We seek comment on whether such lists of eligible uses are appropriate, underinclusive, or overinclusive.</w:t>
      </w:r>
      <w:r w:rsidRPr="007D2116">
        <w:t xml:space="preserve">  </w:t>
      </w:r>
      <w:r w:rsidRPr="00AE31B6">
        <w:t xml:space="preserve">Should any guidance prepared by the Commission include a list of acceptable expenditures, or are states in a better position to determine such lists?  </w:t>
      </w:r>
    </w:p>
    <w:p w:rsidR="008828A9" w:rsidRPr="001844D1" w:rsidP="008828A9" w14:paraId="3ED793C1" w14:textId="77777777">
      <w:pPr>
        <w:pStyle w:val="ParaNum"/>
        <w:numPr>
          <w:ilvl w:val="0"/>
          <w:numId w:val="3"/>
        </w:numPr>
        <w:tabs>
          <w:tab w:val="clear" w:pos="1080"/>
          <w:tab w:val="num" w:pos="1440"/>
        </w:tabs>
      </w:pPr>
      <w:r w:rsidRPr="000E6A2A">
        <w:t>If the Commission provides guidelines or an analytic framework for determining whether expenditures have a sufficient nex</w:t>
      </w:r>
      <w:r w:rsidRPr="0012228D">
        <w:t>us to 911, what principles should it include?  In comments on a proposed change by the District of Columbia on allowable uses for local 911 fund</w:t>
      </w:r>
      <w:r w:rsidRPr="001844D1">
        <w:t>s, CTIA asserted that 911 fees should not be a funding source for the administering agencies’ general budgets.</w:t>
      </w:r>
      <w:r>
        <w:rPr>
          <w:rStyle w:val="FootnoteReference"/>
        </w:rPr>
        <w:footnoteReference w:id="74"/>
      </w:r>
      <w:r w:rsidRPr="001844D1">
        <w:t xml:space="preserve">  According to CTIA, allowable 911 expenditures could include “the nonrecurring costs of establishing a 911 system, the cost of emergency telephone and dispatch equipment and costs for training for maintenance and operation of the 911 system,” but such cos</w:t>
      </w:r>
      <w:r w:rsidRPr="007D2116">
        <w:t>ts should not include “the cost for leasing real estate, cosmetic remodeling of facilities, salaries or benefits or emergency vehicles.”</w:t>
      </w:r>
      <w:r>
        <w:rPr>
          <w:rStyle w:val="FootnoteReference"/>
        </w:rPr>
        <w:footnoteReference w:id="75"/>
      </w:r>
      <w:r w:rsidRPr="001844D1">
        <w:t xml:space="preserve">  </w:t>
      </w:r>
      <w:bookmarkStart w:id="74" w:name="_Hlk50107165"/>
      <w:r w:rsidRPr="001844D1">
        <w:t xml:space="preserve">On the other hand, we have found in our 911 fee reports that some PSAP overhead costs, such as 911 telecommunicator </w:t>
      </w:r>
      <w:r w:rsidRPr="007D2116">
        <w:t>salaries, are 911</w:t>
      </w:r>
      <w:r w:rsidRPr="001844D1">
        <w:t xml:space="preserve"> related.</w:t>
      </w:r>
      <w:r>
        <w:rPr>
          <w:rStyle w:val="FootnoteReference"/>
        </w:rPr>
        <w:footnoteReference w:id="76"/>
      </w:r>
      <w:r w:rsidRPr="001844D1">
        <w:t xml:space="preserve">  </w:t>
      </w:r>
      <w:r w:rsidRPr="007D2116">
        <w:t xml:space="preserve">We seek </w:t>
      </w:r>
      <w:bookmarkEnd w:id="74"/>
      <w:r w:rsidRPr="007D2116">
        <w:t xml:space="preserve">comment </w:t>
      </w:r>
      <w:r w:rsidRPr="00AE31B6">
        <w:t xml:space="preserve">on </w:t>
      </w:r>
      <w:r w:rsidRPr="00666744">
        <w:t>treating PSAP overhead and salary expenses as 911</w:t>
      </w:r>
      <w:r w:rsidRPr="000E6A2A">
        <w:t xml:space="preserve"> </w:t>
      </w:r>
      <w:r w:rsidRPr="001844D1">
        <w:t xml:space="preserve">related, and whether there are any circumstances in which use of 911 fees for recurring PSAP expenses could be considered </w:t>
      </w:r>
      <w:r w:rsidRPr="001844D1">
        <w:t>diversion.  Are there other principles the Commission should apply in determining whether an expenditure of 911 fees constitutes diversion?  What criteria should be applied to determine whether there is a sufficient 911 nexus for public safety expenditures not directly targeted to the 911 system itself, such as expenditures associated with public safety/first responder radio systems?</w:t>
      </w:r>
      <w:r>
        <w:rPr>
          <w:rStyle w:val="FootnoteReference"/>
        </w:rPr>
        <w:footnoteReference w:id="77"/>
      </w:r>
      <w:r w:rsidRPr="001844D1">
        <w:t xml:space="preserve">  Under what circumstances should expenditures for interoperability of networks be considered sufficiently 911</w:t>
      </w:r>
      <w:r>
        <w:t xml:space="preserve"> </w:t>
      </w:r>
      <w:r w:rsidRPr="001844D1">
        <w:t>related?  In order to help prevent fee diversion, should collected 911 fees be deposited in a special purpose fund or dedicated account?</w:t>
      </w:r>
      <w:r>
        <w:rPr>
          <w:rStyle w:val="FootnoteReference"/>
        </w:rPr>
        <w:footnoteReference w:id="78"/>
      </w:r>
      <w:r w:rsidRPr="001844D1">
        <w:t xml:space="preserve">    </w:t>
      </w:r>
    </w:p>
    <w:p w:rsidR="008828A9" w:rsidRPr="001844D1" w:rsidP="008828A9" w14:paraId="6F4C248F" w14:textId="59D2D373">
      <w:pPr>
        <w:pStyle w:val="ParaNum"/>
        <w:numPr>
          <w:ilvl w:val="0"/>
          <w:numId w:val="3"/>
        </w:numPr>
        <w:tabs>
          <w:tab w:val="clear" w:pos="1080"/>
          <w:tab w:val="num" w:pos="1440"/>
        </w:tabs>
      </w:pPr>
      <w:r w:rsidRPr="007D2116">
        <w:rPr>
          <w:i/>
          <w:iCs/>
        </w:rPr>
        <w:t xml:space="preserve">Multi-Purpose </w:t>
      </w:r>
      <w:r w:rsidRPr="00AE31B6">
        <w:rPr>
          <w:i/>
          <w:iCs/>
        </w:rPr>
        <w:t>Public Safety Fees</w:t>
      </w:r>
      <w:r w:rsidRPr="00AE31B6">
        <w:t xml:space="preserve">.  In some instances, states have argued that </w:t>
      </w:r>
      <w:r w:rsidRPr="00666744">
        <w:t>fees identifie</w:t>
      </w:r>
      <w:r w:rsidRPr="000E6A2A">
        <w:t xml:space="preserve">d as supporting “public safety” or “emergency services” </w:t>
      </w:r>
      <w:r w:rsidRPr="0012228D">
        <w:t xml:space="preserve">should not be classified as 911 fees for purposes of the </w:t>
      </w:r>
      <w:r w:rsidRPr="001844D1">
        <w:t>Commission’s diversion analysis, even if such fees are used to fund 911 programs.  In prior reports, the Commission has found that the labelling of the fee is not dispositive, and has looked at the underlying purpose of the fee to determine whether it is a 911 fee within the meaning of the NET 911 Act.</w:t>
      </w:r>
      <w:r>
        <w:rPr>
          <w:rStyle w:val="FootnoteReference"/>
        </w:rPr>
        <w:footnoteReference w:id="79"/>
      </w:r>
      <w:r w:rsidRPr="001844D1">
        <w:t xml:space="preserve">  For example, in its filing for the Eleventh Report, New York contended that its Public Safety Communications Surcharge was outside the scope of the NET 911 Act because it supports a wider set of purposes than 911/E911.</w:t>
      </w:r>
      <w:r>
        <w:rPr>
          <w:rStyle w:val="FootnoteReference"/>
        </w:rPr>
        <w:footnoteReference w:id="80"/>
      </w:r>
      <w:r w:rsidRPr="001844D1">
        <w:t xml:space="preserve">  However, the Commission noted that the designated purposes for the surcharge clearly include the support or implementation of 911/E911 services and that the surcharge is assessed on wireless services that “provide[</w:t>
      </w:r>
      <w:r w:rsidR="00A07844">
        <w:t xml:space="preserve"> </w:t>
      </w:r>
      <w:r w:rsidRPr="001844D1">
        <w:t>] access to emergency communications services.”</w:t>
      </w:r>
      <w:r>
        <w:rPr>
          <w:rStyle w:val="FootnoteReference"/>
        </w:rPr>
        <w:footnoteReference w:id="81"/>
      </w:r>
      <w:r w:rsidRPr="001844D1">
        <w:t xml:space="preserve">  Accordingly, the Commission stated that the New York statute “expressly links the Public Safety Communications Surcharge to services that provide access to emergency communications services, or 911.</w:t>
      </w:r>
      <w:r w:rsidRPr="002C0710">
        <w:t>”</w:t>
      </w:r>
      <w:r>
        <w:rPr>
          <w:rStyle w:val="FootnoteReference"/>
        </w:rPr>
        <w:footnoteReference w:id="82"/>
      </w:r>
      <w:r w:rsidRPr="001844D1">
        <w:t xml:space="preserve">  The Commission concluded that the </w:t>
      </w:r>
      <w:r w:rsidRPr="002C0710">
        <w:t>surch</w:t>
      </w:r>
      <w:r w:rsidRPr="007D2116">
        <w:t>arge was</w:t>
      </w:r>
      <w:r w:rsidRPr="00AE31B6">
        <w:t xml:space="preserve"> a fee or charge “</w:t>
      </w:r>
      <w:r w:rsidRPr="00666744">
        <w:t xml:space="preserve">for the support or </w:t>
      </w:r>
      <w:r w:rsidRPr="00666744">
        <w:t>implementation of 9-1-1 or enhanced 9-1-1 services</w:t>
      </w:r>
      <w:r w:rsidRPr="000E6A2A">
        <w:t>”</w:t>
      </w:r>
      <w:r w:rsidRPr="0012228D">
        <w:t xml:space="preserve"> under Section 6(f)(1) of the NET 911 Act.</w:t>
      </w:r>
      <w:r>
        <w:rPr>
          <w:rStyle w:val="FootnoteReference"/>
        </w:rPr>
        <w:footnoteReference w:id="83"/>
      </w:r>
      <w:r w:rsidRPr="001844D1">
        <w:t xml:space="preserve">  Thus, the Commission found that the surcharge was a 911 fee despite its public safety label and performed a fee diversion analysis on the funds collected, concluding that New York had diverted 911 funds.</w:t>
      </w:r>
      <w:r>
        <w:rPr>
          <w:rStyle w:val="FootnoteReference"/>
        </w:rPr>
        <w:footnoteReference w:id="84"/>
      </w:r>
    </w:p>
    <w:p w:rsidR="008828A9" w:rsidRPr="001844D1" w:rsidP="008828A9" w14:paraId="57236CCC" w14:textId="77777777">
      <w:pPr>
        <w:pStyle w:val="ParaNum"/>
        <w:numPr>
          <w:ilvl w:val="0"/>
          <w:numId w:val="3"/>
        </w:numPr>
        <w:tabs>
          <w:tab w:val="clear" w:pos="1080"/>
          <w:tab w:val="num" w:pos="1440"/>
        </w:tabs>
      </w:pPr>
      <w:r w:rsidRPr="007D2116">
        <w:t xml:space="preserve">In the Eleventh Report, the Commission also analyzed the U.S. Virgin Islands’ “Emergency Service” surcharge and concluded that it did not constitute 911 fee </w:t>
      </w:r>
      <w:r w:rsidRPr="00AE31B6">
        <w:t>diversion.</w:t>
      </w:r>
      <w:r>
        <w:rPr>
          <w:rStyle w:val="FootnoteReference"/>
        </w:rPr>
        <w:footnoteReference w:id="85"/>
      </w:r>
      <w:r w:rsidRPr="001844D1">
        <w:t xml:space="preserve">  The Commission noted that by statute the surcharge funds were deposited in an Emergency Service Fund (ESF), with ESF funds allocated 40% to the Virgin Islands Emergency Management Agency (VITEMA) and the other 60% allocated to other specific public safety, non-911 uses.</w:t>
      </w:r>
      <w:r>
        <w:rPr>
          <w:rStyle w:val="FootnoteReference"/>
        </w:rPr>
        <w:footnoteReference w:id="86"/>
      </w:r>
      <w:r w:rsidRPr="001844D1">
        <w:t xml:space="preserve">  The Commission also noted that the </w:t>
      </w:r>
      <w:r w:rsidRPr="007D2116">
        <w:t xml:space="preserve">40% of ESF funds allocated to VITEMA </w:t>
      </w:r>
      <w:r w:rsidRPr="00AE31B6">
        <w:t>was to be used entirely for 911/E911 support of PSAPs.</w:t>
      </w:r>
      <w:r>
        <w:rPr>
          <w:rStyle w:val="FootnoteReference"/>
        </w:rPr>
        <w:footnoteReference w:id="87"/>
      </w:r>
      <w:r w:rsidRPr="001844D1">
        <w:t xml:space="preserve"> </w:t>
      </w:r>
      <w:r w:rsidRPr="007D2116">
        <w:t xml:space="preserve"> Further, the Commission stated that “[t]</w:t>
      </w:r>
      <w:r w:rsidRPr="007D2116">
        <w:t>hese</w:t>
      </w:r>
      <w:r w:rsidRPr="007D2116">
        <w:t xml:space="preserve"> percentages are set by statute and cannot be alte</w:t>
      </w:r>
      <w:r w:rsidRPr="00AE31B6">
        <w:t>red.  In addition, by statute, the ESF is separate from all other U.S. Virgin Islands accounts, and ESF funds cannot be commingled with or redirected to the general fund or any other account.</w:t>
      </w:r>
      <w:r w:rsidRPr="00666744">
        <w:t xml:space="preserve"> </w:t>
      </w:r>
      <w:r w:rsidRPr="000E6A2A">
        <w:t xml:space="preserve"> As a practical matter, this means that of every $2.00 fee colle</w:t>
      </w:r>
      <w:r w:rsidRPr="0012228D">
        <w:t>cted, $0.80 is obligated for 911/E911 uses.”</w:t>
      </w:r>
      <w:r>
        <w:rPr>
          <w:rStyle w:val="FootnoteReference"/>
        </w:rPr>
        <w:footnoteReference w:id="88"/>
      </w:r>
      <w:r w:rsidRPr="001844D1">
        <w:t xml:space="preserve"> </w:t>
      </w:r>
      <w:r w:rsidRPr="007D2116">
        <w:t xml:space="preserve"> The Commission concluded that “per the U.S. Virgin Islands statute, the fees collected for 911/E911 uses are entirely severable and traceable to the 911/E911 uses for which they are intended, and the U.S. Vir</w:t>
      </w:r>
      <w:r w:rsidRPr="00AE31B6">
        <w:t>gin Islands is obligated to spend the funds on these 911/E911 uses</w:t>
      </w:r>
      <w:r w:rsidRPr="00666744">
        <w:t>.”</w:t>
      </w:r>
      <w:r>
        <w:rPr>
          <w:rStyle w:val="FootnoteReference"/>
        </w:rPr>
        <w:footnoteReference w:id="89"/>
      </w:r>
      <w:r w:rsidRPr="001844D1">
        <w:t xml:space="preserve"> </w:t>
      </w:r>
      <w:r w:rsidRPr="007D2116">
        <w:t xml:space="preserve"> Thus, the Commission found that the U.S. Virgin Islands had not diverted funds.</w:t>
      </w:r>
      <w:r>
        <w:rPr>
          <w:rStyle w:val="FootnoteReference"/>
        </w:rPr>
        <w:footnoteReference w:id="90"/>
      </w:r>
    </w:p>
    <w:p w:rsidR="008828A9" w:rsidRPr="001844D1" w:rsidP="008828A9" w14:paraId="0511A8DA" w14:textId="77777777">
      <w:pPr>
        <w:pStyle w:val="ParaNum"/>
        <w:numPr>
          <w:ilvl w:val="0"/>
          <w:numId w:val="3"/>
        </w:numPr>
        <w:tabs>
          <w:tab w:val="clear" w:pos="1080"/>
          <w:tab w:val="num" w:pos="1440"/>
        </w:tabs>
      </w:pPr>
      <w:r w:rsidRPr="007D2116">
        <w:t>Should the Commission provide further guidance on determining whether fees labeled for “public safety,</w:t>
      </w:r>
      <w:r w:rsidRPr="00AE31B6">
        <w:t xml:space="preserve">” “emergency services,” or similar purposes are 911 fees within the meaning of the NET 911 Act?  In addition, should the Commission provide additional guidance on determining </w:t>
      </w:r>
      <w:r w:rsidRPr="00666744">
        <w:t xml:space="preserve">circumstances in which </w:t>
      </w:r>
      <w:r w:rsidRPr="000E6A2A">
        <w:t xml:space="preserve">a state’s use of such fees constitutes 911 fee diversion? </w:t>
      </w:r>
      <w:r w:rsidRPr="0012228D">
        <w:t xml:space="preserve"> What criteria should the Commission use to make such determinations?  Could we expand the analytical framework used for the U.S. Virgin Islands surcharge to other public safety fees that are not exclusively labeled or intended for 911 support?  </w:t>
      </w:r>
    </w:p>
    <w:p w:rsidR="008828A9" w:rsidRPr="00AE31B6" w:rsidP="008828A9" w14:paraId="11876567" w14:textId="77777777">
      <w:pPr>
        <w:pStyle w:val="ParaNum"/>
        <w:numPr>
          <w:ilvl w:val="0"/>
          <w:numId w:val="3"/>
        </w:numPr>
        <w:tabs>
          <w:tab w:val="clear" w:pos="1080"/>
          <w:tab w:val="num" w:pos="1440"/>
        </w:tabs>
      </w:pPr>
      <w:r w:rsidRPr="001844D1">
        <w:t>Are there other areas where guidance from the Commission would help to prevent 911 fee diversion?  Should the Commission provide additional guidance on which expenditures specifically related to NG911 are sufficiently related to 911?</w:t>
      </w:r>
      <w:r>
        <w:rPr>
          <w:rStyle w:val="FootnoteReference"/>
        </w:rPr>
        <w:footnoteReference w:id="91"/>
      </w:r>
      <w:r w:rsidRPr="001844D1">
        <w:t xml:space="preserve">  Would it </w:t>
      </w:r>
      <w:r w:rsidRPr="007D2116">
        <w:t xml:space="preserve">be helpful for the Commission to provide guidance on which expenditures related to the COVID-19 pandemic have a sufficient nexus to 911?  If so, which specific expenditures for these purposes should be considered sufficiently related to 911, and which should constitute a diversion of funds?  Is there an appropriate analytical framework for making this distinction?  </w:t>
      </w:r>
    </w:p>
    <w:p w:rsidR="008828A9" w:rsidRPr="001844D1" w:rsidP="008828A9" w14:paraId="1249C85C" w14:textId="77777777">
      <w:pPr>
        <w:pStyle w:val="ParaNum"/>
        <w:numPr>
          <w:ilvl w:val="0"/>
          <w:numId w:val="3"/>
        </w:numPr>
        <w:tabs>
          <w:tab w:val="clear" w:pos="1080"/>
          <w:tab w:val="num" w:pos="1440"/>
        </w:tabs>
      </w:pPr>
      <w:r w:rsidRPr="00666744">
        <w:rPr>
          <w:i/>
          <w:iCs/>
        </w:rPr>
        <w:t>Improving the Accuracy and Granularity of Reports.</w:t>
      </w:r>
      <w:r w:rsidRPr="000E6A2A">
        <w:t xml:space="preserve">  </w:t>
      </w:r>
      <w:r w:rsidRPr="0012228D">
        <w:rPr>
          <w:szCs w:val="22"/>
          <w:shd w:val="clear" w:color="auto" w:fill="FFFFFF"/>
        </w:rPr>
        <w:t xml:space="preserve">Diversion of funds can be more readily </w:t>
      </w:r>
      <w:r w:rsidRPr="001844D1">
        <w:rPr>
          <w:szCs w:val="22"/>
          <w:shd w:val="clear" w:color="auto" w:fill="FFFFFF"/>
        </w:rPr>
        <w:t xml:space="preserve">detected where end use of 911 and E911 funds is being monitored and verified periodically.  </w:t>
      </w:r>
      <w:r w:rsidRPr="001844D1">
        <w:t xml:space="preserve">We seek comment on the sufficiency and accuracy of the information in the Commission’s annual 911 fee reports for identifying 911 fee diversion.  Should the Commission revise the 911 fee report questionnaire to improve the accuracy and granularity of the annual fee reports and, if so, how?  Should states be </w:t>
      </w:r>
      <w:r w:rsidRPr="001844D1">
        <w:t xml:space="preserve">required to provide additional documentation to demonstrate that they have not diverted 911 fees?  For example, should the Commission require states to detail internal controls in place for ensuring that 911/E911 fees are used for their intended purpose and, if so, should the absence of such controls trigger heightened scrutiny?  Have there been instances of fee diversion by states or local jurisdictions that were not identified in the Eleventh Report or prior reports, including by counties or other jurisdictions in states that have local or hybrid fee collection programs?  If so, what steps can the Commission take to improve the quality of reporting and data collection in such states and jurisdictions?  What would be the additional burden on states of filing more detailed reports (e.g., the costs of gathering more detailed information from each county in the state), and would any resulting benefits in accuracy and granularity outweigh any such additional burden?  For diverting states, should the Commission increase the frequency of the current annual data collection, e.g., should the Commission collect data from diverting states on a quarterly basis? </w:t>
      </w:r>
    </w:p>
    <w:p w:rsidR="008828A9" w:rsidRPr="004203C2" w:rsidP="008828A9" w14:paraId="33981DC8" w14:textId="77777777">
      <w:pPr>
        <w:pStyle w:val="Heading1"/>
        <w:rPr>
          <w:rFonts w:ascii="Times New Roman" w:hAnsi="Times New Roman"/>
        </w:rPr>
      </w:pPr>
      <w:bookmarkStart w:id="75" w:name="_Toc480188945"/>
      <w:bookmarkStart w:id="76" w:name="_Toc490724536"/>
      <w:bookmarkStart w:id="77" w:name="_Toc490740628"/>
      <w:bookmarkStart w:id="78" w:name="_Toc490740793"/>
      <w:bookmarkStart w:id="79" w:name="_Toc490744356"/>
      <w:bookmarkStart w:id="80" w:name="_Toc490744505"/>
      <w:bookmarkStart w:id="81" w:name="_Toc490744671"/>
      <w:bookmarkStart w:id="82" w:name="_Toc490744723"/>
      <w:bookmarkStart w:id="83" w:name="_Toc491694431"/>
      <w:bookmarkStart w:id="84" w:name="_Toc491703905"/>
      <w:bookmarkStart w:id="85" w:name="_Toc492052862"/>
      <w:bookmarkStart w:id="86" w:name="_Toc492385858"/>
      <w:bookmarkStart w:id="87" w:name="_Toc492388890"/>
      <w:bookmarkStart w:id="88" w:name="_Toc494192558"/>
      <w:bookmarkStart w:id="89" w:name="_Toc46157935"/>
      <w:bookmarkStart w:id="90" w:name="_Toc47718000"/>
      <w:bookmarkStart w:id="91" w:name="_Toc47718427"/>
      <w:bookmarkStart w:id="92" w:name="_Toc48905878"/>
      <w:bookmarkStart w:id="93" w:name="_Toc48918254"/>
      <w:bookmarkStart w:id="94" w:name="_Toc49272670"/>
      <w:bookmarkStart w:id="95" w:name="_Toc50448338"/>
      <w:r w:rsidRPr="004203C2">
        <w:rPr>
          <w:rFonts w:ascii="Times New Roman" w:hAnsi="Times New Roman"/>
        </w:rPr>
        <w:t>Procedural Matters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4203C2">
        <w:rPr>
          <w:rFonts w:ascii="Times New Roman" w:hAnsi="Times New Roman"/>
        </w:rPr>
        <w:t xml:space="preserve"> </w:t>
      </w:r>
    </w:p>
    <w:p w:rsidR="008828A9" w:rsidRPr="001844D1" w:rsidP="008828A9" w14:paraId="6DBB4983" w14:textId="77777777">
      <w:pPr>
        <w:pStyle w:val="ParaNum"/>
        <w:numPr>
          <w:ilvl w:val="0"/>
          <w:numId w:val="3"/>
        </w:numPr>
        <w:tabs>
          <w:tab w:val="clear" w:pos="1080"/>
          <w:tab w:val="num" w:pos="1440"/>
        </w:tabs>
      </w:pPr>
      <w:r w:rsidRPr="004203C2">
        <w:rPr>
          <w:i/>
          <w:iCs/>
        </w:rPr>
        <w:t xml:space="preserve">Ex </w:t>
      </w:r>
      <w:r w:rsidRPr="004203C2">
        <w:rPr>
          <w:i/>
          <w:iCs/>
        </w:rPr>
        <w:t>Parte</w:t>
      </w:r>
      <w:r w:rsidRPr="004203C2">
        <w:rPr>
          <w:i/>
          <w:iCs/>
        </w:rPr>
        <w:t xml:space="preserve"> Rules</w:t>
      </w:r>
      <w:r w:rsidRPr="001844D1">
        <w:t>.  This</w:t>
      </w:r>
      <w:r w:rsidRPr="002C0710">
        <w:t xml:space="preserve"> proceeding shall be treated as a “permit-but-disclose” proceeding in accordance with the Commission’s </w:t>
      </w:r>
      <w:r w:rsidRPr="007D2116">
        <w:rPr>
          <w:i/>
        </w:rPr>
        <w:t xml:space="preserve">ex </w:t>
      </w:r>
      <w:r w:rsidRPr="007D2116">
        <w:rPr>
          <w:i/>
        </w:rPr>
        <w:t>parte</w:t>
      </w:r>
      <w:r w:rsidRPr="007D2116">
        <w:rPr>
          <w:i/>
        </w:rPr>
        <w:t xml:space="preserve"> </w:t>
      </w:r>
      <w:r w:rsidRPr="007D2116">
        <w:t>rules.</w:t>
      </w:r>
      <w:r>
        <w:rPr>
          <w:rStyle w:val="FootnoteReference"/>
        </w:rPr>
        <w:footnoteReference w:id="92"/>
      </w:r>
      <w:r w:rsidRPr="001844D1">
        <w:t xml:space="preserve"> </w:t>
      </w:r>
      <w:r w:rsidRPr="007D2116">
        <w:t xml:space="preserve"> Persons making </w:t>
      </w:r>
      <w:r w:rsidRPr="007D2116">
        <w:rPr>
          <w:i/>
        </w:rPr>
        <w:t xml:space="preserve">ex </w:t>
      </w:r>
      <w:r w:rsidRPr="007D2116">
        <w:rPr>
          <w:i/>
        </w:rPr>
        <w:t>parte</w:t>
      </w:r>
      <w:r w:rsidRPr="007D2116">
        <w:rPr>
          <w:i/>
        </w:rPr>
        <w:t xml:space="preserve"> </w:t>
      </w:r>
      <w:r w:rsidRPr="007D211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E31B6">
        <w:rPr>
          <w:i/>
        </w:rPr>
        <w:t xml:space="preserve">ex </w:t>
      </w:r>
      <w:r w:rsidRPr="00AE31B6">
        <w:rPr>
          <w:i/>
        </w:rPr>
        <w:t>parte</w:t>
      </w:r>
      <w:r w:rsidRPr="00AE31B6">
        <w:rPr>
          <w:i/>
        </w:rPr>
        <w:t xml:space="preserve"> </w:t>
      </w:r>
      <w:r w:rsidRPr="00666744">
        <w:t>presentations are reminded that memoranda summarizing the presentation must (1</w:t>
      </w:r>
      <w:r w:rsidRPr="000E6A2A">
        <w:t xml:space="preserve">) list all persons attending or otherwise participating in the meeting at which the </w:t>
      </w:r>
      <w:r w:rsidRPr="0012228D">
        <w:rPr>
          <w:i/>
        </w:rPr>
        <w:t xml:space="preserve">ex </w:t>
      </w:r>
      <w:r w:rsidRPr="0012228D">
        <w:rPr>
          <w:i/>
        </w:rPr>
        <w:t>parte</w:t>
      </w:r>
      <w:r w:rsidRPr="0012228D">
        <w:rPr>
          <w:i/>
        </w:rPr>
        <w:t xml:space="preserve"> </w:t>
      </w:r>
      <w:r w:rsidRPr="001844D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844D1">
        <w:rPr>
          <w:i/>
        </w:rPr>
        <w:t xml:space="preserve">ex </w:t>
      </w:r>
      <w:r w:rsidRPr="001844D1">
        <w:rPr>
          <w:i/>
        </w:rPr>
        <w:t>parte</w:t>
      </w:r>
      <w:r w:rsidRPr="001844D1">
        <w:rPr>
          <w:i/>
        </w:rPr>
        <w:t xml:space="preserve"> </w:t>
      </w:r>
      <w:r w:rsidRPr="001844D1">
        <w:t xml:space="preserve">meetings are deemed to be written </w:t>
      </w:r>
      <w:r w:rsidRPr="001844D1">
        <w:rPr>
          <w:i/>
        </w:rPr>
        <w:t xml:space="preserve">ex </w:t>
      </w:r>
      <w:r w:rsidRPr="001844D1">
        <w:rPr>
          <w:i/>
        </w:rPr>
        <w:t>parte</w:t>
      </w:r>
      <w:r w:rsidRPr="001844D1">
        <w:t xml:space="preserve"> presentations and must be filed consistent with Rule 1.1206(b).  In proceedings governed by Rule 1.49(f) or for which the Commission has made available a method of electronic filing, written </w:t>
      </w:r>
      <w:r w:rsidRPr="001844D1">
        <w:rPr>
          <w:i/>
        </w:rPr>
        <w:t xml:space="preserve">ex </w:t>
      </w:r>
      <w:r w:rsidRPr="001844D1">
        <w:rPr>
          <w:i/>
        </w:rPr>
        <w:t>parte</w:t>
      </w:r>
      <w:r w:rsidRPr="001844D1">
        <w:rPr>
          <w:i/>
        </w:rPr>
        <w:t xml:space="preserve"> </w:t>
      </w:r>
      <w:r w:rsidRPr="001844D1">
        <w:t xml:space="preserve">presentations and memoranda summarizing oral </w:t>
      </w:r>
      <w:r w:rsidRPr="001844D1">
        <w:rPr>
          <w:i/>
        </w:rPr>
        <w:t xml:space="preserve">ex </w:t>
      </w:r>
      <w:r w:rsidRPr="001844D1">
        <w:rPr>
          <w:i/>
        </w:rPr>
        <w:t>parte</w:t>
      </w:r>
      <w:r w:rsidRPr="001844D1">
        <w:rPr>
          <w:i/>
        </w:rPr>
        <w:t xml:space="preserve"> </w:t>
      </w:r>
      <w:r w:rsidRPr="001844D1">
        <w:t>presentations, and all attachments thereto, must be filed through the electronic comment filing system available for that proceeding, and must be filed in their native format (</w:t>
      </w:r>
      <w:r w:rsidRPr="001844D1">
        <w:rPr>
          <w:i/>
        </w:rPr>
        <w:t>e.g.</w:t>
      </w:r>
      <w:r w:rsidRPr="001844D1">
        <w:t xml:space="preserve">, .doc, .xml, .ppt, searchable .pdf).  Participants in this proceeding should familiarize themselves with the Commission’s </w:t>
      </w:r>
      <w:r w:rsidRPr="001844D1">
        <w:rPr>
          <w:i/>
        </w:rPr>
        <w:t xml:space="preserve">ex </w:t>
      </w:r>
      <w:r w:rsidRPr="001844D1">
        <w:rPr>
          <w:i/>
        </w:rPr>
        <w:t>parte</w:t>
      </w:r>
      <w:r w:rsidRPr="001844D1">
        <w:rPr>
          <w:i/>
        </w:rPr>
        <w:t xml:space="preserve"> </w:t>
      </w:r>
      <w:r w:rsidRPr="001844D1">
        <w:t>rules.</w:t>
      </w:r>
    </w:p>
    <w:p w:rsidR="008828A9" w:rsidRPr="0012228D" w:rsidP="008828A9" w14:paraId="450007D9" w14:textId="77777777">
      <w:pPr>
        <w:pStyle w:val="ParaNum"/>
        <w:numPr>
          <w:ilvl w:val="0"/>
          <w:numId w:val="3"/>
        </w:numPr>
        <w:tabs>
          <w:tab w:val="clear" w:pos="1080"/>
          <w:tab w:val="num" w:pos="1440"/>
        </w:tabs>
      </w:pPr>
      <w:r w:rsidRPr="004203C2">
        <w:rPr>
          <w:i/>
          <w:iCs/>
        </w:rPr>
        <w:t>Comment Filing Procedures</w:t>
      </w:r>
      <w:r w:rsidRPr="001844D1">
        <w:t>.  Pursuant to Sections 1.415</w:t>
      </w:r>
      <w:r w:rsidRPr="002C0710">
        <w:t>, 1.419 and 1.430 of the Commission’s rules, 47 CFR §§ 1.415, 1.419</w:t>
      </w:r>
      <w:r w:rsidRPr="007D2116">
        <w:t>, 1.430</w:t>
      </w:r>
      <w:r w:rsidRPr="00AE31B6">
        <w:t xml:space="preserve">, interested parties may file comments and reply comments on or before the dates indicated on the first page of this document.  Comments may be filed using the Commission’s Electronic Comment Filing System (ECFS).  </w:t>
      </w:r>
      <w:r w:rsidRPr="00666744">
        <w:rPr>
          <w:i/>
        </w:rPr>
        <w:t>See Electronic Filing of Documents in Rulemaking Proceedings</w:t>
      </w:r>
      <w:r w:rsidRPr="000E6A2A">
        <w:t>, 63 FR 24121 (1998).</w:t>
      </w:r>
    </w:p>
    <w:p w:rsidR="008828A9" w:rsidRPr="007D2116" w:rsidP="008828A9" w14:paraId="2D39E0FB" w14:textId="77777777">
      <w:pPr>
        <w:pStyle w:val="ParaNum"/>
        <w:numPr>
          <w:ilvl w:val="0"/>
          <w:numId w:val="5"/>
        </w:numPr>
      </w:pPr>
      <w:r w:rsidRPr="001844D1">
        <w:t xml:space="preserve">Electronic Filers:  Comments may be filed electronically using the Internet by accessing the ECFS:  </w:t>
      </w:r>
      <w:hyperlink r:id="rId5" w:history="1">
        <w:r w:rsidRPr="007D2116">
          <w:rPr>
            <w:color w:val="0000FF"/>
            <w:szCs w:val="22"/>
            <w:u w:val="single"/>
          </w:rPr>
          <w:t>https://www.fcc.gov/ecfs/</w:t>
        </w:r>
      </w:hyperlink>
      <w:r w:rsidRPr="001844D1">
        <w:t>.</w:t>
      </w:r>
    </w:p>
    <w:p w:rsidR="008828A9" w:rsidRPr="001844D1" w:rsidP="008828A9" w14:paraId="2078CC29" w14:textId="77777777">
      <w:pPr>
        <w:pStyle w:val="ParaNum"/>
        <w:numPr>
          <w:ilvl w:val="0"/>
          <w:numId w:val="5"/>
        </w:numPr>
      </w:pPr>
      <w:r w:rsidRPr="007D2116">
        <w:t xml:space="preserve">Paper Filers:  Parties who choose to file by paper must file an original and one copy of each filing.  </w:t>
      </w:r>
      <w:r w:rsidRPr="00AE31B6">
        <w:t xml:space="preserve">During the </w:t>
      </w:r>
      <w:r w:rsidRPr="00666744">
        <w:t xml:space="preserve">time the Commission’s building is closed to the general public and until further notice, if </w:t>
      </w:r>
      <w:r w:rsidRPr="000E6A2A">
        <w:t>more than one docket or rulemaking number appears in the caption of a proceeding, paper filers need not submit two additional copies for each additional docket or r</w:t>
      </w:r>
      <w:r w:rsidRPr="0012228D">
        <w:t>ulemaking number; an original and one copy are sufficient.</w:t>
      </w:r>
    </w:p>
    <w:p w:rsidR="008828A9" w:rsidRPr="001844D1" w:rsidP="008828A9" w14:paraId="553D059A" w14:textId="77777777">
      <w:pPr>
        <w:pStyle w:val="ParaNum"/>
        <w:numPr>
          <w:ilvl w:val="0"/>
          <w:numId w:val="5"/>
        </w:numPr>
      </w:pPr>
      <w:r w:rsidRPr="001844D1">
        <w:t>Filings can be sent by commercial overnight courier, or by first-class or overnight U.S. Postal Service mail.  All filings must be addressed to the Commission’s Secretary, Office of the Secretary, Federal Communications Commission.</w:t>
      </w:r>
    </w:p>
    <w:p w:rsidR="008828A9" w:rsidRPr="001844D1" w:rsidP="0035391C" w14:paraId="210CD471" w14:textId="77777777">
      <w:pPr>
        <w:pStyle w:val="ParaNum"/>
        <w:widowControl/>
        <w:numPr>
          <w:ilvl w:val="0"/>
          <w:numId w:val="5"/>
        </w:numPr>
      </w:pPr>
      <w:r w:rsidRPr="001844D1">
        <w:t>Commercial overnight mail (other than U.S. Postal Service Express Mail and Priority Mail) must be sent to 9050 Junction Drive, Annapolis Junction, MD 20701.  U.S. Postal Service first-class, Express, and Priority mail must be addressed to 445 12th Street, SW, Washington DC  20554.</w:t>
      </w:r>
    </w:p>
    <w:p w:rsidR="008828A9" w:rsidRPr="007D2116" w:rsidP="008828A9" w14:paraId="043EB152" w14:textId="77777777">
      <w:pPr>
        <w:pStyle w:val="ParaNum"/>
        <w:numPr>
          <w:ilvl w:val="0"/>
          <w:numId w:val="5"/>
        </w:numPr>
      </w:pPr>
      <w:r w:rsidRPr="001844D1">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1844D1">
        <w:rPr>
          <w:i/>
          <w:iCs/>
        </w:rPr>
        <w:t>See</w:t>
      </w:r>
      <w:r w:rsidRPr="001844D1">
        <w:t xml:space="preserve"> FCC Announces Closure of FCC Headquarters Open Window and Change in Hand-Delivery Policy, Public Notice, DA 20-304 (March 19, 2020), </w:t>
      </w:r>
      <w:bookmarkStart w:id="96" w:name="_Toc490724539"/>
      <w:bookmarkStart w:id="97" w:name="_Toc490740631"/>
      <w:bookmarkStart w:id="98" w:name="_Toc490740796"/>
      <w:bookmarkStart w:id="99" w:name="_Toc490744359"/>
      <w:bookmarkStart w:id="100" w:name="_Toc490744508"/>
      <w:bookmarkStart w:id="101" w:name="_Toc490744674"/>
      <w:bookmarkStart w:id="102" w:name="_Toc490744726"/>
      <w:bookmarkStart w:id="103" w:name="_Toc491694434"/>
      <w:bookmarkStart w:id="104" w:name="_Toc491703908"/>
      <w:bookmarkStart w:id="105" w:name="_Toc492052865"/>
      <w:bookmarkStart w:id="106" w:name="_Toc492385861"/>
      <w:bookmarkStart w:id="107" w:name="_Toc492388893"/>
      <w:bookmarkStart w:id="108" w:name="_Toc494192561"/>
      <w:bookmarkStart w:id="109" w:name="_Toc46157938"/>
      <w:hyperlink r:id="rId6" w:history="1">
        <w:r w:rsidRPr="007D2116">
          <w:rPr>
            <w:rStyle w:val="Hyperlink"/>
          </w:rPr>
          <w:t>https://www.fcc.gov/document/fcc-closes-headquarters-open-window-and-changes-hand-delivery-policy</w:t>
        </w:r>
      </w:hyperlink>
      <w:r w:rsidRPr="001844D1">
        <w:t>.</w:t>
      </w:r>
    </w:p>
    <w:p w:rsidR="008828A9" w:rsidRPr="007D2116" w:rsidP="008828A9" w14:paraId="74254817" w14:textId="77777777">
      <w:pPr>
        <w:pStyle w:val="ParaNum"/>
        <w:numPr>
          <w:ilvl w:val="0"/>
          <w:numId w:val="5"/>
        </w:numPr>
      </w:pPr>
      <w:r w:rsidRPr="00AE31B6">
        <w:t xml:space="preserve">People with Disabilities:  To request materials in accessible formats for people with disabilities (Braille, large print, electronic files, audio format), send an e-mail to </w:t>
      </w:r>
      <w:hyperlink r:id="rId7" w:history="1">
        <w:r w:rsidRPr="007D2116">
          <w:rPr>
            <w:rStyle w:val="Hyperlink"/>
          </w:rPr>
          <w:t>fcc504@fcc.gov</w:t>
        </w:r>
      </w:hyperlink>
      <w:r w:rsidRPr="001844D1">
        <w:t xml:space="preserve"> or call the Consumer and Governmental Affairs Bureau at (202) 418-0530 (voice).</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8828A9" w:rsidRPr="007D2116" w:rsidP="008828A9" w14:paraId="554B8820" w14:textId="77777777">
      <w:pPr>
        <w:pStyle w:val="ParaNum"/>
        <w:numPr>
          <w:ilvl w:val="0"/>
          <w:numId w:val="3"/>
        </w:numPr>
        <w:tabs>
          <w:tab w:val="clear" w:pos="1080"/>
          <w:tab w:val="num" w:pos="1440"/>
        </w:tabs>
      </w:pPr>
      <w:r w:rsidRPr="004203C2">
        <w:rPr>
          <w:i/>
          <w:iCs/>
        </w:rPr>
        <w:t>Contact Person</w:t>
      </w:r>
      <w:r w:rsidRPr="001844D1">
        <w:t xml:space="preserve">.  For further </w:t>
      </w:r>
      <w:r w:rsidRPr="002C0710">
        <w:t>information about this proceeding, please contact</w:t>
      </w:r>
      <w:r w:rsidRPr="007D2116">
        <w:t xml:space="preserve"> Brenda Boykin, Attorney-Advisor, Public Safety and Homeland Security Bureau, Policy and Licensing Division, (202) 418-2062</w:t>
      </w:r>
      <w:r w:rsidRPr="00AE31B6">
        <w:t xml:space="preserve">, </w:t>
      </w:r>
      <w:hyperlink r:id="rId8" w:history="1">
        <w:r w:rsidRPr="007D2116">
          <w:rPr>
            <w:rStyle w:val="Hyperlink"/>
          </w:rPr>
          <w:t>Brenda.Boykin@fcc.gov</w:t>
        </w:r>
      </w:hyperlink>
      <w:r w:rsidRPr="001844D1">
        <w:t>, and Jill Cooga</w:t>
      </w:r>
      <w:r w:rsidRPr="007D2116">
        <w:t xml:space="preserve">n, Attorney-Advisor, Public Safety and Homeland Security Bureau, Policy and Licensing Division, (202) 418-1499, </w:t>
      </w:r>
      <w:hyperlink r:id="rId9" w:history="1">
        <w:r w:rsidRPr="007D2116">
          <w:rPr>
            <w:rStyle w:val="Hyperlink"/>
          </w:rPr>
          <w:t>Jill.Coogan@fcc.gov</w:t>
        </w:r>
      </w:hyperlink>
      <w:r w:rsidRPr="001844D1">
        <w:t xml:space="preserve">. </w:t>
      </w:r>
    </w:p>
    <w:p w:rsidR="008828A9" w:rsidRPr="004203C2" w:rsidP="008828A9" w14:paraId="4DB21182" w14:textId="77777777">
      <w:pPr>
        <w:pStyle w:val="Heading1"/>
        <w:rPr>
          <w:rFonts w:ascii="Times New Roman" w:hAnsi="Times New Roman"/>
        </w:rPr>
      </w:pPr>
      <w:bookmarkStart w:id="110" w:name="_Toc480188946"/>
      <w:bookmarkStart w:id="111" w:name="_Toc490724540"/>
      <w:bookmarkStart w:id="112" w:name="_Toc490740632"/>
      <w:bookmarkStart w:id="113" w:name="_Toc490740797"/>
      <w:bookmarkStart w:id="114" w:name="_Toc490744360"/>
      <w:bookmarkStart w:id="115" w:name="_Toc490744509"/>
      <w:bookmarkStart w:id="116" w:name="_Toc490744675"/>
      <w:bookmarkStart w:id="117" w:name="_Toc490744727"/>
      <w:bookmarkStart w:id="118" w:name="_Toc491694435"/>
      <w:bookmarkStart w:id="119" w:name="_Toc491703909"/>
      <w:bookmarkStart w:id="120" w:name="_Toc492052866"/>
      <w:bookmarkStart w:id="121" w:name="_Toc492385862"/>
      <w:bookmarkStart w:id="122" w:name="_Toc492388894"/>
      <w:bookmarkStart w:id="123" w:name="_Toc494192562"/>
      <w:bookmarkStart w:id="124" w:name="_Toc46157939"/>
      <w:bookmarkStart w:id="125" w:name="_Toc47718004"/>
      <w:bookmarkStart w:id="126" w:name="_Toc47718431"/>
      <w:bookmarkStart w:id="127" w:name="_Toc48905882"/>
      <w:bookmarkStart w:id="128" w:name="_Toc48918258"/>
      <w:bookmarkStart w:id="129" w:name="_Toc49272674"/>
      <w:bookmarkStart w:id="130" w:name="_Toc50448339"/>
      <w:r w:rsidRPr="004203C2">
        <w:rPr>
          <w:rFonts w:ascii="Times New Roman" w:hAnsi="Times New Roman"/>
        </w:rPr>
        <w:t>ordering clause</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8828A9" w:rsidRPr="00172474" w:rsidP="008828A9" w14:paraId="435698EB" w14:textId="03EAF7ED">
      <w:pPr>
        <w:pStyle w:val="ParaNum"/>
        <w:numPr>
          <w:ilvl w:val="0"/>
          <w:numId w:val="3"/>
        </w:numPr>
        <w:tabs>
          <w:tab w:val="clear" w:pos="1080"/>
          <w:tab w:val="num" w:pos="1440"/>
        </w:tabs>
      </w:pPr>
      <w:r w:rsidRPr="001844D1">
        <w:t>Accordingly, IT IS ORDERED that, pursuant to the authority contained in Sections 1, 4(i), 4(j), 4(</w:t>
      </w:r>
      <w:r w:rsidRPr="007D2116">
        <w:t>n)</w:t>
      </w:r>
      <w:r w:rsidRPr="00AE31B6">
        <w:t xml:space="preserve">, 201(b), 251(e), </w:t>
      </w:r>
      <w:r w:rsidR="006E3DA4">
        <w:t xml:space="preserve">and </w:t>
      </w:r>
      <w:r w:rsidRPr="00AE31B6">
        <w:t>403</w:t>
      </w:r>
      <w:r w:rsidR="00340BFD">
        <w:t xml:space="preserve"> </w:t>
      </w:r>
      <w:r w:rsidRPr="000E6A2A">
        <w:t>of the Communications Act of 1934, as amended,</w:t>
      </w:r>
      <w:r w:rsidR="006E3DA4">
        <w:t xml:space="preserve"> </w:t>
      </w:r>
      <w:r w:rsidRPr="000E6A2A" w:rsidR="006E3DA4">
        <w:t>47 U.S.C</w:t>
      </w:r>
      <w:r w:rsidRPr="0012228D" w:rsidR="006E3DA4">
        <w:t>.</w:t>
      </w:r>
      <w:r w:rsidRPr="001844D1" w:rsidR="006E3DA4">
        <w:t xml:space="preserve"> §§ 151, 154(i), 154(j), 154(n), 201(b), 251(e), </w:t>
      </w:r>
      <w:r w:rsidR="006E3DA4">
        <w:t xml:space="preserve">and </w:t>
      </w:r>
      <w:r w:rsidRPr="001844D1" w:rsidR="006E3DA4">
        <w:t xml:space="preserve">403, </w:t>
      </w:r>
      <w:r w:rsidRPr="006744B5" w:rsidR="003F1ECE">
        <w:t xml:space="preserve">and </w:t>
      </w:r>
      <w:r w:rsidRPr="00EE0B24" w:rsidR="00AA0E7F">
        <w:t>Sections 101(1)-(3) and 201(b) of</w:t>
      </w:r>
      <w:r w:rsidR="00AA0E7F">
        <w:rPr>
          <w:color w:val="FF0000"/>
        </w:rPr>
        <w:t xml:space="preserve"> </w:t>
      </w:r>
      <w:r w:rsidRPr="006744B5" w:rsidR="003F1ECE">
        <w:t xml:space="preserve">the </w:t>
      </w:r>
      <w:r w:rsidRPr="006744B5" w:rsidR="003F1ECE">
        <w:rPr>
          <w:shd w:val="clear" w:color="auto" w:fill="FFFFFF"/>
        </w:rPr>
        <w:t>New and Emerging Technologies 911 Improvement Act of 2008,</w:t>
      </w:r>
      <w:r w:rsidRPr="006744B5">
        <w:t xml:space="preserve"> </w:t>
      </w:r>
      <w:r w:rsidRPr="000E6A2A" w:rsidR="006E3DA4">
        <w:t>47 U.S.C</w:t>
      </w:r>
      <w:r w:rsidRPr="0012228D" w:rsidR="006E3DA4">
        <w:t>.</w:t>
      </w:r>
      <w:r w:rsidRPr="001844D1" w:rsidR="006E3DA4">
        <w:t xml:space="preserve"> §§</w:t>
      </w:r>
      <w:r w:rsidRPr="00666744" w:rsidR="006E3DA4">
        <w:t xml:space="preserve"> 615a-1 and 615b</w:t>
      </w:r>
      <w:r w:rsidRPr="001844D1">
        <w:t xml:space="preserve">, this Notice of Inquiry </w:t>
      </w:r>
      <w:r w:rsidRPr="001844D1">
        <w:rPr>
          <w:b/>
        </w:rPr>
        <w:t xml:space="preserve">IS ADOPTED.  </w:t>
      </w:r>
    </w:p>
    <w:p w:rsidR="00172474" w:rsidRPr="0035391C" w:rsidP="0035391C" w14:paraId="27AAEF64" w14:textId="63AEA5A5">
      <w:pPr>
        <w:pStyle w:val="ParaNum"/>
        <w:numPr>
          <w:ilvl w:val="0"/>
          <w:numId w:val="0"/>
        </w:numPr>
        <w:ind w:left="720"/>
        <w:rPr>
          <w:b/>
        </w:rPr>
      </w:pPr>
    </w:p>
    <w:p w:rsidR="00172474" w:rsidRPr="001844D1" w:rsidP="00172474" w14:paraId="142E67EA" w14:textId="77777777">
      <w:pPr>
        <w:pStyle w:val="ParaNum"/>
        <w:numPr>
          <w:ilvl w:val="0"/>
          <w:numId w:val="0"/>
        </w:numPr>
        <w:ind w:left="720"/>
      </w:pPr>
    </w:p>
    <w:p w:rsidR="00172474" w:rsidP="0029102F" w14:paraId="716C49EC" w14:textId="77777777">
      <w:r>
        <w:tab/>
      </w:r>
      <w:r>
        <w:tab/>
      </w:r>
      <w:r>
        <w:tab/>
      </w:r>
      <w:r>
        <w:tab/>
      </w:r>
      <w:r>
        <w:tab/>
      </w:r>
      <w:r>
        <w:tab/>
        <w:t>FEDERAL COMMUNICATIONS COMMISSION</w:t>
      </w:r>
    </w:p>
    <w:p w:rsidR="00172474" w:rsidP="0029102F" w14:paraId="625CC470" w14:textId="77777777"/>
    <w:p w:rsidR="00172474" w:rsidP="0029102F" w14:paraId="1BE8F77F" w14:textId="77777777"/>
    <w:p w:rsidR="00172474" w:rsidP="0029102F" w14:paraId="536B91D0" w14:textId="77777777"/>
    <w:p w:rsidR="00172474" w:rsidP="0029102F" w14:paraId="60C5A7C3" w14:textId="77777777"/>
    <w:p w:rsidR="00172474" w:rsidP="0029102F" w14:paraId="19C1BD75" w14:textId="77777777">
      <w:r>
        <w:tab/>
      </w:r>
      <w:r>
        <w:tab/>
      </w:r>
      <w:r>
        <w:tab/>
      </w:r>
      <w:r>
        <w:tab/>
      </w:r>
      <w:r>
        <w:tab/>
      </w:r>
      <w:r>
        <w:tab/>
        <w:t>Marlene H. Dortch</w:t>
      </w:r>
    </w:p>
    <w:p w:rsidR="008828A9" w:rsidRPr="001844D1" w:rsidP="008828A9" w14:paraId="34216BF6" w14:textId="6AED8B4C">
      <w:pPr>
        <w:widowControl/>
      </w:pPr>
      <w:r>
        <w:tab/>
      </w:r>
      <w:r>
        <w:tab/>
      </w:r>
      <w:r>
        <w:tab/>
      </w:r>
      <w:r>
        <w:tab/>
      </w:r>
      <w:r>
        <w:tab/>
      </w:r>
      <w:r>
        <w:tab/>
        <w:t>Secretar</w:t>
      </w:r>
      <w:r w:rsidR="00F825D3">
        <w:t>y</w:t>
      </w:r>
    </w:p>
    <w:p w:rsidR="00F825D3" w:rsidP="00172474" w14:paraId="1A3FF911" w14:textId="269B3E16">
      <w:pPr>
        <w:sectPr w:rsidSect="0055614C">
          <w:headerReference w:type="even" r:id="rId10"/>
          <w:headerReference w:type="default" r:id="rId11"/>
          <w:footerReference w:type="even" r:id="rId12"/>
          <w:headerReference w:type="first" r:id="rId13"/>
          <w:endnotePr>
            <w:numFmt w:val="decimal"/>
          </w:endnotePr>
          <w:pgSz w:w="12240" w:h="15840"/>
          <w:pgMar w:top="1440" w:right="1440" w:bottom="720" w:left="1440" w:header="720" w:footer="720" w:gutter="0"/>
          <w:pgNumType w:start="1"/>
          <w:cols w:space="720"/>
          <w:noEndnote/>
          <w:titlePg/>
        </w:sectPr>
      </w:pPr>
    </w:p>
    <w:p w:rsidR="008828A9" w:rsidRPr="0035391C" w:rsidP="0035391C" w14:paraId="43F92B87" w14:textId="57834237">
      <w:pPr>
        <w:jc w:val="center"/>
      </w:pPr>
      <w:r w:rsidRPr="001844D1">
        <w:rPr>
          <w:b/>
        </w:rPr>
        <w:t>APPENDIX A</w:t>
      </w:r>
    </w:p>
    <w:p w:rsidR="008828A9" w:rsidRPr="001844D1" w:rsidP="008828A9" w14:paraId="4907C02C" w14:textId="77777777">
      <w:pPr>
        <w:pStyle w:val="ParaNum"/>
        <w:numPr>
          <w:ilvl w:val="0"/>
          <w:numId w:val="0"/>
        </w:numPr>
        <w:ind w:left="720"/>
      </w:pPr>
    </w:p>
    <w:p w:rsidR="008828A9" w:rsidRPr="001844D1" w:rsidP="008828A9" w14:paraId="49642190" w14:textId="5319821C">
      <w:pPr>
        <w:pStyle w:val="ParaNum"/>
        <w:keepNext/>
        <w:numPr>
          <w:ilvl w:val="0"/>
          <w:numId w:val="0"/>
        </w:numPr>
        <w:spacing w:after="0"/>
        <w:jc w:val="center"/>
        <w:rPr>
          <w:b/>
          <w:u w:val="single"/>
        </w:rPr>
      </w:pPr>
      <w:r w:rsidRPr="001844D1">
        <w:rPr>
          <w:b/>
          <w:u w:val="single"/>
        </w:rPr>
        <w:t>States/Jurisdictions Identified as Diverting 911/E911 Funds (2009-2019)</w:t>
      </w:r>
      <w:r>
        <w:rPr>
          <w:rStyle w:val="FootnoteReference"/>
          <w:b/>
          <w:u w:val="single"/>
        </w:rPr>
        <w:footnoteReference w:id="93"/>
      </w:r>
    </w:p>
    <w:p w:rsidR="008828A9" w:rsidRPr="007D2116" w:rsidP="008828A9" w14:paraId="21687964" w14:textId="77777777">
      <w:pPr>
        <w:pStyle w:val="ParaNum"/>
        <w:keepNext/>
        <w:numPr>
          <w:ilvl w:val="0"/>
          <w:numId w:val="0"/>
        </w:num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720"/>
        <w:gridCol w:w="720"/>
        <w:gridCol w:w="720"/>
        <w:gridCol w:w="720"/>
        <w:gridCol w:w="720"/>
        <w:gridCol w:w="720"/>
        <w:gridCol w:w="720"/>
        <w:gridCol w:w="720"/>
        <w:gridCol w:w="720"/>
        <w:gridCol w:w="720"/>
        <w:gridCol w:w="720"/>
      </w:tblGrid>
      <w:tr w14:paraId="7CBC7081" w14:textId="77777777" w:rsidTr="006744B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2"/>
        </w:trPr>
        <w:tc>
          <w:tcPr>
            <w:tcW w:w="1317" w:type="dxa"/>
            <w:shd w:val="clear" w:color="auto" w:fill="auto"/>
            <w:hideMark/>
          </w:tcPr>
          <w:p w:rsidR="008828A9" w:rsidRPr="00AE31B6" w:rsidP="006744B5" w14:paraId="4005B045" w14:textId="77777777">
            <w:pPr>
              <w:rPr>
                <w:b/>
                <w:sz w:val="20"/>
              </w:rPr>
            </w:pPr>
            <w:r w:rsidRPr="00AE31B6">
              <w:rPr>
                <w:b/>
                <w:sz w:val="20"/>
              </w:rPr>
              <w:t>Report Year</w:t>
            </w:r>
          </w:p>
        </w:tc>
        <w:tc>
          <w:tcPr>
            <w:tcW w:w="720" w:type="dxa"/>
            <w:shd w:val="clear" w:color="auto" w:fill="auto"/>
            <w:hideMark/>
          </w:tcPr>
          <w:p w:rsidR="008828A9" w:rsidRPr="000E6A2A" w:rsidP="006744B5" w14:paraId="354810B9" w14:textId="77777777">
            <w:pPr>
              <w:rPr>
                <w:b/>
                <w:sz w:val="20"/>
              </w:rPr>
            </w:pPr>
            <w:r w:rsidRPr="00666744">
              <w:rPr>
                <w:b/>
                <w:sz w:val="20"/>
              </w:rPr>
              <w:t>2009</w:t>
            </w:r>
          </w:p>
        </w:tc>
        <w:tc>
          <w:tcPr>
            <w:tcW w:w="720" w:type="dxa"/>
            <w:shd w:val="clear" w:color="auto" w:fill="auto"/>
            <w:hideMark/>
          </w:tcPr>
          <w:p w:rsidR="008828A9" w:rsidRPr="001844D1" w:rsidP="006744B5" w14:paraId="28B651E4" w14:textId="77777777">
            <w:pPr>
              <w:rPr>
                <w:b/>
                <w:sz w:val="20"/>
              </w:rPr>
            </w:pPr>
            <w:r w:rsidRPr="0012228D">
              <w:rPr>
                <w:b/>
                <w:sz w:val="20"/>
              </w:rPr>
              <w:t>2010</w:t>
            </w:r>
          </w:p>
        </w:tc>
        <w:tc>
          <w:tcPr>
            <w:tcW w:w="720" w:type="dxa"/>
            <w:shd w:val="clear" w:color="auto" w:fill="auto"/>
            <w:hideMark/>
          </w:tcPr>
          <w:p w:rsidR="008828A9" w:rsidRPr="001844D1" w:rsidP="006744B5" w14:paraId="757052A5" w14:textId="77777777">
            <w:pPr>
              <w:rPr>
                <w:b/>
                <w:sz w:val="20"/>
              </w:rPr>
            </w:pPr>
            <w:r w:rsidRPr="001844D1">
              <w:rPr>
                <w:b/>
                <w:sz w:val="20"/>
              </w:rPr>
              <w:t>2011</w:t>
            </w:r>
          </w:p>
        </w:tc>
        <w:tc>
          <w:tcPr>
            <w:tcW w:w="720" w:type="dxa"/>
            <w:shd w:val="clear" w:color="auto" w:fill="auto"/>
            <w:hideMark/>
          </w:tcPr>
          <w:p w:rsidR="008828A9" w:rsidRPr="001844D1" w:rsidP="006744B5" w14:paraId="711F7455" w14:textId="77777777">
            <w:pPr>
              <w:rPr>
                <w:b/>
                <w:sz w:val="20"/>
              </w:rPr>
            </w:pPr>
            <w:r w:rsidRPr="001844D1">
              <w:rPr>
                <w:b/>
                <w:sz w:val="20"/>
              </w:rPr>
              <w:t>2012</w:t>
            </w:r>
          </w:p>
        </w:tc>
        <w:tc>
          <w:tcPr>
            <w:tcW w:w="720" w:type="dxa"/>
            <w:shd w:val="clear" w:color="auto" w:fill="auto"/>
            <w:hideMark/>
          </w:tcPr>
          <w:p w:rsidR="008828A9" w:rsidRPr="001844D1" w:rsidP="006744B5" w14:paraId="5EBECC66" w14:textId="77777777">
            <w:pPr>
              <w:rPr>
                <w:b/>
                <w:sz w:val="20"/>
              </w:rPr>
            </w:pPr>
            <w:r w:rsidRPr="001844D1">
              <w:rPr>
                <w:b/>
                <w:sz w:val="20"/>
              </w:rPr>
              <w:t>2013</w:t>
            </w:r>
          </w:p>
        </w:tc>
        <w:tc>
          <w:tcPr>
            <w:tcW w:w="720" w:type="dxa"/>
            <w:shd w:val="clear" w:color="auto" w:fill="auto"/>
            <w:hideMark/>
          </w:tcPr>
          <w:p w:rsidR="008828A9" w:rsidRPr="001844D1" w:rsidP="006744B5" w14:paraId="58B45812" w14:textId="77777777">
            <w:pPr>
              <w:rPr>
                <w:b/>
                <w:sz w:val="20"/>
              </w:rPr>
            </w:pPr>
            <w:r w:rsidRPr="001844D1">
              <w:rPr>
                <w:b/>
                <w:sz w:val="20"/>
              </w:rPr>
              <w:t>2014</w:t>
            </w:r>
          </w:p>
        </w:tc>
        <w:tc>
          <w:tcPr>
            <w:tcW w:w="720" w:type="dxa"/>
            <w:shd w:val="clear" w:color="auto" w:fill="auto"/>
            <w:hideMark/>
          </w:tcPr>
          <w:p w:rsidR="008828A9" w:rsidRPr="001844D1" w:rsidP="006744B5" w14:paraId="19A37D6A" w14:textId="77777777">
            <w:pPr>
              <w:rPr>
                <w:b/>
                <w:sz w:val="20"/>
              </w:rPr>
            </w:pPr>
            <w:r w:rsidRPr="001844D1">
              <w:rPr>
                <w:b/>
                <w:sz w:val="20"/>
              </w:rPr>
              <w:t>2015</w:t>
            </w:r>
          </w:p>
        </w:tc>
        <w:tc>
          <w:tcPr>
            <w:tcW w:w="720" w:type="dxa"/>
            <w:shd w:val="clear" w:color="auto" w:fill="auto"/>
            <w:hideMark/>
          </w:tcPr>
          <w:p w:rsidR="008828A9" w:rsidRPr="001844D1" w:rsidP="006744B5" w14:paraId="300EFAF0" w14:textId="77777777">
            <w:pPr>
              <w:rPr>
                <w:b/>
                <w:sz w:val="20"/>
              </w:rPr>
            </w:pPr>
            <w:r w:rsidRPr="001844D1">
              <w:rPr>
                <w:b/>
                <w:sz w:val="20"/>
              </w:rPr>
              <w:t>2016</w:t>
            </w:r>
          </w:p>
        </w:tc>
        <w:tc>
          <w:tcPr>
            <w:tcW w:w="720" w:type="dxa"/>
            <w:shd w:val="clear" w:color="auto" w:fill="auto"/>
            <w:hideMark/>
          </w:tcPr>
          <w:p w:rsidR="008828A9" w:rsidRPr="001844D1" w:rsidP="006744B5" w14:paraId="49BDA234" w14:textId="77777777">
            <w:pPr>
              <w:rPr>
                <w:b/>
                <w:sz w:val="20"/>
              </w:rPr>
            </w:pPr>
            <w:r w:rsidRPr="001844D1">
              <w:rPr>
                <w:b/>
                <w:sz w:val="20"/>
              </w:rPr>
              <w:t>2017</w:t>
            </w:r>
          </w:p>
        </w:tc>
        <w:tc>
          <w:tcPr>
            <w:tcW w:w="720" w:type="dxa"/>
            <w:shd w:val="clear" w:color="auto" w:fill="auto"/>
            <w:hideMark/>
          </w:tcPr>
          <w:p w:rsidR="008828A9" w:rsidRPr="001844D1" w:rsidP="006744B5" w14:paraId="0B0476A4" w14:textId="77777777">
            <w:pPr>
              <w:rPr>
                <w:b/>
                <w:sz w:val="20"/>
              </w:rPr>
            </w:pPr>
            <w:r w:rsidRPr="001844D1">
              <w:rPr>
                <w:b/>
                <w:sz w:val="20"/>
              </w:rPr>
              <w:t>2018</w:t>
            </w:r>
          </w:p>
        </w:tc>
        <w:tc>
          <w:tcPr>
            <w:tcW w:w="720" w:type="dxa"/>
            <w:shd w:val="clear" w:color="auto" w:fill="auto"/>
            <w:hideMark/>
          </w:tcPr>
          <w:p w:rsidR="008828A9" w:rsidRPr="001844D1" w:rsidP="006744B5" w14:paraId="45482B93" w14:textId="77777777">
            <w:pPr>
              <w:rPr>
                <w:b/>
                <w:sz w:val="20"/>
              </w:rPr>
            </w:pPr>
            <w:r w:rsidRPr="001844D1">
              <w:rPr>
                <w:b/>
                <w:sz w:val="20"/>
              </w:rPr>
              <w:t>2019</w:t>
            </w:r>
          </w:p>
        </w:tc>
      </w:tr>
      <w:tr w14:paraId="32F1CDC9" w14:textId="77777777" w:rsidTr="006744B5">
        <w:tblPrEx>
          <w:tblW w:w="0" w:type="auto"/>
          <w:tblLook w:val="04A0"/>
        </w:tblPrEx>
        <w:trPr>
          <w:trHeight w:val="315"/>
        </w:trPr>
        <w:tc>
          <w:tcPr>
            <w:tcW w:w="1317" w:type="dxa"/>
            <w:vMerge w:val="restart"/>
            <w:shd w:val="clear" w:color="auto" w:fill="auto"/>
            <w:hideMark/>
          </w:tcPr>
          <w:p w:rsidR="008828A9" w:rsidRPr="001844D1" w:rsidP="006744B5" w14:paraId="6434F75A" w14:textId="77777777">
            <w:pPr>
              <w:rPr>
                <w:b/>
                <w:bCs/>
                <w:sz w:val="20"/>
              </w:rPr>
            </w:pPr>
            <w:r w:rsidRPr="001844D1">
              <w:rPr>
                <w:b/>
                <w:bCs/>
                <w:sz w:val="20"/>
              </w:rPr>
              <w:t>States</w:t>
            </w:r>
          </w:p>
        </w:tc>
        <w:tc>
          <w:tcPr>
            <w:tcW w:w="720" w:type="dxa"/>
            <w:shd w:val="clear" w:color="auto" w:fill="auto"/>
            <w:hideMark/>
          </w:tcPr>
          <w:p w:rsidR="008828A9" w:rsidRPr="001844D1" w:rsidP="006744B5" w14:paraId="5F022683" w14:textId="77777777">
            <w:pPr>
              <w:rPr>
                <w:sz w:val="20"/>
              </w:rPr>
            </w:pPr>
            <w:r w:rsidRPr="001844D1">
              <w:rPr>
                <w:sz w:val="20"/>
              </w:rPr>
              <w:t>RI</w:t>
            </w:r>
          </w:p>
        </w:tc>
        <w:tc>
          <w:tcPr>
            <w:tcW w:w="720" w:type="dxa"/>
            <w:shd w:val="clear" w:color="auto" w:fill="auto"/>
            <w:hideMark/>
          </w:tcPr>
          <w:p w:rsidR="008828A9" w:rsidRPr="001844D1" w:rsidP="006744B5" w14:paraId="708C623A" w14:textId="77777777">
            <w:pPr>
              <w:rPr>
                <w:sz w:val="20"/>
              </w:rPr>
            </w:pPr>
            <w:r w:rsidRPr="001844D1">
              <w:rPr>
                <w:sz w:val="20"/>
              </w:rPr>
              <w:t>RI</w:t>
            </w:r>
          </w:p>
        </w:tc>
        <w:tc>
          <w:tcPr>
            <w:tcW w:w="720" w:type="dxa"/>
            <w:shd w:val="clear" w:color="auto" w:fill="auto"/>
            <w:hideMark/>
          </w:tcPr>
          <w:p w:rsidR="008828A9" w:rsidRPr="001844D1" w:rsidP="006744B5" w14:paraId="54A147D3" w14:textId="77777777">
            <w:pPr>
              <w:rPr>
                <w:sz w:val="20"/>
              </w:rPr>
            </w:pPr>
            <w:r w:rsidRPr="001844D1">
              <w:rPr>
                <w:sz w:val="20"/>
              </w:rPr>
              <w:t>RI</w:t>
            </w:r>
          </w:p>
        </w:tc>
        <w:tc>
          <w:tcPr>
            <w:tcW w:w="720" w:type="dxa"/>
            <w:shd w:val="clear" w:color="auto" w:fill="auto"/>
            <w:hideMark/>
          </w:tcPr>
          <w:p w:rsidR="008828A9" w:rsidRPr="001844D1" w:rsidP="006744B5" w14:paraId="4A4D5420" w14:textId="77777777">
            <w:pPr>
              <w:rPr>
                <w:sz w:val="20"/>
              </w:rPr>
            </w:pPr>
            <w:r w:rsidRPr="001844D1">
              <w:rPr>
                <w:sz w:val="20"/>
              </w:rPr>
              <w:t>RI</w:t>
            </w:r>
          </w:p>
        </w:tc>
        <w:tc>
          <w:tcPr>
            <w:tcW w:w="720" w:type="dxa"/>
            <w:shd w:val="clear" w:color="auto" w:fill="auto"/>
            <w:hideMark/>
          </w:tcPr>
          <w:p w:rsidR="008828A9" w:rsidRPr="001844D1" w:rsidP="006744B5" w14:paraId="13A12DBD" w14:textId="77777777">
            <w:pPr>
              <w:rPr>
                <w:sz w:val="20"/>
              </w:rPr>
            </w:pPr>
            <w:r w:rsidRPr="001844D1">
              <w:rPr>
                <w:sz w:val="20"/>
              </w:rPr>
              <w:t>RI</w:t>
            </w:r>
          </w:p>
        </w:tc>
        <w:tc>
          <w:tcPr>
            <w:tcW w:w="720" w:type="dxa"/>
            <w:shd w:val="clear" w:color="auto" w:fill="auto"/>
            <w:hideMark/>
          </w:tcPr>
          <w:p w:rsidR="008828A9" w:rsidRPr="001844D1" w:rsidP="006744B5" w14:paraId="29646488" w14:textId="77777777">
            <w:pPr>
              <w:rPr>
                <w:sz w:val="20"/>
              </w:rPr>
            </w:pPr>
            <w:r w:rsidRPr="001844D1">
              <w:rPr>
                <w:sz w:val="20"/>
              </w:rPr>
              <w:t>RI</w:t>
            </w:r>
          </w:p>
        </w:tc>
        <w:tc>
          <w:tcPr>
            <w:tcW w:w="720" w:type="dxa"/>
            <w:shd w:val="clear" w:color="auto" w:fill="auto"/>
            <w:hideMark/>
          </w:tcPr>
          <w:p w:rsidR="008828A9" w:rsidRPr="001844D1" w:rsidP="006744B5" w14:paraId="0B718A14" w14:textId="77777777">
            <w:pPr>
              <w:rPr>
                <w:sz w:val="20"/>
              </w:rPr>
            </w:pPr>
            <w:r w:rsidRPr="001844D1">
              <w:rPr>
                <w:sz w:val="20"/>
              </w:rPr>
              <w:t>RI</w:t>
            </w:r>
          </w:p>
        </w:tc>
        <w:tc>
          <w:tcPr>
            <w:tcW w:w="720" w:type="dxa"/>
            <w:shd w:val="clear" w:color="auto" w:fill="auto"/>
            <w:hideMark/>
          </w:tcPr>
          <w:p w:rsidR="008828A9" w:rsidRPr="001844D1" w:rsidP="006744B5" w14:paraId="1DCADE7C" w14:textId="77777777">
            <w:pPr>
              <w:rPr>
                <w:sz w:val="20"/>
              </w:rPr>
            </w:pPr>
            <w:r w:rsidRPr="001844D1">
              <w:rPr>
                <w:sz w:val="20"/>
              </w:rPr>
              <w:t>RI</w:t>
            </w:r>
          </w:p>
        </w:tc>
        <w:tc>
          <w:tcPr>
            <w:tcW w:w="720" w:type="dxa"/>
            <w:shd w:val="clear" w:color="auto" w:fill="auto"/>
            <w:hideMark/>
          </w:tcPr>
          <w:p w:rsidR="008828A9" w:rsidRPr="001844D1" w:rsidP="006744B5" w14:paraId="0AC5FDE3" w14:textId="77777777">
            <w:pPr>
              <w:rPr>
                <w:sz w:val="20"/>
              </w:rPr>
            </w:pPr>
            <w:r w:rsidRPr="001844D1">
              <w:rPr>
                <w:sz w:val="20"/>
              </w:rPr>
              <w:t>RI</w:t>
            </w:r>
          </w:p>
        </w:tc>
        <w:tc>
          <w:tcPr>
            <w:tcW w:w="720" w:type="dxa"/>
            <w:shd w:val="clear" w:color="auto" w:fill="auto"/>
            <w:hideMark/>
          </w:tcPr>
          <w:p w:rsidR="008828A9" w:rsidRPr="001844D1" w:rsidP="006744B5" w14:paraId="68A9A1D6" w14:textId="77777777">
            <w:pPr>
              <w:rPr>
                <w:sz w:val="20"/>
              </w:rPr>
            </w:pPr>
            <w:r w:rsidRPr="001844D1">
              <w:rPr>
                <w:sz w:val="20"/>
              </w:rPr>
              <w:t>RI</w:t>
            </w:r>
          </w:p>
        </w:tc>
        <w:tc>
          <w:tcPr>
            <w:tcW w:w="720" w:type="dxa"/>
            <w:shd w:val="clear" w:color="auto" w:fill="auto"/>
            <w:hideMark/>
          </w:tcPr>
          <w:p w:rsidR="008828A9" w:rsidRPr="001844D1" w:rsidP="006744B5" w14:paraId="4EB28DAC" w14:textId="77777777">
            <w:pPr>
              <w:rPr>
                <w:sz w:val="20"/>
              </w:rPr>
            </w:pPr>
            <w:r w:rsidRPr="001844D1">
              <w:rPr>
                <w:sz w:val="20"/>
              </w:rPr>
              <w:t>RI</w:t>
            </w:r>
          </w:p>
        </w:tc>
      </w:tr>
      <w:tr w14:paraId="5CFC25D3" w14:textId="77777777" w:rsidTr="006744B5">
        <w:tblPrEx>
          <w:tblW w:w="0" w:type="auto"/>
          <w:tblLook w:val="04A0"/>
        </w:tblPrEx>
        <w:trPr>
          <w:trHeight w:val="315"/>
        </w:trPr>
        <w:tc>
          <w:tcPr>
            <w:tcW w:w="1317" w:type="dxa"/>
            <w:vMerge/>
            <w:shd w:val="clear" w:color="auto" w:fill="auto"/>
            <w:hideMark/>
          </w:tcPr>
          <w:p w:rsidR="008828A9" w:rsidRPr="001844D1" w:rsidP="008828A9" w14:paraId="01706ABF"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0BBC2E1" w14:textId="77777777">
            <w:pPr>
              <w:rPr>
                <w:sz w:val="20"/>
              </w:rPr>
            </w:pPr>
            <w:r w:rsidRPr="001844D1">
              <w:rPr>
                <w:sz w:val="20"/>
              </w:rPr>
              <w:t>NY</w:t>
            </w:r>
          </w:p>
        </w:tc>
        <w:tc>
          <w:tcPr>
            <w:tcW w:w="720" w:type="dxa"/>
            <w:shd w:val="clear" w:color="auto" w:fill="auto"/>
            <w:hideMark/>
          </w:tcPr>
          <w:p w:rsidR="008828A9" w:rsidRPr="001844D1" w:rsidP="006744B5" w14:paraId="4E3012FF" w14:textId="77777777">
            <w:pPr>
              <w:rPr>
                <w:sz w:val="20"/>
              </w:rPr>
            </w:pPr>
            <w:r w:rsidRPr="001844D1">
              <w:rPr>
                <w:sz w:val="20"/>
              </w:rPr>
              <w:t>NY</w:t>
            </w:r>
          </w:p>
        </w:tc>
        <w:tc>
          <w:tcPr>
            <w:tcW w:w="720" w:type="dxa"/>
            <w:shd w:val="clear" w:color="auto" w:fill="auto"/>
            <w:hideMark/>
          </w:tcPr>
          <w:p w:rsidR="008828A9" w:rsidRPr="001844D1" w:rsidP="006744B5" w14:paraId="25559D1A" w14:textId="77777777">
            <w:pPr>
              <w:rPr>
                <w:sz w:val="20"/>
              </w:rPr>
            </w:pPr>
            <w:r w:rsidRPr="001844D1">
              <w:rPr>
                <w:sz w:val="20"/>
              </w:rPr>
              <w:t>NY</w:t>
            </w:r>
          </w:p>
        </w:tc>
        <w:tc>
          <w:tcPr>
            <w:tcW w:w="720" w:type="dxa"/>
            <w:shd w:val="clear" w:color="auto" w:fill="auto"/>
            <w:hideMark/>
          </w:tcPr>
          <w:p w:rsidR="008828A9" w:rsidRPr="001844D1" w:rsidP="006744B5" w14:paraId="6078A777" w14:textId="77777777">
            <w:pPr>
              <w:rPr>
                <w:sz w:val="20"/>
              </w:rPr>
            </w:pPr>
            <w:r w:rsidRPr="001844D1">
              <w:rPr>
                <w:sz w:val="20"/>
              </w:rPr>
              <w:t>NY</w:t>
            </w:r>
          </w:p>
        </w:tc>
        <w:tc>
          <w:tcPr>
            <w:tcW w:w="720" w:type="dxa"/>
            <w:shd w:val="clear" w:color="auto" w:fill="auto"/>
            <w:hideMark/>
          </w:tcPr>
          <w:p w:rsidR="008828A9" w:rsidRPr="001844D1" w:rsidP="006744B5" w14:paraId="0FBD62D7" w14:textId="77777777">
            <w:pPr>
              <w:rPr>
                <w:sz w:val="20"/>
              </w:rPr>
            </w:pPr>
            <w:r w:rsidRPr="001844D1">
              <w:rPr>
                <w:sz w:val="20"/>
              </w:rPr>
              <w:t>NY</w:t>
            </w:r>
          </w:p>
        </w:tc>
        <w:tc>
          <w:tcPr>
            <w:tcW w:w="720" w:type="dxa"/>
            <w:shd w:val="clear" w:color="auto" w:fill="auto"/>
            <w:hideMark/>
          </w:tcPr>
          <w:p w:rsidR="008828A9" w:rsidRPr="001844D1" w:rsidP="006744B5" w14:paraId="6F858714" w14:textId="77777777">
            <w:pPr>
              <w:rPr>
                <w:sz w:val="20"/>
              </w:rPr>
            </w:pPr>
            <w:r w:rsidRPr="001844D1">
              <w:rPr>
                <w:sz w:val="20"/>
              </w:rPr>
              <w:t>NY</w:t>
            </w:r>
          </w:p>
        </w:tc>
        <w:tc>
          <w:tcPr>
            <w:tcW w:w="720" w:type="dxa"/>
            <w:shd w:val="clear" w:color="auto" w:fill="auto"/>
            <w:hideMark/>
          </w:tcPr>
          <w:p w:rsidR="008828A9" w:rsidRPr="001844D1" w:rsidP="006744B5" w14:paraId="709BF436" w14:textId="77777777">
            <w:pPr>
              <w:rPr>
                <w:sz w:val="20"/>
              </w:rPr>
            </w:pPr>
            <w:r w:rsidRPr="001844D1">
              <w:rPr>
                <w:sz w:val="20"/>
              </w:rPr>
              <w:t>NY</w:t>
            </w:r>
          </w:p>
        </w:tc>
        <w:tc>
          <w:tcPr>
            <w:tcW w:w="720" w:type="dxa"/>
            <w:shd w:val="clear" w:color="auto" w:fill="auto"/>
            <w:hideMark/>
          </w:tcPr>
          <w:p w:rsidR="008828A9" w:rsidRPr="001844D1" w:rsidP="006744B5" w14:paraId="29F4B5D4" w14:textId="77777777">
            <w:pPr>
              <w:rPr>
                <w:sz w:val="20"/>
              </w:rPr>
            </w:pPr>
            <w:r w:rsidRPr="001844D1">
              <w:rPr>
                <w:sz w:val="20"/>
              </w:rPr>
              <w:t>NY</w:t>
            </w:r>
          </w:p>
        </w:tc>
        <w:tc>
          <w:tcPr>
            <w:tcW w:w="720" w:type="dxa"/>
            <w:shd w:val="clear" w:color="auto" w:fill="auto"/>
            <w:hideMark/>
          </w:tcPr>
          <w:p w:rsidR="008828A9" w:rsidRPr="001844D1" w:rsidP="006744B5" w14:paraId="2BF04362" w14:textId="77777777">
            <w:pPr>
              <w:rPr>
                <w:sz w:val="20"/>
              </w:rPr>
            </w:pPr>
            <w:r w:rsidRPr="001844D1">
              <w:rPr>
                <w:sz w:val="20"/>
              </w:rPr>
              <w:t>NY</w:t>
            </w:r>
          </w:p>
        </w:tc>
        <w:tc>
          <w:tcPr>
            <w:tcW w:w="720" w:type="dxa"/>
            <w:shd w:val="clear" w:color="auto" w:fill="auto"/>
            <w:hideMark/>
          </w:tcPr>
          <w:p w:rsidR="008828A9" w:rsidRPr="001844D1" w:rsidP="006744B5" w14:paraId="3B55D760" w14:textId="77777777">
            <w:pPr>
              <w:rPr>
                <w:sz w:val="20"/>
              </w:rPr>
            </w:pPr>
            <w:r w:rsidRPr="001844D1">
              <w:rPr>
                <w:sz w:val="20"/>
              </w:rPr>
              <w:t>NY</w:t>
            </w:r>
          </w:p>
        </w:tc>
        <w:tc>
          <w:tcPr>
            <w:tcW w:w="720" w:type="dxa"/>
            <w:shd w:val="clear" w:color="auto" w:fill="auto"/>
            <w:hideMark/>
          </w:tcPr>
          <w:p w:rsidR="008828A9" w:rsidRPr="001844D1" w:rsidP="006744B5" w14:paraId="6734505E" w14:textId="77777777">
            <w:pPr>
              <w:rPr>
                <w:sz w:val="20"/>
              </w:rPr>
            </w:pPr>
            <w:r w:rsidRPr="001844D1">
              <w:rPr>
                <w:sz w:val="20"/>
              </w:rPr>
              <w:t>NY</w:t>
            </w:r>
          </w:p>
        </w:tc>
      </w:tr>
      <w:tr w14:paraId="2ADA6D21" w14:textId="77777777" w:rsidTr="006744B5">
        <w:tblPrEx>
          <w:tblW w:w="0" w:type="auto"/>
          <w:tblLook w:val="04A0"/>
        </w:tblPrEx>
        <w:trPr>
          <w:trHeight w:val="315"/>
        </w:trPr>
        <w:tc>
          <w:tcPr>
            <w:tcW w:w="1317" w:type="dxa"/>
            <w:vMerge/>
            <w:shd w:val="clear" w:color="auto" w:fill="auto"/>
            <w:hideMark/>
          </w:tcPr>
          <w:p w:rsidR="008828A9" w:rsidRPr="001844D1" w:rsidP="008828A9" w14:paraId="5043FD46"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B58364D" w14:textId="77777777">
            <w:pPr>
              <w:rPr>
                <w:sz w:val="20"/>
              </w:rPr>
            </w:pPr>
            <w:r w:rsidRPr="001844D1">
              <w:rPr>
                <w:sz w:val="20"/>
              </w:rPr>
              <w:t>IL</w:t>
            </w:r>
          </w:p>
        </w:tc>
        <w:tc>
          <w:tcPr>
            <w:tcW w:w="720" w:type="dxa"/>
            <w:shd w:val="clear" w:color="auto" w:fill="auto"/>
            <w:hideMark/>
          </w:tcPr>
          <w:p w:rsidR="008828A9" w:rsidRPr="001844D1" w:rsidP="006744B5" w14:paraId="622819F0" w14:textId="77777777">
            <w:pPr>
              <w:rPr>
                <w:sz w:val="20"/>
              </w:rPr>
            </w:pPr>
            <w:r w:rsidRPr="001844D1">
              <w:rPr>
                <w:sz w:val="20"/>
              </w:rPr>
              <w:t>IL</w:t>
            </w:r>
          </w:p>
        </w:tc>
        <w:tc>
          <w:tcPr>
            <w:tcW w:w="720" w:type="dxa"/>
            <w:shd w:val="clear" w:color="auto" w:fill="auto"/>
            <w:hideMark/>
          </w:tcPr>
          <w:p w:rsidR="008828A9" w:rsidRPr="001844D1" w:rsidP="006744B5" w14:paraId="3777F098" w14:textId="77777777">
            <w:pPr>
              <w:rPr>
                <w:sz w:val="20"/>
              </w:rPr>
            </w:pPr>
            <w:r w:rsidRPr="001844D1">
              <w:rPr>
                <w:sz w:val="20"/>
              </w:rPr>
              <w:t>IL</w:t>
            </w:r>
          </w:p>
        </w:tc>
        <w:tc>
          <w:tcPr>
            <w:tcW w:w="720" w:type="dxa"/>
            <w:shd w:val="clear" w:color="auto" w:fill="auto"/>
            <w:hideMark/>
          </w:tcPr>
          <w:p w:rsidR="008828A9" w:rsidRPr="001844D1" w:rsidP="006744B5" w14:paraId="0F55B9FC" w14:textId="77777777">
            <w:pPr>
              <w:rPr>
                <w:sz w:val="20"/>
              </w:rPr>
            </w:pPr>
            <w:r w:rsidRPr="001844D1">
              <w:rPr>
                <w:sz w:val="20"/>
              </w:rPr>
              <w:t>IL</w:t>
            </w:r>
          </w:p>
        </w:tc>
        <w:tc>
          <w:tcPr>
            <w:tcW w:w="720" w:type="dxa"/>
            <w:shd w:val="clear" w:color="auto" w:fill="auto"/>
            <w:hideMark/>
          </w:tcPr>
          <w:p w:rsidR="008828A9" w:rsidRPr="001844D1" w:rsidP="006744B5" w14:paraId="66CCA5F4" w14:textId="77777777">
            <w:pPr>
              <w:rPr>
                <w:sz w:val="20"/>
              </w:rPr>
            </w:pPr>
            <w:r w:rsidRPr="001844D1">
              <w:rPr>
                <w:sz w:val="20"/>
              </w:rPr>
              <w:t>IL</w:t>
            </w:r>
          </w:p>
        </w:tc>
        <w:tc>
          <w:tcPr>
            <w:tcW w:w="720" w:type="dxa"/>
            <w:shd w:val="clear" w:color="auto" w:fill="auto"/>
            <w:hideMark/>
          </w:tcPr>
          <w:p w:rsidR="008828A9" w:rsidRPr="001844D1" w:rsidP="006744B5" w14:paraId="54075E53" w14:textId="77777777">
            <w:pPr>
              <w:rPr>
                <w:sz w:val="20"/>
              </w:rPr>
            </w:pPr>
            <w:r w:rsidRPr="001844D1">
              <w:rPr>
                <w:sz w:val="20"/>
              </w:rPr>
              <w:t>IL</w:t>
            </w:r>
          </w:p>
        </w:tc>
        <w:tc>
          <w:tcPr>
            <w:tcW w:w="720" w:type="dxa"/>
            <w:shd w:val="clear" w:color="auto" w:fill="auto"/>
            <w:hideMark/>
          </w:tcPr>
          <w:p w:rsidR="008828A9" w:rsidRPr="001844D1" w:rsidP="006744B5" w14:paraId="39BA8A71" w14:textId="77777777">
            <w:pPr>
              <w:rPr>
                <w:sz w:val="20"/>
              </w:rPr>
            </w:pPr>
            <w:r w:rsidRPr="001844D1">
              <w:rPr>
                <w:sz w:val="20"/>
              </w:rPr>
              <w:t>IL</w:t>
            </w:r>
          </w:p>
        </w:tc>
        <w:tc>
          <w:tcPr>
            <w:tcW w:w="720" w:type="dxa"/>
            <w:shd w:val="clear" w:color="auto" w:fill="auto"/>
            <w:hideMark/>
          </w:tcPr>
          <w:p w:rsidR="008828A9" w:rsidRPr="001844D1" w:rsidP="006744B5" w14:paraId="445DE74B" w14:textId="77777777">
            <w:pPr>
              <w:rPr>
                <w:sz w:val="20"/>
              </w:rPr>
            </w:pPr>
            <w:r w:rsidRPr="001844D1">
              <w:rPr>
                <w:sz w:val="20"/>
              </w:rPr>
              <w:t>IL</w:t>
            </w:r>
          </w:p>
        </w:tc>
        <w:tc>
          <w:tcPr>
            <w:tcW w:w="720" w:type="dxa"/>
            <w:shd w:val="clear" w:color="auto" w:fill="auto"/>
            <w:hideMark/>
          </w:tcPr>
          <w:p w:rsidR="008828A9" w:rsidRPr="001844D1" w:rsidP="006744B5" w14:paraId="617F04B5" w14:textId="77777777">
            <w:pPr>
              <w:rPr>
                <w:sz w:val="20"/>
              </w:rPr>
            </w:pPr>
            <w:r w:rsidRPr="001844D1">
              <w:rPr>
                <w:sz w:val="20"/>
              </w:rPr>
              <w:t>IL</w:t>
            </w:r>
          </w:p>
        </w:tc>
        <w:tc>
          <w:tcPr>
            <w:tcW w:w="720" w:type="dxa"/>
            <w:shd w:val="clear" w:color="auto" w:fill="auto"/>
            <w:hideMark/>
          </w:tcPr>
          <w:p w:rsidR="008828A9" w:rsidRPr="001844D1" w:rsidP="006744B5" w14:paraId="60E47323" w14:textId="77777777">
            <w:pPr>
              <w:rPr>
                <w:sz w:val="20"/>
              </w:rPr>
            </w:pPr>
            <w:r w:rsidRPr="001844D1">
              <w:rPr>
                <w:sz w:val="20"/>
              </w:rPr>
              <w:t> </w:t>
            </w:r>
          </w:p>
        </w:tc>
        <w:tc>
          <w:tcPr>
            <w:tcW w:w="720" w:type="dxa"/>
            <w:shd w:val="clear" w:color="auto" w:fill="auto"/>
            <w:hideMark/>
          </w:tcPr>
          <w:p w:rsidR="008828A9" w:rsidRPr="001844D1" w:rsidP="006744B5" w14:paraId="3721E852" w14:textId="77777777">
            <w:pPr>
              <w:rPr>
                <w:sz w:val="20"/>
              </w:rPr>
            </w:pPr>
            <w:r w:rsidRPr="001844D1">
              <w:rPr>
                <w:sz w:val="20"/>
              </w:rPr>
              <w:t> </w:t>
            </w:r>
          </w:p>
        </w:tc>
      </w:tr>
      <w:tr w14:paraId="27EC9DC7" w14:textId="77777777" w:rsidTr="006744B5">
        <w:tblPrEx>
          <w:tblW w:w="0" w:type="auto"/>
          <w:tblLook w:val="04A0"/>
        </w:tblPrEx>
        <w:trPr>
          <w:trHeight w:val="315"/>
        </w:trPr>
        <w:tc>
          <w:tcPr>
            <w:tcW w:w="1317" w:type="dxa"/>
            <w:vMerge/>
            <w:shd w:val="clear" w:color="auto" w:fill="auto"/>
            <w:hideMark/>
          </w:tcPr>
          <w:p w:rsidR="008828A9" w:rsidRPr="001844D1" w:rsidP="008828A9" w14:paraId="18994E94"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4C683119" w14:textId="77777777">
            <w:pPr>
              <w:rPr>
                <w:sz w:val="20"/>
              </w:rPr>
            </w:pPr>
            <w:r w:rsidRPr="001844D1">
              <w:rPr>
                <w:sz w:val="20"/>
              </w:rPr>
              <w:t> </w:t>
            </w:r>
          </w:p>
        </w:tc>
        <w:tc>
          <w:tcPr>
            <w:tcW w:w="720" w:type="dxa"/>
            <w:shd w:val="clear" w:color="auto" w:fill="auto"/>
            <w:hideMark/>
          </w:tcPr>
          <w:p w:rsidR="008828A9" w:rsidRPr="001844D1" w:rsidP="006744B5" w14:paraId="543061CD" w14:textId="77777777">
            <w:pPr>
              <w:rPr>
                <w:sz w:val="20"/>
              </w:rPr>
            </w:pPr>
            <w:r w:rsidRPr="001844D1">
              <w:rPr>
                <w:sz w:val="20"/>
              </w:rPr>
              <w:t> </w:t>
            </w:r>
          </w:p>
        </w:tc>
        <w:tc>
          <w:tcPr>
            <w:tcW w:w="720" w:type="dxa"/>
            <w:shd w:val="clear" w:color="auto" w:fill="auto"/>
            <w:hideMark/>
          </w:tcPr>
          <w:p w:rsidR="008828A9" w:rsidRPr="001844D1" w:rsidP="006744B5" w14:paraId="5F24C784" w14:textId="77777777">
            <w:pPr>
              <w:rPr>
                <w:sz w:val="20"/>
              </w:rPr>
            </w:pPr>
            <w:r w:rsidRPr="001844D1">
              <w:rPr>
                <w:sz w:val="20"/>
              </w:rPr>
              <w:t> </w:t>
            </w:r>
          </w:p>
        </w:tc>
        <w:tc>
          <w:tcPr>
            <w:tcW w:w="720" w:type="dxa"/>
            <w:shd w:val="clear" w:color="auto" w:fill="auto"/>
            <w:hideMark/>
          </w:tcPr>
          <w:p w:rsidR="008828A9" w:rsidRPr="001844D1" w:rsidP="006744B5" w14:paraId="21070F30" w14:textId="77777777">
            <w:pPr>
              <w:rPr>
                <w:sz w:val="20"/>
              </w:rPr>
            </w:pPr>
            <w:r w:rsidRPr="001844D1">
              <w:rPr>
                <w:sz w:val="20"/>
              </w:rPr>
              <w:t> </w:t>
            </w:r>
          </w:p>
        </w:tc>
        <w:tc>
          <w:tcPr>
            <w:tcW w:w="720" w:type="dxa"/>
            <w:shd w:val="clear" w:color="auto" w:fill="auto"/>
            <w:hideMark/>
          </w:tcPr>
          <w:p w:rsidR="008828A9" w:rsidRPr="001844D1" w:rsidP="006744B5" w14:paraId="26DE5E0F" w14:textId="77777777">
            <w:pPr>
              <w:rPr>
                <w:sz w:val="20"/>
              </w:rPr>
            </w:pPr>
            <w:r w:rsidRPr="001844D1">
              <w:rPr>
                <w:sz w:val="20"/>
              </w:rPr>
              <w:t> </w:t>
            </w:r>
          </w:p>
        </w:tc>
        <w:tc>
          <w:tcPr>
            <w:tcW w:w="720" w:type="dxa"/>
            <w:shd w:val="clear" w:color="auto" w:fill="auto"/>
            <w:hideMark/>
          </w:tcPr>
          <w:p w:rsidR="008828A9" w:rsidRPr="001844D1" w:rsidP="006744B5" w14:paraId="3BCB3313" w14:textId="77777777">
            <w:pPr>
              <w:rPr>
                <w:sz w:val="20"/>
              </w:rPr>
            </w:pPr>
            <w:r w:rsidRPr="001844D1">
              <w:rPr>
                <w:sz w:val="20"/>
              </w:rPr>
              <w:t>NJ</w:t>
            </w:r>
          </w:p>
        </w:tc>
        <w:tc>
          <w:tcPr>
            <w:tcW w:w="720" w:type="dxa"/>
            <w:shd w:val="clear" w:color="auto" w:fill="auto"/>
            <w:hideMark/>
          </w:tcPr>
          <w:p w:rsidR="008828A9" w:rsidRPr="001844D1" w:rsidP="006744B5" w14:paraId="7D7340A2" w14:textId="77777777">
            <w:pPr>
              <w:rPr>
                <w:sz w:val="20"/>
              </w:rPr>
            </w:pPr>
            <w:r w:rsidRPr="001844D1">
              <w:rPr>
                <w:sz w:val="20"/>
              </w:rPr>
              <w:t>NJ</w:t>
            </w:r>
          </w:p>
        </w:tc>
        <w:tc>
          <w:tcPr>
            <w:tcW w:w="720" w:type="dxa"/>
            <w:shd w:val="clear" w:color="auto" w:fill="auto"/>
            <w:hideMark/>
          </w:tcPr>
          <w:p w:rsidR="008828A9" w:rsidRPr="001844D1" w:rsidP="006744B5" w14:paraId="498373CC" w14:textId="77777777">
            <w:pPr>
              <w:rPr>
                <w:sz w:val="20"/>
              </w:rPr>
            </w:pPr>
            <w:r w:rsidRPr="001844D1">
              <w:rPr>
                <w:sz w:val="20"/>
              </w:rPr>
              <w:t>NJ</w:t>
            </w:r>
          </w:p>
        </w:tc>
        <w:tc>
          <w:tcPr>
            <w:tcW w:w="720" w:type="dxa"/>
            <w:shd w:val="clear" w:color="auto" w:fill="auto"/>
            <w:hideMark/>
          </w:tcPr>
          <w:p w:rsidR="008828A9" w:rsidRPr="001844D1" w:rsidP="006744B5" w14:paraId="52FE3725" w14:textId="77777777">
            <w:pPr>
              <w:rPr>
                <w:sz w:val="20"/>
              </w:rPr>
            </w:pPr>
            <w:r w:rsidRPr="001844D1">
              <w:rPr>
                <w:sz w:val="20"/>
              </w:rPr>
              <w:t>NJ</w:t>
            </w:r>
          </w:p>
        </w:tc>
        <w:tc>
          <w:tcPr>
            <w:tcW w:w="720" w:type="dxa"/>
            <w:shd w:val="clear" w:color="auto" w:fill="auto"/>
            <w:hideMark/>
          </w:tcPr>
          <w:p w:rsidR="008828A9" w:rsidRPr="001844D1" w:rsidP="006744B5" w14:paraId="7D965EB4" w14:textId="77777777">
            <w:pPr>
              <w:rPr>
                <w:sz w:val="20"/>
              </w:rPr>
            </w:pPr>
            <w:r w:rsidRPr="001844D1">
              <w:rPr>
                <w:sz w:val="20"/>
              </w:rPr>
              <w:t>NJ</w:t>
            </w:r>
          </w:p>
        </w:tc>
        <w:tc>
          <w:tcPr>
            <w:tcW w:w="720" w:type="dxa"/>
            <w:shd w:val="clear" w:color="auto" w:fill="auto"/>
            <w:hideMark/>
          </w:tcPr>
          <w:p w:rsidR="008828A9" w:rsidRPr="001844D1" w:rsidP="006744B5" w14:paraId="0CBC1E8C" w14:textId="77777777">
            <w:pPr>
              <w:rPr>
                <w:sz w:val="20"/>
              </w:rPr>
            </w:pPr>
            <w:r w:rsidRPr="001844D1">
              <w:rPr>
                <w:sz w:val="20"/>
              </w:rPr>
              <w:t>NJ</w:t>
            </w:r>
          </w:p>
        </w:tc>
      </w:tr>
      <w:tr w14:paraId="261BE293" w14:textId="77777777" w:rsidTr="006744B5">
        <w:tblPrEx>
          <w:tblW w:w="0" w:type="auto"/>
          <w:tblLook w:val="04A0"/>
        </w:tblPrEx>
        <w:trPr>
          <w:trHeight w:val="315"/>
        </w:trPr>
        <w:tc>
          <w:tcPr>
            <w:tcW w:w="1317" w:type="dxa"/>
            <w:vMerge/>
            <w:shd w:val="clear" w:color="auto" w:fill="auto"/>
            <w:hideMark/>
          </w:tcPr>
          <w:p w:rsidR="008828A9" w:rsidRPr="001844D1" w:rsidP="008828A9" w14:paraId="3B6DA89F"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78EAA09E" w14:textId="77777777">
            <w:pPr>
              <w:rPr>
                <w:sz w:val="20"/>
              </w:rPr>
            </w:pPr>
            <w:r w:rsidRPr="001844D1">
              <w:rPr>
                <w:sz w:val="20"/>
              </w:rPr>
              <w:t> </w:t>
            </w:r>
          </w:p>
        </w:tc>
        <w:tc>
          <w:tcPr>
            <w:tcW w:w="720" w:type="dxa"/>
            <w:shd w:val="clear" w:color="auto" w:fill="auto"/>
            <w:hideMark/>
          </w:tcPr>
          <w:p w:rsidR="008828A9" w:rsidRPr="001844D1" w:rsidP="006744B5" w14:paraId="5C20CAD4" w14:textId="77777777">
            <w:pPr>
              <w:rPr>
                <w:sz w:val="20"/>
              </w:rPr>
            </w:pPr>
            <w:r w:rsidRPr="001844D1">
              <w:rPr>
                <w:sz w:val="20"/>
              </w:rPr>
              <w:t>AZ</w:t>
            </w:r>
          </w:p>
        </w:tc>
        <w:tc>
          <w:tcPr>
            <w:tcW w:w="720" w:type="dxa"/>
            <w:shd w:val="clear" w:color="auto" w:fill="auto"/>
            <w:hideMark/>
          </w:tcPr>
          <w:p w:rsidR="008828A9" w:rsidRPr="001844D1" w:rsidP="006744B5" w14:paraId="7112038D" w14:textId="77777777">
            <w:pPr>
              <w:rPr>
                <w:sz w:val="20"/>
              </w:rPr>
            </w:pPr>
            <w:r w:rsidRPr="001844D1">
              <w:rPr>
                <w:sz w:val="20"/>
              </w:rPr>
              <w:t>AZ</w:t>
            </w:r>
          </w:p>
        </w:tc>
        <w:tc>
          <w:tcPr>
            <w:tcW w:w="720" w:type="dxa"/>
            <w:shd w:val="clear" w:color="auto" w:fill="auto"/>
            <w:hideMark/>
          </w:tcPr>
          <w:p w:rsidR="008828A9" w:rsidRPr="001844D1" w:rsidP="006744B5" w14:paraId="5B1F1E93" w14:textId="77777777">
            <w:pPr>
              <w:rPr>
                <w:sz w:val="20"/>
              </w:rPr>
            </w:pPr>
            <w:r w:rsidRPr="001844D1">
              <w:rPr>
                <w:sz w:val="20"/>
              </w:rPr>
              <w:t>AZ</w:t>
            </w:r>
          </w:p>
        </w:tc>
        <w:tc>
          <w:tcPr>
            <w:tcW w:w="720" w:type="dxa"/>
            <w:shd w:val="clear" w:color="auto" w:fill="auto"/>
            <w:hideMark/>
          </w:tcPr>
          <w:p w:rsidR="008828A9" w:rsidRPr="001844D1" w:rsidP="006744B5" w14:paraId="53E4CC09" w14:textId="77777777">
            <w:pPr>
              <w:rPr>
                <w:sz w:val="20"/>
              </w:rPr>
            </w:pPr>
            <w:r w:rsidRPr="001844D1">
              <w:rPr>
                <w:sz w:val="20"/>
              </w:rPr>
              <w:t> </w:t>
            </w:r>
          </w:p>
        </w:tc>
        <w:tc>
          <w:tcPr>
            <w:tcW w:w="720" w:type="dxa"/>
            <w:shd w:val="clear" w:color="auto" w:fill="auto"/>
            <w:hideMark/>
          </w:tcPr>
          <w:p w:rsidR="008828A9" w:rsidRPr="001844D1" w:rsidP="006744B5" w14:paraId="0B745EEC" w14:textId="77777777">
            <w:pPr>
              <w:rPr>
                <w:sz w:val="20"/>
              </w:rPr>
            </w:pPr>
            <w:r w:rsidRPr="001844D1">
              <w:rPr>
                <w:sz w:val="20"/>
              </w:rPr>
              <w:t> </w:t>
            </w:r>
          </w:p>
        </w:tc>
        <w:tc>
          <w:tcPr>
            <w:tcW w:w="720" w:type="dxa"/>
            <w:shd w:val="clear" w:color="auto" w:fill="auto"/>
            <w:hideMark/>
          </w:tcPr>
          <w:p w:rsidR="008828A9" w:rsidRPr="001844D1" w:rsidP="006744B5" w14:paraId="0A6A3B8F" w14:textId="77777777">
            <w:pPr>
              <w:rPr>
                <w:sz w:val="20"/>
              </w:rPr>
            </w:pPr>
            <w:r w:rsidRPr="001844D1">
              <w:rPr>
                <w:sz w:val="20"/>
              </w:rPr>
              <w:t> </w:t>
            </w:r>
          </w:p>
        </w:tc>
        <w:tc>
          <w:tcPr>
            <w:tcW w:w="720" w:type="dxa"/>
            <w:shd w:val="clear" w:color="auto" w:fill="auto"/>
            <w:hideMark/>
          </w:tcPr>
          <w:p w:rsidR="008828A9" w:rsidRPr="001844D1" w:rsidP="006744B5" w14:paraId="287B9CCA" w14:textId="77777777">
            <w:pPr>
              <w:rPr>
                <w:sz w:val="20"/>
              </w:rPr>
            </w:pPr>
            <w:r w:rsidRPr="001844D1">
              <w:rPr>
                <w:sz w:val="20"/>
              </w:rPr>
              <w:t> </w:t>
            </w:r>
          </w:p>
        </w:tc>
        <w:tc>
          <w:tcPr>
            <w:tcW w:w="720" w:type="dxa"/>
            <w:shd w:val="clear" w:color="auto" w:fill="auto"/>
            <w:hideMark/>
          </w:tcPr>
          <w:p w:rsidR="008828A9" w:rsidRPr="001844D1" w:rsidP="006744B5" w14:paraId="293AC1EF" w14:textId="77777777">
            <w:pPr>
              <w:rPr>
                <w:sz w:val="20"/>
              </w:rPr>
            </w:pPr>
            <w:r w:rsidRPr="001844D1">
              <w:rPr>
                <w:sz w:val="20"/>
              </w:rPr>
              <w:t> </w:t>
            </w:r>
          </w:p>
        </w:tc>
        <w:tc>
          <w:tcPr>
            <w:tcW w:w="720" w:type="dxa"/>
            <w:shd w:val="clear" w:color="auto" w:fill="auto"/>
            <w:hideMark/>
          </w:tcPr>
          <w:p w:rsidR="008828A9" w:rsidRPr="001844D1" w:rsidP="006744B5" w14:paraId="4E2EAB6A" w14:textId="77777777">
            <w:pPr>
              <w:rPr>
                <w:sz w:val="20"/>
              </w:rPr>
            </w:pPr>
          </w:p>
        </w:tc>
        <w:tc>
          <w:tcPr>
            <w:tcW w:w="720" w:type="dxa"/>
            <w:shd w:val="clear" w:color="auto" w:fill="auto"/>
            <w:hideMark/>
          </w:tcPr>
          <w:p w:rsidR="008828A9" w:rsidRPr="001844D1" w:rsidP="006744B5" w14:paraId="6F72E72F" w14:textId="77777777">
            <w:pPr>
              <w:rPr>
                <w:sz w:val="20"/>
              </w:rPr>
            </w:pPr>
          </w:p>
        </w:tc>
      </w:tr>
      <w:tr w14:paraId="18229C83" w14:textId="77777777" w:rsidTr="006744B5">
        <w:tblPrEx>
          <w:tblW w:w="0" w:type="auto"/>
          <w:tblLook w:val="04A0"/>
        </w:tblPrEx>
        <w:trPr>
          <w:trHeight w:val="315"/>
        </w:trPr>
        <w:tc>
          <w:tcPr>
            <w:tcW w:w="1317" w:type="dxa"/>
            <w:vMerge/>
            <w:shd w:val="clear" w:color="auto" w:fill="auto"/>
            <w:hideMark/>
          </w:tcPr>
          <w:p w:rsidR="008828A9" w:rsidRPr="001844D1" w:rsidP="008828A9" w14:paraId="16CFD57B"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3E3D8C60" w14:textId="77777777">
            <w:pPr>
              <w:rPr>
                <w:sz w:val="20"/>
              </w:rPr>
            </w:pPr>
            <w:r w:rsidRPr="001844D1">
              <w:rPr>
                <w:sz w:val="20"/>
              </w:rPr>
              <w:t> </w:t>
            </w:r>
          </w:p>
        </w:tc>
        <w:tc>
          <w:tcPr>
            <w:tcW w:w="720" w:type="dxa"/>
            <w:shd w:val="clear" w:color="auto" w:fill="auto"/>
            <w:hideMark/>
          </w:tcPr>
          <w:p w:rsidR="008828A9" w:rsidRPr="001844D1" w:rsidP="006744B5" w14:paraId="5A3F1DA8" w14:textId="77777777">
            <w:pPr>
              <w:rPr>
                <w:sz w:val="20"/>
              </w:rPr>
            </w:pPr>
            <w:r w:rsidRPr="001844D1">
              <w:rPr>
                <w:sz w:val="20"/>
              </w:rPr>
              <w:t>GA</w:t>
            </w:r>
          </w:p>
        </w:tc>
        <w:tc>
          <w:tcPr>
            <w:tcW w:w="720" w:type="dxa"/>
            <w:shd w:val="clear" w:color="auto" w:fill="auto"/>
            <w:hideMark/>
          </w:tcPr>
          <w:p w:rsidR="008828A9" w:rsidRPr="001844D1" w:rsidP="006744B5" w14:paraId="4261AD9E" w14:textId="77777777">
            <w:pPr>
              <w:rPr>
                <w:sz w:val="20"/>
              </w:rPr>
            </w:pPr>
            <w:r w:rsidRPr="001844D1">
              <w:rPr>
                <w:sz w:val="20"/>
              </w:rPr>
              <w:t>GA</w:t>
            </w:r>
          </w:p>
        </w:tc>
        <w:tc>
          <w:tcPr>
            <w:tcW w:w="720" w:type="dxa"/>
            <w:shd w:val="clear" w:color="auto" w:fill="auto"/>
            <w:hideMark/>
          </w:tcPr>
          <w:p w:rsidR="008828A9" w:rsidRPr="001844D1" w:rsidP="006744B5" w14:paraId="384E5C58" w14:textId="77777777">
            <w:pPr>
              <w:rPr>
                <w:sz w:val="20"/>
              </w:rPr>
            </w:pPr>
            <w:r w:rsidRPr="001844D1">
              <w:rPr>
                <w:sz w:val="20"/>
              </w:rPr>
              <w:t>GA</w:t>
            </w:r>
          </w:p>
        </w:tc>
        <w:tc>
          <w:tcPr>
            <w:tcW w:w="720" w:type="dxa"/>
            <w:shd w:val="clear" w:color="auto" w:fill="auto"/>
            <w:hideMark/>
          </w:tcPr>
          <w:p w:rsidR="008828A9" w:rsidRPr="001844D1" w:rsidP="006744B5" w14:paraId="31395C8F" w14:textId="77777777">
            <w:pPr>
              <w:rPr>
                <w:sz w:val="20"/>
              </w:rPr>
            </w:pPr>
            <w:r w:rsidRPr="001844D1">
              <w:rPr>
                <w:sz w:val="20"/>
              </w:rPr>
              <w:t> </w:t>
            </w:r>
          </w:p>
        </w:tc>
        <w:tc>
          <w:tcPr>
            <w:tcW w:w="720" w:type="dxa"/>
            <w:shd w:val="clear" w:color="auto" w:fill="auto"/>
            <w:hideMark/>
          </w:tcPr>
          <w:p w:rsidR="008828A9" w:rsidRPr="001844D1" w:rsidP="006744B5" w14:paraId="00A0A375" w14:textId="77777777">
            <w:pPr>
              <w:rPr>
                <w:sz w:val="20"/>
              </w:rPr>
            </w:pPr>
            <w:r w:rsidRPr="001844D1">
              <w:rPr>
                <w:sz w:val="20"/>
              </w:rPr>
              <w:t> </w:t>
            </w:r>
          </w:p>
        </w:tc>
        <w:tc>
          <w:tcPr>
            <w:tcW w:w="720" w:type="dxa"/>
            <w:shd w:val="clear" w:color="auto" w:fill="auto"/>
            <w:hideMark/>
          </w:tcPr>
          <w:p w:rsidR="008828A9" w:rsidRPr="001844D1" w:rsidP="006744B5" w14:paraId="2DAB7A40" w14:textId="77777777">
            <w:pPr>
              <w:rPr>
                <w:sz w:val="20"/>
              </w:rPr>
            </w:pPr>
            <w:r w:rsidRPr="001844D1">
              <w:rPr>
                <w:sz w:val="20"/>
              </w:rPr>
              <w:t> </w:t>
            </w:r>
          </w:p>
        </w:tc>
        <w:tc>
          <w:tcPr>
            <w:tcW w:w="720" w:type="dxa"/>
            <w:shd w:val="clear" w:color="auto" w:fill="auto"/>
            <w:hideMark/>
          </w:tcPr>
          <w:p w:rsidR="008828A9" w:rsidRPr="001844D1" w:rsidP="006744B5" w14:paraId="267DAC50" w14:textId="77777777">
            <w:pPr>
              <w:rPr>
                <w:sz w:val="20"/>
              </w:rPr>
            </w:pPr>
            <w:r w:rsidRPr="001844D1">
              <w:rPr>
                <w:sz w:val="20"/>
              </w:rPr>
              <w:t> </w:t>
            </w:r>
          </w:p>
        </w:tc>
        <w:tc>
          <w:tcPr>
            <w:tcW w:w="720" w:type="dxa"/>
            <w:shd w:val="clear" w:color="auto" w:fill="auto"/>
            <w:hideMark/>
          </w:tcPr>
          <w:p w:rsidR="008828A9" w:rsidRPr="001844D1" w:rsidP="006744B5" w14:paraId="3E484DD8" w14:textId="77777777">
            <w:pPr>
              <w:rPr>
                <w:sz w:val="20"/>
              </w:rPr>
            </w:pPr>
            <w:r w:rsidRPr="001844D1">
              <w:rPr>
                <w:sz w:val="20"/>
              </w:rPr>
              <w:t> </w:t>
            </w:r>
          </w:p>
        </w:tc>
        <w:tc>
          <w:tcPr>
            <w:tcW w:w="720" w:type="dxa"/>
            <w:shd w:val="clear" w:color="auto" w:fill="auto"/>
            <w:hideMark/>
          </w:tcPr>
          <w:p w:rsidR="008828A9" w:rsidRPr="001844D1" w:rsidP="006744B5" w14:paraId="76DF3251" w14:textId="77777777">
            <w:pPr>
              <w:rPr>
                <w:sz w:val="20"/>
              </w:rPr>
            </w:pPr>
          </w:p>
        </w:tc>
        <w:tc>
          <w:tcPr>
            <w:tcW w:w="720" w:type="dxa"/>
            <w:shd w:val="clear" w:color="auto" w:fill="auto"/>
            <w:hideMark/>
          </w:tcPr>
          <w:p w:rsidR="008828A9" w:rsidRPr="001844D1" w:rsidP="006744B5" w14:paraId="6B9A43A9" w14:textId="77777777">
            <w:pPr>
              <w:rPr>
                <w:sz w:val="20"/>
              </w:rPr>
            </w:pPr>
          </w:p>
        </w:tc>
      </w:tr>
      <w:tr w14:paraId="11CFB3FD" w14:textId="77777777" w:rsidTr="006744B5">
        <w:tblPrEx>
          <w:tblW w:w="0" w:type="auto"/>
          <w:tblLook w:val="04A0"/>
        </w:tblPrEx>
        <w:trPr>
          <w:trHeight w:val="315"/>
        </w:trPr>
        <w:tc>
          <w:tcPr>
            <w:tcW w:w="1317" w:type="dxa"/>
            <w:vMerge/>
            <w:shd w:val="clear" w:color="auto" w:fill="auto"/>
            <w:hideMark/>
          </w:tcPr>
          <w:p w:rsidR="008828A9" w:rsidRPr="001844D1" w:rsidP="008828A9" w14:paraId="02DB19A5"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2A73906E" w14:textId="77777777">
            <w:pPr>
              <w:rPr>
                <w:sz w:val="20"/>
              </w:rPr>
            </w:pPr>
            <w:r w:rsidRPr="001844D1">
              <w:rPr>
                <w:sz w:val="20"/>
              </w:rPr>
              <w:t>ME</w:t>
            </w:r>
          </w:p>
        </w:tc>
        <w:tc>
          <w:tcPr>
            <w:tcW w:w="720" w:type="dxa"/>
            <w:shd w:val="clear" w:color="auto" w:fill="auto"/>
            <w:hideMark/>
          </w:tcPr>
          <w:p w:rsidR="008828A9" w:rsidRPr="001844D1" w:rsidP="006744B5" w14:paraId="2E789C5D" w14:textId="77777777">
            <w:pPr>
              <w:rPr>
                <w:sz w:val="20"/>
              </w:rPr>
            </w:pPr>
            <w:r w:rsidRPr="001844D1">
              <w:rPr>
                <w:sz w:val="20"/>
              </w:rPr>
              <w:t> </w:t>
            </w:r>
          </w:p>
        </w:tc>
        <w:tc>
          <w:tcPr>
            <w:tcW w:w="720" w:type="dxa"/>
            <w:shd w:val="clear" w:color="auto" w:fill="auto"/>
            <w:hideMark/>
          </w:tcPr>
          <w:p w:rsidR="008828A9" w:rsidRPr="001844D1" w:rsidP="006744B5" w14:paraId="64136271" w14:textId="77777777">
            <w:pPr>
              <w:rPr>
                <w:sz w:val="20"/>
              </w:rPr>
            </w:pPr>
            <w:r w:rsidRPr="001844D1">
              <w:rPr>
                <w:sz w:val="20"/>
              </w:rPr>
              <w:t>ME</w:t>
            </w:r>
          </w:p>
        </w:tc>
        <w:tc>
          <w:tcPr>
            <w:tcW w:w="720" w:type="dxa"/>
            <w:shd w:val="clear" w:color="auto" w:fill="auto"/>
            <w:hideMark/>
          </w:tcPr>
          <w:p w:rsidR="008828A9" w:rsidRPr="001844D1" w:rsidP="006744B5" w14:paraId="56B46DE7" w14:textId="77777777">
            <w:pPr>
              <w:rPr>
                <w:sz w:val="20"/>
              </w:rPr>
            </w:pPr>
            <w:r w:rsidRPr="001844D1">
              <w:rPr>
                <w:sz w:val="20"/>
              </w:rPr>
              <w:t>ME</w:t>
            </w:r>
          </w:p>
        </w:tc>
        <w:tc>
          <w:tcPr>
            <w:tcW w:w="720" w:type="dxa"/>
            <w:shd w:val="clear" w:color="auto" w:fill="auto"/>
            <w:hideMark/>
          </w:tcPr>
          <w:p w:rsidR="008828A9" w:rsidRPr="001844D1" w:rsidP="006744B5" w14:paraId="62E9237D" w14:textId="77777777">
            <w:pPr>
              <w:rPr>
                <w:sz w:val="20"/>
              </w:rPr>
            </w:pPr>
            <w:r w:rsidRPr="001844D1">
              <w:rPr>
                <w:sz w:val="20"/>
              </w:rPr>
              <w:t> </w:t>
            </w:r>
          </w:p>
        </w:tc>
        <w:tc>
          <w:tcPr>
            <w:tcW w:w="720" w:type="dxa"/>
            <w:shd w:val="clear" w:color="auto" w:fill="auto"/>
            <w:hideMark/>
          </w:tcPr>
          <w:p w:rsidR="008828A9" w:rsidRPr="001844D1" w:rsidP="006744B5" w14:paraId="250353D2" w14:textId="77777777">
            <w:pPr>
              <w:rPr>
                <w:sz w:val="20"/>
              </w:rPr>
            </w:pPr>
            <w:r w:rsidRPr="001844D1">
              <w:rPr>
                <w:sz w:val="20"/>
              </w:rPr>
              <w:t> </w:t>
            </w:r>
          </w:p>
        </w:tc>
        <w:tc>
          <w:tcPr>
            <w:tcW w:w="720" w:type="dxa"/>
            <w:shd w:val="clear" w:color="auto" w:fill="auto"/>
            <w:hideMark/>
          </w:tcPr>
          <w:p w:rsidR="008828A9" w:rsidRPr="001844D1" w:rsidP="006744B5" w14:paraId="0BB357DD" w14:textId="77777777">
            <w:pPr>
              <w:rPr>
                <w:sz w:val="20"/>
              </w:rPr>
            </w:pPr>
            <w:r w:rsidRPr="001844D1">
              <w:rPr>
                <w:sz w:val="20"/>
              </w:rPr>
              <w:t> </w:t>
            </w:r>
          </w:p>
        </w:tc>
        <w:tc>
          <w:tcPr>
            <w:tcW w:w="720" w:type="dxa"/>
            <w:shd w:val="clear" w:color="auto" w:fill="auto"/>
            <w:hideMark/>
          </w:tcPr>
          <w:p w:rsidR="008828A9" w:rsidRPr="001844D1" w:rsidP="006744B5" w14:paraId="7A3E7214" w14:textId="77777777">
            <w:pPr>
              <w:rPr>
                <w:sz w:val="20"/>
              </w:rPr>
            </w:pPr>
            <w:r w:rsidRPr="001844D1">
              <w:rPr>
                <w:sz w:val="20"/>
              </w:rPr>
              <w:t> </w:t>
            </w:r>
          </w:p>
        </w:tc>
        <w:tc>
          <w:tcPr>
            <w:tcW w:w="720" w:type="dxa"/>
            <w:shd w:val="clear" w:color="auto" w:fill="auto"/>
            <w:hideMark/>
          </w:tcPr>
          <w:p w:rsidR="008828A9" w:rsidRPr="001844D1" w:rsidP="006744B5" w14:paraId="48AB5D54" w14:textId="77777777">
            <w:pPr>
              <w:rPr>
                <w:sz w:val="20"/>
              </w:rPr>
            </w:pPr>
            <w:r w:rsidRPr="001844D1">
              <w:rPr>
                <w:sz w:val="20"/>
              </w:rPr>
              <w:t> </w:t>
            </w:r>
          </w:p>
        </w:tc>
        <w:tc>
          <w:tcPr>
            <w:tcW w:w="720" w:type="dxa"/>
            <w:shd w:val="clear" w:color="auto" w:fill="auto"/>
            <w:hideMark/>
          </w:tcPr>
          <w:p w:rsidR="008828A9" w:rsidRPr="001844D1" w:rsidP="006744B5" w14:paraId="7128474A" w14:textId="77777777">
            <w:pPr>
              <w:rPr>
                <w:sz w:val="20"/>
              </w:rPr>
            </w:pPr>
            <w:r w:rsidRPr="001844D1">
              <w:rPr>
                <w:sz w:val="20"/>
              </w:rPr>
              <w:t> </w:t>
            </w:r>
          </w:p>
        </w:tc>
        <w:tc>
          <w:tcPr>
            <w:tcW w:w="720" w:type="dxa"/>
            <w:shd w:val="clear" w:color="auto" w:fill="auto"/>
            <w:hideMark/>
          </w:tcPr>
          <w:p w:rsidR="008828A9" w:rsidRPr="001844D1" w:rsidP="006744B5" w14:paraId="3143D1AD" w14:textId="77777777">
            <w:pPr>
              <w:rPr>
                <w:sz w:val="20"/>
              </w:rPr>
            </w:pPr>
            <w:r w:rsidRPr="001844D1">
              <w:rPr>
                <w:sz w:val="20"/>
              </w:rPr>
              <w:t> </w:t>
            </w:r>
          </w:p>
        </w:tc>
      </w:tr>
      <w:tr w14:paraId="03C94715" w14:textId="77777777" w:rsidTr="006744B5">
        <w:tblPrEx>
          <w:tblW w:w="0" w:type="auto"/>
          <w:tblLook w:val="04A0"/>
        </w:tblPrEx>
        <w:trPr>
          <w:trHeight w:val="315"/>
        </w:trPr>
        <w:tc>
          <w:tcPr>
            <w:tcW w:w="1317" w:type="dxa"/>
            <w:vMerge/>
            <w:shd w:val="clear" w:color="auto" w:fill="auto"/>
            <w:hideMark/>
          </w:tcPr>
          <w:p w:rsidR="008828A9" w:rsidRPr="001844D1" w:rsidP="008828A9" w14:paraId="6838B817"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62FB399F" w14:textId="77777777">
            <w:pPr>
              <w:rPr>
                <w:sz w:val="20"/>
              </w:rPr>
            </w:pPr>
            <w:r w:rsidRPr="001844D1">
              <w:rPr>
                <w:sz w:val="20"/>
              </w:rPr>
              <w:t>OR</w:t>
            </w:r>
          </w:p>
        </w:tc>
        <w:tc>
          <w:tcPr>
            <w:tcW w:w="720" w:type="dxa"/>
            <w:shd w:val="clear" w:color="auto" w:fill="auto"/>
            <w:hideMark/>
          </w:tcPr>
          <w:p w:rsidR="008828A9" w:rsidRPr="001844D1" w:rsidP="006744B5" w14:paraId="5ADE7ED9" w14:textId="77777777">
            <w:pPr>
              <w:rPr>
                <w:sz w:val="20"/>
              </w:rPr>
            </w:pPr>
            <w:r w:rsidRPr="001844D1">
              <w:rPr>
                <w:sz w:val="20"/>
              </w:rPr>
              <w:t>OR</w:t>
            </w:r>
          </w:p>
        </w:tc>
        <w:tc>
          <w:tcPr>
            <w:tcW w:w="720" w:type="dxa"/>
            <w:shd w:val="clear" w:color="auto" w:fill="auto"/>
            <w:hideMark/>
          </w:tcPr>
          <w:p w:rsidR="008828A9" w:rsidRPr="001844D1" w:rsidP="006744B5" w14:paraId="24B52EDD" w14:textId="77777777">
            <w:pPr>
              <w:rPr>
                <w:sz w:val="20"/>
              </w:rPr>
            </w:pPr>
            <w:r w:rsidRPr="001844D1">
              <w:rPr>
                <w:sz w:val="20"/>
              </w:rPr>
              <w:t>OR</w:t>
            </w:r>
          </w:p>
        </w:tc>
        <w:tc>
          <w:tcPr>
            <w:tcW w:w="720" w:type="dxa"/>
            <w:shd w:val="clear" w:color="auto" w:fill="auto"/>
            <w:hideMark/>
          </w:tcPr>
          <w:p w:rsidR="008828A9" w:rsidRPr="001844D1" w:rsidP="006744B5" w14:paraId="55D39A91" w14:textId="77777777">
            <w:pPr>
              <w:rPr>
                <w:sz w:val="20"/>
              </w:rPr>
            </w:pPr>
            <w:r w:rsidRPr="001844D1">
              <w:rPr>
                <w:sz w:val="20"/>
              </w:rPr>
              <w:t> </w:t>
            </w:r>
          </w:p>
        </w:tc>
        <w:tc>
          <w:tcPr>
            <w:tcW w:w="720" w:type="dxa"/>
            <w:shd w:val="clear" w:color="auto" w:fill="auto"/>
            <w:hideMark/>
          </w:tcPr>
          <w:p w:rsidR="008828A9" w:rsidRPr="001844D1" w:rsidP="006744B5" w14:paraId="31DD950D" w14:textId="77777777">
            <w:pPr>
              <w:rPr>
                <w:sz w:val="20"/>
              </w:rPr>
            </w:pPr>
            <w:r w:rsidRPr="001844D1">
              <w:rPr>
                <w:sz w:val="20"/>
              </w:rPr>
              <w:t> </w:t>
            </w:r>
          </w:p>
        </w:tc>
        <w:tc>
          <w:tcPr>
            <w:tcW w:w="720" w:type="dxa"/>
            <w:shd w:val="clear" w:color="auto" w:fill="auto"/>
            <w:hideMark/>
          </w:tcPr>
          <w:p w:rsidR="008828A9" w:rsidRPr="001844D1" w:rsidP="006744B5" w14:paraId="1CABEE8A" w14:textId="77777777">
            <w:pPr>
              <w:rPr>
                <w:sz w:val="20"/>
              </w:rPr>
            </w:pPr>
            <w:r w:rsidRPr="001844D1">
              <w:rPr>
                <w:sz w:val="20"/>
              </w:rPr>
              <w:t> </w:t>
            </w:r>
          </w:p>
        </w:tc>
        <w:tc>
          <w:tcPr>
            <w:tcW w:w="720" w:type="dxa"/>
            <w:shd w:val="clear" w:color="auto" w:fill="auto"/>
            <w:hideMark/>
          </w:tcPr>
          <w:p w:rsidR="008828A9" w:rsidRPr="001844D1" w:rsidP="006744B5" w14:paraId="0AEADD4F" w14:textId="77777777">
            <w:pPr>
              <w:rPr>
                <w:sz w:val="20"/>
              </w:rPr>
            </w:pPr>
            <w:r w:rsidRPr="001844D1">
              <w:rPr>
                <w:sz w:val="20"/>
              </w:rPr>
              <w:t> </w:t>
            </w:r>
          </w:p>
        </w:tc>
        <w:tc>
          <w:tcPr>
            <w:tcW w:w="720" w:type="dxa"/>
            <w:shd w:val="clear" w:color="auto" w:fill="auto"/>
            <w:hideMark/>
          </w:tcPr>
          <w:p w:rsidR="008828A9" w:rsidRPr="001844D1" w:rsidP="006744B5" w14:paraId="6F38C383" w14:textId="77777777">
            <w:pPr>
              <w:rPr>
                <w:sz w:val="20"/>
              </w:rPr>
            </w:pPr>
            <w:r w:rsidRPr="001844D1">
              <w:rPr>
                <w:sz w:val="20"/>
              </w:rPr>
              <w:t> </w:t>
            </w:r>
          </w:p>
        </w:tc>
        <w:tc>
          <w:tcPr>
            <w:tcW w:w="720" w:type="dxa"/>
            <w:shd w:val="clear" w:color="auto" w:fill="auto"/>
            <w:hideMark/>
          </w:tcPr>
          <w:p w:rsidR="008828A9" w:rsidRPr="001844D1" w:rsidP="006744B5" w14:paraId="6FB1720C" w14:textId="77777777">
            <w:pPr>
              <w:rPr>
                <w:sz w:val="20"/>
              </w:rPr>
            </w:pPr>
            <w:r w:rsidRPr="001844D1">
              <w:rPr>
                <w:sz w:val="20"/>
              </w:rPr>
              <w:t> </w:t>
            </w:r>
          </w:p>
        </w:tc>
        <w:tc>
          <w:tcPr>
            <w:tcW w:w="720" w:type="dxa"/>
            <w:shd w:val="clear" w:color="auto" w:fill="auto"/>
            <w:hideMark/>
          </w:tcPr>
          <w:p w:rsidR="008828A9" w:rsidRPr="001844D1" w:rsidP="006744B5" w14:paraId="05712123" w14:textId="77777777">
            <w:pPr>
              <w:rPr>
                <w:sz w:val="20"/>
              </w:rPr>
            </w:pPr>
            <w:r w:rsidRPr="001844D1">
              <w:rPr>
                <w:sz w:val="20"/>
              </w:rPr>
              <w:t> </w:t>
            </w:r>
          </w:p>
        </w:tc>
        <w:tc>
          <w:tcPr>
            <w:tcW w:w="720" w:type="dxa"/>
            <w:shd w:val="clear" w:color="auto" w:fill="auto"/>
            <w:hideMark/>
          </w:tcPr>
          <w:p w:rsidR="008828A9" w:rsidRPr="001844D1" w:rsidP="006744B5" w14:paraId="6010E90B" w14:textId="77777777">
            <w:pPr>
              <w:rPr>
                <w:sz w:val="20"/>
              </w:rPr>
            </w:pPr>
          </w:p>
        </w:tc>
      </w:tr>
      <w:tr w14:paraId="788A5DEB" w14:textId="77777777" w:rsidTr="006744B5">
        <w:tblPrEx>
          <w:tblW w:w="0" w:type="auto"/>
          <w:tblLook w:val="04A0"/>
        </w:tblPrEx>
        <w:trPr>
          <w:trHeight w:val="315"/>
        </w:trPr>
        <w:tc>
          <w:tcPr>
            <w:tcW w:w="1317" w:type="dxa"/>
            <w:vMerge/>
            <w:shd w:val="clear" w:color="auto" w:fill="auto"/>
            <w:hideMark/>
          </w:tcPr>
          <w:p w:rsidR="008828A9" w:rsidRPr="001844D1" w:rsidP="008828A9" w14:paraId="5BB89C50"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4517EEE" w14:textId="77777777">
            <w:pPr>
              <w:rPr>
                <w:sz w:val="20"/>
              </w:rPr>
            </w:pPr>
            <w:r w:rsidRPr="001844D1">
              <w:rPr>
                <w:sz w:val="20"/>
              </w:rPr>
              <w:t> </w:t>
            </w:r>
          </w:p>
        </w:tc>
        <w:tc>
          <w:tcPr>
            <w:tcW w:w="720" w:type="dxa"/>
            <w:shd w:val="clear" w:color="auto" w:fill="auto"/>
            <w:hideMark/>
          </w:tcPr>
          <w:p w:rsidR="008828A9" w:rsidRPr="001844D1" w:rsidP="006744B5" w14:paraId="557F5071" w14:textId="77777777">
            <w:pPr>
              <w:rPr>
                <w:sz w:val="20"/>
              </w:rPr>
            </w:pPr>
            <w:r w:rsidRPr="001844D1">
              <w:rPr>
                <w:sz w:val="20"/>
              </w:rPr>
              <w:t> </w:t>
            </w:r>
          </w:p>
        </w:tc>
        <w:tc>
          <w:tcPr>
            <w:tcW w:w="720" w:type="dxa"/>
            <w:shd w:val="clear" w:color="auto" w:fill="auto"/>
            <w:hideMark/>
          </w:tcPr>
          <w:p w:rsidR="008828A9" w:rsidRPr="001844D1" w:rsidP="006744B5" w14:paraId="103DF30B" w14:textId="77777777">
            <w:pPr>
              <w:rPr>
                <w:sz w:val="20"/>
              </w:rPr>
            </w:pPr>
            <w:r w:rsidRPr="001844D1">
              <w:rPr>
                <w:sz w:val="20"/>
              </w:rPr>
              <w:t> </w:t>
            </w:r>
          </w:p>
        </w:tc>
        <w:tc>
          <w:tcPr>
            <w:tcW w:w="720" w:type="dxa"/>
            <w:shd w:val="clear" w:color="auto" w:fill="auto"/>
            <w:hideMark/>
          </w:tcPr>
          <w:p w:rsidR="008828A9" w:rsidRPr="001844D1" w:rsidP="006744B5" w14:paraId="33A1A75E" w14:textId="77777777">
            <w:pPr>
              <w:rPr>
                <w:sz w:val="20"/>
              </w:rPr>
            </w:pPr>
            <w:r w:rsidRPr="001844D1">
              <w:rPr>
                <w:sz w:val="20"/>
              </w:rPr>
              <w:t> </w:t>
            </w:r>
          </w:p>
        </w:tc>
        <w:tc>
          <w:tcPr>
            <w:tcW w:w="720" w:type="dxa"/>
            <w:shd w:val="clear" w:color="auto" w:fill="auto"/>
            <w:hideMark/>
          </w:tcPr>
          <w:p w:rsidR="008828A9" w:rsidRPr="001844D1" w:rsidP="006744B5" w14:paraId="5B9E87BB" w14:textId="77777777">
            <w:pPr>
              <w:rPr>
                <w:sz w:val="20"/>
              </w:rPr>
            </w:pPr>
            <w:r w:rsidRPr="001844D1">
              <w:rPr>
                <w:sz w:val="20"/>
              </w:rPr>
              <w:t> </w:t>
            </w:r>
          </w:p>
        </w:tc>
        <w:tc>
          <w:tcPr>
            <w:tcW w:w="720" w:type="dxa"/>
            <w:shd w:val="clear" w:color="auto" w:fill="auto"/>
            <w:hideMark/>
          </w:tcPr>
          <w:p w:rsidR="008828A9" w:rsidRPr="001844D1" w:rsidP="006744B5" w14:paraId="6BC9EED1" w14:textId="77777777">
            <w:pPr>
              <w:rPr>
                <w:sz w:val="20"/>
              </w:rPr>
            </w:pPr>
            <w:r w:rsidRPr="001844D1">
              <w:rPr>
                <w:sz w:val="20"/>
              </w:rPr>
              <w:t>WA</w:t>
            </w:r>
          </w:p>
        </w:tc>
        <w:tc>
          <w:tcPr>
            <w:tcW w:w="720" w:type="dxa"/>
            <w:shd w:val="clear" w:color="auto" w:fill="auto"/>
            <w:hideMark/>
          </w:tcPr>
          <w:p w:rsidR="008828A9" w:rsidRPr="001844D1" w:rsidP="006744B5" w14:paraId="3CDBB89E" w14:textId="77777777">
            <w:pPr>
              <w:rPr>
                <w:sz w:val="20"/>
              </w:rPr>
            </w:pPr>
            <w:r w:rsidRPr="001844D1">
              <w:rPr>
                <w:sz w:val="20"/>
              </w:rPr>
              <w:t> </w:t>
            </w:r>
          </w:p>
        </w:tc>
        <w:tc>
          <w:tcPr>
            <w:tcW w:w="720" w:type="dxa"/>
            <w:shd w:val="clear" w:color="auto" w:fill="auto"/>
            <w:hideMark/>
          </w:tcPr>
          <w:p w:rsidR="008828A9" w:rsidRPr="001844D1" w:rsidP="006744B5" w14:paraId="5446666E" w14:textId="77777777">
            <w:pPr>
              <w:rPr>
                <w:sz w:val="20"/>
              </w:rPr>
            </w:pPr>
            <w:r w:rsidRPr="001844D1">
              <w:rPr>
                <w:sz w:val="20"/>
              </w:rPr>
              <w:t>WA</w:t>
            </w:r>
          </w:p>
        </w:tc>
        <w:tc>
          <w:tcPr>
            <w:tcW w:w="720" w:type="dxa"/>
            <w:shd w:val="clear" w:color="auto" w:fill="auto"/>
            <w:hideMark/>
          </w:tcPr>
          <w:p w:rsidR="008828A9" w:rsidRPr="001844D1" w:rsidP="006744B5" w14:paraId="2BD46C6B" w14:textId="77777777">
            <w:pPr>
              <w:rPr>
                <w:sz w:val="20"/>
              </w:rPr>
            </w:pPr>
            <w:r w:rsidRPr="001844D1">
              <w:rPr>
                <w:sz w:val="20"/>
              </w:rPr>
              <w:t> </w:t>
            </w:r>
          </w:p>
        </w:tc>
        <w:tc>
          <w:tcPr>
            <w:tcW w:w="720" w:type="dxa"/>
            <w:shd w:val="clear" w:color="auto" w:fill="auto"/>
            <w:hideMark/>
          </w:tcPr>
          <w:p w:rsidR="008828A9" w:rsidRPr="001844D1" w:rsidP="006744B5" w14:paraId="0F501246" w14:textId="77777777">
            <w:pPr>
              <w:rPr>
                <w:sz w:val="20"/>
              </w:rPr>
            </w:pPr>
            <w:r w:rsidRPr="001844D1">
              <w:rPr>
                <w:sz w:val="20"/>
              </w:rPr>
              <w:t> </w:t>
            </w:r>
          </w:p>
        </w:tc>
        <w:tc>
          <w:tcPr>
            <w:tcW w:w="720" w:type="dxa"/>
            <w:shd w:val="clear" w:color="auto" w:fill="auto"/>
            <w:hideMark/>
          </w:tcPr>
          <w:p w:rsidR="008828A9" w:rsidRPr="001844D1" w:rsidP="006744B5" w14:paraId="0DD9D343" w14:textId="77777777">
            <w:pPr>
              <w:rPr>
                <w:sz w:val="20"/>
              </w:rPr>
            </w:pPr>
            <w:r w:rsidRPr="001844D1">
              <w:rPr>
                <w:sz w:val="20"/>
              </w:rPr>
              <w:t> </w:t>
            </w:r>
          </w:p>
        </w:tc>
      </w:tr>
      <w:tr w14:paraId="4BAA70EC" w14:textId="77777777" w:rsidTr="006744B5">
        <w:tblPrEx>
          <w:tblW w:w="0" w:type="auto"/>
          <w:tblLook w:val="04A0"/>
        </w:tblPrEx>
        <w:trPr>
          <w:trHeight w:val="315"/>
        </w:trPr>
        <w:tc>
          <w:tcPr>
            <w:tcW w:w="1317" w:type="dxa"/>
            <w:vMerge/>
            <w:shd w:val="clear" w:color="auto" w:fill="auto"/>
            <w:hideMark/>
          </w:tcPr>
          <w:p w:rsidR="008828A9" w:rsidRPr="001844D1" w:rsidP="008828A9" w14:paraId="6F42037E"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28CF42E" w14:textId="77777777">
            <w:pPr>
              <w:rPr>
                <w:sz w:val="20"/>
              </w:rPr>
            </w:pPr>
            <w:r w:rsidRPr="001844D1">
              <w:rPr>
                <w:sz w:val="20"/>
              </w:rPr>
              <w:t> </w:t>
            </w:r>
          </w:p>
        </w:tc>
        <w:tc>
          <w:tcPr>
            <w:tcW w:w="720" w:type="dxa"/>
            <w:shd w:val="clear" w:color="auto" w:fill="auto"/>
            <w:hideMark/>
          </w:tcPr>
          <w:p w:rsidR="008828A9" w:rsidRPr="001844D1" w:rsidP="006744B5" w14:paraId="048068D9" w14:textId="77777777">
            <w:pPr>
              <w:rPr>
                <w:sz w:val="20"/>
              </w:rPr>
            </w:pPr>
            <w:r w:rsidRPr="001844D1">
              <w:rPr>
                <w:sz w:val="20"/>
              </w:rPr>
              <w:t> </w:t>
            </w:r>
          </w:p>
        </w:tc>
        <w:tc>
          <w:tcPr>
            <w:tcW w:w="720" w:type="dxa"/>
            <w:shd w:val="clear" w:color="auto" w:fill="auto"/>
            <w:hideMark/>
          </w:tcPr>
          <w:p w:rsidR="008828A9" w:rsidRPr="001844D1" w:rsidP="006744B5" w14:paraId="4D430208" w14:textId="77777777">
            <w:pPr>
              <w:rPr>
                <w:sz w:val="20"/>
              </w:rPr>
            </w:pPr>
            <w:r w:rsidRPr="001844D1">
              <w:rPr>
                <w:sz w:val="20"/>
              </w:rPr>
              <w:t> </w:t>
            </w:r>
          </w:p>
        </w:tc>
        <w:tc>
          <w:tcPr>
            <w:tcW w:w="720" w:type="dxa"/>
            <w:shd w:val="clear" w:color="auto" w:fill="auto"/>
            <w:hideMark/>
          </w:tcPr>
          <w:p w:rsidR="008828A9" w:rsidRPr="001844D1" w:rsidP="006744B5" w14:paraId="1EB1C566" w14:textId="77777777">
            <w:pPr>
              <w:rPr>
                <w:sz w:val="20"/>
              </w:rPr>
            </w:pPr>
            <w:r w:rsidRPr="001844D1">
              <w:rPr>
                <w:sz w:val="20"/>
              </w:rPr>
              <w:t> </w:t>
            </w:r>
          </w:p>
        </w:tc>
        <w:tc>
          <w:tcPr>
            <w:tcW w:w="720" w:type="dxa"/>
            <w:shd w:val="clear" w:color="auto" w:fill="auto"/>
            <w:hideMark/>
          </w:tcPr>
          <w:p w:rsidR="008828A9" w:rsidRPr="001844D1" w:rsidP="006744B5" w14:paraId="24EEA163" w14:textId="77777777">
            <w:pPr>
              <w:rPr>
                <w:sz w:val="20"/>
              </w:rPr>
            </w:pPr>
            <w:r w:rsidRPr="001844D1">
              <w:rPr>
                <w:sz w:val="20"/>
              </w:rPr>
              <w:t> </w:t>
            </w:r>
          </w:p>
        </w:tc>
        <w:tc>
          <w:tcPr>
            <w:tcW w:w="720" w:type="dxa"/>
            <w:shd w:val="clear" w:color="auto" w:fill="auto"/>
            <w:hideMark/>
          </w:tcPr>
          <w:p w:rsidR="008828A9" w:rsidRPr="001844D1" w:rsidP="006744B5" w14:paraId="71B229CE" w14:textId="77777777">
            <w:pPr>
              <w:rPr>
                <w:sz w:val="20"/>
              </w:rPr>
            </w:pPr>
            <w:r w:rsidRPr="001844D1">
              <w:rPr>
                <w:sz w:val="20"/>
              </w:rPr>
              <w:t> </w:t>
            </w:r>
          </w:p>
        </w:tc>
        <w:tc>
          <w:tcPr>
            <w:tcW w:w="720" w:type="dxa"/>
            <w:shd w:val="clear" w:color="auto" w:fill="auto"/>
            <w:hideMark/>
          </w:tcPr>
          <w:p w:rsidR="008828A9" w:rsidRPr="001844D1" w:rsidP="006744B5" w14:paraId="5AFAB1AE" w14:textId="77777777">
            <w:pPr>
              <w:rPr>
                <w:sz w:val="20"/>
              </w:rPr>
            </w:pPr>
            <w:r w:rsidRPr="001844D1">
              <w:rPr>
                <w:sz w:val="20"/>
              </w:rPr>
              <w:t>WV</w:t>
            </w:r>
          </w:p>
        </w:tc>
        <w:tc>
          <w:tcPr>
            <w:tcW w:w="720" w:type="dxa"/>
            <w:shd w:val="clear" w:color="auto" w:fill="auto"/>
            <w:hideMark/>
          </w:tcPr>
          <w:p w:rsidR="008828A9" w:rsidRPr="001844D1" w:rsidP="006744B5" w14:paraId="5E7F4523" w14:textId="77777777">
            <w:pPr>
              <w:rPr>
                <w:sz w:val="20"/>
              </w:rPr>
            </w:pPr>
            <w:r w:rsidRPr="001844D1">
              <w:rPr>
                <w:sz w:val="20"/>
              </w:rPr>
              <w:t>WV</w:t>
            </w:r>
          </w:p>
        </w:tc>
        <w:tc>
          <w:tcPr>
            <w:tcW w:w="720" w:type="dxa"/>
            <w:shd w:val="clear" w:color="auto" w:fill="auto"/>
            <w:hideMark/>
          </w:tcPr>
          <w:p w:rsidR="008828A9" w:rsidRPr="001844D1" w:rsidP="006744B5" w14:paraId="538C4341" w14:textId="77777777">
            <w:pPr>
              <w:rPr>
                <w:sz w:val="20"/>
              </w:rPr>
            </w:pPr>
            <w:r w:rsidRPr="001844D1">
              <w:rPr>
                <w:sz w:val="20"/>
              </w:rPr>
              <w:t>WV</w:t>
            </w:r>
          </w:p>
        </w:tc>
        <w:tc>
          <w:tcPr>
            <w:tcW w:w="720" w:type="dxa"/>
            <w:shd w:val="clear" w:color="auto" w:fill="auto"/>
            <w:hideMark/>
          </w:tcPr>
          <w:p w:rsidR="008828A9" w:rsidRPr="001844D1" w:rsidP="006744B5" w14:paraId="46FCF1E6" w14:textId="77777777">
            <w:pPr>
              <w:rPr>
                <w:sz w:val="20"/>
              </w:rPr>
            </w:pPr>
            <w:r w:rsidRPr="001844D1">
              <w:rPr>
                <w:sz w:val="20"/>
              </w:rPr>
              <w:t>WV</w:t>
            </w:r>
          </w:p>
        </w:tc>
        <w:tc>
          <w:tcPr>
            <w:tcW w:w="720" w:type="dxa"/>
            <w:shd w:val="clear" w:color="auto" w:fill="auto"/>
            <w:hideMark/>
          </w:tcPr>
          <w:p w:rsidR="008828A9" w:rsidRPr="001844D1" w:rsidP="006744B5" w14:paraId="70D8E3DC" w14:textId="77777777">
            <w:pPr>
              <w:rPr>
                <w:sz w:val="20"/>
              </w:rPr>
            </w:pPr>
            <w:r w:rsidRPr="001844D1">
              <w:rPr>
                <w:sz w:val="20"/>
              </w:rPr>
              <w:t>WV</w:t>
            </w:r>
          </w:p>
        </w:tc>
      </w:tr>
      <w:tr w14:paraId="2E2C630D" w14:textId="77777777" w:rsidTr="006744B5">
        <w:tblPrEx>
          <w:tblW w:w="0" w:type="auto"/>
          <w:tblLook w:val="04A0"/>
        </w:tblPrEx>
        <w:trPr>
          <w:trHeight w:val="315"/>
        </w:trPr>
        <w:tc>
          <w:tcPr>
            <w:tcW w:w="1317" w:type="dxa"/>
            <w:vMerge/>
            <w:shd w:val="clear" w:color="auto" w:fill="auto"/>
            <w:hideMark/>
          </w:tcPr>
          <w:p w:rsidR="008828A9" w:rsidRPr="001844D1" w:rsidP="008828A9" w14:paraId="64BAED44"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722D3A3E" w14:textId="77777777">
            <w:pPr>
              <w:rPr>
                <w:sz w:val="20"/>
              </w:rPr>
            </w:pPr>
            <w:r w:rsidRPr="001844D1">
              <w:rPr>
                <w:sz w:val="20"/>
              </w:rPr>
              <w:t> </w:t>
            </w:r>
          </w:p>
        </w:tc>
        <w:tc>
          <w:tcPr>
            <w:tcW w:w="720" w:type="dxa"/>
            <w:shd w:val="clear" w:color="auto" w:fill="auto"/>
            <w:hideMark/>
          </w:tcPr>
          <w:p w:rsidR="008828A9" w:rsidRPr="001844D1" w:rsidP="006744B5" w14:paraId="4C2055FB" w14:textId="77777777">
            <w:pPr>
              <w:rPr>
                <w:sz w:val="20"/>
              </w:rPr>
            </w:pPr>
            <w:r w:rsidRPr="001844D1">
              <w:rPr>
                <w:sz w:val="20"/>
              </w:rPr>
              <w:t> </w:t>
            </w:r>
          </w:p>
        </w:tc>
        <w:tc>
          <w:tcPr>
            <w:tcW w:w="720" w:type="dxa"/>
            <w:shd w:val="clear" w:color="auto" w:fill="auto"/>
            <w:hideMark/>
          </w:tcPr>
          <w:p w:rsidR="008828A9" w:rsidRPr="001844D1" w:rsidP="006744B5" w14:paraId="0F8F68F6" w14:textId="77777777">
            <w:pPr>
              <w:rPr>
                <w:sz w:val="20"/>
              </w:rPr>
            </w:pPr>
            <w:r w:rsidRPr="001844D1">
              <w:rPr>
                <w:sz w:val="20"/>
              </w:rPr>
              <w:t> </w:t>
            </w:r>
          </w:p>
        </w:tc>
        <w:tc>
          <w:tcPr>
            <w:tcW w:w="720" w:type="dxa"/>
            <w:shd w:val="clear" w:color="auto" w:fill="auto"/>
            <w:hideMark/>
          </w:tcPr>
          <w:p w:rsidR="008828A9" w:rsidRPr="001844D1" w:rsidP="006744B5" w14:paraId="0BBA52A1" w14:textId="77777777">
            <w:pPr>
              <w:rPr>
                <w:sz w:val="20"/>
              </w:rPr>
            </w:pPr>
            <w:r w:rsidRPr="001844D1">
              <w:rPr>
                <w:sz w:val="20"/>
              </w:rPr>
              <w:t> </w:t>
            </w:r>
          </w:p>
        </w:tc>
        <w:tc>
          <w:tcPr>
            <w:tcW w:w="720" w:type="dxa"/>
            <w:shd w:val="clear" w:color="auto" w:fill="auto"/>
            <w:hideMark/>
          </w:tcPr>
          <w:p w:rsidR="008828A9" w:rsidRPr="001844D1" w:rsidP="006744B5" w14:paraId="060092E1" w14:textId="77777777">
            <w:pPr>
              <w:rPr>
                <w:sz w:val="20"/>
              </w:rPr>
            </w:pPr>
            <w:r w:rsidRPr="001844D1">
              <w:rPr>
                <w:sz w:val="20"/>
              </w:rPr>
              <w:t> </w:t>
            </w:r>
          </w:p>
        </w:tc>
        <w:tc>
          <w:tcPr>
            <w:tcW w:w="720" w:type="dxa"/>
            <w:shd w:val="clear" w:color="auto" w:fill="auto"/>
            <w:hideMark/>
          </w:tcPr>
          <w:p w:rsidR="008828A9" w:rsidRPr="001844D1" w:rsidP="006744B5" w14:paraId="5F0F718A" w14:textId="77777777">
            <w:pPr>
              <w:rPr>
                <w:sz w:val="20"/>
              </w:rPr>
            </w:pPr>
            <w:r w:rsidRPr="001844D1">
              <w:rPr>
                <w:sz w:val="20"/>
              </w:rPr>
              <w:t> </w:t>
            </w:r>
          </w:p>
        </w:tc>
        <w:tc>
          <w:tcPr>
            <w:tcW w:w="720" w:type="dxa"/>
            <w:shd w:val="clear" w:color="auto" w:fill="auto"/>
            <w:hideMark/>
          </w:tcPr>
          <w:p w:rsidR="008828A9" w:rsidRPr="001844D1" w:rsidP="006744B5" w14:paraId="6E83B6FD" w14:textId="77777777">
            <w:pPr>
              <w:rPr>
                <w:sz w:val="20"/>
              </w:rPr>
            </w:pPr>
            <w:r w:rsidRPr="001844D1">
              <w:rPr>
                <w:sz w:val="20"/>
              </w:rPr>
              <w:t>NH</w:t>
            </w:r>
          </w:p>
        </w:tc>
        <w:tc>
          <w:tcPr>
            <w:tcW w:w="720" w:type="dxa"/>
            <w:shd w:val="clear" w:color="auto" w:fill="auto"/>
            <w:hideMark/>
          </w:tcPr>
          <w:p w:rsidR="008828A9" w:rsidRPr="001844D1" w:rsidP="006744B5" w14:paraId="4E0FEB6A" w14:textId="77777777">
            <w:pPr>
              <w:rPr>
                <w:sz w:val="20"/>
              </w:rPr>
            </w:pPr>
            <w:r w:rsidRPr="001844D1">
              <w:rPr>
                <w:sz w:val="20"/>
              </w:rPr>
              <w:t>NH</w:t>
            </w:r>
          </w:p>
        </w:tc>
        <w:tc>
          <w:tcPr>
            <w:tcW w:w="720" w:type="dxa"/>
            <w:shd w:val="clear" w:color="auto" w:fill="auto"/>
            <w:hideMark/>
          </w:tcPr>
          <w:p w:rsidR="008828A9" w:rsidRPr="001844D1" w:rsidP="006744B5" w14:paraId="53C723BD" w14:textId="77777777">
            <w:pPr>
              <w:rPr>
                <w:sz w:val="20"/>
              </w:rPr>
            </w:pPr>
            <w:r w:rsidRPr="001844D1">
              <w:rPr>
                <w:sz w:val="20"/>
              </w:rPr>
              <w:t> </w:t>
            </w:r>
          </w:p>
        </w:tc>
        <w:tc>
          <w:tcPr>
            <w:tcW w:w="720" w:type="dxa"/>
            <w:shd w:val="clear" w:color="auto" w:fill="auto"/>
            <w:hideMark/>
          </w:tcPr>
          <w:p w:rsidR="008828A9" w:rsidRPr="001844D1" w:rsidP="006744B5" w14:paraId="19B2E886" w14:textId="77777777">
            <w:pPr>
              <w:rPr>
                <w:sz w:val="20"/>
              </w:rPr>
            </w:pPr>
            <w:r w:rsidRPr="001844D1">
              <w:rPr>
                <w:sz w:val="20"/>
              </w:rPr>
              <w:t> </w:t>
            </w:r>
          </w:p>
        </w:tc>
        <w:tc>
          <w:tcPr>
            <w:tcW w:w="720" w:type="dxa"/>
            <w:shd w:val="clear" w:color="auto" w:fill="auto"/>
            <w:hideMark/>
          </w:tcPr>
          <w:p w:rsidR="008828A9" w:rsidRPr="001844D1" w:rsidP="006744B5" w14:paraId="7F8F0E81" w14:textId="77777777">
            <w:pPr>
              <w:rPr>
                <w:sz w:val="20"/>
              </w:rPr>
            </w:pPr>
            <w:r w:rsidRPr="001844D1">
              <w:rPr>
                <w:sz w:val="20"/>
              </w:rPr>
              <w:t> </w:t>
            </w:r>
          </w:p>
        </w:tc>
      </w:tr>
      <w:tr w14:paraId="67EE98A5" w14:textId="77777777" w:rsidTr="006744B5">
        <w:tblPrEx>
          <w:tblW w:w="0" w:type="auto"/>
          <w:tblLook w:val="04A0"/>
        </w:tblPrEx>
        <w:trPr>
          <w:trHeight w:val="315"/>
        </w:trPr>
        <w:tc>
          <w:tcPr>
            <w:tcW w:w="1317" w:type="dxa"/>
            <w:vMerge/>
            <w:shd w:val="clear" w:color="auto" w:fill="auto"/>
            <w:hideMark/>
          </w:tcPr>
          <w:p w:rsidR="008828A9" w:rsidRPr="001844D1" w:rsidP="008828A9" w14:paraId="77E0AAAF"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0100E7ED" w14:textId="77777777">
            <w:pPr>
              <w:rPr>
                <w:sz w:val="20"/>
              </w:rPr>
            </w:pPr>
            <w:r w:rsidRPr="001844D1">
              <w:rPr>
                <w:sz w:val="20"/>
              </w:rPr>
              <w:t>WI</w:t>
            </w:r>
          </w:p>
        </w:tc>
        <w:tc>
          <w:tcPr>
            <w:tcW w:w="720" w:type="dxa"/>
            <w:shd w:val="clear" w:color="auto" w:fill="auto"/>
            <w:hideMark/>
          </w:tcPr>
          <w:p w:rsidR="008828A9" w:rsidRPr="001844D1" w:rsidP="006744B5" w14:paraId="1ACE1563" w14:textId="77777777">
            <w:pPr>
              <w:rPr>
                <w:sz w:val="20"/>
              </w:rPr>
            </w:pPr>
            <w:r w:rsidRPr="001844D1">
              <w:rPr>
                <w:sz w:val="20"/>
              </w:rPr>
              <w:t>WI</w:t>
            </w:r>
          </w:p>
        </w:tc>
        <w:tc>
          <w:tcPr>
            <w:tcW w:w="720" w:type="dxa"/>
            <w:shd w:val="clear" w:color="auto" w:fill="auto"/>
            <w:hideMark/>
          </w:tcPr>
          <w:p w:rsidR="008828A9" w:rsidRPr="001844D1" w:rsidP="006744B5" w14:paraId="6F1749D6" w14:textId="77777777">
            <w:pPr>
              <w:rPr>
                <w:sz w:val="20"/>
              </w:rPr>
            </w:pPr>
            <w:r w:rsidRPr="001844D1">
              <w:rPr>
                <w:sz w:val="20"/>
              </w:rPr>
              <w:t> </w:t>
            </w:r>
          </w:p>
        </w:tc>
        <w:tc>
          <w:tcPr>
            <w:tcW w:w="720" w:type="dxa"/>
            <w:shd w:val="clear" w:color="auto" w:fill="auto"/>
            <w:hideMark/>
          </w:tcPr>
          <w:p w:rsidR="008828A9" w:rsidRPr="001844D1" w:rsidP="006744B5" w14:paraId="6B787809" w14:textId="77777777">
            <w:pPr>
              <w:rPr>
                <w:sz w:val="20"/>
              </w:rPr>
            </w:pPr>
            <w:r w:rsidRPr="001844D1">
              <w:rPr>
                <w:sz w:val="20"/>
              </w:rPr>
              <w:t> </w:t>
            </w:r>
          </w:p>
        </w:tc>
        <w:tc>
          <w:tcPr>
            <w:tcW w:w="720" w:type="dxa"/>
            <w:shd w:val="clear" w:color="auto" w:fill="auto"/>
            <w:hideMark/>
          </w:tcPr>
          <w:p w:rsidR="008828A9" w:rsidRPr="001844D1" w:rsidP="006744B5" w14:paraId="07A1D90D" w14:textId="77777777">
            <w:pPr>
              <w:rPr>
                <w:sz w:val="20"/>
              </w:rPr>
            </w:pPr>
            <w:r w:rsidRPr="001844D1">
              <w:rPr>
                <w:sz w:val="20"/>
              </w:rPr>
              <w:t> </w:t>
            </w:r>
          </w:p>
        </w:tc>
        <w:tc>
          <w:tcPr>
            <w:tcW w:w="720" w:type="dxa"/>
            <w:shd w:val="clear" w:color="auto" w:fill="auto"/>
            <w:hideMark/>
          </w:tcPr>
          <w:p w:rsidR="008828A9" w:rsidRPr="001844D1" w:rsidP="006744B5" w14:paraId="67106ADD" w14:textId="77777777">
            <w:pPr>
              <w:rPr>
                <w:sz w:val="20"/>
              </w:rPr>
            </w:pPr>
            <w:r w:rsidRPr="001844D1">
              <w:rPr>
                <w:sz w:val="20"/>
              </w:rPr>
              <w:t> </w:t>
            </w:r>
          </w:p>
        </w:tc>
        <w:tc>
          <w:tcPr>
            <w:tcW w:w="720" w:type="dxa"/>
            <w:shd w:val="clear" w:color="auto" w:fill="auto"/>
            <w:hideMark/>
          </w:tcPr>
          <w:p w:rsidR="008828A9" w:rsidRPr="001844D1" w:rsidP="006744B5" w14:paraId="7BE08164" w14:textId="77777777">
            <w:pPr>
              <w:rPr>
                <w:sz w:val="20"/>
              </w:rPr>
            </w:pPr>
            <w:r w:rsidRPr="001844D1">
              <w:rPr>
                <w:sz w:val="20"/>
              </w:rPr>
              <w:t> </w:t>
            </w:r>
          </w:p>
        </w:tc>
        <w:tc>
          <w:tcPr>
            <w:tcW w:w="720" w:type="dxa"/>
            <w:shd w:val="clear" w:color="auto" w:fill="auto"/>
            <w:hideMark/>
          </w:tcPr>
          <w:p w:rsidR="008828A9" w:rsidRPr="001844D1" w:rsidP="006744B5" w14:paraId="6ED0C2C0" w14:textId="77777777">
            <w:pPr>
              <w:rPr>
                <w:sz w:val="20"/>
              </w:rPr>
            </w:pPr>
            <w:r w:rsidRPr="001844D1">
              <w:rPr>
                <w:sz w:val="20"/>
              </w:rPr>
              <w:t> </w:t>
            </w:r>
          </w:p>
        </w:tc>
        <w:tc>
          <w:tcPr>
            <w:tcW w:w="720" w:type="dxa"/>
            <w:shd w:val="clear" w:color="auto" w:fill="auto"/>
            <w:hideMark/>
          </w:tcPr>
          <w:p w:rsidR="008828A9" w:rsidRPr="001844D1" w:rsidP="006744B5" w14:paraId="59CC2F78" w14:textId="77777777">
            <w:pPr>
              <w:rPr>
                <w:sz w:val="20"/>
              </w:rPr>
            </w:pPr>
            <w:r w:rsidRPr="001844D1">
              <w:rPr>
                <w:sz w:val="20"/>
              </w:rPr>
              <w:t> </w:t>
            </w:r>
          </w:p>
        </w:tc>
        <w:tc>
          <w:tcPr>
            <w:tcW w:w="720" w:type="dxa"/>
            <w:shd w:val="clear" w:color="auto" w:fill="auto"/>
            <w:hideMark/>
          </w:tcPr>
          <w:p w:rsidR="008828A9" w:rsidRPr="001844D1" w:rsidP="006744B5" w14:paraId="0945E1D8" w14:textId="77777777">
            <w:pPr>
              <w:rPr>
                <w:sz w:val="20"/>
              </w:rPr>
            </w:pPr>
            <w:r w:rsidRPr="001844D1">
              <w:rPr>
                <w:sz w:val="20"/>
              </w:rPr>
              <w:t> </w:t>
            </w:r>
          </w:p>
        </w:tc>
        <w:tc>
          <w:tcPr>
            <w:tcW w:w="720" w:type="dxa"/>
            <w:shd w:val="clear" w:color="auto" w:fill="auto"/>
            <w:hideMark/>
          </w:tcPr>
          <w:p w:rsidR="008828A9" w:rsidRPr="001844D1" w:rsidP="006744B5" w14:paraId="58F5C760" w14:textId="77777777">
            <w:pPr>
              <w:rPr>
                <w:sz w:val="20"/>
              </w:rPr>
            </w:pPr>
            <w:r w:rsidRPr="001844D1">
              <w:rPr>
                <w:sz w:val="20"/>
              </w:rPr>
              <w:t> </w:t>
            </w:r>
          </w:p>
        </w:tc>
      </w:tr>
      <w:tr w14:paraId="10B9EF16" w14:textId="77777777" w:rsidTr="006744B5">
        <w:tblPrEx>
          <w:tblW w:w="0" w:type="auto"/>
          <w:tblLook w:val="04A0"/>
        </w:tblPrEx>
        <w:trPr>
          <w:trHeight w:val="315"/>
        </w:trPr>
        <w:tc>
          <w:tcPr>
            <w:tcW w:w="1317" w:type="dxa"/>
            <w:vMerge/>
            <w:shd w:val="clear" w:color="auto" w:fill="auto"/>
          </w:tcPr>
          <w:p w:rsidR="008828A9" w:rsidRPr="001844D1" w:rsidP="008828A9" w14:paraId="4762EBED" w14:textId="77777777">
            <w:pPr>
              <w:pStyle w:val="ParaNum"/>
              <w:numPr>
                <w:ilvl w:val="0"/>
                <w:numId w:val="3"/>
              </w:numPr>
              <w:tabs>
                <w:tab w:val="clear" w:pos="1080"/>
                <w:tab w:val="num" w:pos="1440"/>
              </w:tabs>
              <w:jc w:val="center"/>
              <w:rPr>
                <w:b/>
                <w:bCs/>
                <w:sz w:val="20"/>
              </w:rPr>
            </w:pPr>
          </w:p>
        </w:tc>
        <w:tc>
          <w:tcPr>
            <w:tcW w:w="720" w:type="dxa"/>
            <w:shd w:val="clear" w:color="auto" w:fill="auto"/>
          </w:tcPr>
          <w:p w:rsidR="008828A9" w:rsidRPr="001844D1" w:rsidP="006744B5" w14:paraId="3901B1D9" w14:textId="77777777">
            <w:pPr>
              <w:rPr>
                <w:sz w:val="20"/>
              </w:rPr>
            </w:pPr>
          </w:p>
        </w:tc>
        <w:tc>
          <w:tcPr>
            <w:tcW w:w="720" w:type="dxa"/>
            <w:shd w:val="clear" w:color="auto" w:fill="auto"/>
          </w:tcPr>
          <w:p w:rsidR="008828A9" w:rsidRPr="001844D1" w:rsidP="006744B5" w14:paraId="1110A801" w14:textId="77777777">
            <w:pPr>
              <w:rPr>
                <w:sz w:val="20"/>
              </w:rPr>
            </w:pPr>
          </w:p>
        </w:tc>
        <w:tc>
          <w:tcPr>
            <w:tcW w:w="720" w:type="dxa"/>
            <w:shd w:val="clear" w:color="auto" w:fill="auto"/>
          </w:tcPr>
          <w:p w:rsidR="008828A9" w:rsidRPr="001844D1" w:rsidP="006744B5" w14:paraId="4709DD7E" w14:textId="77777777">
            <w:pPr>
              <w:rPr>
                <w:sz w:val="20"/>
              </w:rPr>
            </w:pPr>
          </w:p>
        </w:tc>
        <w:tc>
          <w:tcPr>
            <w:tcW w:w="720" w:type="dxa"/>
            <w:shd w:val="clear" w:color="auto" w:fill="auto"/>
          </w:tcPr>
          <w:p w:rsidR="008828A9" w:rsidRPr="001844D1" w:rsidP="006744B5" w14:paraId="60830E47" w14:textId="77777777">
            <w:pPr>
              <w:rPr>
                <w:sz w:val="20"/>
              </w:rPr>
            </w:pPr>
          </w:p>
        </w:tc>
        <w:tc>
          <w:tcPr>
            <w:tcW w:w="720" w:type="dxa"/>
            <w:shd w:val="clear" w:color="auto" w:fill="auto"/>
          </w:tcPr>
          <w:p w:rsidR="008828A9" w:rsidRPr="001844D1" w:rsidP="006744B5" w14:paraId="1EC79C07" w14:textId="77777777">
            <w:pPr>
              <w:rPr>
                <w:sz w:val="20"/>
              </w:rPr>
            </w:pPr>
          </w:p>
        </w:tc>
        <w:tc>
          <w:tcPr>
            <w:tcW w:w="720" w:type="dxa"/>
            <w:shd w:val="clear" w:color="auto" w:fill="auto"/>
          </w:tcPr>
          <w:p w:rsidR="008828A9" w:rsidRPr="001844D1" w:rsidP="006744B5" w14:paraId="6AB97109" w14:textId="77777777">
            <w:pPr>
              <w:rPr>
                <w:sz w:val="20"/>
              </w:rPr>
            </w:pPr>
          </w:p>
        </w:tc>
        <w:tc>
          <w:tcPr>
            <w:tcW w:w="720" w:type="dxa"/>
            <w:shd w:val="clear" w:color="auto" w:fill="auto"/>
          </w:tcPr>
          <w:p w:rsidR="008828A9" w:rsidRPr="001844D1" w:rsidP="006744B5" w14:paraId="673264D2" w14:textId="77777777">
            <w:pPr>
              <w:rPr>
                <w:sz w:val="20"/>
              </w:rPr>
            </w:pPr>
          </w:p>
        </w:tc>
        <w:tc>
          <w:tcPr>
            <w:tcW w:w="720" w:type="dxa"/>
            <w:shd w:val="clear" w:color="auto" w:fill="auto"/>
          </w:tcPr>
          <w:p w:rsidR="008828A9" w:rsidRPr="001844D1" w:rsidP="006744B5" w14:paraId="1352C47A" w14:textId="77777777">
            <w:pPr>
              <w:rPr>
                <w:sz w:val="20"/>
              </w:rPr>
            </w:pPr>
          </w:p>
        </w:tc>
        <w:tc>
          <w:tcPr>
            <w:tcW w:w="720" w:type="dxa"/>
            <w:shd w:val="clear" w:color="auto" w:fill="auto"/>
          </w:tcPr>
          <w:p w:rsidR="008828A9" w:rsidRPr="001844D1" w:rsidP="006744B5" w14:paraId="69483D48" w14:textId="77777777">
            <w:pPr>
              <w:rPr>
                <w:sz w:val="20"/>
              </w:rPr>
            </w:pPr>
          </w:p>
        </w:tc>
        <w:tc>
          <w:tcPr>
            <w:tcW w:w="720" w:type="dxa"/>
            <w:shd w:val="clear" w:color="auto" w:fill="auto"/>
          </w:tcPr>
          <w:p w:rsidR="008828A9" w:rsidRPr="001844D1" w:rsidP="006744B5" w14:paraId="1363DF81" w14:textId="77777777">
            <w:pPr>
              <w:rPr>
                <w:sz w:val="20"/>
              </w:rPr>
            </w:pPr>
            <w:r w:rsidRPr="001844D1">
              <w:rPr>
                <w:sz w:val="20"/>
              </w:rPr>
              <w:t>NV</w:t>
            </w:r>
          </w:p>
        </w:tc>
        <w:tc>
          <w:tcPr>
            <w:tcW w:w="720" w:type="dxa"/>
            <w:shd w:val="clear" w:color="auto" w:fill="auto"/>
          </w:tcPr>
          <w:p w:rsidR="008828A9" w:rsidRPr="001844D1" w:rsidP="006744B5" w14:paraId="7982245D" w14:textId="77777777">
            <w:pPr>
              <w:rPr>
                <w:sz w:val="20"/>
              </w:rPr>
            </w:pPr>
            <w:r w:rsidRPr="001844D1">
              <w:rPr>
                <w:sz w:val="20"/>
              </w:rPr>
              <w:t>NV</w:t>
            </w:r>
            <w:r>
              <w:rPr>
                <w:rStyle w:val="FootnoteReference"/>
              </w:rPr>
              <w:footnoteReference w:id="94"/>
            </w:r>
          </w:p>
        </w:tc>
      </w:tr>
      <w:tr w14:paraId="3830573C" w14:textId="77777777" w:rsidTr="006744B5">
        <w:tblPrEx>
          <w:tblW w:w="0" w:type="auto"/>
          <w:tblLook w:val="04A0"/>
        </w:tblPrEx>
        <w:trPr>
          <w:trHeight w:val="315"/>
        </w:trPr>
        <w:tc>
          <w:tcPr>
            <w:tcW w:w="1317" w:type="dxa"/>
            <w:vMerge/>
            <w:shd w:val="clear" w:color="auto" w:fill="auto"/>
            <w:hideMark/>
          </w:tcPr>
          <w:p w:rsidR="008828A9" w:rsidRPr="001844D1" w:rsidP="008828A9" w14:paraId="4815D6AA"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08D91007" w14:textId="77777777">
            <w:pPr>
              <w:rPr>
                <w:sz w:val="20"/>
              </w:rPr>
            </w:pPr>
            <w:r w:rsidRPr="001844D1">
              <w:rPr>
                <w:sz w:val="20"/>
              </w:rPr>
              <w:t> </w:t>
            </w:r>
          </w:p>
        </w:tc>
        <w:tc>
          <w:tcPr>
            <w:tcW w:w="720" w:type="dxa"/>
            <w:shd w:val="clear" w:color="auto" w:fill="auto"/>
            <w:hideMark/>
          </w:tcPr>
          <w:p w:rsidR="008828A9" w:rsidRPr="001844D1" w:rsidP="006744B5" w14:paraId="0A488EF9" w14:textId="77777777">
            <w:pPr>
              <w:rPr>
                <w:sz w:val="20"/>
              </w:rPr>
            </w:pPr>
            <w:r w:rsidRPr="001844D1">
              <w:rPr>
                <w:sz w:val="20"/>
              </w:rPr>
              <w:t> </w:t>
            </w:r>
          </w:p>
        </w:tc>
        <w:tc>
          <w:tcPr>
            <w:tcW w:w="720" w:type="dxa"/>
            <w:shd w:val="clear" w:color="auto" w:fill="auto"/>
            <w:hideMark/>
          </w:tcPr>
          <w:p w:rsidR="008828A9" w:rsidRPr="001844D1" w:rsidP="006744B5" w14:paraId="1CA1A34D" w14:textId="77777777">
            <w:pPr>
              <w:rPr>
                <w:sz w:val="20"/>
              </w:rPr>
            </w:pPr>
            <w:r w:rsidRPr="001844D1">
              <w:rPr>
                <w:sz w:val="20"/>
              </w:rPr>
              <w:t> </w:t>
            </w:r>
          </w:p>
        </w:tc>
        <w:tc>
          <w:tcPr>
            <w:tcW w:w="720" w:type="dxa"/>
            <w:shd w:val="clear" w:color="auto" w:fill="auto"/>
            <w:hideMark/>
          </w:tcPr>
          <w:p w:rsidR="008828A9" w:rsidRPr="001844D1" w:rsidP="006744B5" w14:paraId="00028756" w14:textId="77777777">
            <w:pPr>
              <w:rPr>
                <w:sz w:val="20"/>
              </w:rPr>
            </w:pPr>
            <w:r w:rsidRPr="001844D1">
              <w:rPr>
                <w:sz w:val="20"/>
              </w:rPr>
              <w:t> </w:t>
            </w:r>
          </w:p>
        </w:tc>
        <w:tc>
          <w:tcPr>
            <w:tcW w:w="720" w:type="dxa"/>
            <w:shd w:val="clear" w:color="auto" w:fill="auto"/>
            <w:hideMark/>
          </w:tcPr>
          <w:p w:rsidR="008828A9" w:rsidRPr="001844D1" w:rsidP="006744B5" w14:paraId="7C0E90DB" w14:textId="77777777">
            <w:pPr>
              <w:rPr>
                <w:sz w:val="20"/>
              </w:rPr>
            </w:pPr>
            <w:r w:rsidRPr="001844D1">
              <w:rPr>
                <w:sz w:val="20"/>
              </w:rPr>
              <w:t> </w:t>
            </w:r>
          </w:p>
        </w:tc>
        <w:tc>
          <w:tcPr>
            <w:tcW w:w="720" w:type="dxa"/>
            <w:shd w:val="clear" w:color="auto" w:fill="auto"/>
            <w:hideMark/>
          </w:tcPr>
          <w:p w:rsidR="008828A9" w:rsidRPr="001844D1" w:rsidP="006744B5" w14:paraId="55D81E9D" w14:textId="77777777">
            <w:pPr>
              <w:rPr>
                <w:sz w:val="20"/>
              </w:rPr>
            </w:pPr>
            <w:r w:rsidRPr="001844D1">
              <w:rPr>
                <w:sz w:val="20"/>
              </w:rPr>
              <w:t>CA</w:t>
            </w:r>
          </w:p>
        </w:tc>
        <w:tc>
          <w:tcPr>
            <w:tcW w:w="720" w:type="dxa"/>
            <w:shd w:val="clear" w:color="auto" w:fill="auto"/>
            <w:hideMark/>
          </w:tcPr>
          <w:p w:rsidR="008828A9" w:rsidRPr="001844D1" w:rsidP="006744B5" w14:paraId="5F1B5ACE" w14:textId="77777777">
            <w:pPr>
              <w:rPr>
                <w:sz w:val="20"/>
              </w:rPr>
            </w:pPr>
            <w:r w:rsidRPr="001844D1">
              <w:rPr>
                <w:sz w:val="20"/>
              </w:rPr>
              <w:t> </w:t>
            </w:r>
          </w:p>
        </w:tc>
        <w:tc>
          <w:tcPr>
            <w:tcW w:w="720" w:type="dxa"/>
            <w:shd w:val="clear" w:color="auto" w:fill="auto"/>
            <w:hideMark/>
          </w:tcPr>
          <w:p w:rsidR="008828A9" w:rsidRPr="001844D1" w:rsidP="006744B5" w14:paraId="37776EA6" w14:textId="77777777">
            <w:pPr>
              <w:rPr>
                <w:sz w:val="20"/>
              </w:rPr>
            </w:pPr>
            <w:r w:rsidRPr="001844D1">
              <w:rPr>
                <w:sz w:val="20"/>
              </w:rPr>
              <w:t> </w:t>
            </w:r>
          </w:p>
        </w:tc>
        <w:tc>
          <w:tcPr>
            <w:tcW w:w="720" w:type="dxa"/>
            <w:shd w:val="clear" w:color="auto" w:fill="auto"/>
            <w:hideMark/>
          </w:tcPr>
          <w:p w:rsidR="008828A9" w:rsidRPr="001844D1" w:rsidP="006744B5" w14:paraId="7BDC99A9" w14:textId="77777777">
            <w:pPr>
              <w:rPr>
                <w:sz w:val="20"/>
              </w:rPr>
            </w:pPr>
            <w:r w:rsidRPr="001844D1">
              <w:rPr>
                <w:sz w:val="20"/>
              </w:rPr>
              <w:t> </w:t>
            </w:r>
          </w:p>
        </w:tc>
        <w:tc>
          <w:tcPr>
            <w:tcW w:w="720" w:type="dxa"/>
            <w:shd w:val="clear" w:color="auto" w:fill="auto"/>
            <w:hideMark/>
          </w:tcPr>
          <w:p w:rsidR="008828A9" w:rsidRPr="001844D1" w:rsidP="006744B5" w14:paraId="58FFF3E9" w14:textId="77777777">
            <w:pPr>
              <w:rPr>
                <w:sz w:val="20"/>
              </w:rPr>
            </w:pPr>
            <w:r w:rsidRPr="001844D1">
              <w:rPr>
                <w:sz w:val="20"/>
              </w:rPr>
              <w:t> </w:t>
            </w:r>
          </w:p>
        </w:tc>
        <w:tc>
          <w:tcPr>
            <w:tcW w:w="720" w:type="dxa"/>
            <w:shd w:val="clear" w:color="auto" w:fill="auto"/>
            <w:hideMark/>
          </w:tcPr>
          <w:p w:rsidR="008828A9" w:rsidRPr="001844D1" w:rsidP="006744B5" w14:paraId="6E3D13DF" w14:textId="77777777">
            <w:pPr>
              <w:rPr>
                <w:sz w:val="20"/>
              </w:rPr>
            </w:pPr>
          </w:p>
        </w:tc>
      </w:tr>
      <w:tr w14:paraId="1653A2D0" w14:textId="77777777" w:rsidTr="006744B5">
        <w:tblPrEx>
          <w:tblW w:w="0" w:type="auto"/>
          <w:tblLook w:val="04A0"/>
        </w:tblPrEx>
        <w:trPr>
          <w:trHeight w:val="315"/>
        </w:trPr>
        <w:tc>
          <w:tcPr>
            <w:tcW w:w="1317" w:type="dxa"/>
            <w:vMerge/>
            <w:shd w:val="clear" w:color="auto" w:fill="auto"/>
            <w:hideMark/>
          </w:tcPr>
          <w:p w:rsidR="008828A9" w:rsidRPr="001844D1" w:rsidP="008828A9" w14:paraId="318F7123"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66F42B79" w14:textId="77777777">
            <w:pPr>
              <w:rPr>
                <w:sz w:val="20"/>
              </w:rPr>
            </w:pPr>
            <w:r w:rsidRPr="001844D1">
              <w:rPr>
                <w:sz w:val="20"/>
              </w:rPr>
              <w:t> </w:t>
            </w:r>
          </w:p>
        </w:tc>
        <w:tc>
          <w:tcPr>
            <w:tcW w:w="720" w:type="dxa"/>
            <w:shd w:val="clear" w:color="auto" w:fill="auto"/>
            <w:hideMark/>
          </w:tcPr>
          <w:p w:rsidR="008828A9" w:rsidRPr="001844D1" w:rsidP="006744B5" w14:paraId="4034A00B" w14:textId="77777777">
            <w:pPr>
              <w:rPr>
                <w:sz w:val="20"/>
              </w:rPr>
            </w:pPr>
            <w:r w:rsidRPr="001844D1">
              <w:rPr>
                <w:sz w:val="20"/>
              </w:rPr>
              <w:t>DE</w:t>
            </w:r>
          </w:p>
        </w:tc>
        <w:tc>
          <w:tcPr>
            <w:tcW w:w="720" w:type="dxa"/>
            <w:shd w:val="clear" w:color="auto" w:fill="auto"/>
            <w:hideMark/>
          </w:tcPr>
          <w:p w:rsidR="008828A9" w:rsidRPr="001844D1" w:rsidP="006744B5" w14:paraId="3DEC8CBB" w14:textId="77777777">
            <w:pPr>
              <w:rPr>
                <w:sz w:val="20"/>
              </w:rPr>
            </w:pPr>
            <w:r w:rsidRPr="001844D1">
              <w:rPr>
                <w:sz w:val="20"/>
              </w:rPr>
              <w:t> </w:t>
            </w:r>
          </w:p>
        </w:tc>
        <w:tc>
          <w:tcPr>
            <w:tcW w:w="720" w:type="dxa"/>
            <w:shd w:val="clear" w:color="auto" w:fill="auto"/>
            <w:hideMark/>
          </w:tcPr>
          <w:p w:rsidR="008828A9" w:rsidRPr="001844D1" w:rsidP="006744B5" w14:paraId="36DFA765" w14:textId="77777777">
            <w:pPr>
              <w:rPr>
                <w:sz w:val="20"/>
              </w:rPr>
            </w:pPr>
            <w:r w:rsidRPr="001844D1">
              <w:rPr>
                <w:sz w:val="20"/>
              </w:rPr>
              <w:t> </w:t>
            </w:r>
          </w:p>
        </w:tc>
        <w:tc>
          <w:tcPr>
            <w:tcW w:w="720" w:type="dxa"/>
            <w:shd w:val="clear" w:color="auto" w:fill="auto"/>
            <w:hideMark/>
          </w:tcPr>
          <w:p w:rsidR="008828A9" w:rsidRPr="001844D1" w:rsidP="006744B5" w14:paraId="3D258FC7" w14:textId="77777777">
            <w:pPr>
              <w:rPr>
                <w:sz w:val="20"/>
              </w:rPr>
            </w:pPr>
            <w:r w:rsidRPr="001844D1">
              <w:rPr>
                <w:sz w:val="20"/>
              </w:rPr>
              <w:t> </w:t>
            </w:r>
          </w:p>
        </w:tc>
        <w:tc>
          <w:tcPr>
            <w:tcW w:w="720" w:type="dxa"/>
            <w:shd w:val="clear" w:color="auto" w:fill="auto"/>
            <w:hideMark/>
          </w:tcPr>
          <w:p w:rsidR="008828A9" w:rsidRPr="001844D1" w:rsidP="006744B5" w14:paraId="6509A713" w14:textId="77777777">
            <w:pPr>
              <w:rPr>
                <w:sz w:val="20"/>
              </w:rPr>
            </w:pPr>
            <w:r w:rsidRPr="001844D1">
              <w:rPr>
                <w:sz w:val="20"/>
              </w:rPr>
              <w:t> </w:t>
            </w:r>
          </w:p>
        </w:tc>
        <w:tc>
          <w:tcPr>
            <w:tcW w:w="720" w:type="dxa"/>
            <w:shd w:val="clear" w:color="auto" w:fill="auto"/>
            <w:hideMark/>
          </w:tcPr>
          <w:p w:rsidR="008828A9" w:rsidRPr="001844D1" w:rsidP="006744B5" w14:paraId="3E5B5F51" w14:textId="77777777">
            <w:pPr>
              <w:rPr>
                <w:sz w:val="20"/>
              </w:rPr>
            </w:pPr>
            <w:r w:rsidRPr="001844D1">
              <w:rPr>
                <w:sz w:val="20"/>
              </w:rPr>
              <w:t> </w:t>
            </w:r>
          </w:p>
        </w:tc>
        <w:tc>
          <w:tcPr>
            <w:tcW w:w="720" w:type="dxa"/>
            <w:shd w:val="clear" w:color="auto" w:fill="auto"/>
            <w:hideMark/>
          </w:tcPr>
          <w:p w:rsidR="008828A9" w:rsidRPr="001844D1" w:rsidP="006744B5" w14:paraId="526470FB" w14:textId="77777777">
            <w:pPr>
              <w:rPr>
                <w:sz w:val="20"/>
              </w:rPr>
            </w:pPr>
            <w:r w:rsidRPr="001844D1">
              <w:rPr>
                <w:sz w:val="20"/>
              </w:rPr>
              <w:t> </w:t>
            </w:r>
          </w:p>
        </w:tc>
        <w:tc>
          <w:tcPr>
            <w:tcW w:w="720" w:type="dxa"/>
            <w:shd w:val="clear" w:color="auto" w:fill="auto"/>
            <w:hideMark/>
          </w:tcPr>
          <w:p w:rsidR="008828A9" w:rsidRPr="001844D1" w:rsidP="006744B5" w14:paraId="724F1CC1" w14:textId="77777777">
            <w:pPr>
              <w:rPr>
                <w:sz w:val="20"/>
              </w:rPr>
            </w:pPr>
            <w:r w:rsidRPr="001844D1">
              <w:rPr>
                <w:sz w:val="20"/>
              </w:rPr>
              <w:t> </w:t>
            </w:r>
          </w:p>
        </w:tc>
        <w:tc>
          <w:tcPr>
            <w:tcW w:w="720" w:type="dxa"/>
            <w:shd w:val="clear" w:color="auto" w:fill="auto"/>
            <w:hideMark/>
          </w:tcPr>
          <w:p w:rsidR="008828A9" w:rsidRPr="001844D1" w:rsidP="006744B5" w14:paraId="600F1491" w14:textId="77777777">
            <w:pPr>
              <w:rPr>
                <w:sz w:val="20"/>
              </w:rPr>
            </w:pPr>
            <w:r w:rsidRPr="001844D1">
              <w:rPr>
                <w:sz w:val="20"/>
              </w:rPr>
              <w:t> </w:t>
            </w:r>
          </w:p>
        </w:tc>
        <w:tc>
          <w:tcPr>
            <w:tcW w:w="720" w:type="dxa"/>
            <w:shd w:val="clear" w:color="auto" w:fill="auto"/>
            <w:hideMark/>
          </w:tcPr>
          <w:p w:rsidR="008828A9" w:rsidRPr="001844D1" w:rsidP="006744B5" w14:paraId="3D94F3A4" w14:textId="77777777">
            <w:pPr>
              <w:rPr>
                <w:sz w:val="20"/>
              </w:rPr>
            </w:pPr>
          </w:p>
        </w:tc>
      </w:tr>
      <w:tr w14:paraId="268A04AE" w14:textId="77777777" w:rsidTr="006744B5">
        <w:tblPrEx>
          <w:tblW w:w="0" w:type="auto"/>
          <w:tblLook w:val="04A0"/>
        </w:tblPrEx>
        <w:trPr>
          <w:trHeight w:val="315"/>
        </w:trPr>
        <w:tc>
          <w:tcPr>
            <w:tcW w:w="1317" w:type="dxa"/>
            <w:vMerge/>
            <w:shd w:val="clear" w:color="auto" w:fill="auto"/>
            <w:hideMark/>
          </w:tcPr>
          <w:p w:rsidR="008828A9" w:rsidRPr="001844D1" w:rsidP="008828A9" w14:paraId="2199BCF0"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21F1FF95" w14:textId="77777777">
            <w:pPr>
              <w:rPr>
                <w:sz w:val="20"/>
              </w:rPr>
            </w:pPr>
            <w:r w:rsidRPr="001844D1">
              <w:rPr>
                <w:sz w:val="20"/>
              </w:rPr>
              <w:t> </w:t>
            </w:r>
          </w:p>
        </w:tc>
        <w:tc>
          <w:tcPr>
            <w:tcW w:w="720" w:type="dxa"/>
            <w:shd w:val="clear" w:color="auto" w:fill="auto"/>
            <w:hideMark/>
          </w:tcPr>
          <w:p w:rsidR="008828A9" w:rsidRPr="001844D1" w:rsidP="006744B5" w14:paraId="5BE6BA0A" w14:textId="77777777">
            <w:pPr>
              <w:rPr>
                <w:sz w:val="20"/>
              </w:rPr>
            </w:pPr>
            <w:r w:rsidRPr="001844D1">
              <w:rPr>
                <w:sz w:val="20"/>
              </w:rPr>
              <w:t>HI</w:t>
            </w:r>
          </w:p>
        </w:tc>
        <w:tc>
          <w:tcPr>
            <w:tcW w:w="720" w:type="dxa"/>
            <w:shd w:val="clear" w:color="auto" w:fill="auto"/>
            <w:hideMark/>
          </w:tcPr>
          <w:p w:rsidR="008828A9" w:rsidRPr="001844D1" w:rsidP="006744B5" w14:paraId="3D7BF357" w14:textId="77777777">
            <w:pPr>
              <w:rPr>
                <w:sz w:val="20"/>
              </w:rPr>
            </w:pPr>
            <w:r w:rsidRPr="001844D1">
              <w:rPr>
                <w:sz w:val="20"/>
              </w:rPr>
              <w:t> </w:t>
            </w:r>
          </w:p>
        </w:tc>
        <w:tc>
          <w:tcPr>
            <w:tcW w:w="720" w:type="dxa"/>
            <w:shd w:val="clear" w:color="auto" w:fill="auto"/>
            <w:hideMark/>
          </w:tcPr>
          <w:p w:rsidR="008828A9" w:rsidRPr="001844D1" w:rsidP="006744B5" w14:paraId="5733250C" w14:textId="77777777">
            <w:pPr>
              <w:rPr>
                <w:sz w:val="20"/>
              </w:rPr>
            </w:pPr>
            <w:r w:rsidRPr="001844D1">
              <w:rPr>
                <w:sz w:val="20"/>
              </w:rPr>
              <w:t> </w:t>
            </w:r>
          </w:p>
        </w:tc>
        <w:tc>
          <w:tcPr>
            <w:tcW w:w="720" w:type="dxa"/>
            <w:shd w:val="clear" w:color="auto" w:fill="auto"/>
            <w:hideMark/>
          </w:tcPr>
          <w:p w:rsidR="008828A9" w:rsidRPr="001844D1" w:rsidP="006744B5" w14:paraId="60213265" w14:textId="77777777">
            <w:pPr>
              <w:rPr>
                <w:sz w:val="20"/>
              </w:rPr>
            </w:pPr>
            <w:r w:rsidRPr="001844D1">
              <w:rPr>
                <w:sz w:val="20"/>
              </w:rPr>
              <w:t> </w:t>
            </w:r>
          </w:p>
        </w:tc>
        <w:tc>
          <w:tcPr>
            <w:tcW w:w="720" w:type="dxa"/>
            <w:shd w:val="clear" w:color="auto" w:fill="auto"/>
            <w:hideMark/>
          </w:tcPr>
          <w:p w:rsidR="008828A9" w:rsidRPr="001844D1" w:rsidP="006744B5" w14:paraId="74974240" w14:textId="77777777">
            <w:pPr>
              <w:rPr>
                <w:sz w:val="20"/>
              </w:rPr>
            </w:pPr>
            <w:r w:rsidRPr="001844D1">
              <w:rPr>
                <w:sz w:val="20"/>
              </w:rPr>
              <w:t> </w:t>
            </w:r>
          </w:p>
        </w:tc>
        <w:tc>
          <w:tcPr>
            <w:tcW w:w="720" w:type="dxa"/>
            <w:shd w:val="clear" w:color="auto" w:fill="auto"/>
            <w:hideMark/>
          </w:tcPr>
          <w:p w:rsidR="008828A9" w:rsidRPr="001844D1" w:rsidP="006744B5" w14:paraId="69D5913A" w14:textId="77777777">
            <w:pPr>
              <w:rPr>
                <w:sz w:val="20"/>
              </w:rPr>
            </w:pPr>
            <w:r w:rsidRPr="001844D1">
              <w:rPr>
                <w:sz w:val="20"/>
              </w:rPr>
              <w:t> </w:t>
            </w:r>
          </w:p>
        </w:tc>
        <w:tc>
          <w:tcPr>
            <w:tcW w:w="720" w:type="dxa"/>
            <w:shd w:val="clear" w:color="auto" w:fill="auto"/>
            <w:hideMark/>
          </w:tcPr>
          <w:p w:rsidR="008828A9" w:rsidRPr="001844D1" w:rsidP="006744B5" w14:paraId="41314133" w14:textId="77777777">
            <w:pPr>
              <w:rPr>
                <w:sz w:val="20"/>
              </w:rPr>
            </w:pPr>
            <w:r w:rsidRPr="001844D1">
              <w:rPr>
                <w:sz w:val="20"/>
              </w:rPr>
              <w:t> </w:t>
            </w:r>
          </w:p>
        </w:tc>
        <w:tc>
          <w:tcPr>
            <w:tcW w:w="720" w:type="dxa"/>
            <w:shd w:val="clear" w:color="auto" w:fill="auto"/>
            <w:hideMark/>
          </w:tcPr>
          <w:p w:rsidR="008828A9" w:rsidRPr="001844D1" w:rsidP="006744B5" w14:paraId="199F2748" w14:textId="77777777">
            <w:pPr>
              <w:rPr>
                <w:sz w:val="20"/>
              </w:rPr>
            </w:pPr>
            <w:r w:rsidRPr="001844D1">
              <w:rPr>
                <w:sz w:val="20"/>
              </w:rPr>
              <w:t> </w:t>
            </w:r>
          </w:p>
        </w:tc>
        <w:tc>
          <w:tcPr>
            <w:tcW w:w="720" w:type="dxa"/>
            <w:shd w:val="clear" w:color="auto" w:fill="auto"/>
            <w:hideMark/>
          </w:tcPr>
          <w:p w:rsidR="008828A9" w:rsidRPr="001844D1" w:rsidP="006744B5" w14:paraId="09B2C243" w14:textId="77777777">
            <w:pPr>
              <w:rPr>
                <w:sz w:val="20"/>
              </w:rPr>
            </w:pPr>
            <w:r w:rsidRPr="001844D1">
              <w:rPr>
                <w:sz w:val="20"/>
              </w:rPr>
              <w:t> </w:t>
            </w:r>
          </w:p>
        </w:tc>
        <w:tc>
          <w:tcPr>
            <w:tcW w:w="720" w:type="dxa"/>
            <w:shd w:val="clear" w:color="auto" w:fill="auto"/>
            <w:hideMark/>
          </w:tcPr>
          <w:p w:rsidR="008828A9" w:rsidRPr="001844D1" w:rsidP="006744B5" w14:paraId="29D3344C" w14:textId="77777777">
            <w:pPr>
              <w:rPr>
                <w:sz w:val="20"/>
              </w:rPr>
            </w:pPr>
          </w:p>
        </w:tc>
      </w:tr>
      <w:tr w14:paraId="16975592" w14:textId="77777777" w:rsidTr="006744B5">
        <w:tblPrEx>
          <w:tblW w:w="0" w:type="auto"/>
          <w:tblLook w:val="04A0"/>
        </w:tblPrEx>
        <w:trPr>
          <w:trHeight w:val="315"/>
        </w:trPr>
        <w:tc>
          <w:tcPr>
            <w:tcW w:w="1317" w:type="dxa"/>
            <w:vMerge/>
            <w:shd w:val="clear" w:color="auto" w:fill="auto"/>
            <w:hideMark/>
          </w:tcPr>
          <w:p w:rsidR="008828A9" w:rsidRPr="001844D1" w:rsidP="008828A9" w14:paraId="17E23C1D"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D28E127" w14:textId="77777777">
            <w:pPr>
              <w:rPr>
                <w:sz w:val="20"/>
              </w:rPr>
            </w:pPr>
            <w:r w:rsidRPr="001844D1">
              <w:rPr>
                <w:sz w:val="20"/>
              </w:rPr>
              <w:t> </w:t>
            </w:r>
          </w:p>
        </w:tc>
        <w:tc>
          <w:tcPr>
            <w:tcW w:w="720" w:type="dxa"/>
            <w:shd w:val="clear" w:color="auto" w:fill="auto"/>
            <w:hideMark/>
          </w:tcPr>
          <w:p w:rsidR="008828A9" w:rsidRPr="001844D1" w:rsidP="006744B5" w14:paraId="04526CFD" w14:textId="77777777">
            <w:pPr>
              <w:rPr>
                <w:sz w:val="20"/>
              </w:rPr>
            </w:pPr>
            <w:r w:rsidRPr="001844D1">
              <w:rPr>
                <w:sz w:val="20"/>
              </w:rPr>
              <w:t> </w:t>
            </w:r>
          </w:p>
        </w:tc>
        <w:tc>
          <w:tcPr>
            <w:tcW w:w="720" w:type="dxa"/>
            <w:shd w:val="clear" w:color="auto" w:fill="auto"/>
            <w:hideMark/>
          </w:tcPr>
          <w:p w:rsidR="008828A9" w:rsidRPr="001844D1" w:rsidP="006744B5" w14:paraId="692BD4E3" w14:textId="77777777">
            <w:pPr>
              <w:rPr>
                <w:sz w:val="20"/>
              </w:rPr>
            </w:pPr>
            <w:r w:rsidRPr="001844D1">
              <w:rPr>
                <w:sz w:val="20"/>
              </w:rPr>
              <w:t> </w:t>
            </w:r>
          </w:p>
        </w:tc>
        <w:tc>
          <w:tcPr>
            <w:tcW w:w="720" w:type="dxa"/>
            <w:shd w:val="clear" w:color="auto" w:fill="auto"/>
            <w:hideMark/>
          </w:tcPr>
          <w:p w:rsidR="008828A9" w:rsidRPr="001844D1" w:rsidP="006744B5" w14:paraId="51930465" w14:textId="77777777">
            <w:pPr>
              <w:rPr>
                <w:sz w:val="20"/>
              </w:rPr>
            </w:pPr>
            <w:r w:rsidRPr="001844D1">
              <w:rPr>
                <w:sz w:val="20"/>
              </w:rPr>
              <w:t> </w:t>
            </w:r>
          </w:p>
        </w:tc>
        <w:tc>
          <w:tcPr>
            <w:tcW w:w="720" w:type="dxa"/>
            <w:shd w:val="clear" w:color="auto" w:fill="auto"/>
            <w:hideMark/>
          </w:tcPr>
          <w:p w:rsidR="008828A9" w:rsidRPr="001844D1" w:rsidP="006744B5" w14:paraId="101C812B" w14:textId="77777777">
            <w:pPr>
              <w:rPr>
                <w:sz w:val="20"/>
              </w:rPr>
            </w:pPr>
            <w:r w:rsidRPr="001844D1">
              <w:rPr>
                <w:sz w:val="20"/>
              </w:rPr>
              <w:t> </w:t>
            </w:r>
          </w:p>
        </w:tc>
        <w:tc>
          <w:tcPr>
            <w:tcW w:w="720" w:type="dxa"/>
            <w:shd w:val="clear" w:color="auto" w:fill="auto"/>
            <w:hideMark/>
          </w:tcPr>
          <w:p w:rsidR="008828A9" w:rsidRPr="001844D1" w:rsidP="006744B5" w14:paraId="3094065E" w14:textId="77777777">
            <w:pPr>
              <w:rPr>
                <w:sz w:val="20"/>
              </w:rPr>
            </w:pPr>
            <w:r w:rsidRPr="001844D1">
              <w:rPr>
                <w:sz w:val="20"/>
              </w:rPr>
              <w:t> </w:t>
            </w:r>
          </w:p>
        </w:tc>
        <w:tc>
          <w:tcPr>
            <w:tcW w:w="720" w:type="dxa"/>
            <w:shd w:val="clear" w:color="auto" w:fill="auto"/>
            <w:hideMark/>
          </w:tcPr>
          <w:p w:rsidR="008828A9" w:rsidRPr="001844D1" w:rsidP="006744B5" w14:paraId="39C52362" w14:textId="77777777">
            <w:pPr>
              <w:rPr>
                <w:sz w:val="20"/>
              </w:rPr>
            </w:pPr>
            <w:r w:rsidRPr="001844D1">
              <w:rPr>
                <w:sz w:val="20"/>
              </w:rPr>
              <w:t> </w:t>
            </w:r>
          </w:p>
        </w:tc>
        <w:tc>
          <w:tcPr>
            <w:tcW w:w="720" w:type="dxa"/>
            <w:shd w:val="clear" w:color="auto" w:fill="auto"/>
            <w:hideMark/>
          </w:tcPr>
          <w:p w:rsidR="008828A9" w:rsidRPr="001844D1" w:rsidP="006744B5" w14:paraId="5AEB3B45" w14:textId="77777777">
            <w:pPr>
              <w:rPr>
                <w:sz w:val="20"/>
              </w:rPr>
            </w:pPr>
            <w:r w:rsidRPr="001844D1">
              <w:rPr>
                <w:sz w:val="20"/>
              </w:rPr>
              <w:t>IA</w:t>
            </w:r>
          </w:p>
        </w:tc>
        <w:tc>
          <w:tcPr>
            <w:tcW w:w="720" w:type="dxa"/>
            <w:shd w:val="clear" w:color="auto" w:fill="auto"/>
            <w:hideMark/>
          </w:tcPr>
          <w:p w:rsidR="008828A9" w:rsidRPr="001844D1" w:rsidP="006744B5" w14:paraId="0D4DA9A6" w14:textId="77777777">
            <w:pPr>
              <w:rPr>
                <w:sz w:val="20"/>
              </w:rPr>
            </w:pPr>
            <w:r w:rsidRPr="001844D1">
              <w:rPr>
                <w:sz w:val="20"/>
              </w:rPr>
              <w:t> </w:t>
            </w:r>
          </w:p>
        </w:tc>
        <w:tc>
          <w:tcPr>
            <w:tcW w:w="720" w:type="dxa"/>
            <w:shd w:val="clear" w:color="auto" w:fill="auto"/>
            <w:hideMark/>
          </w:tcPr>
          <w:p w:rsidR="008828A9" w:rsidRPr="001844D1" w:rsidP="006744B5" w14:paraId="77720823" w14:textId="77777777">
            <w:pPr>
              <w:rPr>
                <w:sz w:val="20"/>
              </w:rPr>
            </w:pPr>
            <w:r w:rsidRPr="001844D1">
              <w:rPr>
                <w:sz w:val="20"/>
              </w:rPr>
              <w:t> </w:t>
            </w:r>
          </w:p>
        </w:tc>
        <w:tc>
          <w:tcPr>
            <w:tcW w:w="720" w:type="dxa"/>
            <w:shd w:val="clear" w:color="auto" w:fill="auto"/>
            <w:hideMark/>
          </w:tcPr>
          <w:p w:rsidR="008828A9" w:rsidRPr="001844D1" w:rsidP="006744B5" w14:paraId="6CAF27D0" w14:textId="77777777">
            <w:pPr>
              <w:rPr>
                <w:sz w:val="20"/>
              </w:rPr>
            </w:pPr>
          </w:p>
        </w:tc>
      </w:tr>
      <w:tr w14:paraId="1CC038D3" w14:textId="77777777" w:rsidTr="006744B5">
        <w:tblPrEx>
          <w:tblW w:w="0" w:type="auto"/>
          <w:tblLook w:val="04A0"/>
        </w:tblPrEx>
        <w:trPr>
          <w:trHeight w:val="315"/>
        </w:trPr>
        <w:tc>
          <w:tcPr>
            <w:tcW w:w="1317" w:type="dxa"/>
            <w:vMerge/>
            <w:shd w:val="clear" w:color="auto" w:fill="auto"/>
            <w:hideMark/>
          </w:tcPr>
          <w:p w:rsidR="008828A9" w:rsidRPr="001844D1" w:rsidP="008828A9" w14:paraId="46BA7105"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798EA262" w14:textId="77777777">
            <w:pPr>
              <w:rPr>
                <w:sz w:val="20"/>
              </w:rPr>
            </w:pPr>
            <w:r w:rsidRPr="001844D1">
              <w:rPr>
                <w:sz w:val="20"/>
              </w:rPr>
              <w:t> </w:t>
            </w:r>
          </w:p>
        </w:tc>
        <w:tc>
          <w:tcPr>
            <w:tcW w:w="720" w:type="dxa"/>
            <w:shd w:val="clear" w:color="auto" w:fill="auto"/>
            <w:hideMark/>
          </w:tcPr>
          <w:p w:rsidR="008828A9" w:rsidRPr="001844D1" w:rsidP="006744B5" w14:paraId="6FF87412" w14:textId="77777777">
            <w:pPr>
              <w:rPr>
                <w:sz w:val="20"/>
              </w:rPr>
            </w:pPr>
            <w:r w:rsidRPr="001844D1">
              <w:rPr>
                <w:sz w:val="20"/>
              </w:rPr>
              <w:t> </w:t>
            </w:r>
          </w:p>
        </w:tc>
        <w:tc>
          <w:tcPr>
            <w:tcW w:w="720" w:type="dxa"/>
            <w:shd w:val="clear" w:color="auto" w:fill="auto"/>
            <w:hideMark/>
          </w:tcPr>
          <w:p w:rsidR="008828A9" w:rsidRPr="001844D1" w:rsidP="006744B5" w14:paraId="2989DB17" w14:textId="77777777">
            <w:pPr>
              <w:rPr>
                <w:sz w:val="20"/>
              </w:rPr>
            </w:pPr>
            <w:r w:rsidRPr="001844D1">
              <w:rPr>
                <w:sz w:val="20"/>
              </w:rPr>
              <w:t> </w:t>
            </w:r>
          </w:p>
        </w:tc>
        <w:tc>
          <w:tcPr>
            <w:tcW w:w="720" w:type="dxa"/>
            <w:shd w:val="clear" w:color="auto" w:fill="auto"/>
            <w:hideMark/>
          </w:tcPr>
          <w:p w:rsidR="008828A9" w:rsidRPr="001844D1" w:rsidP="006744B5" w14:paraId="28A6C145" w14:textId="77777777">
            <w:pPr>
              <w:rPr>
                <w:sz w:val="20"/>
              </w:rPr>
            </w:pPr>
            <w:r w:rsidRPr="001844D1">
              <w:rPr>
                <w:sz w:val="20"/>
              </w:rPr>
              <w:t> </w:t>
            </w:r>
          </w:p>
        </w:tc>
        <w:tc>
          <w:tcPr>
            <w:tcW w:w="720" w:type="dxa"/>
            <w:shd w:val="clear" w:color="auto" w:fill="auto"/>
            <w:hideMark/>
          </w:tcPr>
          <w:p w:rsidR="008828A9" w:rsidRPr="001844D1" w:rsidP="006744B5" w14:paraId="20514B96" w14:textId="77777777">
            <w:pPr>
              <w:rPr>
                <w:sz w:val="20"/>
              </w:rPr>
            </w:pPr>
            <w:r w:rsidRPr="001844D1">
              <w:rPr>
                <w:sz w:val="20"/>
              </w:rPr>
              <w:t>KS</w:t>
            </w:r>
          </w:p>
        </w:tc>
        <w:tc>
          <w:tcPr>
            <w:tcW w:w="720" w:type="dxa"/>
            <w:shd w:val="clear" w:color="auto" w:fill="auto"/>
            <w:hideMark/>
          </w:tcPr>
          <w:p w:rsidR="008828A9" w:rsidRPr="001844D1" w:rsidP="006744B5" w14:paraId="69CD72F6" w14:textId="77777777">
            <w:pPr>
              <w:rPr>
                <w:sz w:val="20"/>
              </w:rPr>
            </w:pPr>
            <w:r w:rsidRPr="001844D1">
              <w:rPr>
                <w:sz w:val="20"/>
              </w:rPr>
              <w:t> </w:t>
            </w:r>
          </w:p>
        </w:tc>
        <w:tc>
          <w:tcPr>
            <w:tcW w:w="720" w:type="dxa"/>
            <w:shd w:val="clear" w:color="auto" w:fill="auto"/>
            <w:hideMark/>
          </w:tcPr>
          <w:p w:rsidR="008828A9" w:rsidRPr="001844D1" w:rsidP="006744B5" w14:paraId="09C02D6C" w14:textId="77777777">
            <w:pPr>
              <w:rPr>
                <w:sz w:val="20"/>
              </w:rPr>
            </w:pPr>
            <w:r w:rsidRPr="001844D1">
              <w:rPr>
                <w:sz w:val="20"/>
              </w:rPr>
              <w:t> </w:t>
            </w:r>
          </w:p>
        </w:tc>
        <w:tc>
          <w:tcPr>
            <w:tcW w:w="720" w:type="dxa"/>
            <w:shd w:val="clear" w:color="auto" w:fill="auto"/>
            <w:hideMark/>
          </w:tcPr>
          <w:p w:rsidR="008828A9" w:rsidRPr="001844D1" w:rsidP="006744B5" w14:paraId="2C9B4AD9" w14:textId="77777777">
            <w:pPr>
              <w:rPr>
                <w:sz w:val="20"/>
              </w:rPr>
            </w:pPr>
            <w:r w:rsidRPr="001844D1">
              <w:rPr>
                <w:sz w:val="20"/>
              </w:rPr>
              <w:t> </w:t>
            </w:r>
          </w:p>
        </w:tc>
        <w:tc>
          <w:tcPr>
            <w:tcW w:w="720" w:type="dxa"/>
            <w:shd w:val="clear" w:color="auto" w:fill="auto"/>
            <w:hideMark/>
          </w:tcPr>
          <w:p w:rsidR="008828A9" w:rsidRPr="001844D1" w:rsidP="006744B5" w14:paraId="5C932CAA" w14:textId="77777777">
            <w:pPr>
              <w:rPr>
                <w:sz w:val="20"/>
              </w:rPr>
            </w:pPr>
            <w:r w:rsidRPr="001844D1">
              <w:rPr>
                <w:sz w:val="20"/>
              </w:rPr>
              <w:t> </w:t>
            </w:r>
          </w:p>
        </w:tc>
        <w:tc>
          <w:tcPr>
            <w:tcW w:w="720" w:type="dxa"/>
            <w:shd w:val="clear" w:color="auto" w:fill="auto"/>
            <w:hideMark/>
          </w:tcPr>
          <w:p w:rsidR="008828A9" w:rsidRPr="001844D1" w:rsidP="006744B5" w14:paraId="15255AB0" w14:textId="77777777">
            <w:pPr>
              <w:rPr>
                <w:sz w:val="20"/>
              </w:rPr>
            </w:pPr>
            <w:r w:rsidRPr="001844D1">
              <w:rPr>
                <w:sz w:val="20"/>
              </w:rPr>
              <w:t> </w:t>
            </w:r>
          </w:p>
        </w:tc>
        <w:tc>
          <w:tcPr>
            <w:tcW w:w="720" w:type="dxa"/>
            <w:shd w:val="clear" w:color="auto" w:fill="auto"/>
            <w:hideMark/>
          </w:tcPr>
          <w:p w:rsidR="008828A9" w:rsidRPr="001844D1" w:rsidP="006744B5" w14:paraId="5514DF1D" w14:textId="77777777">
            <w:pPr>
              <w:rPr>
                <w:sz w:val="20"/>
              </w:rPr>
            </w:pPr>
            <w:r w:rsidRPr="001844D1">
              <w:rPr>
                <w:sz w:val="20"/>
              </w:rPr>
              <w:t> </w:t>
            </w:r>
          </w:p>
        </w:tc>
      </w:tr>
      <w:tr w14:paraId="7148B846" w14:textId="77777777" w:rsidTr="006744B5">
        <w:tblPrEx>
          <w:tblW w:w="0" w:type="auto"/>
          <w:tblLook w:val="04A0"/>
        </w:tblPrEx>
        <w:trPr>
          <w:trHeight w:val="315"/>
        </w:trPr>
        <w:tc>
          <w:tcPr>
            <w:tcW w:w="1317" w:type="dxa"/>
            <w:vMerge/>
            <w:shd w:val="clear" w:color="auto" w:fill="auto"/>
            <w:hideMark/>
          </w:tcPr>
          <w:p w:rsidR="008828A9" w:rsidRPr="001844D1" w:rsidP="008828A9" w14:paraId="1550AF9A"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36D5C38" w14:textId="77777777">
            <w:pPr>
              <w:rPr>
                <w:sz w:val="20"/>
              </w:rPr>
            </w:pPr>
            <w:r w:rsidRPr="001844D1">
              <w:rPr>
                <w:sz w:val="20"/>
              </w:rPr>
              <w:t>MT</w:t>
            </w:r>
          </w:p>
        </w:tc>
        <w:tc>
          <w:tcPr>
            <w:tcW w:w="720" w:type="dxa"/>
            <w:shd w:val="clear" w:color="auto" w:fill="auto"/>
            <w:hideMark/>
          </w:tcPr>
          <w:p w:rsidR="008828A9" w:rsidRPr="001844D1" w:rsidP="006744B5" w14:paraId="2577AFCE" w14:textId="77777777">
            <w:pPr>
              <w:rPr>
                <w:sz w:val="20"/>
              </w:rPr>
            </w:pPr>
            <w:r w:rsidRPr="001844D1">
              <w:rPr>
                <w:sz w:val="20"/>
              </w:rPr>
              <w:t> </w:t>
            </w:r>
          </w:p>
        </w:tc>
        <w:tc>
          <w:tcPr>
            <w:tcW w:w="720" w:type="dxa"/>
            <w:shd w:val="clear" w:color="auto" w:fill="auto"/>
            <w:hideMark/>
          </w:tcPr>
          <w:p w:rsidR="008828A9" w:rsidRPr="001844D1" w:rsidP="006744B5" w14:paraId="7BA0350B" w14:textId="77777777">
            <w:pPr>
              <w:rPr>
                <w:sz w:val="20"/>
              </w:rPr>
            </w:pPr>
            <w:r w:rsidRPr="001844D1">
              <w:rPr>
                <w:sz w:val="20"/>
              </w:rPr>
              <w:t> </w:t>
            </w:r>
          </w:p>
        </w:tc>
        <w:tc>
          <w:tcPr>
            <w:tcW w:w="720" w:type="dxa"/>
            <w:shd w:val="clear" w:color="auto" w:fill="auto"/>
            <w:hideMark/>
          </w:tcPr>
          <w:p w:rsidR="008828A9" w:rsidRPr="001844D1" w:rsidP="006744B5" w14:paraId="4C1FE493" w14:textId="77777777">
            <w:pPr>
              <w:rPr>
                <w:sz w:val="20"/>
              </w:rPr>
            </w:pPr>
            <w:r w:rsidRPr="001844D1">
              <w:rPr>
                <w:sz w:val="20"/>
              </w:rPr>
              <w:t> </w:t>
            </w:r>
          </w:p>
        </w:tc>
        <w:tc>
          <w:tcPr>
            <w:tcW w:w="720" w:type="dxa"/>
            <w:shd w:val="clear" w:color="auto" w:fill="auto"/>
            <w:hideMark/>
          </w:tcPr>
          <w:p w:rsidR="008828A9" w:rsidRPr="001844D1" w:rsidP="006744B5" w14:paraId="7E90C5B9" w14:textId="77777777">
            <w:pPr>
              <w:rPr>
                <w:sz w:val="20"/>
              </w:rPr>
            </w:pPr>
            <w:r w:rsidRPr="001844D1">
              <w:rPr>
                <w:sz w:val="20"/>
              </w:rPr>
              <w:t> </w:t>
            </w:r>
          </w:p>
        </w:tc>
        <w:tc>
          <w:tcPr>
            <w:tcW w:w="720" w:type="dxa"/>
            <w:shd w:val="clear" w:color="auto" w:fill="auto"/>
            <w:hideMark/>
          </w:tcPr>
          <w:p w:rsidR="008828A9" w:rsidRPr="001844D1" w:rsidP="006744B5" w14:paraId="12FE40BF" w14:textId="77777777">
            <w:pPr>
              <w:rPr>
                <w:sz w:val="20"/>
              </w:rPr>
            </w:pPr>
            <w:r w:rsidRPr="001844D1">
              <w:rPr>
                <w:sz w:val="20"/>
              </w:rPr>
              <w:t> </w:t>
            </w:r>
          </w:p>
        </w:tc>
        <w:tc>
          <w:tcPr>
            <w:tcW w:w="720" w:type="dxa"/>
            <w:shd w:val="clear" w:color="auto" w:fill="auto"/>
            <w:hideMark/>
          </w:tcPr>
          <w:p w:rsidR="008828A9" w:rsidRPr="001844D1" w:rsidP="006744B5" w14:paraId="3F06A0A6" w14:textId="77777777">
            <w:pPr>
              <w:rPr>
                <w:sz w:val="20"/>
              </w:rPr>
            </w:pPr>
            <w:r w:rsidRPr="001844D1">
              <w:rPr>
                <w:sz w:val="20"/>
              </w:rPr>
              <w:t> </w:t>
            </w:r>
          </w:p>
        </w:tc>
        <w:tc>
          <w:tcPr>
            <w:tcW w:w="720" w:type="dxa"/>
            <w:shd w:val="clear" w:color="auto" w:fill="auto"/>
            <w:hideMark/>
          </w:tcPr>
          <w:p w:rsidR="008828A9" w:rsidRPr="001844D1" w:rsidP="006744B5" w14:paraId="7C4DE228" w14:textId="77777777">
            <w:pPr>
              <w:rPr>
                <w:sz w:val="20"/>
              </w:rPr>
            </w:pPr>
            <w:r w:rsidRPr="001844D1">
              <w:rPr>
                <w:sz w:val="20"/>
              </w:rPr>
              <w:t> </w:t>
            </w:r>
          </w:p>
        </w:tc>
        <w:tc>
          <w:tcPr>
            <w:tcW w:w="720" w:type="dxa"/>
            <w:shd w:val="clear" w:color="auto" w:fill="auto"/>
            <w:hideMark/>
          </w:tcPr>
          <w:p w:rsidR="008828A9" w:rsidRPr="001844D1" w:rsidP="006744B5" w14:paraId="52EA2146" w14:textId="77777777">
            <w:pPr>
              <w:rPr>
                <w:sz w:val="20"/>
              </w:rPr>
            </w:pPr>
            <w:r w:rsidRPr="001844D1">
              <w:rPr>
                <w:sz w:val="20"/>
              </w:rPr>
              <w:t> </w:t>
            </w:r>
          </w:p>
        </w:tc>
        <w:tc>
          <w:tcPr>
            <w:tcW w:w="720" w:type="dxa"/>
            <w:shd w:val="clear" w:color="auto" w:fill="auto"/>
            <w:hideMark/>
          </w:tcPr>
          <w:p w:rsidR="008828A9" w:rsidRPr="001844D1" w:rsidP="006744B5" w14:paraId="7B0B674C" w14:textId="77777777">
            <w:pPr>
              <w:rPr>
                <w:sz w:val="20"/>
              </w:rPr>
            </w:pPr>
            <w:r w:rsidRPr="001844D1">
              <w:rPr>
                <w:sz w:val="20"/>
              </w:rPr>
              <w:t>MT</w:t>
            </w:r>
          </w:p>
        </w:tc>
        <w:tc>
          <w:tcPr>
            <w:tcW w:w="720" w:type="dxa"/>
            <w:shd w:val="clear" w:color="auto" w:fill="auto"/>
            <w:hideMark/>
          </w:tcPr>
          <w:p w:rsidR="008828A9" w:rsidRPr="001844D1" w:rsidP="006744B5" w14:paraId="7F86CBE3" w14:textId="77777777">
            <w:pPr>
              <w:rPr>
                <w:sz w:val="20"/>
              </w:rPr>
            </w:pPr>
          </w:p>
        </w:tc>
      </w:tr>
      <w:tr w14:paraId="028E1F81" w14:textId="77777777" w:rsidTr="006744B5">
        <w:tblPrEx>
          <w:tblW w:w="0" w:type="auto"/>
          <w:tblLook w:val="04A0"/>
        </w:tblPrEx>
        <w:trPr>
          <w:trHeight w:val="315"/>
        </w:trPr>
        <w:tc>
          <w:tcPr>
            <w:tcW w:w="1317" w:type="dxa"/>
            <w:vMerge/>
            <w:shd w:val="clear" w:color="auto" w:fill="auto"/>
            <w:hideMark/>
          </w:tcPr>
          <w:p w:rsidR="008828A9" w:rsidRPr="001844D1" w:rsidP="008828A9" w14:paraId="0DD25C87"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5A346DB3" w14:textId="77777777">
            <w:pPr>
              <w:rPr>
                <w:sz w:val="20"/>
              </w:rPr>
            </w:pPr>
            <w:r w:rsidRPr="001844D1">
              <w:rPr>
                <w:sz w:val="20"/>
              </w:rPr>
              <w:t> </w:t>
            </w:r>
          </w:p>
        </w:tc>
        <w:tc>
          <w:tcPr>
            <w:tcW w:w="720" w:type="dxa"/>
            <w:shd w:val="clear" w:color="auto" w:fill="auto"/>
            <w:hideMark/>
          </w:tcPr>
          <w:p w:rsidR="008828A9" w:rsidRPr="001844D1" w:rsidP="006744B5" w14:paraId="286150E2" w14:textId="77777777">
            <w:pPr>
              <w:rPr>
                <w:sz w:val="20"/>
              </w:rPr>
            </w:pPr>
            <w:r w:rsidRPr="001844D1">
              <w:rPr>
                <w:sz w:val="20"/>
              </w:rPr>
              <w:t>NE</w:t>
            </w:r>
          </w:p>
        </w:tc>
        <w:tc>
          <w:tcPr>
            <w:tcW w:w="720" w:type="dxa"/>
            <w:shd w:val="clear" w:color="auto" w:fill="auto"/>
            <w:hideMark/>
          </w:tcPr>
          <w:p w:rsidR="008828A9" w:rsidRPr="001844D1" w:rsidP="006744B5" w14:paraId="3868B44F" w14:textId="77777777">
            <w:pPr>
              <w:rPr>
                <w:sz w:val="20"/>
              </w:rPr>
            </w:pPr>
            <w:r w:rsidRPr="001844D1">
              <w:rPr>
                <w:sz w:val="20"/>
              </w:rPr>
              <w:t> </w:t>
            </w:r>
          </w:p>
        </w:tc>
        <w:tc>
          <w:tcPr>
            <w:tcW w:w="720" w:type="dxa"/>
            <w:shd w:val="clear" w:color="auto" w:fill="auto"/>
            <w:hideMark/>
          </w:tcPr>
          <w:p w:rsidR="008828A9" w:rsidRPr="001844D1" w:rsidP="006744B5" w14:paraId="23DA1C1C" w14:textId="77777777">
            <w:pPr>
              <w:rPr>
                <w:sz w:val="20"/>
              </w:rPr>
            </w:pPr>
            <w:r w:rsidRPr="001844D1">
              <w:rPr>
                <w:sz w:val="20"/>
              </w:rPr>
              <w:t> </w:t>
            </w:r>
          </w:p>
        </w:tc>
        <w:tc>
          <w:tcPr>
            <w:tcW w:w="720" w:type="dxa"/>
            <w:shd w:val="clear" w:color="auto" w:fill="auto"/>
            <w:hideMark/>
          </w:tcPr>
          <w:p w:rsidR="008828A9" w:rsidRPr="001844D1" w:rsidP="006744B5" w14:paraId="017516BF" w14:textId="77777777">
            <w:pPr>
              <w:rPr>
                <w:sz w:val="20"/>
              </w:rPr>
            </w:pPr>
            <w:r w:rsidRPr="001844D1">
              <w:rPr>
                <w:sz w:val="20"/>
              </w:rPr>
              <w:t> </w:t>
            </w:r>
          </w:p>
        </w:tc>
        <w:tc>
          <w:tcPr>
            <w:tcW w:w="720" w:type="dxa"/>
            <w:shd w:val="clear" w:color="auto" w:fill="auto"/>
            <w:hideMark/>
          </w:tcPr>
          <w:p w:rsidR="008828A9" w:rsidRPr="001844D1" w:rsidP="006744B5" w14:paraId="03F65630" w14:textId="77777777">
            <w:pPr>
              <w:rPr>
                <w:sz w:val="20"/>
              </w:rPr>
            </w:pPr>
            <w:r w:rsidRPr="001844D1">
              <w:rPr>
                <w:sz w:val="20"/>
              </w:rPr>
              <w:t> </w:t>
            </w:r>
          </w:p>
        </w:tc>
        <w:tc>
          <w:tcPr>
            <w:tcW w:w="720" w:type="dxa"/>
            <w:shd w:val="clear" w:color="auto" w:fill="auto"/>
            <w:hideMark/>
          </w:tcPr>
          <w:p w:rsidR="008828A9" w:rsidRPr="001844D1" w:rsidP="006744B5" w14:paraId="1C5516C7" w14:textId="77777777">
            <w:pPr>
              <w:rPr>
                <w:sz w:val="20"/>
              </w:rPr>
            </w:pPr>
            <w:r w:rsidRPr="001844D1">
              <w:rPr>
                <w:sz w:val="20"/>
              </w:rPr>
              <w:t> </w:t>
            </w:r>
          </w:p>
        </w:tc>
        <w:tc>
          <w:tcPr>
            <w:tcW w:w="720" w:type="dxa"/>
            <w:shd w:val="clear" w:color="auto" w:fill="auto"/>
            <w:hideMark/>
          </w:tcPr>
          <w:p w:rsidR="008828A9" w:rsidRPr="001844D1" w:rsidP="006744B5" w14:paraId="07579D22" w14:textId="77777777">
            <w:pPr>
              <w:rPr>
                <w:sz w:val="20"/>
              </w:rPr>
            </w:pPr>
            <w:r w:rsidRPr="001844D1">
              <w:rPr>
                <w:sz w:val="20"/>
              </w:rPr>
              <w:t> </w:t>
            </w:r>
          </w:p>
        </w:tc>
        <w:tc>
          <w:tcPr>
            <w:tcW w:w="720" w:type="dxa"/>
            <w:shd w:val="clear" w:color="auto" w:fill="auto"/>
            <w:hideMark/>
          </w:tcPr>
          <w:p w:rsidR="008828A9" w:rsidRPr="001844D1" w:rsidP="006744B5" w14:paraId="4733C475" w14:textId="77777777">
            <w:pPr>
              <w:rPr>
                <w:sz w:val="20"/>
              </w:rPr>
            </w:pPr>
            <w:r w:rsidRPr="001844D1">
              <w:rPr>
                <w:sz w:val="20"/>
              </w:rPr>
              <w:t> </w:t>
            </w:r>
          </w:p>
        </w:tc>
        <w:tc>
          <w:tcPr>
            <w:tcW w:w="720" w:type="dxa"/>
            <w:shd w:val="clear" w:color="auto" w:fill="auto"/>
            <w:hideMark/>
          </w:tcPr>
          <w:p w:rsidR="008828A9" w:rsidRPr="001844D1" w:rsidP="006744B5" w14:paraId="280486F2" w14:textId="77777777">
            <w:pPr>
              <w:rPr>
                <w:sz w:val="20"/>
              </w:rPr>
            </w:pPr>
            <w:r w:rsidRPr="001844D1">
              <w:rPr>
                <w:sz w:val="20"/>
              </w:rPr>
              <w:t> </w:t>
            </w:r>
          </w:p>
        </w:tc>
        <w:tc>
          <w:tcPr>
            <w:tcW w:w="720" w:type="dxa"/>
            <w:shd w:val="clear" w:color="auto" w:fill="auto"/>
            <w:hideMark/>
          </w:tcPr>
          <w:p w:rsidR="008828A9" w:rsidRPr="001844D1" w:rsidP="006744B5" w14:paraId="50B9CA2E" w14:textId="77777777">
            <w:pPr>
              <w:rPr>
                <w:sz w:val="20"/>
              </w:rPr>
            </w:pPr>
            <w:r w:rsidRPr="001844D1">
              <w:rPr>
                <w:sz w:val="20"/>
              </w:rPr>
              <w:t> </w:t>
            </w:r>
          </w:p>
        </w:tc>
      </w:tr>
      <w:tr w14:paraId="5DE2E8B7" w14:textId="77777777" w:rsidTr="006744B5">
        <w:tblPrEx>
          <w:tblW w:w="0" w:type="auto"/>
          <w:tblLook w:val="04A0"/>
        </w:tblPrEx>
        <w:trPr>
          <w:trHeight w:val="315"/>
        </w:trPr>
        <w:tc>
          <w:tcPr>
            <w:tcW w:w="1317" w:type="dxa"/>
            <w:vMerge/>
            <w:shd w:val="clear" w:color="auto" w:fill="auto"/>
            <w:hideMark/>
          </w:tcPr>
          <w:p w:rsidR="008828A9" w:rsidRPr="001844D1" w:rsidP="008828A9" w14:paraId="215B54B5"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47CD6A1D" w14:textId="77777777">
            <w:pPr>
              <w:rPr>
                <w:sz w:val="20"/>
              </w:rPr>
            </w:pPr>
            <w:r w:rsidRPr="001844D1">
              <w:rPr>
                <w:sz w:val="20"/>
              </w:rPr>
              <w:t> </w:t>
            </w:r>
          </w:p>
        </w:tc>
        <w:tc>
          <w:tcPr>
            <w:tcW w:w="720" w:type="dxa"/>
            <w:shd w:val="clear" w:color="auto" w:fill="auto"/>
            <w:hideMark/>
          </w:tcPr>
          <w:p w:rsidR="008828A9" w:rsidRPr="001844D1" w:rsidP="006744B5" w14:paraId="2E6CBA85" w14:textId="77777777">
            <w:pPr>
              <w:rPr>
                <w:sz w:val="20"/>
              </w:rPr>
            </w:pPr>
            <w:r w:rsidRPr="001844D1">
              <w:rPr>
                <w:sz w:val="20"/>
              </w:rPr>
              <w:t> </w:t>
            </w:r>
          </w:p>
        </w:tc>
        <w:tc>
          <w:tcPr>
            <w:tcW w:w="720" w:type="dxa"/>
            <w:shd w:val="clear" w:color="auto" w:fill="auto"/>
            <w:hideMark/>
          </w:tcPr>
          <w:p w:rsidR="008828A9" w:rsidRPr="001844D1" w:rsidP="006744B5" w14:paraId="1C3C4DF2" w14:textId="77777777">
            <w:pPr>
              <w:rPr>
                <w:sz w:val="20"/>
              </w:rPr>
            </w:pPr>
            <w:r w:rsidRPr="001844D1">
              <w:rPr>
                <w:sz w:val="20"/>
              </w:rPr>
              <w:t> </w:t>
            </w:r>
          </w:p>
        </w:tc>
        <w:tc>
          <w:tcPr>
            <w:tcW w:w="720" w:type="dxa"/>
            <w:shd w:val="clear" w:color="auto" w:fill="auto"/>
            <w:hideMark/>
          </w:tcPr>
          <w:p w:rsidR="008828A9" w:rsidRPr="001844D1" w:rsidP="006744B5" w14:paraId="5086F748" w14:textId="77777777">
            <w:pPr>
              <w:rPr>
                <w:sz w:val="20"/>
              </w:rPr>
            </w:pPr>
            <w:r w:rsidRPr="001844D1">
              <w:rPr>
                <w:sz w:val="20"/>
              </w:rPr>
              <w:t> </w:t>
            </w:r>
          </w:p>
        </w:tc>
        <w:tc>
          <w:tcPr>
            <w:tcW w:w="720" w:type="dxa"/>
            <w:shd w:val="clear" w:color="auto" w:fill="auto"/>
            <w:hideMark/>
          </w:tcPr>
          <w:p w:rsidR="008828A9" w:rsidRPr="001844D1" w:rsidP="006744B5" w14:paraId="64C9721A" w14:textId="77777777">
            <w:pPr>
              <w:rPr>
                <w:sz w:val="20"/>
              </w:rPr>
            </w:pPr>
            <w:r w:rsidRPr="001844D1">
              <w:rPr>
                <w:sz w:val="20"/>
              </w:rPr>
              <w:t> </w:t>
            </w:r>
          </w:p>
        </w:tc>
        <w:tc>
          <w:tcPr>
            <w:tcW w:w="720" w:type="dxa"/>
            <w:shd w:val="clear" w:color="auto" w:fill="auto"/>
            <w:hideMark/>
          </w:tcPr>
          <w:p w:rsidR="008828A9" w:rsidRPr="001844D1" w:rsidP="006744B5" w14:paraId="1F2B2D55" w14:textId="77777777">
            <w:pPr>
              <w:rPr>
                <w:sz w:val="20"/>
              </w:rPr>
            </w:pPr>
            <w:r w:rsidRPr="001844D1">
              <w:rPr>
                <w:sz w:val="20"/>
              </w:rPr>
              <w:t> </w:t>
            </w:r>
          </w:p>
        </w:tc>
        <w:tc>
          <w:tcPr>
            <w:tcW w:w="720" w:type="dxa"/>
            <w:shd w:val="clear" w:color="auto" w:fill="auto"/>
            <w:hideMark/>
          </w:tcPr>
          <w:p w:rsidR="008828A9" w:rsidRPr="001844D1" w:rsidP="006744B5" w14:paraId="5676E035" w14:textId="77777777">
            <w:pPr>
              <w:rPr>
                <w:sz w:val="20"/>
              </w:rPr>
            </w:pPr>
            <w:r w:rsidRPr="001844D1">
              <w:rPr>
                <w:sz w:val="20"/>
              </w:rPr>
              <w:t> </w:t>
            </w:r>
          </w:p>
        </w:tc>
        <w:tc>
          <w:tcPr>
            <w:tcW w:w="720" w:type="dxa"/>
            <w:shd w:val="clear" w:color="auto" w:fill="auto"/>
            <w:hideMark/>
          </w:tcPr>
          <w:p w:rsidR="008828A9" w:rsidRPr="001844D1" w:rsidP="006744B5" w14:paraId="2984324A" w14:textId="77777777">
            <w:pPr>
              <w:rPr>
                <w:sz w:val="20"/>
              </w:rPr>
            </w:pPr>
            <w:r w:rsidRPr="001844D1">
              <w:rPr>
                <w:sz w:val="20"/>
              </w:rPr>
              <w:t> </w:t>
            </w:r>
          </w:p>
        </w:tc>
        <w:tc>
          <w:tcPr>
            <w:tcW w:w="720" w:type="dxa"/>
            <w:shd w:val="clear" w:color="auto" w:fill="auto"/>
            <w:hideMark/>
          </w:tcPr>
          <w:p w:rsidR="008828A9" w:rsidRPr="001844D1" w:rsidP="006744B5" w14:paraId="4F89FCFA" w14:textId="77777777">
            <w:pPr>
              <w:rPr>
                <w:sz w:val="20"/>
              </w:rPr>
            </w:pPr>
            <w:r w:rsidRPr="001844D1">
              <w:rPr>
                <w:sz w:val="20"/>
              </w:rPr>
              <w:t>NM</w:t>
            </w:r>
          </w:p>
        </w:tc>
        <w:tc>
          <w:tcPr>
            <w:tcW w:w="720" w:type="dxa"/>
            <w:shd w:val="clear" w:color="auto" w:fill="auto"/>
            <w:hideMark/>
          </w:tcPr>
          <w:p w:rsidR="008828A9" w:rsidRPr="001844D1" w:rsidP="006744B5" w14:paraId="7BBAD038" w14:textId="77777777">
            <w:pPr>
              <w:rPr>
                <w:sz w:val="20"/>
              </w:rPr>
            </w:pPr>
            <w:r w:rsidRPr="001844D1">
              <w:rPr>
                <w:sz w:val="20"/>
              </w:rPr>
              <w:t> </w:t>
            </w:r>
          </w:p>
        </w:tc>
        <w:tc>
          <w:tcPr>
            <w:tcW w:w="720" w:type="dxa"/>
            <w:shd w:val="clear" w:color="auto" w:fill="auto"/>
            <w:hideMark/>
          </w:tcPr>
          <w:p w:rsidR="008828A9" w:rsidRPr="001844D1" w:rsidP="006744B5" w14:paraId="48D2E689" w14:textId="77777777">
            <w:pPr>
              <w:rPr>
                <w:sz w:val="20"/>
              </w:rPr>
            </w:pPr>
            <w:r w:rsidRPr="001844D1">
              <w:rPr>
                <w:sz w:val="20"/>
              </w:rPr>
              <w:t> </w:t>
            </w:r>
          </w:p>
        </w:tc>
      </w:tr>
      <w:tr w14:paraId="134DB5DB" w14:textId="77777777" w:rsidTr="006744B5">
        <w:tblPrEx>
          <w:tblW w:w="0" w:type="auto"/>
          <w:tblLook w:val="04A0"/>
        </w:tblPrEx>
        <w:trPr>
          <w:trHeight w:val="315"/>
        </w:trPr>
        <w:tc>
          <w:tcPr>
            <w:tcW w:w="1317" w:type="dxa"/>
            <w:vMerge/>
            <w:shd w:val="clear" w:color="auto" w:fill="auto"/>
            <w:hideMark/>
          </w:tcPr>
          <w:p w:rsidR="008828A9" w:rsidRPr="001844D1" w:rsidP="008828A9" w14:paraId="6506913D" w14:textId="77777777">
            <w:pPr>
              <w:pStyle w:val="ParaNum"/>
              <w:numPr>
                <w:ilvl w:val="0"/>
                <w:numId w:val="3"/>
              </w:numPr>
              <w:tabs>
                <w:tab w:val="clear" w:pos="1080"/>
                <w:tab w:val="num" w:pos="1440"/>
              </w:tabs>
              <w:jc w:val="center"/>
              <w:rPr>
                <w:b/>
                <w:bCs/>
                <w:sz w:val="20"/>
              </w:rPr>
            </w:pPr>
          </w:p>
        </w:tc>
        <w:tc>
          <w:tcPr>
            <w:tcW w:w="720" w:type="dxa"/>
            <w:shd w:val="clear" w:color="auto" w:fill="auto"/>
            <w:hideMark/>
          </w:tcPr>
          <w:p w:rsidR="008828A9" w:rsidRPr="001844D1" w:rsidP="006744B5" w14:paraId="47FECC6B" w14:textId="77777777">
            <w:pPr>
              <w:rPr>
                <w:sz w:val="20"/>
              </w:rPr>
            </w:pPr>
            <w:r w:rsidRPr="001844D1">
              <w:rPr>
                <w:sz w:val="20"/>
              </w:rPr>
              <w:t>TN</w:t>
            </w:r>
          </w:p>
        </w:tc>
        <w:tc>
          <w:tcPr>
            <w:tcW w:w="720" w:type="dxa"/>
            <w:shd w:val="clear" w:color="auto" w:fill="auto"/>
            <w:hideMark/>
          </w:tcPr>
          <w:p w:rsidR="008828A9" w:rsidRPr="001844D1" w:rsidP="006744B5" w14:paraId="14F4F6FF" w14:textId="77777777">
            <w:pPr>
              <w:rPr>
                <w:sz w:val="20"/>
              </w:rPr>
            </w:pPr>
            <w:r w:rsidRPr="001844D1">
              <w:rPr>
                <w:sz w:val="20"/>
              </w:rPr>
              <w:t> </w:t>
            </w:r>
          </w:p>
        </w:tc>
        <w:tc>
          <w:tcPr>
            <w:tcW w:w="720" w:type="dxa"/>
            <w:shd w:val="clear" w:color="auto" w:fill="auto"/>
            <w:hideMark/>
          </w:tcPr>
          <w:p w:rsidR="008828A9" w:rsidRPr="001844D1" w:rsidP="006744B5" w14:paraId="14B44B1D" w14:textId="77777777">
            <w:pPr>
              <w:rPr>
                <w:sz w:val="20"/>
              </w:rPr>
            </w:pPr>
            <w:r w:rsidRPr="001844D1">
              <w:rPr>
                <w:sz w:val="20"/>
              </w:rPr>
              <w:t> </w:t>
            </w:r>
          </w:p>
        </w:tc>
        <w:tc>
          <w:tcPr>
            <w:tcW w:w="720" w:type="dxa"/>
            <w:shd w:val="clear" w:color="auto" w:fill="auto"/>
            <w:hideMark/>
          </w:tcPr>
          <w:p w:rsidR="008828A9" w:rsidRPr="001844D1" w:rsidP="006744B5" w14:paraId="63B24D08" w14:textId="77777777">
            <w:pPr>
              <w:rPr>
                <w:sz w:val="20"/>
              </w:rPr>
            </w:pPr>
            <w:r w:rsidRPr="001844D1">
              <w:rPr>
                <w:sz w:val="20"/>
              </w:rPr>
              <w:t> </w:t>
            </w:r>
          </w:p>
        </w:tc>
        <w:tc>
          <w:tcPr>
            <w:tcW w:w="720" w:type="dxa"/>
            <w:shd w:val="clear" w:color="auto" w:fill="auto"/>
            <w:hideMark/>
          </w:tcPr>
          <w:p w:rsidR="008828A9" w:rsidRPr="001844D1" w:rsidP="006744B5" w14:paraId="4A422045" w14:textId="77777777">
            <w:pPr>
              <w:rPr>
                <w:sz w:val="20"/>
              </w:rPr>
            </w:pPr>
            <w:r w:rsidRPr="001844D1">
              <w:rPr>
                <w:sz w:val="20"/>
              </w:rPr>
              <w:t> </w:t>
            </w:r>
          </w:p>
        </w:tc>
        <w:tc>
          <w:tcPr>
            <w:tcW w:w="720" w:type="dxa"/>
            <w:shd w:val="clear" w:color="auto" w:fill="auto"/>
            <w:hideMark/>
          </w:tcPr>
          <w:p w:rsidR="008828A9" w:rsidRPr="001844D1" w:rsidP="006744B5" w14:paraId="65DCD446" w14:textId="77777777">
            <w:pPr>
              <w:rPr>
                <w:sz w:val="20"/>
              </w:rPr>
            </w:pPr>
            <w:r w:rsidRPr="001844D1">
              <w:rPr>
                <w:sz w:val="20"/>
              </w:rPr>
              <w:t> </w:t>
            </w:r>
          </w:p>
        </w:tc>
        <w:tc>
          <w:tcPr>
            <w:tcW w:w="720" w:type="dxa"/>
            <w:shd w:val="clear" w:color="auto" w:fill="auto"/>
            <w:hideMark/>
          </w:tcPr>
          <w:p w:rsidR="008828A9" w:rsidRPr="001844D1" w:rsidP="006744B5" w14:paraId="63C88022" w14:textId="77777777">
            <w:pPr>
              <w:rPr>
                <w:sz w:val="20"/>
              </w:rPr>
            </w:pPr>
            <w:r w:rsidRPr="001844D1">
              <w:rPr>
                <w:sz w:val="20"/>
              </w:rPr>
              <w:t> </w:t>
            </w:r>
          </w:p>
        </w:tc>
        <w:tc>
          <w:tcPr>
            <w:tcW w:w="720" w:type="dxa"/>
            <w:shd w:val="clear" w:color="auto" w:fill="auto"/>
            <w:hideMark/>
          </w:tcPr>
          <w:p w:rsidR="008828A9" w:rsidRPr="001844D1" w:rsidP="006744B5" w14:paraId="1DE8781D" w14:textId="77777777">
            <w:pPr>
              <w:rPr>
                <w:sz w:val="20"/>
              </w:rPr>
            </w:pPr>
            <w:r w:rsidRPr="001844D1">
              <w:rPr>
                <w:sz w:val="20"/>
              </w:rPr>
              <w:t> </w:t>
            </w:r>
          </w:p>
        </w:tc>
        <w:tc>
          <w:tcPr>
            <w:tcW w:w="720" w:type="dxa"/>
            <w:shd w:val="clear" w:color="auto" w:fill="auto"/>
            <w:hideMark/>
          </w:tcPr>
          <w:p w:rsidR="008828A9" w:rsidRPr="001844D1" w:rsidP="006744B5" w14:paraId="7A54A941" w14:textId="77777777">
            <w:pPr>
              <w:rPr>
                <w:sz w:val="20"/>
              </w:rPr>
            </w:pPr>
            <w:r w:rsidRPr="001844D1">
              <w:rPr>
                <w:sz w:val="20"/>
              </w:rPr>
              <w:t> </w:t>
            </w:r>
          </w:p>
        </w:tc>
        <w:tc>
          <w:tcPr>
            <w:tcW w:w="720" w:type="dxa"/>
            <w:shd w:val="clear" w:color="auto" w:fill="auto"/>
            <w:hideMark/>
          </w:tcPr>
          <w:p w:rsidR="008828A9" w:rsidRPr="001844D1" w:rsidP="006744B5" w14:paraId="1CEE0FB6" w14:textId="77777777">
            <w:pPr>
              <w:rPr>
                <w:sz w:val="20"/>
              </w:rPr>
            </w:pPr>
            <w:r w:rsidRPr="001844D1">
              <w:rPr>
                <w:sz w:val="20"/>
              </w:rPr>
              <w:t> </w:t>
            </w:r>
          </w:p>
        </w:tc>
        <w:tc>
          <w:tcPr>
            <w:tcW w:w="720" w:type="dxa"/>
            <w:shd w:val="clear" w:color="auto" w:fill="auto"/>
            <w:hideMark/>
          </w:tcPr>
          <w:p w:rsidR="008828A9" w:rsidRPr="001844D1" w:rsidP="006744B5" w14:paraId="73DD7E93" w14:textId="77777777">
            <w:pPr>
              <w:rPr>
                <w:sz w:val="20"/>
              </w:rPr>
            </w:pPr>
            <w:r w:rsidRPr="001844D1">
              <w:rPr>
                <w:sz w:val="20"/>
              </w:rPr>
              <w:t> </w:t>
            </w:r>
          </w:p>
        </w:tc>
      </w:tr>
      <w:tr w14:paraId="5E89E2BA" w14:textId="77777777" w:rsidTr="006744B5">
        <w:tblPrEx>
          <w:tblW w:w="0" w:type="auto"/>
          <w:tblLook w:val="04A0"/>
        </w:tblPrEx>
        <w:trPr>
          <w:trHeight w:val="317"/>
        </w:trPr>
        <w:tc>
          <w:tcPr>
            <w:tcW w:w="1317" w:type="dxa"/>
            <w:vMerge w:val="restart"/>
            <w:shd w:val="clear" w:color="auto" w:fill="auto"/>
            <w:hideMark/>
          </w:tcPr>
          <w:p w:rsidR="008828A9" w:rsidRPr="001844D1" w:rsidP="006744B5" w14:paraId="27464E21" w14:textId="77777777">
            <w:pPr>
              <w:rPr>
                <w:b/>
                <w:sz w:val="20"/>
              </w:rPr>
            </w:pPr>
            <w:r w:rsidRPr="001844D1">
              <w:rPr>
                <w:b/>
                <w:sz w:val="20"/>
              </w:rPr>
              <w:t>Other Jurisdictions</w:t>
            </w:r>
          </w:p>
        </w:tc>
        <w:tc>
          <w:tcPr>
            <w:tcW w:w="720" w:type="dxa"/>
            <w:shd w:val="clear" w:color="auto" w:fill="auto"/>
            <w:hideMark/>
          </w:tcPr>
          <w:p w:rsidR="008828A9" w:rsidRPr="001844D1" w:rsidP="006744B5" w14:paraId="4F300AF9" w14:textId="77777777">
            <w:pPr>
              <w:rPr>
                <w:sz w:val="20"/>
              </w:rPr>
            </w:pPr>
            <w:r w:rsidRPr="001844D1">
              <w:rPr>
                <w:sz w:val="20"/>
              </w:rPr>
              <w:t> </w:t>
            </w:r>
          </w:p>
        </w:tc>
        <w:tc>
          <w:tcPr>
            <w:tcW w:w="720" w:type="dxa"/>
            <w:shd w:val="clear" w:color="auto" w:fill="auto"/>
            <w:hideMark/>
          </w:tcPr>
          <w:p w:rsidR="008828A9" w:rsidRPr="001844D1" w:rsidP="006744B5" w14:paraId="0121DB23" w14:textId="77777777">
            <w:pPr>
              <w:rPr>
                <w:sz w:val="20"/>
              </w:rPr>
            </w:pPr>
            <w:r w:rsidRPr="001844D1">
              <w:rPr>
                <w:sz w:val="20"/>
              </w:rPr>
              <w:t> </w:t>
            </w:r>
          </w:p>
        </w:tc>
        <w:tc>
          <w:tcPr>
            <w:tcW w:w="720" w:type="dxa"/>
            <w:shd w:val="clear" w:color="auto" w:fill="auto"/>
            <w:hideMark/>
          </w:tcPr>
          <w:p w:rsidR="008828A9" w:rsidRPr="001844D1" w:rsidP="006744B5" w14:paraId="0AE077AE" w14:textId="77777777">
            <w:pPr>
              <w:rPr>
                <w:sz w:val="20"/>
              </w:rPr>
            </w:pPr>
            <w:r w:rsidRPr="001844D1">
              <w:rPr>
                <w:sz w:val="20"/>
              </w:rPr>
              <w:t> </w:t>
            </w:r>
          </w:p>
        </w:tc>
        <w:tc>
          <w:tcPr>
            <w:tcW w:w="720" w:type="dxa"/>
            <w:shd w:val="clear" w:color="auto" w:fill="auto"/>
            <w:hideMark/>
          </w:tcPr>
          <w:p w:rsidR="008828A9" w:rsidRPr="001844D1" w:rsidP="006744B5" w14:paraId="605BF6E6" w14:textId="77777777">
            <w:pPr>
              <w:rPr>
                <w:sz w:val="20"/>
              </w:rPr>
            </w:pPr>
            <w:r w:rsidRPr="001844D1">
              <w:rPr>
                <w:sz w:val="20"/>
              </w:rPr>
              <w:t> </w:t>
            </w:r>
          </w:p>
        </w:tc>
        <w:tc>
          <w:tcPr>
            <w:tcW w:w="720" w:type="dxa"/>
            <w:shd w:val="clear" w:color="auto" w:fill="auto"/>
            <w:hideMark/>
          </w:tcPr>
          <w:p w:rsidR="008828A9" w:rsidRPr="001844D1" w:rsidP="006744B5" w14:paraId="431BACBC" w14:textId="77777777">
            <w:pPr>
              <w:rPr>
                <w:sz w:val="20"/>
              </w:rPr>
            </w:pPr>
            <w:r w:rsidRPr="001844D1">
              <w:rPr>
                <w:sz w:val="20"/>
              </w:rPr>
              <w:t> </w:t>
            </w:r>
          </w:p>
        </w:tc>
        <w:tc>
          <w:tcPr>
            <w:tcW w:w="720" w:type="dxa"/>
            <w:shd w:val="clear" w:color="auto" w:fill="auto"/>
            <w:hideMark/>
          </w:tcPr>
          <w:p w:rsidR="008828A9" w:rsidRPr="001844D1" w:rsidP="006744B5" w14:paraId="17BE7BEB" w14:textId="77777777">
            <w:pPr>
              <w:rPr>
                <w:sz w:val="20"/>
              </w:rPr>
            </w:pPr>
            <w:r w:rsidRPr="001844D1">
              <w:rPr>
                <w:sz w:val="20"/>
              </w:rPr>
              <w:t>PR</w:t>
            </w:r>
          </w:p>
        </w:tc>
        <w:tc>
          <w:tcPr>
            <w:tcW w:w="720" w:type="dxa"/>
            <w:shd w:val="clear" w:color="auto" w:fill="auto"/>
            <w:hideMark/>
          </w:tcPr>
          <w:p w:rsidR="008828A9" w:rsidRPr="001844D1" w:rsidP="006744B5" w14:paraId="01A4B520" w14:textId="77777777">
            <w:pPr>
              <w:rPr>
                <w:sz w:val="20"/>
              </w:rPr>
            </w:pPr>
            <w:r w:rsidRPr="001844D1">
              <w:rPr>
                <w:sz w:val="20"/>
              </w:rPr>
              <w:t> </w:t>
            </w:r>
          </w:p>
        </w:tc>
        <w:tc>
          <w:tcPr>
            <w:tcW w:w="720" w:type="dxa"/>
            <w:shd w:val="clear" w:color="auto" w:fill="auto"/>
            <w:hideMark/>
          </w:tcPr>
          <w:p w:rsidR="008828A9" w:rsidRPr="001844D1" w:rsidP="006744B5" w14:paraId="26C53C6E" w14:textId="77777777">
            <w:pPr>
              <w:rPr>
                <w:sz w:val="20"/>
              </w:rPr>
            </w:pPr>
            <w:r w:rsidRPr="001844D1">
              <w:rPr>
                <w:sz w:val="20"/>
              </w:rPr>
              <w:t>PR</w:t>
            </w:r>
          </w:p>
        </w:tc>
        <w:tc>
          <w:tcPr>
            <w:tcW w:w="720" w:type="dxa"/>
            <w:shd w:val="clear" w:color="auto" w:fill="auto"/>
            <w:hideMark/>
          </w:tcPr>
          <w:p w:rsidR="008828A9" w:rsidRPr="001844D1" w:rsidP="006744B5" w14:paraId="77AC1D74" w14:textId="77777777">
            <w:pPr>
              <w:rPr>
                <w:sz w:val="20"/>
              </w:rPr>
            </w:pPr>
            <w:r w:rsidRPr="001844D1">
              <w:rPr>
                <w:sz w:val="20"/>
              </w:rPr>
              <w:t> </w:t>
            </w:r>
          </w:p>
        </w:tc>
        <w:tc>
          <w:tcPr>
            <w:tcW w:w="720" w:type="dxa"/>
            <w:shd w:val="clear" w:color="auto" w:fill="auto"/>
            <w:hideMark/>
          </w:tcPr>
          <w:p w:rsidR="008828A9" w:rsidRPr="001844D1" w:rsidP="006744B5" w14:paraId="20F2DA26" w14:textId="77777777">
            <w:pPr>
              <w:rPr>
                <w:sz w:val="20"/>
              </w:rPr>
            </w:pPr>
          </w:p>
          <w:p w:rsidR="008828A9" w:rsidRPr="001844D1" w:rsidP="006744B5" w14:paraId="1FA7AE5C" w14:textId="77777777">
            <w:pPr>
              <w:rPr>
                <w:sz w:val="20"/>
              </w:rPr>
            </w:pPr>
          </w:p>
        </w:tc>
        <w:tc>
          <w:tcPr>
            <w:tcW w:w="720" w:type="dxa"/>
            <w:shd w:val="clear" w:color="auto" w:fill="auto"/>
            <w:hideMark/>
          </w:tcPr>
          <w:p w:rsidR="008828A9" w:rsidRPr="001844D1" w:rsidP="006744B5" w14:paraId="7ED8CEFE" w14:textId="77777777">
            <w:pPr>
              <w:rPr>
                <w:sz w:val="20"/>
              </w:rPr>
            </w:pPr>
          </w:p>
        </w:tc>
      </w:tr>
      <w:tr w14:paraId="2E361857" w14:textId="77777777" w:rsidTr="006744B5">
        <w:tblPrEx>
          <w:tblW w:w="0" w:type="auto"/>
          <w:tblLook w:val="04A0"/>
        </w:tblPrEx>
        <w:trPr>
          <w:trHeight w:val="323"/>
        </w:trPr>
        <w:tc>
          <w:tcPr>
            <w:tcW w:w="1317" w:type="dxa"/>
            <w:vMerge/>
            <w:shd w:val="clear" w:color="auto" w:fill="auto"/>
          </w:tcPr>
          <w:p w:rsidR="008828A9" w:rsidRPr="001844D1" w:rsidP="006744B5" w14:paraId="6ACBEE88" w14:textId="77777777">
            <w:pPr>
              <w:rPr>
                <w:b/>
                <w:sz w:val="20"/>
              </w:rPr>
            </w:pPr>
          </w:p>
        </w:tc>
        <w:tc>
          <w:tcPr>
            <w:tcW w:w="720" w:type="dxa"/>
            <w:shd w:val="clear" w:color="auto" w:fill="auto"/>
          </w:tcPr>
          <w:p w:rsidR="008828A9" w:rsidRPr="001844D1" w:rsidP="006744B5" w14:paraId="2C8AC600" w14:textId="77777777">
            <w:pPr>
              <w:rPr>
                <w:sz w:val="20"/>
              </w:rPr>
            </w:pPr>
          </w:p>
        </w:tc>
        <w:tc>
          <w:tcPr>
            <w:tcW w:w="720" w:type="dxa"/>
            <w:shd w:val="clear" w:color="auto" w:fill="auto"/>
          </w:tcPr>
          <w:p w:rsidR="008828A9" w:rsidRPr="001844D1" w:rsidP="006744B5" w14:paraId="62DACBBC" w14:textId="77777777">
            <w:pPr>
              <w:rPr>
                <w:sz w:val="20"/>
              </w:rPr>
            </w:pPr>
          </w:p>
        </w:tc>
        <w:tc>
          <w:tcPr>
            <w:tcW w:w="720" w:type="dxa"/>
            <w:shd w:val="clear" w:color="auto" w:fill="auto"/>
          </w:tcPr>
          <w:p w:rsidR="008828A9" w:rsidRPr="001844D1" w:rsidP="006744B5" w14:paraId="7EC6CE0D" w14:textId="77777777">
            <w:pPr>
              <w:rPr>
                <w:sz w:val="20"/>
              </w:rPr>
            </w:pPr>
          </w:p>
        </w:tc>
        <w:tc>
          <w:tcPr>
            <w:tcW w:w="720" w:type="dxa"/>
            <w:shd w:val="clear" w:color="auto" w:fill="auto"/>
          </w:tcPr>
          <w:p w:rsidR="008828A9" w:rsidRPr="001844D1" w:rsidP="006744B5" w14:paraId="2BDBB200" w14:textId="77777777">
            <w:pPr>
              <w:rPr>
                <w:sz w:val="20"/>
              </w:rPr>
            </w:pPr>
          </w:p>
        </w:tc>
        <w:tc>
          <w:tcPr>
            <w:tcW w:w="720" w:type="dxa"/>
            <w:shd w:val="clear" w:color="auto" w:fill="auto"/>
          </w:tcPr>
          <w:p w:rsidR="008828A9" w:rsidRPr="001844D1" w:rsidP="006744B5" w14:paraId="2648656C" w14:textId="77777777">
            <w:pPr>
              <w:rPr>
                <w:sz w:val="20"/>
              </w:rPr>
            </w:pPr>
          </w:p>
        </w:tc>
        <w:tc>
          <w:tcPr>
            <w:tcW w:w="720" w:type="dxa"/>
            <w:shd w:val="clear" w:color="auto" w:fill="auto"/>
          </w:tcPr>
          <w:p w:rsidR="008828A9" w:rsidRPr="001844D1" w:rsidP="006744B5" w14:paraId="42679549" w14:textId="77777777">
            <w:pPr>
              <w:rPr>
                <w:sz w:val="20"/>
              </w:rPr>
            </w:pPr>
          </w:p>
        </w:tc>
        <w:tc>
          <w:tcPr>
            <w:tcW w:w="720" w:type="dxa"/>
            <w:shd w:val="clear" w:color="auto" w:fill="auto"/>
          </w:tcPr>
          <w:p w:rsidR="008828A9" w:rsidRPr="001844D1" w:rsidP="006744B5" w14:paraId="1AD6DC13" w14:textId="77777777">
            <w:pPr>
              <w:rPr>
                <w:sz w:val="20"/>
              </w:rPr>
            </w:pPr>
          </w:p>
        </w:tc>
        <w:tc>
          <w:tcPr>
            <w:tcW w:w="720" w:type="dxa"/>
            <w:shd w:val="clear" w:color="auto" w:fill="auto"/>
          </w:tcPr>
          <w:p w:rsidR="008828A9" w:rsidRPr="001844D1" w:rsidP="006744B5" w14:paraId="3FC5947A" w14:textId="77777777">
            <w:pPr>
              <w:rPr>
                <w:sz w:val="20"/>
              </w:rPr>
            </w:pPr>
          </w:p>
        </w:tc>
        <w:tc>
          <w:tcPr>
            <w:tcW w:w="720" w:type="dxa"/>
            <w:shd w:val="clear" w:color="auto" w:fill="auto"/>
          </w:tcPr>
          <w:p w:rsidR="008828A9" w:rsidRPr="001844D1" w:rsidP="006744B5" w14:paraId="19DDE26A" w14:textId="77777777">
            <w:pPr>
              <w:rPr>
                <w:sz w:val="20"/>
              </w:rPr>
            </w:pPr>
          </w:p>
        </w:tc>
        <w:tc>
          <w:tcPr>
            <w:tcW w:w="720" w:type="dxa"/>
            <w:shd w:val="clear" w:color="auto" w:fill="auto"/>
          </w:tcPr>
          <w:p w:rsidR="008828A9" w:rsidRPr="001844D1" w:rsidP="006744B5" w14:paraId="7043CB08" w14:textId="77777777">
            <w:pPr>
              <w:rPr>
                <w:sz w:val="20"/>
              </w:rPr>
            </w:pPr>
          </w:p>
        </w:tc>
        <w:tc>
          <w:tcPr>
            <w:tcW w:w="720" w:type="dxa"/>
            <w:shd w:val="clear" w:color="auto" w:fill="auto"/>
          </w:tcPr>
          <w:p w:rsidR="008828A9" w:rsidRPr="001844D1" w:rsidP="006744B5" w14:paraId="73D0D987" w14:textId="77777777">
            <w:pPr>
              <w:rPr>
                <w:sz w:val="20"/>
              </w:rPr>
            </w:pPr>
          </w:p>
        </w:tc>
      </w:tr>
      <w:tr w14:paraId="5EA59005" w14:textId="77777777" w:rsidTr="006744B5">
        <w:tblPrEx>
          <w:tblW w:w="0" w:type="auto"/>
          <w:tblLook w:val="04A0"/>
        </w:tblPrEx>
        <w:trPr>
          <w:trHeight w:val="315"/>
        </w:trPr>
        <w:tc>
          <w:tcPr>
            <w:tcW w:w="1317" w:type="dxa"/>
            <w:shd w:val="clear" w:color="auto" w:fill="auto"/>
            <w:hideMark/>
          </w:tcPr>
          <w:p w:rsidR="008828A9" w:rsidRPr="001844D1" w:rsidP="006744B5" w14:paraId="6C5084AA" w14:textId="77777777">
            <w:pPr>
              <w:rPr>
                <w:b/>
                <w:bCs/>
                <w:sz w:val="20"/>
              </w:rPr>
            </w:pPr>
            <w:r w:rsidRPr="001844D1">
              <w:rPr>
                <w:b/>
                <w:bCs/>
                <w:sz w:val="20"/>
              </w:rPr>
              <w:t>T</w:t>
            </w:r>
            <w:r w:rsidRPr="001844D1">
              <w:rPr>
                <w:b/>
                <w:sz w:val="20"/>
              </w:rPr>
              <w:t>otal</w:t>
            </w:r>
          </w:p>
        </w:tc>
        <w:tc>
          <w:tcPr>
            <w:tcW w:w="720" w:type="dxa"/>
            <w:shd w:val="clear" w:color="auto" w:fill="auto"/>
            <w:hideMark/>
          </w:tcPr>
          <w:p w:rsidR="008828A9" w:rsidRPr="001844D1" w:rsidP="006744B5" w14:paraId="67FE5D66" w14:textId="77777777">
            <w:pPr>
              <w:rPr>
                <w:b/>
                <w:sz w:val="20"/>
              </w:rPr>
            </w:pPr>
            <w:r w:rsidRPr="001844D1">
              <w:rPr>
                <w:b/>
                <w:sz w:val="20"/>
              </w:rPr>
              <w:t>8</w:t>
            </w:r>
          </w:p>
        </w:tc>
        <w:tc>
          <w:tcPr>
            <w:tcW w:w="720" w:type="dxa"/>
            <w:shd w:val="clear" w:color="auto" w:fill="auto"/>
            <w:hideMark/>
          </w:tcPr>
          <w:p w:rsidR="008828A9" w:rsidRPr="001844D1" w:rsidP="006744B5" w14:paraId="245204C6" w14:textId="77777777">
            <w:pPr>
              <w:rPr>
                <w:b/>
                <w:sz w:val="20"/>
              </w:rPr>
            </w:pPr>
            <w:r w:rsidRPr="001844D1">
              <w:rPr>
                <w:b/>
                <w:sz w:val="20"/>
              </w:rPr>
              <w:t>10</w:t>
            </w:r>
          </w:p>
        </w:tc>
        <w:tc>
          <w:tcPr>
            <w:tcW w:w="720" w:type="dxa"/>
            <w:shd w:val="clear" w:color="auto" w:fill="auto"/>
            <w:hideMark/>
          </w:tcPr>
          <w:p w:rsidR="008828A9" w:rsidRPr="001844D1" w:rsidP="006744B5" w14:paraId="798DD6ED" w14:textId="77777777">
            <w:pPr>
              <w:rPr>
                <w:b/>
                <w:sz w:val="20"/>
              </w:rPr>
            </w:pPr>
            <w:r w:rsidRPr="001844D1">
              <w:rPr>
                <w:b/>
                <w:sz w:val="20"/>
              </w:rPr>
              <w:t>7</w:t>
            </w:r>
          </w:p>
        </w:tc>
        <w:tc>
          <w:tcPr>
            <w:tcW w:w="720" w:type="dxa"/>
            <w:shd w:val="clear" w:color="auto" w:fill="auto"/>
            <w:hideMark/>
          </w:tcPr>
          <w:p w:rsidR="008828A9" w:rsidRPr="001844D1" w:rsidP="006744B5" w14:paraId="517B2860" w14:textId="77777777">
            <w:pPr>
              <w:rPr>
                <w:b/>
                <w:sz w:val="20"/>
              </w:rPr>
            </w:pPr>
            <w:r w:rsidRPr="001844D1">
              <w:rPr>
                <w:b/>
                <w:sz w:val="20"/>
              </w:rPr>
              <w:t>6</w:t>
            </w:r>
          </w:p>
        </w:tc>
        <w:tc>
          <w:tcPr>
            <w:tcW w:w="720" w:type="dxa"/>
            <w:shd w:val="clear" w:color="auto" w:fill="auto"/>
            <w:hideMark/>
          </w:tcPr>
          <w:p w:rsidR="008828A9" w:rsidRPr="001844D1" w:rsidP="006744B5" w14:paraId="7CC8C276" w14:textId="77777777">
            <w:pPr>
              <w:rPr>
                <w:b/>
                <w:sz w:val="20"/>
              </w:rPr>
            </w:pPr>
            <w:r w:rsidRPr="001844D1">
              <w:rPr>
                <w:b/>
                <w:sz w:val="20"/>
              </w:rPr>
              <w:t>4</w:t>
            </w:r>
          </w:p>
        </w:tc>
        <w:tc>
          <w:tcPr>
            <w:tcW w:w="720" w:type="dxa"/>
            <w:shd w:val="clear" w:color="auto" w:fill="auto"/>
            <w:hideMark/>
          </w:tcPr>
          <w:p w:rsidR="008828A9" w:rsidRPr="001844D1" w:rsidP="006744B5" w14:paraId="3CD93608" w14:textId="77777777">
            <w:pPr>
              <w:rPr>
                <w:b/>
                <w:sz w:val="20"/>
              </w:rPr>
            </w:pPr>
            <w:r w:rsidRPr="001844D1">
              <w:rPr>
                <w:b/>
                <w:sz w:val="20"/>
              </w:rPr>
              <w:t>7</w:t>
            </w:r>
          </w:p>
        </w:tc>
        <w:tc>
          <w:tcPr>
            <w:tcW w:w="720" w:type="dxa"/>
            <w:shd w:val="clear" w:color="auto" w:fill="auto"/>
            <w:hideMark/>
          </w:tcPr>
          <w:p w:rsidR="008828A9" w:rsidRPr="001844D1" w:rsidP="006744B5" w14:paraId="73FAB2D6" w14:textId="77777777">
            <w:pPr>
              <w:rPr>
                <w:b/>
                <w:sz w:val="20"/>
              </w:rPr>
            </w:pPr>
            <w:r w:rsidRPr="001844D1">
              <w:rPr>
                <w:b/>
                <w:sz w:val="20"/>
              </w:rPr>
              <w:t>6</w:t>
            </w:r>
          </w:p>
        </w:tc>
        <w:tc>
          <w:tcPr>
            <w:tcW w:w="720" w:type="dxa"/>
            <w:shd w:val="clear" w:color="auto" w:fill="auto"/>
            <w:hideMark/>
          </w:tcPr>
          <w:p w:rsidR="008828A9" w:rsidRPr="001844D1" w:rsidP="006744B5" w14:paraId="73ABA517" w14:textId="77777777">
            <w:pPr>
              <w:rPr>
                <w:b/>
                <w:sz w:val="20"/>
              </w:rPr>
            </w:pPr>
            <w:r w:rsidRPr="001844D1">
              <w:rPr>
                <w:b/>
                <w:sz w:val="20"/>
              </w:rPr>
              <w:t>9</w:t>
            </w:r>
          </w:p>
        </w:tc>
        <w:tc>
          <w:tcPr>
            <w:tcW w:w="720" w:type="dxa"/>
            <w:shd w:val="clear" w:color="auto" w:fill="auto"/>
            <w:hideMark/>
          </w:tcPr>
          <w:p w:rsidR="008828A9" w:rsidRPr="001844D1" w:rsidP="006744B5" w14:paraId="1AE94C2F" w14:textId="77777777">
            <w:pPr>
              <w:rPr>
                <w:b/>
                <w:sz w:val="20"/>
              </w:rPr>
            </w:pPr>
            <w:r w:rsidRPr="001844D1">
              <w:rPr>
                <w:b/>
                <w:sz w:val="20"/>
              </w:rPr>
              <w:t>6</w:t>
            </w:r>
          </w:p>
        </w:tc>
        <w:tc>
          <w:tcPr>
            <w:tcW w:w="720" w:type="dxa"/>
            <w:shd w:val="clear" w:color="auto" w:fill="auto"/>
            <w:hideMark/>
          </w:tcPr>
          <w:p w:rsidR="008828A9" w:rsidRPr="001844D1" w:rsidP="006744B5" w14:paraId="031C5F0D" w14:textId="77777777">
            <w:pPr>
              <w:rPr>
                <w:b/>
                <w:sz w:val="20"/>
              </w:rPr>
            </w:pPr>
            <w:r w:rsidRPr="001844D1">
              <w:rPr>
                <w:b/>
                <w:sz w:val="20"/>
              </w:rPr>
              <w:t> 6</w:t>
            </w:r>
          </w:p>
        </w:tc>
        <w:tc>
          <w:tcPr>
            <w:tcW w:w="720" w:type="dxa"/>
            <w:shd w:val="clear" w:color="auto" w:fill="auto"/>
            <w:hideMark/>
          </w:tcPr>
          <w:p w:rsidR="008828A9" w:rsidRPr="001844D1" w:rsidP="006744B5" w14:paraId="72771D22" w14:textId="77777777">
            <w:pPr>
              <w:rPr>
                <w:b/>
                <w:sz w:val="20"/>
              </w:rPr>
            </w:pPr>
            <w:r w:rsidRPr="001844D1">
              <w:rPr>
                <w:b/>
                <w:sz w:val="20"/>
              </w:rPr>
              <w:t>5 </w:t>
            </w:r>
          </w:p>
        </w:tc>
      </w:tr>
    </w:tbl>
    <w:p w:rsidR="008828A9" w:rsidRPr="001844D1" w:rsidP="008828A9" w14:paraId="10930B87" w14:textId="77777777">
      <w:pPr>
        <w:pStyle w:val="ParaNum"/>
        <w:numPr>
          <w:ilvl w:val="0"/>
          <w:numId w:val="0"/>
        </w:numPr>
        <w:ind w:left="720"/>
      </w:pPr>
    </w:p>
    <w:p w:rsidR="008828A9" w:rsidRPr="001844D1" w:rsidP="0035391C" w14:paraId="205A005D" w14:textId="77777777"/>
    <w:p w:rsidR="008828A9" w:rsidRPr="0035391C" w:rsidP="0035391C" w14:paraId="37CCA79C" w14:textId="77777777">
      <w:pPr>
        <w:suppressAutoHyphens/>
        <w:jc w:val="center"/>
        <w:rPr>
          <w:b/>
          <w:color w:val="000000"/>
        </w:rPr>
      </w:pPr>
      <w:bookmarkStart w:id="131" w:name="_Toc24030547"/>
      <w:bookmarkStart w:id="132" w:name="_Toc24031218"/>
      <w:bookmarkStart w:id="133" w:name="_Toc24031284"/>
      <w:bookmarkStart w:id="134" w:name="_Toc25744664"/>
      <w:bookmarkStart w:id="135" w:name="_Toc25758512"/>
      <w:bookmarkStart w:id="136" w:name="_Toc27054287"/>
    </w:p>
    <w:p w:rsidR="008828A9" w:rsidRPr="001844D1" w:rsidP="008828A9" w14:paraId="4146CB83" w14:textId="77777777">
      <w:pPr>
        <w:suppressAutoHyphens/>
        <w:jc w:val="center"/>
        <w:rPr>
          <w:b/>
          <w:color w:val="000000"/>
        </w:rPr>
      </w:pPr>
    </w:p>
    <w:p w:rsidR="00F825D3" w:rsidP="008828A9" w14:paraId="3E52F939" w14:textId="77777777">
      <w:pPr>
        <w:suppressAutoHyphens/>
        <w:jc w:val="center"/>
        <w:rPr>
          <w:b/>
          <w:color w:val="000000"/>
        </w:rPr>
        <w:sectPr w:rsidSect="007D7267">
          <w:footnotePr>
            <w:numRestart w:val="eachSect"/>
          </w:footnotePr>
          <w:endnotePr>
            <w:numFmt w:val="decimal"/>
          </w:endnotePr>
          <w:pgSz w:w="12240" w:h="15840"/>
          <w:pgMar w:top="1440" w:right="1440" w:bottom="720" w:left="1440" w:header="720" w:footer="720" w:gutter="0"/>
          <w:cols w:space="720"/>
          <w:noEndnote/>
          <w:titlePg/>
        </w:sectPr>
      </w:pPr>
    </w:p>
    <w:p w:rsidR="008828A9" w:rsidRPr="001844D1" w:rsidP="008828A9" w14:paraId="53FA3123" w14:textId="563EB282">
      <w:pPr>
        <w:suppressAutoHyphens/>
        <w:jc w:val="center"/>
        <w:rPr>
          <w:caps/>
          <w:color w:val="000000"/>
        </w:rPr>
      </w:pPr>
      <w:r w:rsidRPr="001844D1">
        <w:rPr>
          <w:b/>
          <w:color w:val="000000"/>
        </w:rPr>
        <w:t xml:space="preserve">APPENDIX </w:t>
      </w:r>
      <w:bookmarkEnd w:id="131"/>
      <w:bookmarkEnd w:id="132"/>
      <w:bookmarkEnd w:id="133"/>
      <w:bookmarkEnd w:id="134"/>
      <w:bookmarkEnd w:id="135"/>
      <w:bookmarkEnd w:id="136"/>
      <w:r w:rsidRPr="001844D1">
        <w:rPr>
          <w:b/>
          <w:color w:val="000000"/>
        </w:rPr>
        <w:t>B</w:t>
      </w:r>
    </w:p>
    <w:p w:rsidR="008828A9" w:rsidRPr="001844D1" w:rsidP="008828A9" w14:paraId="403BEFAB" w14:textId="77777777">
      <w:pPr>
        <w:suppressAutoHyphens/>
        <w:jc w:val="center"/>
        <w:rPr>
          <w:b/>
        </w:rPr>
      </w:pPr>
    </w:p>
    <w:p w:rsidR="008828A9" w:rsidRPr="001844D1" w:rsidP="008828A9" w14:paraId="566658CC" w14:textId="77777777">
      <w:pPr>
        <w:suppressAutoHyphens/>
        <w:ind w:left="5760"/>
        <w:rPr>
          <w:b/>
          <w:szCs w:val="22"/>
        </w:rPr>
      </w:pPr>
      <w:r w:rsidRPr="001844D1">
        <w:rPr>
          <w:b/>
          <w:szCs w:val="22"/>
        </w:rPr>
        <w:t>Approved by OMB</w:t>
      </w:r>
    </w:p>
    <w:p w:rsidR="008828A9" w:rsidRPr="001844D1" w:rsidP="008828A9" w14:paraId="2F69769B" w14:textId="77777777">
      <w:pPr>
        <w:suppressAutoHyphens/>
        <w:ind w:left="5760"/>
        <w:rPr>
          <w:b/>
          <w:szCs w:val="22"/>
        </w:rPr>
      </w:pPr>
      <w:r w:rsidRPr="001844D1">
        <w:rPr>
          <w:b/>
          <w:szCs w:val="22"/>
        </w:rPr>
        <w:t>3060-1122</w:t>
      </w:r>
    </w:p>
    <w:p w:rsidR="008828A9" w:rsidRPr="001844D1" w:rsidP="008828A9" w14:paraId="7BF7F2BE" w14:textId="77777777">
      <w:pPr>
        <w:suppressAutoHyphens/>
        <w:ind w:left="5760"/>
        <w:rPr>
          <w:b/>
          <w:szCs w:val="22"/>
        </w:rPr>
      </w:pPr>
      <w:r w:rsidRPr="001844D1">
        <w:rPr>
          <w:b/>
          <w:szCs w:val="22"/>
        </w:rPr>
        <w:t>Expires:  March 31, 2021</w:t>
      </w:r>
    </w:p>
    <w:p w:rsidR="008828A9" w:rsidRPr="001844D1" w:rsidP="008828A9" w14:paraId="72286C70" w14:textId="77777777">
      <w:pPr>
        <w:pStyle w:val="Header"/>
        <w:ind w:left="5760"/>
        <w:rPr>
          <w:b w:val="0"/>
          <w:szCs w:val="22"/>
        </w:rPr>
      </w:pPr>
      <w:r w:rsidRPr="001844D1">
        <w:rPr>
          <w:szCs w:val="22"/>
        </w:rPr>
        <w:t>Estimated time per response:  10-55 hours</w:t>
      </w:r>
    </w:p>
    <w:p w:rsidR="008828A9" w:rsidRPr="001844D1" w:rsidP="008828A9" w14:paraId="13D509FD" w14:textId="77777777">
      <w:pPr>
        <w:rPr>
          <w:szCs w:val="22"/>
        </w:rPr>
      </w:pPr>
    </w:p>
    <w:p w:rsidR="008828A9" w:rsidRPr="001844D1" w:rsidP="008828A9" w14:paraId="6EECE7C7" w14:textId="77777777">
      <w:pPr>
        <w:tabs>
          <w:tab w:val="left" w:pos="0"/>
          <w:tab w:val="left" w:pos="630"/>
        </w:tabs>
        <w:spacing w:after="120"/>
        <w:jc w:val="center"/>
        <w:rPr>
          <w:szCs w:val="22"/>
          <w:u w:val="single"/>
        </w:rPr>
      </w:pPr>
      <w:r w:rsidRPr="001844D1">
        <w:rPr>
          <w:szCs w:val="22"/>
          <w:u w:val="single"/>
        </w:rPr>
        <w:t xml:space="preserve">Annual Collection of Information </w:t>
      </w:r>
    </w:p>
    <w:p w:rsidR="008828A9" w:rsidRPr="001844D1" w:rsidP="008828A9" w14:paraId="1184B854" w14:textId="77777777">
      <w:pPr>
        <w:tabs>
          <w:tab w:val="left" w:pos="0"/>
          <w:tab w:val="left" w:pos="630"/>
        </w:tabs>
        <w:spacing w:after="240"/>
        <w:jc w:val="center"/>
        <w:rPr>
          <w:szCs w:val="22"/>
        </w:rPr>
      </w:pPr>
      <w:r w:rsidRPr="001844D1">
        <w:rPr>
          <w:szCs w:val="22"/>
          <w:u w:val="single"/>
        </w:rPr>
        <w:t>Related to the Collection and Use of 911 and E911 Fees by States and Other Jurisdictions</w:t>
      </w:r>
    </w:p>
    <w:p w:rsidR="008828A9" w:rsidRPr="001844D1" w:rsidP="008828A9" w14:paraId="2BA02BE2" w14:textId="77777777">
      <w:pPr>
        <w:tabs>
          <w:tab w:val="left" w:pos="0"/>
          <w:tab w:val="left" w:pos="630"/>
        </w:tabs>
        <w:spacing w:after="120"/>
        <w:rPr>
          <w:szCs w:val="22"/>
        </w:rPr>
      </w:pPr>
      <w:r w:rsidRPr="001844D1">
        <w:rPr>
          <w:szCs w:val="22"/>
        </w:rPr>
        <w:t>Pursuant to OMB authorization 3060-1122, the FCC’s Public Safety and Homeland Security Bureau seeks the following specific information in order to fulfill the Commission’s obligations under Section 6(f)(2) of the NET 911 Act:</w:t>
      </w:r>
    </w:p>
    <w:p w:rsidR="008828A9" w:rsidRPr="004203C2" w:rsidP="008828A9" w14:paraId="3AC04DE0" w14:textId="77777777">
      <w:pPr>
        <w:pStyle w:val="ListParagraph"/>
        <w:numPr>
          <w:ilvl w:val="0"/>
          <w:numId w:val="11"/>
        </w:numPr>
        <w:tabs>
          <w:tab w:val="left" w:pos="630"/>
        </w:tabs>
        <w:spacing w:after="120" w:line="240" w:lineRule="auto"/>
        <w:rPr>
          <w:rFonts w:ascii="Times New Roman" w:hAnsi="Times New Roman"/>
          <w:b/>
          <w:u w:val="single"/>
        </w:rPr>
      </w:pPr>
      <w:r w:rsidRPr="004203C2">
        <w:rPr>
          <w:rFonts w:ascii="Times New Roman" w:hAnsi="Times New Roman"/>
          <w:b/>
          <w:u w:val="single"/>
        </w:rPr>
        <w:t>Filing Information</w:t>
      </w:r>
    </w:p>
    <w:p w:rsidR="008828A9" w:rsidRPr="001844D1" w:rsidP="008828A9" w14:paraId="7E785CDE" w14:textId="77777777">
      <w:pPr>
        <w:widowControl/>
        <w:numPr>
          <w:ilvl w:val="0"/>
          <w:numId w:val="6"/>
        </w:numPr>
        <w:tabs>
          <w:tab w:val="left" w:pos="630"/>
        </w:tabs>
        <w:spacing w:after="120"/>
        <w:rPr>
          <w:b/>
          <w:iCs/>
          <w:color w:val="000000"/>
          <w:szCs w:val="22"/>
        </w:rPr>
      </w:pPr>
      <w:r w:rsidRPr="001844D1">
        <w:rPr>
          <w:b/>
          <w:iCs/>
          <w:color w:val="000000"/>
          <w:szCs w:val="22"/>
        </w:rPr>
        <w:t>Name of State or Jurisdiction</w:t>
      </w:r>
    </w:p>
    <w:tbl>
      <w:tblPr>
        <w:tblStyle w:val="TableGrid"/>
        <w:tblW w:w="0" w:type="auto"/>
        <w:tblInd w:w="360" w:type="dxa"/>
        <w:tblCellMar>
          <w:top w:w="72" w:type="dxa"/>
          <w:left w:w="115" w:type="dxa"/>
          <w:bottom w:w="72" w:type="dxa"/>
          <w:right w:w="115" w:type="dxa"/>
        </w:tblCellMar>
        <w:tblLook w:val="04A0"/>
      </w:tblPr>
      <w:tblGrid>
        <w:gridCol w:w="8990"/>
      </w:tblGrid>
      <w:tr w14:paraId="256C4DC6" w14:textId="77777777" w:rsidTr="006744B5">
        <w:tblPrEx>
          <w:tblW w:w="0" w:type="auto"/>
          <w:tblInd w:w="360" w:type="dxa"/>
          <w:tblCellMar>
            <w:top w:w="72" w:type="dxa"/>
            <w:left w:w="115" w:type="dxa"/>
            <w:bottom w:w="72" w:type="dxa"/>
            <w:right w:w="115" w:type="dxa"/>
          </w:tblCellMar>
          <w:tblLook w:val="04A0"/>
        </w:tblPrEx>
        <w:tc>
          <w:tcPr>
            <w:tcW w:w="9205" w:type="dxa"/>
            <w:shd w:val="clear" w:color="auto" w:fill="D9D9D9"/>
            <w:vAlign w:val="center"/>
          </w:tcPr>
          <w:p w:rsidR="008828A9" w:rsidRPr="004203C2" w:rsidP="006744B5" w14:paraId="6A8FB053" w14:textId="77777777">
            <w:pPr>
              <w:tabs>
                <w:tab w:val="left" w:pos="630"/>
              </w:tabs>
              <w:spacing w:after="120"/>
              <w:rPr>
                <w:rFonts w:ascii="Times New Roman" w:hAnsi="Times New Roman"/>
                <w:b/>
                <w:iCs/>
                <w:color w:val="000000"/>
              </w:rPr>
            </w:pPr>
            <w:r w:rsidRPr="001844D1">
              <w:rPr>
                <w:b/>
                <w:iCs/>
                <w:color w:val="000000"/>
              </w:rPr>
              <w:t>State or Jurisdiction</w:t>
            </w:r>
          </w:p>
        </w:tc>
      </w:tr>
      <w:tr w14:paraId="11BDCE71" w14:textId="77777777" w:rsidTr="006744B5">
        <w:tblPrEx>
          <w:tblW w:w="0" w:type="auto"/>
          <w:tblInd w:w="360" w:type="dxa"/>
          <w:tblCellMar>
            <w:top w:w="72" w:type="dxa"/>
            <w:left w:w="115" w:type="dxa"/>
            <w:bottom w:w="72" w:type="dxa"/>
            <w:right w:w="115" w:type="dxa"/>
          </w:tblCellMar>
          <w:tblLook w:val="04A0"/>
        </w:tblPrEx>
        <w:trPr>
          <w:trHeight w:val="134"/>
        </w:trPr>
        <w:tc>
          <w:tcPr>
            <w:tcW w:w="9205" w:type="dxa"/>
          </w:tcPr>
          <w:p w:rsidR="008828A9" w:rsidRPr="004203C2" w:rsidP="006744B5" w14:paraId="46F074CE" w14:textId="77777777">
            <w:pPr>
              <w:tabs>
                <w:tab w:val="left" w:pos="630"/>
              </w:tabs>
              <w:spacing w:after="120"/>
              <w:rPr>
                <w:rFonts w:ascii="Times New Roman" w:hAnsi="Times New Roman"/>
                <w:iCs/>
                <w:color w:val="000000"/>
              </w:rPr>
            </w:pPr>
            <w:r w:rsidRPr="004203C2">
              <w:rPr>
                <w:iCs/>
                <w:color w:val="000000"/>
              </w:rPr>
              <w:fldChar w:fldCharType="begin">
                <w:ffData>
                  <w:name w:val="Text1"/>
                  <w:enabled/>
                  <w:calcOnExit w:val="0"/>
                  <w:textInput/>
                </w:ffData>
              </w:fldChar>
            </w:r>
            <w:bookmarkStart w:id="137" w:name="Text1"/>
            <w:r w:rsidRPr="001844D1">
              <w:rPr>
                <w:iCs/>
                <w:color w:val="000000"/>
              </w:rPr>
              <w:instrText xml:space="preserve"> FORMTEXT </w:instrText>
            </w:r>
            <w:r w:rsidRPr="004203C2">
              <w:rPr>
                <w:iCs/>
                <w:color w:val="000000"/>
              </w:rPr>
              <w:fldChar w:fldCharType="separate"/>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4203C2">
              <w:rPr>
                <w:iCs/>
                <w:color w:val="000000"/>
              </w:rPr>
              <w:fldChar w:fldCharType="end"/>
            </w:r>
            <w:bookmarkEnd w:id="137"/>
          </w:p>
        </w:tc>
      </w:tr>
    </w:tbl>
    <w:p w:rsidR="008828A9" w:rsidRPr="001844D1" w:rsidP="008828A9" w14:paraId="39A58318" w14:textId="77777777">
      <w:pPr>
        <w:tabs>
          <w:tab w:val="left" w:pos="630"/>
        </w:tabs>
        <w:spacing w:after="120"/>
        <w:rPr>
          <w:iCs/>
          <w:color w:val="000000"/>
          <w:szCs w:val="22"/>
        </w:rPr>
      </w:pPr>
    </w:p>
    <w:p w:rsidR="008828A9" w:rsidRPr="001844D1" w:rsidP="008828A9" w14:paraId="1DA2F27B" w14:textId="77777777">
      <w:pPr>
        <w:widowControl/>
        <w:numPr>
          <w:ilvl w:val="0"/>
          <w:numId w:val="6"/>
        </w:numPr>
        <w:tabs>
          <w:tab w:val="left" w:pos="630"/>
        </w:tabs>
        <w:spacing w:after="120"/>
        <w:rPr>
          <w:b/>
          <w:iCs/>
          <w:color w:val="000000"/>
          <w:szCs w:val="22"/>
        </w:rPr>
      </w:pPr>
      <w:r w:rsidRPr="001844D1">
        <w:rPr>
          <w:b/>
          <w:iCs/>
          <w:color w:val="000000"/>
          <w:szCs w:val="22"/>
        </w:rPr>
        <w:t>Name, Title and Organization of Individual Filing Report</w:t>
      </w:r>
    </w:p>
    <w:tbl>
      <w:tblPr>
        <w:tblStyle w:val="TableGrid"/>
        <w:tblW w:w="0" w:type="auto"/>
        <w:tblInd w:w="360" w:type="dxa"/>
        <w:tblCellMar>
          <w:top w:w="72" w:type="dxa"/>
          <w:left w:w="115" w:type="dxa"/>
          <w:bottom w:w="72" w:type="dxa"/>
          <w:right w:w="115" w:type="dxa"/>
        </w:tblCellMar>
        <w:tblLook w:val="04A0"/>
      </w:tblPr>
      <w:tblGrid>
        <w:gridCol w:w="2970"/>
        <w:gridCol w:w="2733"/>
        <w:gridCol w:w="3287"/>
      </w:tblGrid>
      <w:tr w14:paraId="532487CB" w14:textId="77777777" w:rsidTr="006744B5">
        <w:tblPrEx>
          <w:tblW w:w="0" w:type="auto"/>
          <w:tblInd w:w="360" w:type="dxa"/>
          <w:tblCellMar>
            <w:top w:w="72" w:type="dxa"/>
            <w:left w:w="115" w:type="dxa"/>
            <w:bottom w:w="72" w:type="dxa"/>
            <w:right w:w="115" w:type="dxa"/>
          </w:tblCellMar>
          <w:tblLook w:val="04A0"/>
        </w:tblPrEx>
        <w:tc>
          <w:tcPr>
            <w:tcW w:w="3057" w:type="dxa"/>
            <w:shd w:val="clear" w:color="auto" w:fill="D9D9D9"/>
            <w:vAlign w:val="center"/>
          </w:tcPr>
          <w:p w:rsidR="008828A9" w:rsidRPr="004203C2" w:rsidP="006744B5" w14:paraId="0F3D2C75" w14:textId="77777777">
            <w:pPr>
              <w:tabs>
                <w:tab w:val="left" w:pos="630"/>
              </w:tabs>
              <w:spacing w:after="120"/>
              <w:jc w:val="center"/>
              <w:rPr>
                <w:rFonts w:ascii="Times New Roman" w:hAnsi="Times New Roman"/>
                <w:b/>
                <w:iCs/>
                <w:color w:val="000000"/>
              </w:rPr>
            </w:pPr>
            <w:r w:rsidRPr="001844D1">
              <w:rPr>
                <w:b/>
                <w:iCs/>
                <w:color w:val="000000"/>
              </w:rPr>
              <w:t>Name</w:t>
            </w:r>
          </w:p>
        </w:tc>
        <w:tc>
          <w:tcPr>
            <w:tcW w:w="2811" w:type="dxa"/>
            <w:shd w:val="clear" w:color="auto" w:fill="D9D9D9"/>
          </w:tcPr>
          <w:p w:rsidR="008828A9" w:rsidRPr="004203C2" w:rsidP="006744B5" w14:paraId="38DF3AD4" w14:textId="77777777">
            <w:pPr>
              <w:tabs>
                <w:tab w:val="left" w:pos="630"/>
              </w:tabs>
              <w:spacing w:after="120"/>
              <w:jc w:val="center"/>
              <w:rPr>
                <w:rFonts w:ascii="Times New Roman" w:hAnsi="Times New Roman"/>
                <w:b/>
                <w:iCs/>
                <w:color w:val="000000"/>
              </w:rPr>
            </w:pPr>
            <w:r w:rsidRPr="001844D1">
              <w:rPr>
                <w:b/>
                <w:iCs/>
                <w:color w:val="000000"/>
              </w:rPr>
              <w:t>Title</w:t>
            </w:r>
          </w:p>
        </w:tc>
        <w:tc>
          <w:tcPr>
            <w:tcW w:w="3362" w:type="dxa"/>
            <w:shd w:val="clear" w:color="auto" w:fill="D9D9D9"/>
          </w:tcPr>
          <w:p w:rsidR="008828A9" w:rsidRPr="004203C2" w:rsidP="006744B5" w14:paraId="66E0A4F0" w14:textId="77777777">
            <w:pPr>
              <w:tabs>
                <w:tab w:val="left" w:pos="630"/>
              </w:tabs>
              <w:spacing w:after="120"/>
              <w:jc w:val="center"/>
              <w:rPr>
                <w:rFonts w:ascii="Times New Roman" w:hAnsi="Times New Roman"/>
                <w:b/>
                <w:iCs/>
                <w:color w:val="000000"/>
              </w:rPr>
            </w:pPr>
            <w:r w:rsidRPr="001844D1">
              <w:rPr>
                <w:b/>
                <w:iCs/>
                <w:color w:val="000000"/>
              </w:rPr>
              <w:t>Organization</w:t>
            </w:r>
          </w:p>
        </w:tc>
      </w:tr>
      <w:tr w14:paraId="7596F5A0" w14:textId="77777777" w:rsidTr="006744B5">
        <w:tblPrEx>
          <w:tblW w:w="0" w:type="auto"/>
          <w:tblInd w:w="360" w:type="dxa"/>
          <w:tblCellMar>
            <w:top w:w="72" w:type="dxa"/>
            <w:left w:w="115" w:type="dxa"/>
            <w:bottom w:w="72" w:type="dxa"/>
            <w:right w:w="115" w:type="dxa"/>
          </w:tblCellMar>
          <w:tblLook w:val="04A0"/>
        </w:tblPrEx>
        <w:tc>
          <w:tcPr>
            <w:tcW w:w="3057" w:type="dxa"/>
            <w:shd w:val="clear" w:color="auto" w:fill="auto"/>
          </w:tcPr>
          <w:p w:rsidR="008828A9" w:rsidRPr="004203C2" w:rsidP="006744B5" w14:paraId="3B7A5335" w14:textId="77777777">
            <w:pPr>
              <w:rPr>
                <w:rFonts w:ascii="Times New Roman" w:hAnsi="Times New Roman"/>
              </w:rPr>
            </w:pPr>
            <w:r w:rsidRPr="004203C2">
              <w:rPr>
                <w:iCs/>
                <w:color w:val="000000"/>
              </w:rPr>
              <w:fldChar w:fldCharType="begin">
                <w:ffData>
                  <w:name w:val="Text1"/>
                  <w:enabled/>
                  <w:calcOnExit w:val="0"/>
                  <w:textInput/>
                </w:ffData>
              </w:fldChar>
            </w:r>
            <w:r w:rsidRPr="001844D1">
              <w:rPr>
                <w:iCs/>
                <w:color w:val="000000"/>
              </w:rPr>
              <w:instrText xml:space="preserve"> FORMTEXT </w:instrText>
            </w:r>
            <w:r w:rsidRPr="004203C2">
              <w:rPr>
                <w:iCs/>
                <w:color w:val="000000"/>
              </w:rPr>
              <w:fldChar w:fldCharType="separate"/>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4203C2">
              <w:rPr>
                <w:iCs/>
                <w:color w:val="000000"/>
              </w:rPr>
              <w:fldChar w:fldCharType="end"/>
            </w:r>
          </w:p>
        </w:tc>
        <w:tc>
          <w:tcPr>
            <w:tcW w:w="2811" w:type="dxa"/>
            <w:shd w:val="clear" w:color="auto" w:fill="auto"/>
          </w:tcPr>
          <w:p w:rsidR="008828A9" w:rsidRPr="004203C2" w:rsidP="006744B5" w14:paraId="5ED6F7A3" w14:textId="77777777">
            <w:pPr>
              <w:rPr>
                <w:rFonts w:ascii="Times New Roman" w:hAnsi="Times New Roman"/>
              </w:rPr>
            </w:pPr>
            <w:r w:rsidRPr="004203C2">
              <w:rPr>
                <w:iCs/>
                <w:color w:val="000000"/>
              </w:rPr>
              <w:fldChar w:fldCharType="begin">
                <w:ffData>
                  <w:name w:val="Text1"/>
                  <w:enabled/>
                  <w:calcOnExit w:val="0"/>
                  <w:textInput/>
                </w:ffData>
              </w:fldChar>
            </w:r>
            <w:r w:rsidRPr="001844D1">
              <w:rPr>
                <w:iCs/>
                <w:color w:val="000000"/>
              </w:rPr>
              <w:instrText xml:space="preserve"> FORMTEXT </w:instrText>
            </w:r>
            <w:r w:rsidRPr="004203C2">
              <w:rPr>
                <w:iCs/>
                <w:color w:val="000000"/>
              </w:rPr>
              <w:fldChar w:fldCharType="separate"/>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4203C2">
              <w:rPr>
                <w:iCs/>
                <w:color w:val="000000"/>
              </w:rPr>
              <w:fldChar w:fldCharType="end"/>
            </w:r>
          </w:p>
        </w:tc>
        <w:tc>
          <w:tcPr>
            <w:tcW w:w="3362" w:type="dxa"/>
            <w:shd w:val="clear" w:color="auto" w:fill="auto"/>
          </w:tcPr>
          <w:p w:rsidR="008828A9" w:rsidRPr="004203C2" w:rsidP="006744B5" w14:paraId="77E70AD1" w14:textId="77777777">
            <w:pPr>
              <w:tabs>
                <w:tab w:val="left" w:pos="630"/>
              </w:tabs>
              <w:spacing w:after="120"/>
              <w:rPr>
                <w:rFonts w:ascii="Times New Roman" w:hAnsi="Times New Roman"/>
                <w:iCs/>
                <w:color w:val="000000"/>
              </w:rPr>
            </w:pPr>
            <w:r w:rsidRPr="004203C2">
              <w:rPr>
                <w:iCs/>
                <w:color w:val="000000"/>
              </w:rPr>
              <w:fldChar w:fldCharType="begin">
                <w:ffData>
                  <w:name w:val="Text1"/>
                  <w:enabled/>
                  <w:calcOnExit w:val="0"/>
                  <w:textInput/>
                </w:ffData>
              </w:fldChar>
            </w:r>
            <w:r w:rsidRPr="001844D1">
              <w:rPr>
                <w:iCs/>
                <w:color w:val="000000"/>
              </w:rPr>
              <w:instrText xml:space="preserve"> FORMTEXT </w:instrText>
            </w:r>
            <w:r w:rsidRPr="004203C2">
              <w:rPr>
                <w:iCs/>
                <w:color w:val="000000"/>
              </w:rPr>
              <w:fldChar w:fldCharType="separate"/>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4203C2">
              <w:rPr>
                <w:iCs/>
                <w:color w:val="000000"/>
              </w:rPr>
              <w:fldChar w:fldCharType="end"/>
            </w:r>
          </w:p>
        </w:tc>
      </w:tr>
    </w:tbl>
    <w:p w:rsidR="008828A9" w:rsidRPr="001844D1" w:rsidP="008828A9" w14:paraId="3B59E526" w14:textId="77777777">
      <w:pPr>
        <w:spacing w:after="200" w:line="276" w:lineRule="auto"/>
        <w:rPr>
          <w:iCs/>
          <w:color w:val="000000"/>
          <w:szCs w:val="22"/>
        </w:rPr>
      </w:pPr>
    </w:p>
    <w:tbl>
      <w:tblPr>
        <w:tblStyle w:val="TableGrid"/>
        <w:tblW w:w="0" w:type="auto"/>
        <w:tblInd w:w="360" w:type="dxa"/>
        <w:tblCellMar>
          <w:top w:w="72" w:type="dxa"/>
          <w:left w:w="115" w:type="dxa"/>
          <w:bottom w:w="72" w:type="dxa"/>
          <w:right w:w="115" w:type="dxa"/>
        </w:tblCellMar>
        <w:tblLook w:val="04A0"/>
      </w:tblPr>
      <w:tblGrid>
        <w:gridCol w:w="8990"/>
      </w:tblGrid>
      <w:tr w14:paraId="044C5611" w14:textId="77777777" w:rsidTr="006744B5">
        <w:tblPrEx>
          <w:tblW w:w="0" w:type="auto"/>
          <w:tblInd w:w="360" w:type="dxa"/>
          <w:tblCellMar>
            <w:top w:w="72" w:type="dxa"/>
            <w:left w:w="115" w:type="dxa"/>
            <w:bottom w:w="72" w:type="dxa"/>
            <w:right w:w="115" w:type="dxa"/>
          </w:tblCellMar>
          <w:tblLook w:val="04A0"/>
        </w:tblPrEx>
        <w:trPr>
          <w:trHeight w:val="302"/>
        </w:trPr>
        <w:tc>
          <w:tcPr>
            <w:tcW w:w="9264" w:type="dxa"/>
            <w:shd w:val="clear" w:color="auto" w:fill="D9D9D9"/>
            <w:vAlign w:val="center"/>
          </w:tcPr>
          <w:p w:rsidR="008828A9" w:rsidRPr="004203C2" w:rsidP="006744B5" w14:paraId="02B8BD8C" w14:textId="77777777">
            <w:pPr>
              <w:tabs>
                <w:tab w:val="left" w:pos="630"/>
              </w:tabs>
              <w:spacing w:after="120"/>
              <w:rPr>
                <w:rFonts w:ascii="Times New Roman" w:hAnsi="Times New Roman"/>
                <w:b/>
                <w:iCs/>
                <w:color w:val="000000"/>
              </w:rPr>
            </w:pPr>
            <w:r w:rsidRPr="001844D1">
              <w:rPr>
                <w:b/>
                <w:iCs/>
                <w:color w:val="000000"/>
              </w:rPr>
              <w:t>Addendum Section A</w:t>
            </w:r>
          </w:p>
        </w:tc>
      </w:tr>
      <w:tr w14:paraId="16BCAC41" w14:textId="77777777" w:rsidTr="006744B5">
        <w:tblPrEx>
          <w:tblW w:w="0" w:type="auto"/>
          <w:tblInd w:w="360" w:type="dxa"/>
          <w:tblCellMar>
            <w:top w:w="72" w:type="dxa"/>
            <w:left w:w="115" w:type="dxa"/>
            <w:bottom w:w="72" w:type="dxa"/>
            <w:right w:w="115" w:type="dxa"/>
          </w:tblCellMar>
          <w:tblLook w:val="04A0"/>
        </w:tblPrEx>
        <w:trPr>
          <w:trHeight w:val="3026"/>
        </w:trPr>
        <w:tc>
          <w:tcPr>
            <w:tcW w:w="9264" w:type="dxa"/>
          </w:tcPr>
          <w:p w:rsidR="008828A9" w:rsidRPr="004203C2" w:rsidP="006744B5" w14:paraId="7F8E721D" w14:textId="77777777">
            <w:pPr>
              <w:tabs>
                <w:tab w:val="left" w:pos="630"/>
              </w:tabs>
              <w:spacing w:after="120"/>
              <w:rPr>
                <w:rFonts w:ascii="Times New Roman" w:hAnsi="Times New Roman"/>
                <w:iCs/>
                <w:color w:val="000000"/>
              </w:rPr>
            </w:pPr>
            <w:r w:rsidRPr="004203C2">
              <w:rPr>
                <w:iCs/>
                <w:color w:val="000000"/>
              </w:rPr>
              <w:fldChar w:fldCharType="begin">
                <w:ffData>
                  <w:name w:val="Text1"/>
                  <w:enabled/>
                  <w:calcOnExit w:val="0"/>
                  <w:textInput/>
                </w:ffData>
              </w:fldChar>
            </w:r>
            <w:r w:rsidRPr="001844D1">
              <w:rPr>
                <w:iCs/>
                <w:color w:val="000000"/>
              </w:rPr>
              <w:instrText xml:space="preserve"> FORMTEXT </w:instrText>
            </w:r>
            <w:r w:rsidRPr="004203C2">
              <w:rPr>
                <w:iCs/>
                <w:color w:val="000000"/>
              </w:rPr>
              <w:fldChar w:fldCharType="separate"/>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1844D1">
              <w:rPr>
                <w:iCs/>
                <w:noProof/>
                <w:color w:val="000000"/>
              </w:rPr>
              <w:t> </w:t>
            </w:r>
            <w:r w:rsidRPr="004203C2">
              <w:rPr>
                <w:iCs/>
                <w:color w:val="000000"/>
              </w:rPr>
              <w:fldChar w:fldCharType="end"/>
            </w:r>
          </w:p>
        </w:tc>
      </w:tr>
    </w:tbl>
    <w:p w:rsidR="008828A9" w:rsidRPr="001844D1" w:rsidP="008828A9" w14:paraId="5F28E931" w14:textId="77777777">
      <w:pPr>
        <w:spacing w:after="200" w:line="276" w:lineRule="auto"/>
        <w:rPr>
          <w:iCs/>
          <w:color w:val="000000"/>
          <w:szCs w:val="22"/>
        </w:rPr>
      </w:pPr>
    </w:p>
    <w:p w:rsidR="008828A9" w:rsidRPr="004203C2" w:rsidP="0024364B" w14:paraId="3F86E3C1" w14:textId="77777777">
      <w:pPr>
        <w:pStyle w:val="ListParagraph"/>
        <w:numPr>
          <w:ilvl w:val="0"/>
          <w:numId w:val="11"/>
        </w:numPr>
        <w:tabs>
          <w:tab w:val="left" w:pos="630"/>
        </w:tabs>
        <w:spacing w:after="120" w:line="240" w:lineRule="auto"/>
        <w:rPr>
          <w:rFonts w:ascii="Times New Roman" w:hAnsi="Times New Roman"/>
          <w:b/>
          <w:iCs/>
          <w:color w:val="000000"/>
          <w:u w:val="single"/>
        </w:rPr>
      </w:pPr>
      <w:r w:rsidRPr="004203C2">
        <w:rPr>
          <w:rFonts w:ascii="Times New Roman" w:hAnsi="Times New Roman"/>
          <w:b/>
          <w:iCs/>
          <w:color w:val="000000"/>
          <w:u w:val="single"/>
        </w:rPr>
        <w:t>Overview of State or Jurisdiction 911 System</w:t>
      </w:r>
      <w:r w:rsidRPr="004203C2">
        <w:rPr>
          <w:rFonts w:ascii="Times New Roman" w:hAnsi="Times New Roman"/>
          <w:b/>
          <w:iCs/>
          <w:color w:val="000000"/>
          <w:u w:val="single"/>
        </w:rPr>
        <w:br/>
      </w:r>
    </w:p>
    <w:p w:rsidR="008828A9" w:rsidRPr="004203C2" w:rsidP="008828A9" w14:paraId="34DC2C9E" w14:textId="77777777">
      <w:pPr>
        <w:pStyle w:val="ListParagraph"/>
        <w:numPr>
          <w:ilvl w:val="0"/>
          <w:numId w:val="12"/>
        </w:numPr>
        <w:spacing w:after="120" w:line="240" w:lineRule="auto"/>
        <w:rPr>
          <w:rFonts w:ascii="Times New Roman" w:hAnsi="Times New Roman"/>
          <w:b/>
          <w:iCs/>
          <w:color w:val="000000"/>
        </w:rPr>
      </w:pPr>
      <w:r w:rsidRPr="004203C2">
        <w:rPr>
          <w:rFonts w:ascii="Times New Roman" w:hAnsi="Times New Roman"/>
          <w:b/>
          <w:iCs/>
          <w:color w:val="000000"/>
        </w:rPr>
        <w:t>Please provide the total number of active Public Safety Answering Points (PSAPs) in your state or jurisdiction that receive funding derived from the collection of 911/E911 fees during the annual period ending December 31, 2019:</w:t>
      </w:r>
    </w:p>
    <w:tbl>
      <w:tblPr>
        <w:tblStyle w:val="TableGrid"/>
        <w:tblW w:w="0" w:type="auto"/>
        <w:jc w:val="center"/>
        <w:tblCellMar>
          <w:top w:w="72" w:type="dxa"/>
          <w:left w:w="115" w:type="dxa"/>
          <w:bottom w:w="72" w:type="dxa"/>
          <w:right w:w="115" w:type="dxa"/>
        </w:tblCellMar>
        <w:tblLook w:val="04A0"/>
      </w:tblPr>
      <w:tblGrid>
        <w:gridCol w:w="2132"/>
        <w:gridCol w:w="2340"/>
      </w:tblGrid>
      <w:tr w14:paraId="4C38C03D" w14:textId="77777777" w:rsidTr="006744B5">
        <w:tblPrEx>
          <w:tblW w:w="0" w:type="auto"/>
          <w:jc w:val="center"/>
          <w:tblCellMar>
            <w:top w:w="72" w:type="dxa"/>
            <w:left w:w="115" w:type="dxa"/>
            <w:bottom w:w="72" w:type="dxa"/>
            <w:right w:w="115" w:type="dxa"/>
          </w:tblCellMar>
          <w:tblLook w:val="04A0"/>
        </w:tblPrEx>
        <w:trPr>
          <w:jc w:val="center"/>
        </w:trPr>
        <w:tc>
          <w:tcPr>
            <w:tcW w:w="2132" w:type="dxa"/>
            <w:shd w:val="clear" w:color="auto" w:fill="D9D9D9"/>
            <w:vAlign w:val="center"/>
          </w:tcPr>
          <w:p w:rsidR="008828A9" w:rsidRPr="004203C2" w:rsidP="006744B5" w14:paraId="7DA88A81" w14:textId="797A94A9">
            <w:pPr>
              <w:tabs>
                <w:tab w:val="left" w:pos="630"/>
              </w:tabs>
              <w:spacing w:after="120"/>
              <w:jc w:val="center"/>
              <w:rPr>
                <w:rFonts w:ascii="Times New Roman" w:hAnsi="Times New Roman"/>
                <w:b/>
                <w:iCs/>
                <w:color w:val="000000"/>
              </w:rPr>
            </w:pPr>
            <w:r w:rsidRPr="001844D1">
              <w:rPr>
                <w:b/>
                <w:iCs/>
                <w:color w:val="000000"/>
              </w:rPr>
              <w:t>PSAP Type</w:t>
            </w:r>
            <w:r>
              <w:rPr>
                <w:rStyle w:val="FootnoteReference"/>
                <w:b/>
                <w:iCs/>
              </w:rPr>
              <w:footnoteReference w:id="95"/>
            </w:r>
          </w:p>
        </w:tc>
        <w:tc>
          <w:tcPr>
            <w:tcW w:w="2340" w:type="dxa"/>
            <w:shd w:val="clear" w:color="auto" w:fill="D9D9D9"/>
            <w:vAlign w:val="center"/>
          </w:tcPr>
          <w:p w:rsidR="008828A9" w:rsidRPr="004203C2" w:rsidP="006744B5" w14:paraId="45D6604A" w14:textId="77777777">
            <w:pPr>
              <w:tabs>
                <w:tab w:val="left" w:pos="630"/>
              </w:tabs>
              <w:spacing w:after="120"/>
              <w:jc w:val="center"/>
              <w:rPr>
                <w:rFonts w:ascii="Times New Roman" w:hAnsi="Times New Roman"/>
                <w:b/>
                <w:iCs/>
                <w:color w:val="000000"/>
              </w:rPr>
            </w:pPr>
            <w:r w:rsidRPr="001844D1">
              <w:rPr>
                <w:b/>
                <w:iCs/>
                <w:color w:val="000000"/>
              </w:rPr>
              <w:t>Total</w:t>
            </w:r>
          </w:p>
        </w:tc>
      </w:tr>
      <w:tr w14:paraId="153FEA9C" w14:textId="77777777" w:rsidTr="006744B5">
        <w:tblPrEx>
          <w:tblW w:w="0" w:type="auto"/>
          <w:jc w:val="center"/>
          <w:tblCellMar>
            <w:top w:w="72" w:type="dxa"/>
            <w:left w:w="115" w:type="dxa"/>
            <w:bottom w:w="72" w:type="dxa"/>
            <w:right w:w="115" w:type="dxa"/>
          </w:tblCellMar>
          <w:tblLook w:val="04A0"/>
        </w:tblPrEx>
        <w:trPr>
          <w:jc w:val="center"/>
        </w:trPr>
        <w:tc>
          <w:tcPr>
            <w:tcW w:w="2132" w:type="dxa"/>
            <w:vAlign w:val="center"/>
          </w:tcPr>
          <w:p w:rsidR="008828A9" w:rsidRPr="004203C2" w:rsidP="006744B5" w14:paraId="3833B755" w14:textId="77777777">
            <w:pPr>
              <w:tabs>
                <w:tab w:val="left" w:pos="630"/>
              </w:tabs>
              <w:spacing w:after="120"/>
              <w:jc w:val="center"/>
              <w:rPr>
                <w:rFonts w:ascii="Times New Roman" w:hAnsi="Times New Roman"/>
                <w:iCs/>
                <w:color w:val="000000"/>
              </w:rPr>
            </w:pPr>
            <w:r w:rsidRPr="001844D1">
              <w:rPr>
                <w:iCs/>
                <w:color w:val="000000"/>
              </w:rPr>
              <w:t>Primary</w:t>
            </w:r>
          </w:p>
        </w:tc>
        <w:tc>
          <w:tcPr>
            <w:tcW w:w="2340" w:type="dxa"/>
          </w:tcPr>
          <w:p w:rsidR="008828A9" w:rsidRPr="004203C2" w:rsidP="006744B5" w14:paraId="330D032F"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5D3D9854" w14:textId="77777777" w:rsidTr="006744B5">
        <w:tblPrEx>
          <w:tblW w:w="0" w:type="auto"/>
          <w:jc w:val="center"/>
          <w:tblCellMar>
            <w:top w:w="72" w:type="dxa"/>
            <w:left w:w="115" w:type="dxa"/>
            <w:bottom w:w="72" w:type="dxa"/>
            <w:right w:w="115" w:type="dxa"/>
          </w:tblCellMar>
          <w:tblLook w:val="04A0"/>
        </w:tblPrEx>
        <w:trPr>
          <w:jc w:val="center"/>
        </w:trPr>
        <w:tc>
          <w:tcPr>
            <w:tcW w:w="2132" w:type="dxa"/>
            <w:vAlign w:val="center"/>
          </w:tcPr>
          <w:p w:rsidR="008828A9" w:rsidRPr="004203C2" w:rsidP="006744B5" w14:paraId="50180F8E" w14:textId="77777777">
            <w:pPr>
              <w:tabs>
                <w:tab w:val="left" w:pos="630"/>
              </w:tabs>
              <w:spacing w:after="120"/>
              <w:jc w:val="center"/>
              <w:rPr>
                <w:rFonts w:ascii="Times New Roman" w:hAnsi="Times New Roman"/>
                <w:iCs/>
                <w:color w:val="000000"/>
              </w:rPr>
            </w:pPr>
            <w:r w:rsidRPr="001844D1">
              <w:rPr>
                <w:iCs/>
                <w:color w:val="000000"/>
              </w:rPr>
              <w:t>Secondary</w:t>
            </w:r>
          </w:p>
        </w:tc>
        <w:tc>
          <w:tcPr>
            <w:tcW w:w="2340" w:type="dxa"/>
          </w:tcPr>
          <w:p w:rsidR="008828A9" w:rsidRPr="004203C2" w:rsidP="006744B5" w14:paraId="46198CDB"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04995E6C" w14:textId="77777777" w:rsidTr="006744B5">
        <w:tblPrEx>
          <w:tblW w:w="0" w:type="auto"/>
          <w:jc w:val="center"/>
          <w:tblCellMar>
            <w:top w:w="72" w:type="dxa"/>
            <w:left w:w="115" w:type="dxa"/>
            <w:bottom w:w="72" w:type="dxa"/>
            <w:right w:w="115" w:type="dxa"/>
          </w:tblCellMar>
          <w:tblLook w:val="04A0"/>
        </w:tblPrEx>
        <w:trPr>
          <w:jc w:val="center"/>
        </w:trPr>
        <w:tc>
          <w:tcPr>
            <w:tcW w:w="2132" w:type="dxa"/>
            <w:shd w:val="clear" w:color="auto" w:fill="auto"/>
          </w:tcPr>
          <w:p w:rsidR="008828A9" w:rsidRPr="004203C2" w:rsidP="006744B5" w14:paraId="1F09C880" w14:textId="77777777">
            <w:pPr>
              <w:tabs>
                <w:tab w:val="left" w:pos="630"/>
              </w:tabs>
              <w:spacing w:after="120"/>
              <w:jc w:val="right"/>
              <w:rPr>
                <w:rFonts w:ascii="Times New Roman" w:hAnsi="Times New Roman"/>
                <w:b/>
                <w:iCs/>
                <w:color w:val="000000"/>
              </w:rPr>
            </w:pPr>
            <w:r w:rsidRPr="001844D1">
              <w:rPr>
                <w:b/>
                <w:iCs/>
                <w:color w:val="000000"/>
              </w:rPr>
              <w:t>Total</w:t>
            </w:r>
          </w:p>
        </w:tc>
        <w:tc>
          <w:tcPr>
            <w:tcW w:w="2340" w:type="dxa"/>
            <w:shd w:val="clear" w:color="auto" w:fill="auto"/>
          </w:tcPr>
          <w:p w:rsidR="008828A9" w:rsidRPr="004203C2" w:rsidP="006744B5" w14:paraId="555DA540"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0AC8045E" w14:textId="77777777">
      <w:pPr>
        <w:tabs>
          <w:tab w:val="left" w:pos="630"/>
        </w:tabs>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0D27C41E"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365C474A" w14:textId="77777777">
            <w:pPr>
              <w:tabs>
                <w:tab w:val="left" w:pos="630"/>
              </w:tabs>
              <w:spacing w:after="120"/>
              <w:rPr>
                <w:rFonts w:ascii="Times New Roman" w:hAnsi="Times New Roman"/>
                <w:b/>
                <w:iCs/>
                <w:color w:val="000000"/>
              </w:rPr>
            </w:pPr>
            <w:r w:rsidRPr="001844D1">
              <w:rPr>
                <w:b/>
                <w:iCs/>
                <w:color w:val="000000"/>
              </w:rPr>
              <w:t>Addendum Section B1</w:t>
            </w:r>
          </w:p>
        </w:tc>
      </w:tr>
      <w:tr w14:paraId="6A73D9E1" w14:textId="77777777" w:rsidTr="006744B5">
        <w:tblPrEx>
          <w:tblW w:w="0" w:type="auto"/>
          <w:jc w:val="center"/>
          <w:tblCellMar>
            <w:top w:w="72" w:type="dxa"/>
            <w:left w:w="115" w:type="dxa"/>
            <w:bottom w:w="72" w:type="dxa"/>
            <w:right w:w="115" w:type="dxa"/>
          </w:tblCellMar>
          <w:tblLook w:val="04A0"/>
        </w:tblPrEx>
        <w:trPr>
          <w:trHeight w:val="989"/>
          <w:jc w:val="center"/>
        </w:trPr>
        <w:tc>
          <w:tcPr>
            <w:tcW w:w="9205" w:type="dxa"/>
          </w:tcPr>
          <w:p w:rsidR="008828A9" w:rsidRPr="004203C2" w:rsidP="006744B5" w14:paraId="499B6B65"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97A84EC" w14:textId="77777777">
      <w:pPr>
        <w:tabs>
          <w:tab w:val="left" w:pos="630"/>
        </w:tabs>
        <w:spacing w:after="120"/>
        <w:rPr>
          <w:iCs/>
          <w:color w:val="000000"/>
          <w:szCs w:val="22"/>
        </w:rPr>
      </w:pPr>
    </w:p>
    <w:p w:rsidR="008828A9" w:rsidRPr="004203C2" w:rsidP="008828A9" w14:paraId="6C4A390F" w14:textId="77777777">
      <w:pPr>
        <w:pStyle w:val="ListParagraph"/>
        <w:numPr>
          <w:ilvl w:val="0"/>
          <w:numId w:val="12"/>
        </w:numPr>
        <w:tabs>
          <w:tab w:val="left" w:pos="630"/>
        </w:tabs>
        <w:spacing w:after="120" w:line="240" w:lineRule="auto"/>
        <w:rPr>
          <w:rFonts w:ascii="Times New Roman" w:hAnsi="Times New Roman"/>
          <w:b/>
          <w:iCs/>
          <w:color w:val="000000"/>
        </w:rPr>
      </w:pPr>
      <w:r w:rsidRPr="004203C2">
        <w:rPr>
          <w:rFonts w:ascii="Times New Roman" w:hAnsi="Times New Roman"/>
          <w:b/>
          <w:iCs/>
          <w:color w:val="000000"/>
        </w:rPr>
        <w:t>Please provide the total number of active telecommunicators</w:t>
      </w:r>
      <w:r>
        <w:rPr>
          <w:rStyle w:val="FootnoteReference"/>
          <w:b/>
          <w:iCs/>
          <w:color w:val="000000"/>
        </w:rPr>
        <w:footnoteReference w:id="96"/>
      </w:r>
      <w:r w:rsidRPr="004203C2">
        <w:rPr>
          <w:rFonts w:ascii="Times New Roman" w:hAnsi="Times New Roman"/>
          <w:b/>
          <w:iCs/>
          <w:color w:val="000000"/>
        </w:rPr>
        <w:t xml:space="preserve"> in your state or jurisdiction that were funded through the collection of 911 and E911 fees during the annual period ending December 31, 2019:</w:t>
      </w:r>
    </w:p>
    <w:tbl>
      <w:tblPr>
        <w:tblStyle w:val="TableGrid"/>
        <w:tblW w:w="0" w:type="auto"/>
        <w:jc w:val="center"/>
        <w:tblCellMar>
          <w:top w:w="72" w:type="dxa"/>
          <w:left w:w="115" w:type="dxa"/>
          <w:bottom w:w="72" w:type="dxa"/>
          <w:right w:w="115" w:type="dxa"/>
        </w:tblCellMar>
        <w:tblLook w:val="04A0"/>
      </w:tblPr>
      <w:tblGrid>
        <w:gridCol w:w="2592"/>
        <w:gridCol w:w="3852"/>
      </w:tblGrid>
      <w:tr w14:paraId="73C59BCD" w14:textId="77777777" w:rsidTr="006744B5">
        <w:tblPrEx>
          <w:tblW w:w="0" w:type="auto"/>
          <w:jc w:val="center"/>
          <w:tblCellMar>
            <w:top w:w="72" w:type="dxa"/>
            <w:left w:w="115" w:type="dxa"/>
            <w:bottom w:w="72" w:type="dxa"/>
            <w:right w:w="115" w:type="dxa"/>
          </w:tblCellMar>
          <w:tblLook w:val="04A0"/>
        </w:tblPrEx>
        <w:trPr>
          <w:jc w:val="center"/>
        </w:trPr>
        <w:tc>
          <w:tcPr>
            <w:tcW w:w="2592" w:type="dxa"/>
            <w:shd w:val="clear" w:color="auto" w:fill="D9D9D9"/>
            <w:vAlign w:val="center"/>
          </w:tcPr>
          <w:p w:rsidR="008828A9" w:rsidRPr="004203C2" w:rsidP="006744B5" w14:paraId="767BE0DE" w14:textId="77777777">
            <w:pPr>
              <w:tabs>
                <w:tab w:val="left" w:pos="630"/>
              </w:tabs>
              <w:spacing w:after="120"/>
              <w:jc w:val="center"/>
              <w:rPr>
                <w:rFonts w:ascii="Times New Roman" w:hAnsi="Times New Roman"/>
                <w:b/>
                <w:iCs/>
                <w:color w:val="000000"/>
              </w:rPr>
            </w:pPr>
            <w:r w:rsidRPr="001844D1">
              <w:rPr>
                <w:b/>
                <w:iCs/>
                <w:color w:val="000000"/>
              </w:rPr>
              <w:t>Number of Active Telecommunicators</w:t>
            </w:r>
          </w:p>
        </w:tc>
        <w:tc>
          <w:tcPr>
            <w:tcW w:w="3852" w:type="dxa"/>
            <w:shd w:val="clear" w:color="auto" w:fill="D9D9D9"/>
            <w:vAlign w:val="center"/>
          </w:tcPr>
          <w:p w:rsidR="008828A9" w:rsidRPr="004203C2" w:rsidP="006744B5" w14:paraId="096E9E8F" w14:textId="77777777">
            <w:pPr>
              <w:tabs>
                <w:tab w:val="left" w:pos="630"/>
              </w:tabs>
              <w:spacing w:after="120"/>
              <w:jc w:val="center"/>
              <w:rPr>
                <w:rFonts w:ascii="Times New Roman" w:hAnsi="Times New Roman"/>
                <w:b/>
                <w:iCs/>
                <w:color w:val="000000"/>
              </w:rPr>
            </w:pPr>
            <w:r w:rsidRPr="001844D1">
              <w:rPr>
                <w:b/>
                <w:iCs/>
                <w:color w:val="000000"/>
              </w:rPr>
              <w:t>Total</w:t>
            </w:r>
          </w:p>
        </w:tc>
      </w:tr>
      <w:tr w14:paraId="26C7FFB3" w14:textId="77777777" w:rsidTr="006744B5">
        <w:tblPrEx>
          <w:tblW w:w="0" w:type="auto"/>
          <w:jc w:val="center"/>
          <w:tblCellMar>
            <w:top w:w="72" w:type="dxa"/>
            <w:left w:w="115" w:type="dxa"/>
            <w:bottom w:w="72" w:type="dxa"/>
            <w:right w:w="115" w:type="dxa"/>
          </w:tblCellMar>
          <w:tblLook w:val="04A0"/>
        </w:tblPrEx>
        <w:trPr>
          <w:jc w:val="center"/>
        </w:trPr>
        <w:tc>
          <w:tcPr>
            <w:tcW w:w="2592" w:type="dxa"/>
          </w:tcPr>
          <w:p w:rsidR="008828A9" w:rsidRPr="004203C2" w:rsidP="006744B5" w14:paraId="7EF70F17" w14:textId="77777777">
            <w:pPr>
              <w:tabs>
                <w:tab w:val="left" w:pos="630"/>
              </w:tabs>
              <w:spacing w:after="120"/>
              <w:jc w:val="center"/>
              <w:rPr>
                <w:rFonts w:ascii="Times New Roman" w:hAnsi="Times New Roman"/>
                <w:iCs/>
                <w:color w:val="000000"/>
              </w:rPr>
            </w:pPr>
            <w:r w:rsidRPr="001844D1">
              <w:rPr>
                <w:iCs/>
                <w:color w:val="000000"/>
              </w:rPr>
              <w:t>Full-Time</w:t>
            </w:r>
          </w:p>
        </w:tc>
        <w:tc>
          <w:tcPr>
            <w:tcW w:w="3852" w:type="dxa"/>
          </w:tcPr>
          <w:p w:rsidR="008828A9" w:rsidRPr="004203C2" w:rsidP="006744B5" w14:paraId="670ADCDD"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0660FAD9" w14:textId="77777777" w:rsidTr="006744B5">
        <w:tblPrEx>
          <w:tblW w:w="0" w:type="auto"/>
          <w:jc w:val="center"/>
          <w:tblCellMar>
            <w:top w:w="72" w:type="dxa"/>
            <w:left w:w="115" w:type="dxa"/>
            <w:bottom w:w="72" w:type="dxa"/>
            <w:right w:w="115" w:type="dxa"/>
          </w:tblCellMar>
          <w:tblLook w:val="04A0"/>
        </w:tblPrEx>
        <w:trPr>
          <w:jc w:val="center"/>
        </w:trPr>
        <w:tc>
          <w:tcPr>
            <w:tcW w:w="2592" w:type="dxa"/>
          </w:tcPr>
          <w:p w:rsidR="008828A9" w:rsidRPr="004203C2" w:rsidP="006744B5" w14:paraId="61A941B4" w14:textId="77777777">
            <w:pPr>
              <w:tabs>
                <w:tab w:val="left" w:pos="630"/>
              </w:tabs>
              <w:spacing w:after="120"/>
              <w:jc w:val="center"/>
              <w:rPr>
                <w:rFonts w:ascii="Times New Roman" w:hAnsi="Times New Roman"/>
                <w:iCs/>
                <w:color w:val="000000"/>
              </w:rPr>
            </w:pPr>
            <w:r w:rsidRPr="001844D1">
              <w:rPr>
                <w:iCs/>
                <w:color w:val="000000"/>
              </w:rPr>
              <w:t>Part-time</w:t>
            </w:r>
          </w:p>
        </w:tc>
        <w:tc>
          <w:tcPr>
            <w:tcW w:w="3852" w:type="dxa"/>
          </w:tcPr>
          <w:p w:rsidR="008828A9" w:rsidRPr="004203C2" w:rsidP="006744B5" w14:paraId="354A81C4"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5184049D" w14:textId="77777777">
      <w:pPr>
        <w:tabs>
          <w:tab w:val="left" w:pos="630"/>
        </w:tabs>
        <w:spacing w:after="120"/>
        <w:rPr>
          <w:iCs/>
          <w:color w:val="000000"/>
          <w:szCs w:val="22"/>
        </w:rPr>
      </w:pPr>
    </w:p>
    <w:p w:rsidR="008828A9" w:rsidRPr="001844D1" w:rsidP="008828A9" w14:paraId="50B1D433" w14:textId="77777777">
      <w:pPr>
        <w:tabs>
          <w:tab w:val="left" w:pos="630"/>
        </w:tabs>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4E4457BB"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51268836" w14:textId="77777777">
            <w:pPr>
              <w:tabs>
                <w:tab w:val="left" w:pos="630"/>
              </w:tabs>
              <w:spacing w:after="120"/>
              <w:rPr>
                <w:rFonts w:ascii="Times New Roman" w:hAnsi="Times New Roman"/>
                <w:b/>
                <w:iCs/>
                <w:color w:val="000000"/>
              </w:rPr>
            </w:pPr>
            <w:r w:rsidRPr="001844D1">
              <w:rPr>
                <w:b/>
                <w:iCs/>
                <w:color w:val="000000"/>
              </w:rPr>
              <w:t>Addendum Section B2</w:t>
            </w:r>
          </w:p>
        </w:tc>
      </w:tr>
      <w:tr w14:paraId="5E81A740" w14:textId="77777777" w:rsidTr="006744B5">
        <w:tblPrEx>
          <w:tblW w:w="0" w:type="auto"/>
          <w:jc w:val="center"/>
          <w:tblCellMar>
            <w:top w:w="72" w:type="dxa"/>
            <w:left w:w="115" w:type="dxa"/>
            <w:bottom w:w="72" w:type="dxa"/>
            <w:right w:w="115" w:type="dxa"/>
          </w:tblCellMar>
          <w:tblLook w:val="04A0"/>
        </w:tblPrEx>
        <w:trPr>
          <w:trHeight w:val="962"/>
          <w:jc w:val="center"/>
        </w:trPr>
        <w:tc>
          <w:tcPr>
            <w:tcW w:w="9205" w:type="dxa"/>
          </w:tcPr>
          <w:p w:rsidR="008828A9" w:rsidRPr="004203C2" w:rsidP="006744B5" w14:paraId="2EE69227"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2EFA2E39" w14:textId="77777777">
      <w:pPr>
        <w:tabs>
          <w:tab w:val="left" w:pos="630"/>
        </w:tabs>
        <w:spacing w:after="120"/>
        <w:rPr>
          <w:iCs/>
          <w:color w:val="000000"/>
          <w:szCs w:val="22"/>
        </w:rPr>
      </w:pPr>
    </w:p>
    <w:p w:rsidR="008828A9" w:rsidRPr="004203C2" w:rsidP="008828A9" w14:paraId="4ECC10BB" w14:textId="77777777">
      <w:pPr>
        <w:pStyle w:val="ListParagraph"/>
        <w:numPr>
          <w:ilvl w:val="0"/>
          <w:numId w:val="12"/>
        </w:numPr>
        <w:tabs>
          <w:tab w:val="left" w:pos="630"/>
        </w:tabs>
        <w:spacing w:after="120" w:line="240" w:lineRule="auto"/>
        <w:rPr>
          <w:rFonts w:ascii="Times New Roman" w:hAnsi="Times New Roman"/>
          <w:b/>
          <w:iCs/>
          <w:color w:val="000000"/>
        </w:rPr>
      </w:pPr>
      <w:r w:rsidRPr="004203C2">
        <w:rPr>
          <w:rFonts w:ascii="Times New Roman" w:hAnsi="Times New Roman"/>
          <w:b/>
          <w:iCs/>
          <w:color w:val="000000"/>
        </w:rPr>
        <w:t>For the annual period ending December 31, 2019, please provide an estimate of 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tblPr>
      <w:tblGrid>
        <w:gridCol w:w="1111"/>
        <w:gridCol w:w="3324"/>
      </w:tblGrid>
      <w:tr w14:paraId="66D619A8" w14:textId="77777777" w:rsidTr="006744B5">
        <w:tblPrEx>
          <w:tblW w:w="0" w:type="auto"/>
          <w:jc w:val="center"/>
          <w:tblCellMar>
            <w:top w:w="115" w:type="dxa"/>
            <w:left w:w="115" w:type="dxa"/>
            <w:bottom w:w="115" w:type="dxa"/>
            <w:right w:w="115" w:type="dxa"/>
          </w:tblCellMar>
          <w:tblLook w:val="04A0"/>
        </w:tblPrEx>
        <w:trPr>
          <w:trHeight w:val="25"/>
          <w:jc w:val="center"/>
        </w:trPr>
        <w:tc>
          <w:tcPr>
            <w:tcW w:w="1111" w:type="dxa"/>
            <w:shd w:val="clear" w:color="auto" w:fill="D9D9D9"/>
            <w:vAlign w:val="center"/>
          </w:tcPr>
          <w:p w:rsidR="008828A9" w:rsidRPr="004203C2" w:rsidP="006744B5" w14:paraId="05AAAF7A" w14:textId="77777777">
            <w:pPr>
              <w:spacing w:after="120"/>
              <w:jc w:val="center"/>
              <w:rPr>
                <w:rFonts w:ascii="Times New Roman" w:hAnsi="Times New Roman"/>
                <w:b/>
                <w:iCs/>
                <w:color w:val="000000"/>
              </w:rPr>
            </w:pPr>
            <w:r w:rsidRPr="001844D1">
              <w:rPr>
                <w:b/>
                <w:iCs/>
                <w:color w:val="000000"/>
              </w:rPr>
              <w:t>Amount</w:t>
            </w:r>
          </w:p>
          <w:p w:rsidR="008828A9" w:rsidRPr="004203C2" w:rsidP="006744B5" w14:paraId="001A9120" w14:textId="77777777">
            <w:pPr>
              <w:spacing w:after="120"/>
              <w:jc w:val="center"/>
              <w:rPr>
                <w:rFonts w:ascii="Times New Roman" w:hAnsi="Times New Roman"/>
                <w:b/>
                <w:iCs/>
                <w:color w:val="000000"/>
              </w:rPr>
            </w:pPr>
            <w:r w:rsidRPr="001844D1">
              <w:rPr>
                <w:b/>
                <w:iCs/>
                <w:color w:val="000000"/>
              </w:rPr>
              <w:t>($)</w:t>
            </w:r>
          </w:p>
        </w:tc>
        <w:tc>
          <w:tcPr>
            <w:tcW w:w="3324" w:type="dxa"/>
            <w:vAlign w:val="center"/>
          </w:tcPr>
          <w:p w:rsidR="008828A9" w:rsidRPr="004203C2" w:rsidP="006744B5" w14:paraId="163E15C6"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3EA32A3D" w14:textId="77777777">
      <w:pPr>
        <w:pStyle w:val="BodyText"/>
        <w:rPr>
          <w:rFonts w:ascii="Times New Roman" w:hAnsi="Times New Roman" w:cs="Times New Roman"/>
          <w:b/>
          <w:szCs w:val="22"/>
        </w:rPr>
      </w:pPr>
    </w:p>
    <w:p w:rsidR="008828A9" w:rsidRPr="001844D1" w:rsidP="008828A9" w14:paraId="14983AE8" w14:textId="77777777">
      <w:pPr>
        <w:pStyle w:val="BodyText"/>
        <w:ind w:left="720"/>
        <w:rPr>
          <w:rFonts w:ascii="Times New Roman" w:hAnsi="Times New Roman" w:cs="Times New Roman"/>
          <w:b/>
          <w:szCs w:val="22"/>
        </w:rPr>
      </w:pPr>
      <w:r w:rsidRPr="001844D1">
        <w:rPr>
          <w:rFonts w:ascii="Times New Roman" w:hAnsi="Times New Roman" w:cs="Times New Roman"/>
          <w:b/>
          <w:szCs w:val="22"/>
        </w:rPr>
        <w:t>3a.</w:t>
      </w:r>
      <w:r w:rsidRPr="001844D1">
        <w:rPr>
          <w:rFonts w:ascii="Times New Roman" w:hAnsi="Times New Roman" w:cs="Times New Roman"/>
          <w:b/>
        </w:rPr>
        <w:t xml:space="preserve"> </w:t>
      </w:r>
      <w:r w:rsidRPr="001844D1">
        <w:rPr>
          <w:rFonts w:ascii="Times New Roman" w:hAnsi="Times New Roman" w:cs="Times New Roman"/>
          <w:b/>
          <w:szCs w:val="22"/>
        </w:rPr>
        <w:t>If an amount cannot be provided, please explain why.</w:t>
      </w:r>
    </w:p>
    <w:tbl>
      <w:tblPr>
        <w:tblStyle w:val="TableGrid"/>
        <w:tblW w:w="0" w:type="auto"/>
        <w:tblInd w:w="85" w:type="dxa"/>
        <w:tblLook w:val="04A0"/>
      </w:tblPr>
      <w:tblGrid>
        <w:gridCol w:w="9265"/>
      </w:tblGrid>
      <w:tr w14:paraId="5DEAAC4F" w14:textId="77777777" w:rsidTr="006744B5">
        <w:tblPrEx>
          <w:tblW w:w="0" w:type="auto"/>
          <w:tblInd w:w="85" w:type="dxa"/>
          <w:tblLook w:val="04A0"/>
        </w:tblPrEx>
        <w:trPr>
          <w:trHeight w:val="962"/>
        </w:trPr>
        <w:tc>
          <w:tcPr>
            <w:tcW w:w="9630" w:type="dxa"/>
          </w:tcPr>
          <w:p w:rsidR="008828A9" w:rsidRPr="004203C2" w:rsidP="006744B5" w14:paraId="2F189A78" w14:textId="77777777">
            <w:pPr>
              <w:spacing w:after="200" w:line="276" w:lineRule="auto"/>
              <w:rPr>
                <w:rFonts w:ascii="Times New Roman" w:hAnsi="Times New Roman"/>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0EE12DD1"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02256F5F" w14:textId="77777777" w:rsidTr="006744B5">
        <w:tblPrEx>
          <w:tblW w:w="0" w:type="auto"/>
          <w:jc w:val="center"/>
          <w:tblCellMar>
            <w:top w:w="72" w:type="dxa"/>
            <w:left w:w="115" w:type="dxa"/>
            <w:bottom w:w="72" w:type="dxa"/>
            <w:right w:w="115" w:type="dxa"/>
          </w:tblCellMar>
          <w:tblLook w:val="04A0"/>
        </w:tblPrEx>
        <w:trPr>
          <w:jc w:val="center"/>
        </w:trPr>
        <w:tc>
          <w:tcPr>
            <w:tcW w:w="9570" w:type="dxa"/>
            <w:shd w:val="clear" w:color="auto" w:fill="D9D9D9"/>
            <w:vAlign w:val="center"/>
          </w:tcPr>
          <w:p w:rsidR="008828A9" w:rsidRPr="004203C2" w:rsidP="006744B5" w14:paraId="6FA7599B" w14:textId="77777777">
            <w:pPr>
              <w:tabs>
                <w:tab w:val="left" w:pos="630"/>
              </w:tabs>
              <w:spacing w:after="120"/>
              <w:rPr>
                <w:rFonts w:ascii="Times New Roman" w:hAnsi="Times New Roman"/>
                <w:b/>
                <w:iCs/>
                <w:color w:val="000000"/>
              </w:rPr>
            </w:pPr>
            <w:r w:rsidRPr="001844D1">
              <w:rPr>
                <w:b/>
                <w:iCs/>
                <w:color w:val="000000"/>
              </w:rPr>
              <w:t>Addendum Section B3</w:t>
            </w:r>
          </w:p>
        </w:tc>
      </w:tr>
      <w:tr w14:paraId="16093E62" w14:textId="77777777" w:rsidTr="006744B5">
        <w:tblPrEx>
          <w:tblW w:w="0" w:type="auto"/>
          <w:jc w:val="center"/>
          <w:tblCellMar>
            <w:top w:w="72" w:type="dxa"/>
            <w:left w:w="115" w:type="dxa"/>
            <w:bottom w:w="72" w:type="dxa"/>
            <w:right w:w="115" w:type="dxa"/>
          </w:tblCellMar>
          <w:tblLook w:val="04A0"/>
        </w:tblPrEx>
        <w:trPr>
          <w:trHeight w:val="962"/>
          <w:jc w:val="center"/>
        </w:trPr>
        <w:tc>
          <w:tcPr>
            <w:tcW w:w="9570" w:type="dxa"/>
          </w:tcPr>
          <w:p w:rsidR="008828A9" w:rsidRPr="004203C2" w:rsidP="006744B5" w14:paraId="712E3DE4"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BAAE507" w14:textId="77777777">
      <w:pPr>
        <w:spacing w:after="200" w:line="276" w:lineRule="auto"/>
        <w:rPr>
          <w:iCs/>
          <w:color w:val="000000"/>
          <w:szCs w:val="22"/>
        </w:rPr>
      </w:pPr>
    </w:p>
    <w:p w:rsidR="008828A9" w:rsidRPr="004203C2" w:rsidP="008828A9" w14:paraId="66213CEB" w14:textId="77777777">
      <w:pPr>
        <w:pStyle w:val="ListParagraph"/>
        <w:numPr>
          <w:ilvl w:val="0"/>
          <w:numId w:val="12"/>
        </w:numPr>
        <w:tabs>
          <w:tab w:val="left" w:pos="630"/>
        </w:tabs>
        <w:spacing w:after="120" w:line="240" w:lineRule="auto"/>
        <w:rPr>
          <w:rFonts w:ascii="Times New Roman" w:hAnsi="Times New Roman"/>
          <w:b/>
          <w:iCs/>
          <w:color w:val="000000"/>
        </w:rPr>
      </w:pPr>
      <w:r w:rsidRPr="004203C2">
        <w:rPr>
          <w:rFonts w:ascii="Times New Roman" w:hAnsi="Times New Roman"/>
          <w:b/>
          <w:iCs/>
          <w:color w:val="000000"/>
        </w:rPr>
        <w:t>Please provide the total number of 911 calls your state or jurisdiction received during the period January 1, 2019 to December 31, 2019.</w:t>
      </w:r>
    </w:p>
    <w:tbl>
      <w:tblPr>
        <w:tblStyle w:val="TableGrid"/>
        <w:tblW w:w="0" w:type="auto"/>
        <w:jc w:val="center"/>
        <w:tblCellMar>
          <w:top w:w="72" w:type="dxa"/>
          <w:left w:w="115" w:type="dxa"/>
          <w:bottom w:w="72" w:type="dxa"/>
          <w:right w:w="115" w:type="dxa"/>
        </w:tblCellMar>
        <w:tblLook w:val="04A0"/>
      </w:tblPr>
      <w:tblGrid>
        <w:gridCol w:w="3175"/>
        <w:gridCol w:w="3240"/>
      </w:tblGrid>
      <w:tr w14:paraId="0136361B" w14:textId="77777777" w:rsidTr="006744B5">
        <w:tblPrEx>
          <w:tblW w:w="0" w:type="auto"/>
          <w:jc w:val="center"/>
          <w:tblCellMar>
            <w:top w:w="72" w:type="dxa"/>
            <w:left w:w="115" w:type="dxa"/>
            <w:bottom w:w="72" w:type="dxa"/>
            <w:right w:w="115" w:type="dxa"/>
          </w:tblCellMar>
          <w:tblLook w:val="04A0"/>
        </w:tblPrEx>
        <w:trPr>
          <w:jc w:val="center"/>
        </w:trPr>
        <w:tc>
          <w:tcPr>
            <w:tcW w:w="3175" w:type="dxa"/>
            <w:shd w:val="clear" w:color="auto" w:fill="D9D9D9"/>
            <w:vAlign w:val="center"/>
          </w:tcPr>
          <w:p w:rsidR="008828A9" w:rsidRPr="001844D1" w:rsidP="006744B5" w14:paraId="242AFB7C" w14:textId="77777777">
            <w:pPr>
              <w:pStyle w:val="NoSpacing"/>
              <w:jc w:val="center"/>
              <w:rPr>
                <w:rFonts w:ascii="Times New Roman" w:hAnsi="Times New Roman"/>
                <w:b/>
              </w:rPr>
            </w:pPr>
            <w:r w:rsidRPr="001844D1">
              <w:rPr>
                <w:rFonts w:ascii="Times New Roman" w:hAnsi="Times New Roman"/>
                <w:b/>
              </w:rPr>
              <w:t>Type of Service</w:t>
            </w:r>
          </w:p>
        </w:tc>
        <w:tc>
          <w:tcPr>
            <w:tcW w:w="3240" w:type="dxa"/>
            <w:shd w:val="clear" w:color="auto" w:fill="D9D9D9"/>
            <w:vAlign w:val="center"/>
          </w:tcPr>
          <w:p w:rsidR="008828A9" w:rsidRPr="00AE31B6" w:rsidP="006744B5" w14:paraId="1FFE7E0B" w14:textId="77777777">
            <w:pPr>
              <w:pStyle w:val="NoSpacing"/>
              <w:jc w:val="center"/>
              <w:rPr>
                <w:rFonts w:ascii="Times New Roman" w:hAnsi="Times New Roman"/>
                <w:b/>
              </w:rPr>
            </w:pPr>
            <w:r w:rsidRPr="007D2116">
              <w:rPr>
                <w:rFonts w:ascii="Times New Roman" w:hAnsi="Times New Roman"/>
                <w:b/>
              </w:rPr>
              <w:t>Total 911 Calls</w:t>
            </w:r>
          </w:p>
        </w:tc>
      </w:tr>
      <w:tr w14:paraId="259409B4" w14:textId="77777777" w:rsidTr="006744B5">
        <w:tblPrEx>
          <w:tblW w:w="0" w:type="auto"/>
          <w:jc w:val="center"/>
          <w:tblCellMar>
            <w:top w:w="72" w:type="dxa"/>
            <w:left w:w="115" w:type="dxa"/>
            <w:bottom w:w="72" w:type="dxa"/>
            <w:right w:w="115" w:type="dxa"/>
          </w:tblCellMar>
          <w:tblLook w:val="04A0"/>
        </w:tblPrEx>
        <w:trPr>
          <w:jc w:val="center"/>
        </w:trPr>
        <w:tc>
          <w:tcPr>
            <w:tcW w:w="3175" w:type="dxa"/>
          </w:tcPr>
          <w:p w:rsidR="008828A9" w:rsidRPr="001844D1" w:rsidP="006744B5" w14:paraId="17C64F93" w14:textId="77777777">
            <w:pPr>
              <w:pStyle w:val="NoSpacing"/>
              <w:rPr>
                <w:rFonts w:ascii="Times New Roman" w:hAnsi="Times New Roman"/>
              </w:rPr>
            </w:pPr>
            <w:r w:rsidRPr="001844D1">
              <w:rPr>
                <w:rFonts w:ascii="Times New Roman" w:hAnsi="Times New Roman"/>
              </w:rPr>
              <w:t>Wireline</w:t>
            </w:r>
          </w:p>
        </w:tc>
        <w:tc>
          <w:tcPr>
            <w:tcW w:w="3240" w:type="dxa"/>
          </w:tcPr>
          <w:p w:rsidR="008828A9" w:rsidRPr="001844D1" w:rsidP="006744B5" w14:paraId="2DE782DC" w14:textId="77777777">
            <w:pPr>
              <w:pStyle w:val="NoSpacing"/>
              <w:rPr>
                <w:rFonts w:ascii="Times New Roman" w:hAnsi="Times New Roman"/>
              </w:rPr>
            </w:pPr>
            <w:r w:rsidRPr="008828A9">
              <w:rPr>
                <w:rFonts w:ascii="Times New Roman" w:hAnsi="Times New Roman"/>
                <w:sz w:val="24"/>
                <w:highlight w:val="lightGray"/>
              </w:rPr>
              <w:fldChar w:fldCharType="begin">
                <w:ffData>
                  <w:name w:val="B3A_Desc"/>
                  <w:enabled/>
                  <w:calcOnExit w:val="0"/>
                  <w:textInput/>
                </w:ffData>
              </w:fldChar>
            </w:r>
            <w:r w:rsidRPr="008828A9">
              <w:rPr>
                <w:rFonts w:ascii="Times New Roman" w:hAnsi="Times New Roman"/>
                <w:sz w:val="24"/>
                <w:highlight w:val="lightGray"/>
              </w:rPr>
              <w:instrText xml:space="preserve"> FORMTEXT </w:instrText>
            </w:r>
            <w:r w:rsidRPr="008828A9">
              <w:rPr>
                <w:rFonts w:ascii="Times New Roman" w:hAnsi="Times New Roman"/>
                <w:sz w:val="24"/>
                <w:highlight w:val="lightGray"/>
              </w:rPr>
              <w:fldChar w:fldCharType="separate"/>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fldChar w:fldCharType="end"/>
            </w:r>
          </w:p>
        </w:tc>
      </w:tr>
      <w:tr w14:paraId="764830CB" w14:textId="77777777" w:rsidTr="006744B5">
        <w:tblPrEx>
          <w:tblW w:w="0" w:type="auto"/>
          <w:jc w:val="center"/>
          <w:tblCellMar>
            <w:top w:w="72" w:type="dxa"/>
            <w:left w:w="115" w:type="dxa"/>
            <w:bottom w:w="72" w:type="dxa"/>
            <w:right w:w="115" w:type="dxa"/>
          </w:tblCellMar>
          <w:tblLook w:val="04A0"/>
        </w:tblPrEx>
        <w:trPr>
          <w:jc w:val="center"/>
        </w:trPr>
        <w:tc>
          <w:tcPr>
            <w:tcW w:w="3175" w:type="dxa"/>
          </w:tcPr>
          <w:p w:rsidR="008828A9" w:rsidRPr="001844D1" w:rsidP="006744B5" w14:paraId="3B44FD12" w14:textId="77777777">
            <w:pPr>
              <w:pStyle w:val="NoSpacing"/>
              <w:rPr>
                <w:rFonts w:ascii="Times New Roman" w:hAnsi="Times New Roman"/>
              </w:rPr>
            </w:pPr>
            <w:r w:rsidRPr="001844D1">
              <w:rPr>
                <w:rFonts w:ascii="Times New Roman" w:hAnsi="Times New Roman"/>
              </w:rPr>
              <w:t xml:space="preserve">Wireless </w:t>
            </w:r>
          </w:p>
        </w:tc>
        <w:tc>
          <w:tcPr>
            <w:tcW w:w="3240" w:type="dxa"/>
          </w:tcPr>
          <w:p w:rsidR="008828A9" w:rsidRPr="001844D1" w:rsidP="006744B5" w14:paraId="60AD5FFC" w14:textId="77777777">
            <w:pPr>
              <w:pStyle w:val="NoSpacing"/>
              <w:rPr>
                <w:rFonts w:ascii="Times New Roman" w:hAnsi="Times New Roman"/>
              </w:rPr>
            </w:pPr>
            <w:r w:rsidRPr="008828A9">
              <w:rPr>
                <w:rFonts w:ascii="Times New Roman" w:hAnsi="Times New Roman"/>
                <w:sz w:val="24"/>
                <w:highlight w:val="lightGray"/>
              </w:rPr>
              <w:fldChar w:fldCharType="begin">
                <w:ffData>
                  <w:name w:val="B3A_Desc"/>
                  <w:enabled/>
                  <w:calcOnExit w:val="0"/>
                  <w:textInput/>
                </w:ffData>
              </w:fldChar>
            </w:r>
            <w:r w:rsidRPr="008828A9">
              <w:rPr>
                <w:rFonts w:ascii="Times New Roman" w:hAnsi="Times New Roman"/>
                <w:sz w:val="24"/>
                <w:highlight w:val="lightGray"/>
              </w:rPr>
              <w:instrText xml:space="preserve"> FORMTEXT </w:instrText>
            </w:r>
            <w:r w:rsidRPr="008828A9">
              <w:rPr>
                <w:rFonts w:ascii="Times New Roman" w:hAnsi="Times New Roman"/>
                <w:sz w:val="24"/>
                <w:highlight w:val="lightGray"/>
              </w:rPr>
              <w:fldChar w:fldCharType="separate"/>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fldChar w:fldCharType="end"/>
            </w:r>
          </w:p>
        </w:tc>
      </w:tr>
      <w:tr w14:paraId="26C7B1D0" w14:textId="77777777" w:rsidTr="006744B5">
        <w:tblPrEx>
          <w:tblW w:w="0" w:type="auto"/>
          <w:jc w:val="center"/>
          <w:tblCellMar>
            <w:top w:w="72" w:type="dxa"/>
            <w:left w:w="115" w:type="dxa"/>
            <w:bottom w:w="72" w:type="dxa"/>
            <w:right w:w="115" w:type="dxa"/>
          </w:tblCellMar>
          <w:tblLook w:val="04A0"/>
        </w:tblPrEx>
        <w:trPr>
          <w:jc w:val="center"/>
        </w:trPr>
        <w:tc>
          <w:tcPr>
            <w:tcW w:w="3175" w:type="dxa"/>
          </w:tcPr>
          <w:p w:rsidR="008828A9" w:rsidRPr="001844D1" w:rsidP="006744B5" w14:paraId="4A84CB50" w14:textId="77777777">
            <w:pPr>
              <w:pStyle w:val="NoSpacing"/>
              <w:rPr>
                <w:rFonts w:ascii="Times New Roman" w:hAnsi="Times New Roman"/>
              </w:rPr>
            </w:pPr>
            <w:r w:rsidRPr="001844D1">
              <w:rPr>
                <w:rFonts w:ascii="Times New Roman" w:hAnsi="Times New Roman"/>
              </w:rPr>
              <w:t>VoIP</w:t>
            </w:r>
          </w:p>
        </w:tc>
        <w:tc>
          <w:tcPr>
            <w:tcW w:w="3240" w:type="dxa"/>
          </w:tcPr>
          <w:p w:rsidR="008828A9" w:rsidRPr="001844D1" w:rsidP="006744B5" w14:paraId="6378A7BC" w14:textId="77777777">
            <w:pPr>
              <w:pStyle w:val="NoSpacing"/>
              <w:rPr>
                <w:rFonts w:ascii="Times New Roman" w:hAnsi="Times New Roman"/>
              </w:rPr>
            </w:pPr>
            <w:r w:rsidRPr="008828A9">
              <w:rPr>
                <w:rFonts w:ascii="Times New Roman" w:hAnsi="Times New Roman"/>
                <w:sz w:val="24"/>
                <w:highlight w:val="lightGray"/>
              </w:rPr>
              <w:fldChar w:fldCharType="begin">
                <w:ffData>
                  <w:name w:val="B3A_Desc"/>
                  <w:enabled/>
                  <w:calcOnExit w:val="0"/>
                  <w:textInput/>
                </w:ffData>
              </w:fldChar>
            </w:r>
            <w:r w:rsidRPr="008828A9">
              <w:rPr>
                <w:rFonts w:ascii="Times New Roman" w:hAnsi="Times New Roman"/>
                <w:sz w:val="24"/>
                <w:highlight w:val="lightGray"/>
              </w:rPr>
              <w:instrText xml:space="preserve"> FORMTEXT </w:instrText>
            </w:r>
            <w:r w:rsidRPr="008828A9">
              <w:rPr>
                <w:rFonts w:ascii="Times New Roman" w:hAnsi="Times New Roman"/>
                <w:sz w:val="24"/>
                <w:highlight w:val="lightGray"/>
              </w:rPr>
              <w:fldChar w:fldCharType="separate"/>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fldChar w:fldCharType="end"/>
            </w:r>
          </w:p>
        </w:tc>
      </w:tr>
      <w:tr w14:paraId="5BFEDB1B" w14:textId="77777777" w:rsidTr="006744B5">
        <w:tblPrEx>
          <w:tblW w:w="0" w:type="auto"/>
          <w:jc w:val="center"/>
          <w:tblCellMar>
            <w:top w:w="72" w:type="dxa"/>
            <w:left w:w="115" w:type="dxa"/>
            <w:bottom w:w="72" w:type="dxa"/>
            <w:right w:w="115" w:type="dxa"/>
          </w:tblCellMar>
          <w:tblLook w:val="04A0"/>
        </w:tblPrEx>
        <w:trPr>
          <w:jc w:val="center"/>
        </w:trPr>
        <w:tc>
          <w:tcPr>
            <w:tcW w:w="3175" w:type="dxa"/>
          </w:tcPr>
          <w:p w:rsidR="008828A9" w:rsidRPr="001844D1" w:rsidP="006744B5" w14:paraId="55FD3C39" w14:textId="77777777">
            <w:pPr>
              <w:pStyle w:val="NoSpacing"/>
              <w:rPr>
                <w:rFonts w:ascii="Times New Roman" w:hAnsi="Times New Roman"/>
              </w:rPr>
            </w:pPr>
            <w:r w:rsidRPr="001844D1">
              <w:rPr>
                <w:rFonts w:ascii="Times New Roman" w:hAnsi="Times New Roman"/>
              </w:rPr>
              <w:t>Other</w:t>
            </w:r>
          </w:p>
        </w:tc>
        <w:tc>
          <w:tcPr>
            <w:tcW w:w="3240" w:type="dxa"/>
          </w:tcPr>
          <w:p w:rsidR="008828A9" w:rsidRPr="001844D1" w:rsidP="006744B5" w14:paraId="6EFC315E" w14:textId="77777777">
            <w:pPr>
              <w:pStyle w:val="NoSpacing"/>
              <w:rPr>
                <w:rFonts w:ascii="Times New Roman" w:hAnsi="Times New Roman"/>
              </w:rPr>
            </w:pPr>
            <w:r w:rsidRPr="008828A9">
              <w:rPr>
                <w:rFonts w:ascii="Times New Roman" w:hAnsi="Times New Roman"/>
                <w:sz w:val="24"/>
                <w:highlight w:val="lightGray"/>
              </w:rPr>
              <w:fldChar w:fldCharType="begin">
                <w:ffData>
                  <w:name w:val="B3A_Desc"/>
                  <w:enabled/>
                  <w:calcOnExit w:val="0"/>
                  <w:textInput/>
                </w:ffData>
              </w:fldChar>
            </w:r>
            <w:r w:rsidRPr="008828A9">
              <w:rPr>
                <w:rFonts w:ascii="Times New Roman" w:hAnsi="Times New Roman"/>
                <w:sz w:val="24"/>
                <w:highlight w:val="lightGray"/>
              </w:rPr>
              <w:instrText xml:space="preserve"> FORMTEXT </w:instrText>
            </w:r>
            <w:r w:rsidRPr="008828A9">
              <w:rPr>
                <w:rFonts w:ascii="Times New Roman" w:hAnsi="Times New Roman"/>
                <w:sz w:val="24"/>
                <w:highlight w:val="lightGray"/>
              </w:rPr>
              <w:fldChar w:fldCharType="separate"/>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fldChar w:fldCharType="end"/>
            </w:r>
          </w:p>
        </w:tc>
      </w:tr>
      <w:tr w14:paraId="626FEFF1" w14:textId="77777777" w:rsidTr="006744B5">
        <w:tblPrEx>
          <w:tblW w:w="0" w:type="auto"/>
          <w:jc w:val="center"/>
          <w:tblCellMar>
            <w:top w:w="72" w:type="dxa"/>
            <w:left w:w="115" w:type="dxa"/>
            <w:bottom w:w="72" w:type="dxa"/>
            <w:right w:w="115" w:type="dxa"/>
          </w:tblCellMar>
          <w:tblLook w:val="04A0"/>
        </w:tblPrEx>
        <w:trPr>
          <w:jc w:val="center"/>
        </w:trPr>
        <w:tc>
          <w:tcPr>
            <w:tcW w:w="3175" w:type="dxa"/>
            <w:shd w:val="clear" w:color="auto" w:fill="D9D9D9"/>
          </w:tcPr>
          <w:p w:rsidR="008828A9" w:rsidRPr="001844D1" w:rsidP="006744B5" w14:paraId="5B2893AB" w14:textId="77777777">
            <w:pPr>
              <w:pStyle w:val="NoSpacing"/>
              <w:jc w:val="right"/>
              <w:rPr>
                <w:rFonts w:ascii="Times New Roman" w:hAnsi="Times New Roman"/>
                <w:b/>
              </w:rPr>
            </w:pPr>
            <w:r w:rsidRPr="001844D1">
              <w:rPr>
                <w:rFonts w:ascii="Times New Roman" w:hAnsi="Times New Roman"/>
                <w:b/>
              </w:rPr>
              <w:t>Total</w:t>
            </w:r>
          </w:p>
        </w:tc>
        <w:tc>
          <w:tcPr>
            <w:tcW w:w="3240" w:type="dxa"/>
          </w:tcPr>
          <w:p w:rsidR="008828A9" w:rsidRPr="001844D1" w:rsidP="006744B5" w14:paraId="3EB5E070" w14:textId="77777777">
            <w:pPr>
              <w:pStyle w:val="NoSpacing"/>
              <w:rPr>
                <w:rFonts w:ascii="Times New Roman" w:hAnsi="Times New Roman"/>
              </w:rPr>
            </w:pPr>
            <w:r w:rsidRPr="008828A9">
              <w:rPr>
                <w:rFonts w:ascii="Times New Roman" w:hAnsi="Times New Roman"/>
                <w:sz w:val="24"/>
                <w:highlight w:val="lightGray"/>
              </w:rPr>
              <w:fldChar w:fldCharType="begin">
                <w:ffData>
                  <w:name w:val="B3A_Desc"/>
                  <w:enabled/>
                  <w:calcOnExit w:val="0"/>
                  <w:textInput/>
                </w:ffData>
              </w:fldChar>
            </w:r>
            <w:r w:rsidRPr="008828A9">
              <w:rPr>
                <w:rFonts w:ascii="Times New Roman" w:hAnsi="Times New Roman"/>
                <w:sz w:val="24"/>
                <w:highlight w:val="lightGray"/>
              </w:rPr>
              <w:instrText xml:space="preserve"> FORMTEXT </w:instrText>
            </w:r>
            <w:r w:rsidRPr="008828A9">
              <w:rPr>
                <w:rFonts w:ascii="Times New Roman" w:hAnsi="Times New Roman"/>
                <w:sz w:val="24"/>
                <w:highlight w:val="lightGray"/>
              </w:rPr>
              <w:fldChar w:fldCharType="separate"/>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t> </w:t>
            </w:r>
            <w:r w:rsidRPr="008828A9">
              <w:rPr>
                <w:rFonts w:ascii="Times New Roman" w:hAnsi="Times New Roman"/>
                <w:sz w:val="24"/>
                <w:highlight w:val="lightGray"/>
              </w:rPr>
              <w:fldChar w:fldCharType="end"/>
            </w:r>
          </w:p>
        </w:tc>
      </w:tr>
    </w:tbl>
    <w:p w:rsidR="008828A9" w:rsidRPr="001844D1" w:rsidP="008828A9" w14:paraId="7B54E6C9" w14:textId="77777777">
      <w:pPr>
        <w:tabs>
          <w:tab w:val="left" w:pos="630"/>
        </w:tabs>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7BAE0E06"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03269EFD" w14:textId="77777777">
            <w:pPr>
              <w:tabs>
                <w:tab w:val="left" w:pos="630"/>
              </w:tabs>
              <w:spacing w:after="120"/>
              <w:rPr>
                <w:rFonts w:ascii="Times New Roman" w:hAnsi="Times New Roman"/>
                <w:b/>
                <w:iCs/>
                <w:color w:val="000000"/>
              </w:rPr>
            </w:pPr>
            <w:r w:rsidRPr="001844D1">
              <w:rPr>
                <w:b/>
                <w:iCs/>
                <w:color w:val="000000"/>
              </w:rPr>
              <w:t>Addendum Section B4</w:t>
            </w:r>
          </w:p>
        </w:tc>
      </w:tr>
      <w:tr w14:paraId="0AE12029" w14:textId="77777777" w:rsidTr="006744B5">
        <w:tblPrEx>
          <w:tblW w:w="0" w:type="auto"/>
          <w:jc w:val="center"/>
          <w:tblCellMar>
            <w:top w:w="72" w:type="dxa"/>
            <w:left w:w="115" w:type="dxa"/>
            <w:bottom w:w="72" w:type="dxa"/>
            <w:right w:w="115" w:type="dxa"/>
          </w:tblCellMar>
          <w:tblLook w:val="04A0"/>
        </w:tblPrEx>
        <w:trPr>
          <w:trHeight w:val="1259"/>
          <w:jc w:val="center"/>
        </w:trPr>
        <w:tc>
          <w:tcPr>
            <w:tcW w:w="9205" w:type="dxa"/>
          </w:tcPr>
          <w:p w:rsidR="008828A9" w:rsidRPr="004203C2" w:rsidP="006744B5" w14:paraId="5F5CEC46"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99B797E" w14:textId="77777777">
      <w:pPr>
        <w:tabs>
          <w:tab w:val="left" w:pos="630"/>
        </w:tabs>
        <w:spacing w:after="120"/>
        <w:rPr>
          <w:iCs/>
          <w:color w:val="000000"/>
          <w:szCs w:val="22"/>
        </w:rPr>
      </w:pPr>
    </w:p>
    <w:p w:rsidR="008828A9" w:rsidRPr="004203C2" w:rsidP="008828A9" w14:paraId="5C90C43E" w14:textId="77777777">
      <w:pPr>
        <w:pStyle w:val="ListParagraph"/>
        <w:numPr>
          <w:ilvl w:val="0"/>
          <w:numId w:val="11"/>
        </w:numPr>
        <w:tabs>
          <w:tab w:val="left" w:pos="630"/>
        </w:tabs>
        <w:spacing w:after="120" w:line="240" w:lineRule="auto"/>
        <w:rPr>
          <w:rFonts w:ascii="Times New Roman" w:hAnsi="Times New Roman"/>
          <w:iCs/>
          <w:color w:val="000000"/>
        </w:rPr>
      </w:pPr>
      <w:r w:rsidRPr="004203C2">
        <w:rPr>
          <w:rFonts w:ascii="Times New Roman" w:hAnsi="Times New Roman"/>
          <w:b/>
          <w:iCs/>
          <w:color w:val="000000"/>
          <w:u w:val="single"/>
        </w:rPr>
        <w:t>Description of Authority Enabling Establishment of 911/E911 Funding Mechanisms</w:t>
      </w:r>
    </w:p>
    <w:p w:rsidR="008828A9" w:rsidRPr="001844D1" w:rsidP="008828A9" w14:paraId="38C566E6" w14:textId="77777777">
      <w:pPr>
        <w:tabs>
          <w:tab w:val="left" w:pos="630"/>
        </w:tabs>
        <w:spacing w:after="120"/>
        <w:rPr>
          <w:iCs/>
          <w:color w:val="000000"/>
          <w:szCs w:val="22"/>
        </w:rPr>
      </w:pPr>
    </w:p>
    <w:p w:rsidR="008828A9" w:rsidRPr="004203C2" w:rsidP="008828A9" w14:paraId="0809605F" w14:textId="77777777">
      <w:pPr>
        <w:pStyle w:val="ListParagraph"/>
        <w:numPr>
          <w:ilvl w:val="0"/>
          <w:numId w:val="13"/>
        </w:numPr>
        <w:tabs>
          <w:tab w:val="left" w:pos="630"/>
        </w:tabs>
        <w:spacing w:after="120" w:line="240" w:lineRule="auto"/>
        <w:rPr>
          <w:rFonts w:ascii="Times New Roman" w:hAnsi="Times New Roman"/>
          <w:iCs/>
          <w:color w:val="000000"/>
        </w:rPr>
      </w:pPr>
      <w:r w:rsidRPr="004203C2">
        <w:rPr>
          <w:rFonts w:ascii="Times New Roman" w:hAnsi="Times New Roman"/>
          <w:b/>
          <w:iCs/>
          <w:color w:val="000000"/>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Pr="004203C2">
        <w:rPr>
          <w:rFonts w:ascii="Times New Roman" w:hAnsi="Times New Roman"/>
          <w:iCs/>
          <w:color w:val="000000"/>
        </w:rPr>
        <w:t xml:space="preserve">  </w:t>
      </w:r>
      <w:r w:rsidRPr="004203C2">
        <w:rPr>
          <w:rFonts w:ascii="Times New Roman" w:hAnsi="Times New Roman"/>
          <w:i/>
          <w:iCs/>
          <w:color w:val="000000"/>
        </w:rPr>
        <w:t>Check one.</w:t>
      </w:r>
    </w:p>
    <w:p w:rsidR="008828A9" w:rsidRPr="004203C2" w:rsidP="008828A9" w14:paraId="6AC2D5AE" w14:textId="77777777">
      <w:pPr>
        <w:pStyle w:val="ListParagraph"/>
        <w:tabs>
          <w:tab w:val="left" w:pos="630"/>
        </w:tabs>
        <w:spacing w:after="120"/>
        <w:rPr>
          <w:rFonts w:ascii="Times New Roman" w:hAnsi="Times New Roman"/>
          <w:iCs/>
          <w:color w:val="000000"/>
        </w:rPr>
      </w:pPr>
    </w:p>
    <w:p w:rsidR="008828A9" w:rsidRPr="001844D1" w:rsidP="008828A9" w14:paraId="4F8C64C1" w14:textId="77777777">
      <w:pPr>
        <w:pStyle w:val="Memorandum"/>
        <w:numPr>
          <w:ilvl w:val="0"/>
          <w:numId w:val="8"/>
        </w:numPr>
        <w:spacing w:before="100"/>
        <w:jc w:val="center"/>
        <w:rPr>
          <w:rFonts w:ascii="Times New Roman" w:hAnsi="Times New Roman" w:cs="Times New Roman"/>
          <w:b w:val="0"/>
          <w:i/>
          <w:noProof w:val="0"/>
          <w:sz w:val="22"/>
          <w:szCs w:val="22"/>
        </w:rPr>
      </w:pPr>
      <w:r w:rsidRPr="001844D1">
        <w:rPr>
          <w:rFonts w:ascii="Times New Roman" w:hAnsi="Times New Roman" w:cs="Times New Roman"/>
          <w:b w:val="0"/>
          <w:noProof w:val="0"/>
          <w:sz w:val="22"/>
          <w:szCs w:val="22"/>
        </w:rPr>
        <w:t>Yes …………………..</w:t>
      </w:r>
      <w:r w:rsidRPr="001844D1">
        <w:rPr>
          <w:rFonts w:ascii="Times New Roman" w:hAnsi="Times New Roman" w:cs="Times New Roman"/>
          <w:b w:val="0"/>
          <w:noProof w:val="0"/>
          <w:sz w:val="22"/>
          <w:szCs w:val="22"/>
        </w:rPr>
        <w:tab/>
      </w:r>
      <w:r w:rsidRPr="004203C2">
        <w:rPr>
          <w:rFonts w:ascii="Times New Roman" w:hAnsi="Times New Roman" w:cs="Times New Roman"/>
          <w:b w:val="0"/>
          <w:noProof w:val="0"/>
          <w:sz w:val="22"/>
          <w:szCs w:val="22"/>
        </w:rPr>
        <w:fldChar w:fldCharType="begin">
          <w:ffData>
            <w:name w:val="Check11"/>
            <w:enabled/>
            <w:calcOnExit w:val="0"/>
            <w:checkBox>
              <w:sizeAuto/>
              <w:default w:val="0"/>
            </w:checkBox>
          </w:ffData>
        </w:fldChar>
      </w:r>
      <w:bookmarkStart w:id="138" w:name="Check11"/>
      <w:r w:rsidRPr="001844D1">
        <w:rPr>
          <w:rFonts w:ascii="Times New Roman" w:hAnsi="Times New Roman" w:cs="Times New Roman"/>
          <w:b w:val="0"/>
          <w:noProof w:val="0"/>
          <w:sz w:val="22"/>
          <w:szCs w:val="22"/>
        </w:rPr>
        <w:instrText xml:space="preserve"> FORMCHECKBOX </w:instrText>
      </w:r>
      <w:r w:rsidR="00E402CA">
        <w:rPr>
          <w:rFonts w:ascii="Times New Roman" w:hAnsi="Times New Roman" w:cs="Times New Roman"/>
          <w:b w:val="0"/>
          <w:noProof w:val="0"/>
          <w:sz w:val="22"/>
          <w:szCs w:val="22"/>
        </w:rPr>
        <w:fldChar w:fldCharType="separate"/>
      </w:r>
      <w:r w:rsidRPr="004203C2">
        <w:rPr>
          <w:rFonts w:ascii="Times New Roman" w:hAnsi="Times New Roman" w:cs="Times New Roman"/>
          <w:b w:val="0"/>
          <w:noProof w:val="0"/>
          <w:sz w:val="22"/>
          <w:szCs w:val="22"/>
        </w:rPr>
        <w:fldChar w:fldCharType="end"/>
      </w:r>
      <w:bookmarkEnd w:id="138"/>
    </w:p>
    <w:p w:rsidR="008828A9" w:rsidRPr="001844D1" w:rsidP="008828A9" w14:paraId="58021335" w14:textId="77777777">
      <w:pPr>
        <w:pStyle w:val="Memorandum"/>
        <w:numPr>
          <w:ilvl w:val="0"/>
          <w:numId w:val="8"/>
        </w:numPr>
        <w:spacing w:before="100"/>
        <w:jc w:val="center"/>
        <w:rPr>
          <w:rFonts w:ascii="Times New Roman" w:hAnsi="Times New Roman" w:cs="Times New Roman"/>
          <w:b w:val="0"/>
          <w:i/>
          <w:noProof w:val="0"/>
          <w:sz w:val="22"/>
          <w:szCs w:val="22"/>
        </w:rPr>
      </w:pPr>
      <w:r w:rsidRPr="001844D1">
        <w:rPr>
          <w:rFonts w:ascii="Times New Roman" w:hAnsi="Times New Roman" w:cs="Times New Roman"/>
          <w:b w:val="0"/>
          <w:noProof w:val="0"/>
          <w:sz w:val="22"/>
          <w:szCs w:val="22"/>
        </w:rPr>
        <w:t>No ………………..…..</w:t>
      </w:r>
      <w:r w:rsidRPr="001844D1">
        <w:rPr>
          <w:rFonts w:ascii="Times New Roman" w:hAnsi="Times New Roman" w:cs="Times New Roman"/>
          <w:b w:val="0"/>
          <w:noProof w:val="0"/>
          <w:sz w:val="22"/>
          <w:szCs w:val="22"/>
        </w:rPr>
        <w:tab/>
      </w:r>
      <w:r w:rsidRPr="004203C2">
        <w:rPr>
          <w:rFonts w:ascii="Times New Roman" w:hAnsi="Times New Roman" w:cs="Times New Roman"/>
          <w:b w:val="0"/>
          <w:noProof w:val="0"/>
          <w:sz w:val="22"/>
          <w:szCs w:val="22"/>
        </w:rPr>
        <w:fldChar w:fldCharType="begin">
          <w:ffData>
            <w:name w:val="Check9"/>
            <w:enabled/>
            <w:calcOnExit w:val="0"/>
            <w:checkBox>
              <w:sizeAuto/>
              <w:default w:val="0"/>
            </w:checkBox>
          </w:ffData>
        </w:fldChar>
      </w:r>
      <w:bookmarkStart w:id="139" w:name="Check9"/>
      <w:r w:rsidRPr="001844D1">
        <w:rPr>
          <w:rFonts w:ascii="Times New Roman" w:hAnsi="Times New Roman" w:cs="Times New Roman"/>
          <w:b w:val="0"/>
          <w:noProof w:val="0"/>
          <w:sz w:val="22"/>
          <w:szCs w:val="22"/>
        </w:rPr>
        <w:instrText xml:space="preserve"> FORMCHECKBOX </w:instrText>
      </w:r>
      <w:r w:rsidR="00E402CA">
        <w:rPr>
          <w:rFonts w:ascii="Times New Roman" w:hAnsi="Times New Roman" w:cs="Times New Roman"/>
          <w:b w:val="0"/>
          <w:noProof w:val="0"/>
          <w:sz w:val="22"/>
          <w:szCs w:val="22"/>
        </w:rPr>
        <w:fldChar w:fldCharType="separate"/>
      </w:r>
      <w:r w:rsidRPr="004203C2">
        <w:rPr>
          <w:rFonts w:ascii="Times New Roman" w:hAnsi="Times New Roman" w:cs="Times New Roman"/>
          <w:b w:val="0"/>
          <w:noProof w:val="0"/>
          <w:sz w:val="22"/>
          <w:szCs w:val="22"/>
        </w:rPr>
        <w:fldChar w:fldCharType="end"/>
      </w:r>
      <w:bookmarkEnd w:id="139"/>
    </w:p>
    <w:p w:rsidR="008828A9" w:rsidRPr="004203C2" w:rsidP="008828A9" w14:paraId="62A7C2F3" w14:textId="77777777">
      <w:pPr>
        <w:pStyle w:val="ListParagraph"/>
        <w:tabs>
          <w:tab w:val="left" w:pos="630"/>
        </w:tabs>
        <w:spacing w:after="120"/>
        <w:rPr>
          <w:rFonts w:ascii="Times New Roman" w:hAnsi="Times New Roman"/>
        </w:rPr>
      </w:pPr>
    </w:p>
    <w:p w:rsidR="008828A9" w:rsidRPr="007D2116" w:rsidP="008828A9" w14:paraId="58EED74B" w14:textId="77777777">
      <w:pPr>
        <w:spacing w:after="120"/>
        <w:ind w:left="360"/>
        <w:rPr>
          <w:b/>
          <w:szCs w:val="22"/>
        </w:rPr>
      </w:pPr>
      <w:r w:rsidRPr="001844D1">
        <w:rPr>
          <w:b/>
          <w:szCs w:val="22"/>
        </w:rPr>
        <w:t>1a. If YES, provide a citation to the legal authority for such a mechanism.</w:t>
      </w:r>
    </w:p>
    <w:tbl>
      <w:tblPr>
        <w:tblStyle w:val="TableGrid"/>
        <w:tblW w:w="0" w:type="auto"/>
        <w:tblInd w:w="360" w:type="dxa"/>
        <w:tblLook w:val="04A0"/>
      </w:tblPr>
      <w:tblGrid>
        <w:gridCol w:w="8990"/>
      </w:tblGrid>
      <w:tr w14:paraId="0641A652" w14:textId="77777777" w:rsidTr="006744B5">
        <w:tblPrEx>
          <w:tblW w:w="0" w:type="auto"/>
          <w:tblInd w:w="360" w:type="dxa"/>
          <w:tblLook w:val="04A0"/>
        </w:tblPrEx>
        <w:tc>
          <w:tcPr>
            <w:tcW w:w="9576" w:type="dxa"/>
          </w:tcPr>
          <w:p w:rsidR="008828A9" w:rsidRPr="004203C2" w:rsidP="006744B5" w14:paraId="5DC62B1E" w14:textId="77777777">
            <w:pPr>
              <w:spacing w:after="120"/>
              <w:rPr>
                <w:rFonts w:ascii="Times New Roman" w:hAnsi="Times New Roman"/>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p w:rsidR="008828A9" w:rsidRPr="004203C2" w:rsidP="006744B5" w14:paraId="1670F3B2" w14:textId="77777777">
            <w:pPr>
              <w:spacing w:after="120"/>
              <w:rPr>
                <w:rFonts w:ascii="Times New Roman" w:hAnsi="Times New Roman"/>
              </w:rPr>
            </w:pPr>
          </w:p>
        </w:tc>
      </w:tr>
    </w:tbl>
    <w:p w:rsidR="008828A9" w:rsidRPr="001844D1" w:rsidP="008828A9" w14:paraId="1F96432D" w14:textId="77777777">
      <w:pPr>
        <w:spacing w:after="120"/>
        <w:rPr>
          <w:szCs w:val="22"/>
        </w:rPr>
      </w:pPr>
    </w:p>
    <w:p w:rsidR="008828A9" w:rsidRPr="001844D1" w:rsidP="008828A9" w14:paraId="629BCF57" w14:textId="77777777">
      <w:pPr>
        <w:spacing w:after="120"/>
        <w:ind w:left="360"/>
        <w:rPr>
          <w:b/>
          <w:szCs w:val="22"/>
        </w:rPr>
      </w:pPr>
      <w:r w:rsidRPr="001844D1">
        <w:rPr>
          <w:b/>
          <w:szCs w:val="22"/>
        </w:rPr>
        <w:t>1b. If YES, during the annual period January 1, 2019 to December 31, 2019, did your state or jurisdiction amend, enlarge, or in any way alter the funding mechanism.</w:t>
      </w:r>
    </w:p>
    <w:tbl>
      <w:tblPr>
        <w:tblStyle w:val="TableGrid"/>
        <w:tblW w:w="0" w:type="auto"/>
        <w:tblInd w:w="360" w:type="dxa"/>
        <w:tblLook w:val="04A0"/>
      </w:tblPr>
      <w:tblGrid>
        <w:gridCol w:w="8990"/>
      </w:tblGrid>
      <w:tr w14:paraId="3C3A9135" w14:textId="77777777" w:rsidTr="006744B5">
        <w:tblPrEx>
          <w:tblW w:w="0" w:type="auto"/>
          <w:tblInd w:w="360" w:type="dxa"/>
          <w:tblLook w:val="04A0"/>
        </w:tblPrEx>
        <w:tc>
          <w:tcPr>
            <w:tcW w:w="9576" w:type="dxa"/>
          </w:tcPr>
          <w:p w:rsidR="008828A9" w:rsidRPr="004203C2" w:rsidP="006744B5" w14:paraId="0E6E2D14" w14:textId="77777777">
            <w:pPr>
              <w:tabs>
                <w:tab w:val="left" w:pos="630"/>
              </w:tabs>
              <w:spacing w:after="120"/>
              <w:rPr>
                <w:rFonts w:ascii="Times New Roman" w:hAnsi="Times New Roman"/>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p w:rsidR="008828A9" w:rsidRPr="004203C2" w:rsidP="006744B5" w14:paraId="33C3FE08" w14:textId="77777777">
            <w:pPr>
              <w:tabs>
                <w:tab w:val="left" w:pos="630"/>
              </w:tabs>
              <w:spacing w:after="120"/>
              <w:rPr>
                <w:rFonts w:ascii="Times New Roman" w:hAnsi="Times New Roman"/>
              </w:rPr>
            </w:pPr>
          </w:p>
          <w:p w:rsidR="008828A9" w:rsidRPr="004203C2" w:rsidP="006744B5" w14:paraId="00F5415E" w14:textId="77777777">
            <w:pPr>
              <w:tabs>
                <w:tab w:val="left" w:pos="630"/>
              </w:tabs>
              <w:spacing w:after="120"/>
              <w:rPr>
                <w:rFonts w:ascii="Times New Roman" w:hAnsi="Times New Roman"/>
              </w:rPr>
            </w:pPr>
          </w:p>
          <w:p w:rsidR="008828A9" w:rsidRPr="004203C2" w:rsidP="006744B5" w14:paraId="5BD95910" w14:textId="77777777">
            <w:pPr>
              <w:tabs>
                <w:tab w:val="left" w:pos="630"/>
              </w:tabs>
              <w:spacing w:after="120"/>
              <w:rPr>
                <w:rFonts w:ascii="Times New Roman" w:hAnsi="Times New Roman"/>
              </w:rPr>
            </w:pPr>
          </w:p>
        </w:tc>
      </w:tr>
    </w:tbl>
    <w:p w:rsidR="008828A9" w:rsidRPr="001844D1" w:rsidP="008828A9" w14:paraId="2DE16DC1" w14:textId="77777777">
      <w:pPr>
        <w:tabs>
          <w:tab w:val="left" w:pos="630"/>
        </w:tabs>
        <w:spacing w:after="120"/>
        <w:rPr>
          <w:szCs w:val="22"/>
        </w:rPr>
      </w:pPr>
    </w:p>
    <w:tbl>
      <w:tblPr>
        <w:tblStyle w:val="TableGrid"/>
        <w:tblW w:w="0" w:type="auto"/>
        <w:jc w:val="center"/>
        <w:tblCellMar>
          <w:top w:w="72" w:type="dxa"/>
          <w:left w:w="115" w:type="dxa"/>
          <w:bottom w:w="72" w:type="dxa"/>
          <w:right w:w="115" w:type="dxa"/>
        </w:tblCellMar>
        <w:tblLook w:val="04A0"/>
      </w:tblPr>
      <w:tblGrid>
        <w:gridCol w:w="9350"/>
      </w:tblGrid>
      <w:tr w14:paraId="71787ACE"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3C3C543D" w14:textId="77777777">
            <w:pPr>
              <w:tabs>
                <w:tab w:val="left" w:pos="630"/>
              </w:tabs>
              <w:spacing w:after="120"/>
              <w:rPr>
                <w:rFonts w:ascii="Times New Roman" w:hAnsi="Times New Roman"/>
                <w:b/>
                <w:iCs/>
                <w:color w:val="000000"/>
              </w:rPr>
            </w:pPr>
            <w:r w:rsidRPr="001844D1">
              <w:rPr>
                <w:b/>
                <w:iCs/>
                <w:color w:val="000000"/>
              </w:rPr>
              <w:t>Addendum Section C1</w:t>
            </w:r>
          </w:p>
        </w:tc>
      </w:tr>
      <w:tr w14:paraId="0904E986" w14:textId="77777777" w:rsidTr="006744B5">
        <w:tblPrEx>
          <w:tblW w:w="0" w:type="auto"/>
          <w:jc w:val="center"/>
          <w:tblCellMar>
            <w:top w:w="72" w:type="dxa"/>
            <w:left w:w="115" w:type="dxa"/>
            <w:bottom w:w="72" w:type="dxa"/>
            <w:right w:w="115" w:type="dxa"/>
          </w:tblCellMar>
          <w:tblLook w:val="04A0"/>
        </w:tblPrEx>
        <w:trPr>
          <w:trHeight w:val="962"/>
          <w:jc w:val="center"/>
        </w:trPr>
        <w:tc>
          <w:tcPr>
            <w:tcW w:w="9535" w:type="dxa"/>
          </w:tcPr>
          <w:p w:rsidR="008828A9" w:rsidRPr="004203C2" w:rsidP="006744B5" w14:paraId="360C1817"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1C7F71E1" w14:textId="77777777">
      <w:pPr>
        <w:tabs>
          <w:tab w:val="left" w:pos="630"/>
        </w:tabs>
        <w:spacing w:after="120"/>
        <w:rPr>
          <w:szCs w:val="22"/>
        </w:rPr>
      </w:pPr>
    </w:p>
    <w:p w:rsidR="008828A9" w:rsidRPr="004203C2" w:rsidP="008828A9" w14:paraId="6040810E" w14:textId="77777777">
      <w:pPr>
        <w:pStyle w:val="ListParagraph"/>
        <w:numPr>
          <w:ilvl w:val="0"/>
          <w:numId w:val="13"/>
        </w:numPr>
        <w:tabs>
          <w:tab w:val="left" w:pos="630"/>
        </w:tabs>
        <w:spacing w:after="120" w:line="240" w:lineRule="auto"/>
        <w:rPr>
          <w:rFonts w:ascii="Times New Roman" w:hAnsi="Times New Roman"/>
          <w:iCs/>
          <w:color w:val="000000"/>
        </w:rPr>
      </w:pPr>
      <w:r w:rsidRPr="004203C2">
        <w:rPr>
          <w:rFonts w:ascii="Times New Roman" w:hAnsi="Times New Roman"/>
          <w:b/>
        </w:rPr>
        <w:t xml:space="preserve">Which of the following best describes the type of authority arrangement for the collection of </w:t>
      </w:r>
      <w:r w:rsidRPr="004203C2">
        <w:rPr>
          <w:rFonts w:ascii="Times New Roman" w:hAnsi="Times New Roman"/>
          <w:b/>
          <w:iCs/>
          <w:color w:val="000000"/>
        </w:rPr>
        <w:t>911/E911 fees?</w:t>
      </w:r>
      <w:r w:rsidRPr="004203C2">
        <w:rPr>
          <w:rFonts w:ascii="Times New Roman" w:hAnsi="Times New Roman"/>
          <w:iCs/>
          <w:color w:val="000000"/>
        </w:rPr>
        <w:t xml:space="preserve">  </w:t>
      </w:r>
      <w:r w:rsidRPr="004203C2">
        <w:rPr>
          <w:rFonts w:ascii="Times New Roman" w:hAnsi="Times New Roman"/>
          <w:i/>
          <w:iCs/>
          <w:color w:val="000000"/>
        </w:rPr>
        <w:t>Check one</w:t>
      </w:r>
      <w:r w:rsidRPr="004203C2">
        <w:rPr>
          <w:rFonts w:ascii="Times New Roman" w:hAnsi="Times New Roman"/>
          <w:iCs/>
          <w:color w:val="000000"/>
        </w:rPr>
        <w:t>.</w:t>
      </w:r>
    </w:p>
    <w:p w:rsidR="008828A9" w:rsidRPr="001844D1" w:rsidP="008828A9" w14:paraId="25A3D865" w14:textId="77777777">
      <w:pPr>
        <w:pStyle w:val="Memorandum"/>
        <w:numPr>
          <w:ilvl w:val="0"/>
          <w:numId w:val="7"/>
        </w:numPr>
        <w:spacing w:before="100"/>
        <w:rPr>
          <w:rFonts w:ascii="Times New Roman" w:hAnsi="Times New Roman" w:cs="Times New Roman"/>
          <w:b w:val="0"/>
          <w:sz w:val="22"/>
          <w:szCs w:val="22"/>
        </w:rPr>
      </w:pPr>
      <w:r w:rsidRPr="001844D1">
        <w:rPr>
          <w:rFonts w:ascii="Times New Roman" w:hAnsi="Times New Roman" w:cs="Times New Roman"/>
          <w:b w:val="0"/>
          <w:sz w:val="22"/>
          <w:szCs w:val="22"/>
        </w:rPr>
        <w:t xml:space="preserve">The State collects the fees ………………………………….. </w:t>
      </w:r>
      <w:r w:rsidRPr="004203C2">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Pr="001844D1">
        <w:rPr>
          <w:rFonts w:ascii="Times New Roman" w:hAnsi="Times New Roman" w:cs="Times New Roman"/>
          <w:b w:val="0"/>
          <w:noProof w:val="0"/>
          <w:sz w:val="22"/>
          <w:szCs w:val="22"/>
        </w:rPr>
        <w:instrText xml:space="preserve"> FORMCHECKBOX </w:instrText>
      </w:r>
      <w:r w:rsidR="00E402CA">
        <w:rPr>
          <w:rFonts w:ascii="Times New Roman" w:hAnsi="Times New Roman" w:cs="Times New Roman"/>
          <w:b w:val="0"/>
          <w:noProof w:val="0"/>
          <w:sz w:val="22"/>
          <w:szCs w:val="22"/>
        </w:rPr>
        <w:fldChar w:fldCharType="separate"/>
      </w:r>
      <w:r w:rsidRPr="004203C2">
        <w:rPr>
          <w:rFonts w:ascii="Times New Roman" w:hAnsi="Times New Roman" w:cs="Times New Roman"/>
          <w:b w:val="0"/>
          <w:noProof w:val="0"/>
          <w:sz w:val="22"/>
          <w:szCs w:val="22"/>
        </w:rPr>
        <w:fldChar w:fldCharType="end"/>
      </w:r>
    </w:p>
    <w:p w:rsidR="008828A9" w:rsidRPr="001844D1" w:rsidP="008828A9" w14:paraId="19B15A29" w14:textId="77777777">
      <w:pPr>
        <w:pStyle w:val="Memorandum"/>
        <w:numPr>
          <w:ilvl w:val="0"/>
          <w:numId w:val="7"/>
        </w:numPr>
        <w:spacing w:before="100"/>
        <w:rPr>
          <w:rFonts w:ascii="Times New Roman" w:hAnsi="Times New Roman" w:cs="Times New Roman"/>
          <w:b w:val="0"/>
          <w:sz w:val="22"/>
          <w:szCs w:val="22"/>
        </w:rPr>
      </w:pPr>
      <w:r w:rsidRPr="001844D1">
        <w:rPr>
          <w:rFonts w:ascii="Times New Roman" w:hAnsi="Times New Roman" w:cs="Times New Roman"/>
          <w:b w:val="0"/>
          <w:sz w:val="22"/>
          <w:szCs w:val="22"/>
        </w:rPr>
        <w:t>A Local Authority collects the fees ……………………….</w:t>
      </w:r>
      <w:r w:rsidRPr="007D2116">
        <w:rPr>
          <w:rFonts w:ascii="Times New Roman" w:hAnsi="Times New Roman" w:cs="Times New Roman"/>
          <w:b w:val="0"/>
          <w:sz w:val="22"/>
          <w:szCs w:val="22"/>
        </w:rPr>
        <w:t>.</w:t>
      </w:r>
      <w:r w:rsidRPr="00AE31B6">
        <w:rPr>
          <w:rFonts w:ascii="Times New Roman" w:hAnsi="Times New Roman" w:cs="Times New Roman"/>
          <w:b w:val="0"/>
          <w:sz w:val="22"/>
          <w:szCs w:val="22"/>
        </w:rPr>
        <w:t xml:space="preserve">   </w:t>
      </w:r>
      <w:r w:rsidRPr="004203C2">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Pr="001844D1">
        <w:rPr>
          <w:rFonts w:ascii="Times New Roman" w:hAnsi="Times New Roman" w:cs="Times New Roman"/>
          <w:b w:val="0"/>
          <w:noProof w:val="0"/>
          <w:sz w:val="22"/>
          <w:szCs w:val="22"/>
        </w:rPr>
        <w:instrText xml:space="preserve"> FORMCHECKBOX </w:instrText>
      </w:r>
      <w:r w:rsidR="00E402CA">
        <w:rPr>
          <w:rFonts w:ascii="Times New Roman" w:hAnsi="Times New Roman" w:cs="Times New Roman"/>
          <w:b w:val="0"/>
          <w:noProof w:val="0"/>
          <w:sz w:val="22"/>
          <w:szCs w:val="22"/>
        </w:rPr>
        <w:fldChar w:fldCharType="separate"/>
      </w:r>
      <w:r w:rsidRPr="004203C2">
        <w:rPr>
          <w:rFonts w:ascii="Times New Roman" w:hAnsi="Times New Roman" w:cs="Times New Roman"/>
          <w:b w:val="0"/>
          <w:noProof w:val="0"/>
          <w:sz w:val="22"/>
          <w:szCs w:val="22"/>
        </w:rPr>
        <w:fldChar w:fldCharType="end"/>
      </w:r>
    </w:p>
    <w:p w:rsidR="008828A9" w:rsidRPr="007D2116" w:rsidP="008828A9" w14:paraId="43DC849A" w14:textId="77777777">
      <w:pPr>
        <w:pStyle w:val="Memorandum"/>
        <w:numPr>
          <w:ilvl w:val="0"/>
          <w:numId w:val="7"/>
        </w:numPr>
        <w:spacing w:before="100"/>
        <w:rPr>
          <w:rFonts w:ascii="Times New Roman" w:hAnsi="Times New Roman" w:cs="Times New Roman"/>
          <w:b w:val="0"/>
          <w:sz w:val="22"/>
          <w:szCs w:val="22"/>
        </w:rPr>
      </w:pPr>
      <w:r w:rsidRPr="001844D1">
        <w:rPr>
          <w:rFonts w:ascii="Times New Roman" w:hAnsi="Times New Roman" w:cs="Times New Roman"/>
          <w:b w:val="0"/>
          <w:sz w:val="22"/>
          <w:szCs w:val="22"/>
        </w:rPr>
        <w:t>A hybrid approach where two or more governing bodies</w:t>
      </w:r>
    </w:p>
    <w:p w:rsidR="008828A9" w:rsidRPr="001844D1" w:rsidP="008828A9" w14:paraId="7DD7DA23" w14:textId="77777777">
      <w:pPr>
        <w:pStyle w:val="Memorandum"/>
        <w:spacing w:before="100"/>
        <w:ind w:left="1080"/>
        <w:rPr>
          <w:rFonts w:ascii="Times New Roman" w:hAnsi="Times New Roman" w:cs="Times New Roman"/>
          <w:b w:val="0"/>
          <w:sz w:val="22"/>
          <w:szCs w:val="22"/>
        </w:rPr>
      </w:pPr>
      <w:r w:rsidRPr="00AE31B6">
        <w:rPr>
          <w:rFonts w:ascii="Times New Roman" w:hAnsi="Times New Roman" w:cs="Times New Roman"/>
          <w:b w:val="0"/>
          <w:sz w:val="22"/>
          <w:szCs w:val="22"/>
        </w:rPr>
        <w:tab/>
        <w:t>(</w:t>
      </w:r>
      <w:r w:rsidRPr="00666744">
        <w:rPr>
          <w:rFonts w:ascii="Times New Roman" w:hAnsi="Times New Roman" w:cs="Times New Roman"/>
          <w:b w:val="0"/>
          <w:i/>
          <w:sz w:val="22"/>
          <w:szCs w:val="22"/>
        </w:rPr>
        <w:t>e.g.</w:t>
      </w:r>
      <w:r w:rsidRPr="000E6A2A">
        <w:rPr>
          <w:rFonts w:ascii="Times New Roman" w:hAnsi="Times New Roman" w:cs="Times New Roman"/>
          <w:b w:val="0"/>
          <w:sz w:val="22"/>
          <w:szCs w:val="22"/>
        </w:rPr>
        <w:t>, state and local authority) collect the fees ……………</w:t>
      </w:r>
      <w:r w:rsidRPr="0012228D">
        <w:rPr>
          <w:rFonts w:ascii="Times New Roman" w:hAnsi="Times New Roman" w:cs="Times New Roman"/>
          <w:b w:val="0"/>
          <w:sz w:val="22"/>
          <w:szCs w:val="22"/>
        </w:rPr>
        <w:t>..</w:t>
      </w:r>
      <w:r w:rsidRPr="001844D1">
        <w:rPr>
          <w:rFonts w:ascii="Times New Roman" w:hAnsi="Times New Roman" w:cs="Times New Roman"/>
          <w:b w:val="0"/>
          <w:sz w:val="22"/>
          <w:szCs w:val="22"/>
        </w:rPr>
        <w:t xml:space="preserve"> </w:t>
      </w:r>
      <w:r w:rsidRPr="004203C2">
        <w:rPr>
          <w:rFonts w:ascii="Times New Roman" w:hAnsi="Times New Roman" w:cs="Times New Roman"/>
          <w:b w:val="0"/>
          <w:noProof w:val="0"/>
          <w:sz w:val="22"/>
          <w:szCs w:val="22"/>
        </w:rPr>
        <w:fldChar w:fldCharType="begin">
          <w:ffData>
            <w:name w:val="Check8"/>
            <w:enabled/>
            <w:calcOnExit w:val="0"/>
            <w:checkBox>
              <w:sizeAuto/>
              <w:default w:val="0"/>
            </w:checkBox>
          </w:ffData>
        </w:fldChar>
      </w:r>
      <w:r w:rsidRPr="001844D1">
        <w:rPr>
          <w:rFonts w:ascii="Times New Roman" w:hAnsi="Times New Roman" w:cs="Times New Roman"/>
          <w:b w:val="0"/>
          <w:noProof w:val="0"/>
          <w:sz w:val="22"/>
          <w:szCs w:val="22"/>
        </w:rPr>
        <w:instrText xml:space="preserve"> FORMCHECKBOX </w:instrText>
      </w:r>
      <w:r w:rsidR="00E402CA">
        <w:rPr>
          <w:rFonts w:ascii="Times New Roman" w:hAnsi="Times New Roman" w:cs="Times New Roman"/>
          <w:b w:val="0"/>
          <w:noProof w:val="0"/>
          <w:sz w:val="22"/>
          <w:szCs w:val="22"/>
        </w:rPr>
        <w:fldChar w:fldCharType="separate"/>
      </w:r>
      <w:r w:rsidRPr="004203C2">
        <w:rPr>
          <w:rFonts w:ascii="Times New Roman" w:hAnsi="Times New Roman" w:cs="Times New Roman"/>
          <w:b w:val="0"/>
          <w:noProof w:val="0"/>
          <w:sz w:val="22"/>
          <w:szCs w:val="22"/>
        </w:rPr>
        <w:fldChar w:fldCharType="end"/>
      </w:r>
    </w:p>
    <w:p w:rsidR="008828A9" w:rsidRPr="001844D1" w:rsidP="008828A9" w14:paraId="5CD87AE2" w14:textId="77777777">
      <w:pPr>
        <w:tabs>
          <w:tab w:val="left" w:pos="630"/>
        </w:tabs>
        <w:spacing w:after="120"/>
        <w:rPr>
          <w:iCs/>
          <w:color w:val="000000"/>
          <w:szCs w:val="22"/>
        </w:rPr>
      </w:pPr>
    </w:p>
    <w:p w:rsidR="008828A9" w:rsidRPr="007D2116" w:rsidP="008828A9" w14:paraId="77EF07D7" w14:textId="77777777">
      <w:pPr>
        <w:tabs>
          <w:tab w:val="left" w:pos="630"/>
        </w:tabs>
        <w:spacing w:after="120"/>
        <w:rPr>
          <w:iCs/>
          <w:color w:val="000000"/>
          <w:szCs w:val="22"/>
        </w:rPr>
      </w:pPr>
    </w:p>
    <w:p w:rsidR="008828A9" w:rsidRPr="00AE31B6" w:rsidP="008828A9" w14:paraId="280CB7D8" w14:textId="77777777">
      <w:pPr>
        <w:tabs>
          <w:tab w:val="left" w:pos="630"/>
        </w:tabs>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0EECAF60"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0AF5B350" w14:textId="77777777">
            <w:pPr>
              <w:tabs>
                <w:tab w:val="left" w:pos="630"/>
              </w:tabs>
              <w:spacing w:after="120"/>
              <w:rPr>
                <w:rFonts w:ascii="Times New Roman" w:hAnsi="Times New Roman"/>
                <w:b/>
                <w:iCs/>
                <w:color w:val="000000"/>
              </w:rPr>
            </w:pPr>
            <w:r w:rsidRPr="001844D1">
              <w:rPr>
                <w:b/>
                <w:iCs/>
                <w:color w:val="000000"/>
              </w:rPr>
              <w:t>Addendum Section C2</w:t>
            </w:r>
          </w:p>
        </w:tc>
      </w:tr>
      <w:tr w14:paraId="7F2C7424" w14:textId="77777777" w:rsidTr="006744B5">
        <w:tblPrEx>
          <w:tblW w:w="0" w:type="auto"/>
          <w:jc w:val="center"/>
          <w:tblCellMar>
            <w:top w:w="72" w:type="dxa"/>
            <w:left w:w="115" w:type="dxa"/>
            <w:bottom w:w="72" w:type="dxa"/>
            <w:right w:w="115" w:type="dxa"/>
          </w:tblCellMar>
          <w:tblLook w:val="04A0"/>
        </w:tblPrEx>
        <w:trPr>
          <w:trHeight w:val="620"/>
          <w:jc w:val="center"/>
        </w:trPr>
        <w:tc>
          <w:tcPr>
            <w:tcW w:w="9205" w:type="dxa"/>
          </w:tcPr>
          <w:p w:rsidR="008828A9" w:rsidRPr="004203C2" w:rsidP="006744B5" w14:paraId="2910A8E7"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67707B31" w14:textId="77777777">
      <w:pPr>
        <w:tabs>
          <w:tab w:val="left" w:pos="630"/>
        </w:tabs>
        <w:spacing w:after="120"/>
        <w:rPr>
          <w:iCs/>
          <w:color w:val="000000"/>
          <w:szCs w:val="22"/>
        </w:rPr>
      </w:pPr>
    </w:p>
    <w:p w:rsidR="008828A9" w:rsidRPr="004203C2" w:rsidP="008828A9" w14:paraId="6132F937" w14:textId="77777777">
      <w:pPr>
        <w:pStyle w:val="ListParagraph"/>
        <w:numPr>
          <w:ilvl w:val="0"/>
          <w:numId w:val="13"/>
        </w:numPr>
        <w:tabs>
          <w:tab w:val="left" w:pos="630"/>
        </w:tabs>
        <w:spacing w:after="120" w:line="240" w:lineRule="auto"/>
        <w:rPr>
          <w:rFonts w:ascii="Times New Roman" w:hAnsi="Times New Roman"/>
          <w:b/>
          <w:iCs/>
          <w:color w:val="000000"/>
        </w:rPr>
      </w:pPr>
      <w:r w:rsidRPr="004203C2">
        <w:rPr>
          <w:rFonts w:ascii="Times New Roman" w:hAnsi="Times New Roman"/>
          <w:b/>
          <w:iCs/>
          <w:color w:val="000000"/>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tblPr>
      <w:tblGrid>
        <w:gridCol w:w="8990"/>
      </w:tblGrid>
      <w:tr w14:paraId="0C9E8164" w14:textId="77777777" w:rsidTr="006744B5">
        <w:tblPrEx>
          <w:tblW w:w="0" w:type="auto"/>
          <w:tblInd w:w="360" w:type="dxa"/>
          <w:tblCellMar>
            <w:top w:w="72" w:type="dxa"/>
            <w:left w:w="115" w:type="dxa"/>
            <w:bottom w:w="72" w:type="dxa"/>
            <w:right w:w="115" w:type="dxa"/>
          </w:tblCellMar>
          <w:tblLook w:val="04A0"/>
        </w:tblPrEx>
        <w:trPr>
          <w:trHeight w:val="1196"/>
        </w:trPr>
        <w:tc>
          <w:tcPr>
            <w:tcW w:w="9576" w:type="dxa"/>
          </w:tcPr>
          <w:p w:rsidR="008828A9" w:rsidRPr="004203C2" w:rsidP="006744B5" w14:paraId="7B8F9AD4" w14:textId="77777777">
            <w:pPr>
              <w:spacing w:after="120"/>
              <w:rPr>
                <w:rFonts w:ascii="Times New Roman" w:hAnsi="Times New Roman"/>
                <w:iCs/>
                <w:color w:val="000000"/>
              </w:rPr>
            </w:pPr>
          </w:p>
          <w:p w:rsidR="008828A9" w:rsidRPr="004203C2" w:rsidP="006744B5" w14:paraId="4F33ADC7"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37D6817E" w14:textId="77777777">
      <w:pPr>
        <w:spacing w:after="200" w:line="276" w:lineRule="auto"/>
        <w:rPr>
          <w:iCs/>
          <w:color w:val="000000"/>
          <w:szCs w:val="22"/>
        </w:rPr>
      </w:pPr>
    </w:p>
    <w:p w:rsidR="008828A9" w:rsidRPr="004203C2" w:rsidP="008828A9" w14:paraId="3B328009" w14:textId="77777777">
      <w:pPr>
        <w:pStyle w:val="ListParagraph"/>
        <w:numPr>
          <w:ilvl w:val="0"/>
          <w:numId w:val="11"/>
        </w:numPr>
        <w:tabs>
          <w:tab w:val="left" w:pos="630"/>
        </w:tabs>
        <w:spacing w:after="120" w:line="240" w:lineRule="auto"/>
        <w:rPr>
          <w:rFonts w:ascii="Times New Roman" w:hAnsi="Times New Roman"/>
          <w:b/>
          <w:iCs/>
          <w:color w:val="000000"/>
          <w:u w:val="single"/>
        </w:rPr>
      </w:pPr>
      <w:r w:rsidRPr="004203C2">
        <w:rPr>
          <w:rFonts w:ascii="Times New Roman" w:hAnsi="Times New Roman"/>
          <w:b/>
          <w:iCs/>
          <w:color w:val="000000"/>
          <w:u w:val="single"/>
        </w:rPr>
        <w:t>Description of State or Jurisdictional Authority That Determines How 911/E911 Fees are Spent</w:t>
      </w:r>
    </w:p>
    <w:p w:rsidR="008828A9" w:rsidRPr="004203C2" w:rsidP="008828A9" w14:paraId="1B66BB21" w14:textId="77777777">
      <w:pPr>
        <w:pStyle w:val="ListParagraph"/>
        <w:tabs>
          <w:tab w:val="left" w:pos="630"/>
        </w:tabs>
        <w:spacing w:after="120"/>
        <w:ind w:left="360"/>
        <w:rPr>
          <w:rFonts w:ascii="Times New Roman" w:hAnsi="Times New Roman"/>
          <w:b/>
          <w:iCs/>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4788"/>
        <w:gridCol w:w="2340"/>
        <w:gridCol w:w="2340"/>
      </w:tblGrid>
      <w:tr w14:paraId="71051C28"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9468" w:type="dxa"/>
            <w:gridSpan w:val="3"/>
            <w:tcBorders>
              <w:top w:val="single" w:sz="4" w:space="0" w:color="auto"/>
              <w:left w:val="single" w:sz="4" w:space="0" w:color="auto"/>
            </w:tcBorders>
            <w:shd w:val="clear" w:color="auto" w:fill="D9D9D9"/>
            <w:vAlign w:val="center"/>
          </w:tcPr>
          <w:p w:rsidR="008828A9" w:rsidRPr="004203C2" w:rsidP="008828A9" w14:paraId="4F259D01" w14:textId="77777777">
            <w:pPr>
              <w:pStyle w:val="ListParagraph"/>
              <w:numPr>
                <w:ilvl w:val="0"/>
                <w:numId w:val="14"/>
              </w:numPr>
              <w:spacing w:after="120" w:line="240" w:lineRule="auto"/>
              <w:rPr>
                <w:rFonts w:ascii="Times New Roman" w:hAnsi="Times New Roman"/>
                <w:b/>
              </w:rPr>
            </w:pPr>
            <w:r w:rsidRPr="004203C2">
              <w:rPr>
                <w:rFonts w:ascii="Times New Roman" w:hAnsi="Times New Roman"/>
                <w:b/>
                <w:iCs/>
                <w:color w:val="000000"/>
              </w:rPr>
              <w:t>Indicate which entities in your state have the authority to approve the expenditure of funds collected for 911 or E911 purposes.</w:t>
            </w:r>
          </w:p>
        </w:tc>
      </w:tr>
      <w:tr w14:paraId="25C28392" w14:textId="77777777" w:rsidTr="006744B5">
        <w:tblPrEx>
          <w:tblW w:w="0" w:type="auto"/>
          <w:jc w:val="center"/>
          <w:tblLayout w:type="fixed"/>
          <w:tblCellMar>
            <w:top w:w="72" w:type="dxa"/>
            <w:left w:w="115" w:type="dxa"/>
            <w:bottom w:w="72" w:type="dxa"/>
            <w:right w:w="115" w:type="dxa"/>
          </w:tblCellMar>
          <w:tblLook w:val="0000"/>
        </w:tblPrEx>
        <w:trPr>
          <w:trHeight w:val="526"/>
          <w:jc w:val="center"/>
        </w:trPr>
        <w:tc>
          <w:tcPr>
            <w:tcW w:w="4788" w:type="dxa"/>
            <w:vMerge w:val="restart"/>
            <w:tcBorders>
              <w:top w:val="single" w:sz="4" w:space="0" w:color="auto"/>
              <w:left w:val="single" w:sz="4" w:space="0" w:color="auto"/>
            </w:tcBorders>
            <w:shd w:val="clear" w:color="auto" w:fill="D9D9D9"/>
            <w:vAlign w:val="center"/>
          </w:tcPr>
          <w:p w:rsidR="008828A9" w:rsidRPr="001844D1" w:rsidP="006744B5" w14:paraId="6C1620D7" w14:textId="77777777">
            <w:pPr>
              <w:jc w:val="center"/>
              <w:rPr>
                <w:b/>
                <w:i/>
                <w:szCs w:val="22"/>
              </w:rPr>
            </w:pPr>
            <w:r w:rsidRPr="001844D1">
              <w:rPr>
                <w:b/>
                <w:szCs w:val="22"/>
              </w:rPr>
              <w:t>Jurisdiction</w:t>
            </w:r>
          </w:p>
        </w:tc>
        <w:tc>
          <w:tcPr>
            <w:tcW w:w="4680" w:type="dxa"/>
            <w:gridSpan w:val="2"/>
            <w:shd w:val="clear" w:color="auto" w:fill="D9D9D9"/>
          </w:tcPr>
          <w:p w:rsidR="008828A9" w:rsidRPr="001844D1" w:rsidP="006744B5" w14:paraId="27F6D11E" w14:textId="77777777">
            <w:pPr>
              <w:jc w:val="center"/>
              <w:rPr>
                <w:b/>
                <w:szCs w:val="22"/>
              </w:rPr>
            </w:pPr>
            <w:r w:rsidRPr="001844D1">
              <w:rPr>
                <w:b/>
                <w:szCs w:val="22"/>
              </w:rPr>
              <w:t xml:space="preserve">Authority to Approve </w:t>
            </w:r>
          </w:p>
          <w:p w:rsidR="008828A9" w:rsidRPr="001844D1" w:rsidP="006744B5" w14:paraId="42C12CDD" w14:textId="77777777">
            <w:pPr>
              <w:jc w:val="center"/>
              <w:rPr>
                <w:b/>
                <w:szCs w:val="22"/>
              </w:rPr>
            </w:pPr>
            <w:r w:rsidRPr="001844D1">
              <w:rPr>
                <w:b/>
                <w:szCs w:val="22"/>
              </w:rPr>
              <w:t>Expenditure of Funds</w:t>
            </w:r>
          </w:p>
          <w:p w:rsidR="008828A9" w:rsidRPr="001844D1" w:rsidP="006744B5" w14:paraId="07E2E046" w14:textId="77777777">
            <w:pPr>
              <w:jc w:val="center"/>
              <w:rPr>
                <w:b/>
                <w:szCs w:val="22"/>
              </w:rPr>
            </w:pPr>
            <w:r w:rsidRPr="001844D1">
              <w:rPr>
                <w:b/>
                <w:i/>
                <w:szCs w:val="22"/>
              </w:rPr>
              <w:t>(Check one)</w:t>
            </w:r>
          </w:p>
        </w:tc>
      </w:tr>
      <w:tr w14:paraId="71A4346C" w14:textId="77777777" w:rsidTr="006744B5">
        <w:tblPrEx>
          <w:tblW w:w="0" w:type="auto"/>
          <w:jc w:val="center"/>
          <w:tblLayout w:type="fixed"/>
          <w:tblCellMar>
            <w:top w:w="72" w:type="dxa"/>
            <w:left w:w="115" w:type="dxa"/>
            <w:bottom w:w="72" w:type="dxa"/>
            <w:right w:w="115" w:type="dxa"/>
          </w:tblCellMar>
          <w:tblLook w:val="0000"/>
        </w:tblPrEx>
        <w:trPr>
          <w:trHeight w:val="526"/>
          <w:jc w:val="center"/>
        </w:trPr>
        <w:tc>
          <w:tcPr>
            <w:tcW w:w="4788" w:type="dxa"/>
            <w:vMerge/>
            <w:tcBorders>
              <w:left w:val="single" w:sz="4" w:space="0" w:color="auto"/>
            </w:tcBorders>
            <w:shd w:val="clear" w:color="auto" w:fill="D9D9D9"/>
            <w:vAlign w:val="center"/>
          </w:tcPr>
          <w:p w:rsidR="008828A9" w:rsidRPr="001844D1" w:rsidP="006744B5" w14:paraId="323E3CF9" w14:textId="77777777">
            <w:pPr>
              <w:jc w:val="center"/>
              <w:rPr>
                <w:b/>
                <w:szCs w:val="22"/>
              </w:rPr>
            </w:pPr>
          </w:p>
        </w:tc>
        <w:tc>
          <w:tcPr>
            <w:tcW w:w="2340" w:type="dxa"/>
            <w:shd w:val="clear" w:color="auto" w:fill="D9D9D9"/>
            <w:vAlign w:val="center"/>
          </w:tcPr>
          <w:p w:rsidR="008828A9" w:rsidRPr="001844D1" w:rsidP="006744B5" w14:paraId="18B5FA7F" w14:textId="77777777">
            <w:pPr>
              <w:jc w:val="center"/>
              <w:rPr>
                <w:b/>
                <w:szCs w:val="22"/>
              </w:rPr>
            </w:pPr>
            <w:r w:rsidRPr="001844D1">
              <w:rPr>
                <w:b/>
                <w:szCs w:val="22"/>
              </w:rPr>
              <w:t>Yes</w:t>
            </w:r>
          </w:p>
        </w:tc>
        <w:tc>
          <w:tcPr>
            <w:tcW w:w="2340" w:type="dxa"/>
            <w:shd w:val="clear" w:color="auto" w:fill="D9D9D9"/>
            <w:vAlign w:val="center"/>
          </w:tcPr>
          <w:p w:rsidR="008828A9" w:rsidRPr="001844D1" w:rsidP="006744B5" w14:paraId="18578C0B" w14:textId="77777777">
            <w:pPr>
              <w:jc w:val="center"/>
              <w:rPr>
                <w:b/>
                <w:szCs w:val="22"/>
              </w:rPr>
            </w:pPr>
            <w:r w:rsidRPr="001844D1">
              <w:rPr>
                <w:b/>
                <w:szCs w:val="22"/>
              </w:rPr>
              <w:t>No</w:t>
            </w:r>
          </w:p>
        </w:tc>
      </w:tr>
      <w:tr w14:paraId="454CA956" w14:textId="77777777" w:rsidTr="006744B5">
        <w:tblPrEx>
          <w:tblW w:w="0" w:type="auto"/>
          <w:jc w:val="center"/>
          <w:tblLayout w:type="fixed"/>
          <w:tblCellMar>
            <w:top w:w="72" w:type="dxa"/>
            <w:left w:w="115" w:type="dxa"/>
            <w:bottom w:w="72" w:type="dxa"/>
            <w:right w:w="115" w:type="dxa"/>
          </w:tblCellMar>
          <w:tblLook w:val="0000"/>
        </w:tblPrEx>
        <w:trPr>
          <w:jc w:val="center"/>
        </w:trPr>
        <w:tc>
          <w:tcPr>
            <w:tcW w:w="4788" w:type="dxa"/>
            <w:vAlign w:val="center"/>
          </w:tcPr>
          <w:p w:rsidR="008828A9" w:rsidRPr="001844D1" w:rsidP="006744B5" w14:paraId="437BF671" w14:textId="77777777">
            <w:pPr>
              <w:spacing w:before="120"/>
              <w:rPr>
                <w:szCs w:val="22"/>
              </w:rPr>
            </w:pPr>
            <w:r w:rsidRPr="001844D1">
              <w:rPr>
                <w:szCs w:val="22"/>
              </w:rPr>
              <w:t>State</w:t>
            </w:r>
          </w:p>
          <w:p w:rsidR="008828A9" w:rsidRPr="001844D1" w:rsidP="006744B5" w14:paraId="05AA136A" w14:textId="77777777">
            <w:pPr>
              <w:rPr>
                <w:szCs w:val="22"/>
              </w:rPr>
            </w:pPr>
          </w:p>
        </w:tc>
        <w:tc>
          <w:tcPr>
            <w:tcW w:w="2340" w:type="dxa"/>
            <w:vAlign w:val="center"/>
          </w:tcPr>
          <w:p w:rsidR="008828A9" w:rsidRPr="001844D1" w:rsidP="006744B5" w14:paraId="68B76C1F" w14:textId="77777777">
            <w:pPr>
              <w:spacing w:before="120"/>
              <w:jc w:val="center"/>
              <w:rPr>
                <w:szCs w:val="22"/>
              </w:rPr>
            </w:pPr>
            <w:r w:rsidRPr="004203C2">
              <w:rPr>
                <w:b/>
                <w:szCs w:val="22"/>
              </w:rPr>
              <w:fldChar w:fldCharType="begin">
                <w:ffData>
                  <w:name w:val="Check8"/>
                  <w:enabled/>
                  <w:calcOnExit w:val="0"/>
                  <w:checkBox>
                    <w:sizeAuto/>
                    <w:default w:val="0"/>
                    <w:checked w:val="0"/>
                  </w:checkBox>
                </w:ffData>
              </w:fldChar>
            </w:r>
            <w:r w:rsidRPr="001844D1">
              <w:rPr>
                <w:b/>
                <w:szCs w:val="22"/>
              </w:rPr>
              <w:instrText xml:space="preserve"> FORMCHECKBOX </w:instrText>
            </w:r>
            <w:r w:rsidR="00E402CA">
              <w:rPr>
                <w:b/>
                <w:szCs w:val="22"/>
              </w:rPr>
              <w:fldChar w:fldCharType="separate"/>
            </w:r>
            <w:r w:rsidRPr="004203C2">
              <w:rPr>
                <w:b/>
                <w:szCs w:val="22"/>
              </w:rPr>
              <w:fldChar w:fldCharType="end"/>
            </w:r>
          </w:p>
        </w:tc>
        <w:tc>
          <w:tcPr>
            <w:tcW w:w="2340" w:type="dxa"/>
            <w:vAlign w:val="center"/>
          </w:tcPr>
          <w:p w:rsidR="008828A9" w:rsidRPr="001844D1" w:rsidP="006744B5" w14:paraId="5FBBDE51" w14:textId="77777777">
            <w:pPr>
              <w:spacing w:before="120"/>
              <w:jc w:val="center"/>
              <w:rPr>
                <w:szCs w:val="22"/>
              </w:rPr>
            </w:pPr>
            <w:r w:rsidRPr="004203C2">
              <w:rPr>
                <w:b/>
                <w:szCs w:val="22"/>
              </w:rPr>
              <w:fldChar w:fldCharType="begin">
                <w:ffData>
                  <w:name w:val="Check8"/>
                  <w:enabled/>
                  <w:calcOnExit w:val="0"/>
                  <w:checkBox>
                    <w:sizeAuto/>
                    <w:default w:val="0"/>
                  </w:checkBox>
                </w:ffData>
              </w:fldChar>
            </w:r>
            <w:r w:rsidRPr="001844D1">
              <w:rPr>
                <w:b/>
                <w:szCs w:val="22"/>
              </w:rPr>
              <w:instrText xml:space="preserve"> FORMCHECKBOX </w:instrText>
            </w:r>
            <w:r w:rsidR="00E402CA">
              <w:rPr>
                <w:b/>
                <w:szCs w:val="22"/>
              </w:rPr>
              <w:fldChar w:fldCharType="separate"/>
            </w:r>
            <w:r w:rsidRPr="004203C2">
              <w:rPr>
                <w:b/>
                <w:szCs w:val="22"/>
              </w:rPr>
              <w:fldChar w:fldCharType="end"/>
            </w:r>
          </w:p>
        </w:tc>
      </w:tr>
      <w:tr w14:paraId="28DB0666" w14:textId="77777777" w:rsidTr="006744B5">
        <w:tblPrEx>
          <w:tblW w:w="0" w:type="auto"/>
          <w:jc w:val="center"/>
          <w:tblLayout w:type="fixed"/>
          <w:tblCellMar>
            <w:top w:w="72" w:type="dxa"/>
            <w:left w:w="115" w:type="dxa"/>
            <w:bottom w:w="72" w:type="dxa"/>
            <w:right w:w="115" w:type="dxa"/>
          </w:tblCellMar>
          <w:tblLook w:val="0000"/>
        </w:tblPrEx>
        <w:trPr>
          <w:jc w:val="center"/>
        </w:trPr>
        <w:tc>
          <w:tcPr>
            <w:tcW w:w="4788" w:type="dxa"/>
            <w:vAlign w:val="center"/>
          </w:tcPr>
          <w:p w:rsidR="008828A9" w:rsidRPr="001844D1" w:rsidP="006744B5" w14:paraId="29090EE7" w14:textId="77777777">
            <w:pPr>
              <w:spacing w:before="120"/>
              <w:rPr>
                <w:szCs w:val="22"/>
              </w:rPr>
            </w:pPr>
            <w:r w:rsidRPr="001844D1">
              <w:rPr>
                <w:szCs w:val="22"/>
              </w:rPr>
              <w:t xml:space="preserve">Local </w:t>
            </w:r>
          </w:p>
          <w:p w:rsidR="008828A9" w:rsidRPr="001844D1" w:rsidP="006744B5" w14:paraId="5B8D7268" w14:textId="77777777">
            <w:pPr>
              <w:spacing w:before="120"/>
              <w:rPr>
                <w:szCs w:val="22"/>
              </w:rPr>
            </w:pPr>
            <w:r w:rsidRPr="001844D1">
              <w:rPr>
                <w:szCs w:val="22"/>
              </w:rPr>
              <w:t>(</w:t>
            </w:r>
            <w:r w:rsidRPr="001844D1">
              <w:rPr>
                <w:i/>
                <w:szCs w:val="22"/>
              </w:rPr>
              <w:t>e.g.</w:t>
            </w:r>
            <w:r w:rsidRPr="001844D1">
              <w:rPr>
                <w:szCs w:val="22"/>
              </w:rPr>
              <w:t>, county, city, municipality)</w:t>
            </w:r>
          </w:p>
          <w:p w:rsidR="008828A9" w:rsidRPr="001844D1" w:rsidP="006744B5" w14:paraId="5C6AEC5A" w14:textId="77777777">
            <w:pPr>
              <w:rPr>
                <w:szCs w:val="22"/>
              </w:rPr>
            </w:pPr>
          </w:p>
        </w:tc>
        <w:tc>
          <w:tcPr>
            <w:tcW w:w="2340" w:type="dxa"/>
            <w:vAlign w:val="center"/>
          </w:tcPr>
          <w:p w:rsidR="008828A9" w:rsidRPr="001844D1" w:rsidP="006744B5" w14:paraId="0CFA1A1B" w14:textId="77777777">
            <w:pPr>
              <w:spacing w:before="120"/>
              <w:jc w:val="center"/>
              <w:rPr>
                <w:szCs w:val="22"/>
              </w:rPr>
            </w:pPr>
            <w:r w:rsidRPr="004203C2">
              <w:rPr>
                <w:b/>
                <w:szCs w:val="22"/>
              </w:rPr>
              <w:fldChar w:fldCharType="begin">
                <w:ffData>
                  <w:name w:val="Check8"/>
                  <w:enabled/>
                  <w:calcOnExit w:val="0"/>
                  <w:checkBox>
                    <w:sizeAuto/>
                    <w:default w:val="0"/>
                    <w:checked w:val="0"/>
                  </w:checkBox>
                </w:ffData>
              </w:fldChar>
            </w:r>
            <w:r w:rsidRPr="001844D1">
              <w:rPr>
                <w:b/>
                <w:szCs w:val="22"/>
              </w:rPr>
              <w:instrText xml:space="preserve"> FORMCHECKBOX </w:instrText>
            </w:r>
            <w:r w:rsidR="00E402CA">
              <w:rPr>
                <w:b/>
                <w:szCs w:val="22"/>
              </w:rPr>
              <w:fldChar w:fldCharType="separate"/>
            </w:r>
            <w:r w:rsidRPr="004203C2">
              <w:rPr>
                <w:b/>
                <w:szCs w:val="22"/>
              </w:rPr>
              <w:fldChar w:fldCharType="end"/>
            </w:r>
          </w:p>
        </w:tc>
        <w:tc>
          <w:tcPr>
            <w:tcW w:w="2340" w:type="dxa"/>
            <w:vAlign w:val="center"/>
          </w:tcPr>
          <w:p w:rsidR="008828A9" w:rsidRPr="001844D1" w:rsidP="006744B5" w14:paraId="71C83660" w14:textId="77777777">
            <w:pPr>
              <w:spacing w:before="120"/>
              <w:jc w:val="center"/>
              <w:rPr>
                <w:szCs w:val="22"/>
              </w:rPr>
            </w:pPr>
            <w:r w:rsidRPr="004203C2">
              <w:rPr>
                <w:b/>
                <w:szCs w:val="22"/>
              </w:rPr>
              <w:fldChar w:fldCharType="begin">
                <w:ffData>
                  <w:name w:val="Check8"/>
                  <w:enabled/>
                  <w:calcOnExit w:val="0"/>
                  <w:checkBox>
                    <w:sizeAuto/>
                    <w:default w:val="0"/>
                  </w:checkBox>
                </w:ffData>
              </w:fldChar>
            </w:r>
            <w:r w:rsidRPr="001844D1">
              <w:rPr>
                <w:b/>
                <w:szCs w:val="22"/>
              </w:rPr>
              <w:instrText xml:space="preserve"> FORMCHECKBOX </w:instrText>
            </w:r>
            <w:r w:rsidR="00E402CA">
              <w:rPr>
                <w:b/>
                <w:szCs w:val="22"/>
              </w:rPr>
              <w:fldChar w:fldCharType="separate"/>
            </w:r>
            <w:r w:rsidRPr="004203C2">
              <w:rPr>
                <w:b/>
                <w:szCs w:val="22"/>
              </w:rPr>
              <w:fldChar w:fldCharType="end"/>
            </w:r>
          </w:p>
        </w:tc>
      </w:tr>
      <w:tr w14:paraId="610D478E" w14:textId="77777777" w:rsidTr="006744B5">
        <w:tblPrEx>
          <w:tblW w:w="0" w:type="auto"/>
          <w:jc w:val="center"/>
          <w:tblLayout w:type="fixed"/>
          <w:tblCellMar>
            <w:top w:w="72" w:type="dxa"/>
            <w:left w:w="115" w:type="dxa"/>
            <w:bottom w:w="72" w:type="dxa"/>
            <w:right w:w="115" w:type="dxa"/>
          </w:tblCellMar>
          <w:tblLook w:val="0000"/>
        </w:tblPrEx>
        <w:trPr>
          <w:jc w:val="center"/>
        </w:trPr>
        <w:tc>
          <w:tcPr>
            <w:tcW w:w="9468" w:type="dxa"/>
            <w:gridSpan w:val="3"/>
            <w:shd w:val="clear" w:color="auto" w:fill="D9D9D9"/>
          </w:tcPr>
          <w:p w:rsidR="008828A9" w:rsidRPr="001844D1" w:rsidP="006744B5" w14:paraId="759144E7" w14:textId="77777777">
            <w:pPr>
              <w:spacing w:before="120"/>
              <w:rPr>
                <w:szCs w:val="22"/>
              </w:rPr>
            </w:pPr>
            <w:r w:rsidRPr="001844D1">
              <w:rPr>
                <w:b/>
                <w:szCs w:val="22"/>
              </w:rPr>
              <w:t>1b. Please briefly describe any limitations on the approval authority per jurisdiction (</w:t>
            </w:r>
            <w:r w:rsidRPr="001844D1">
              <w:rPr>
                <w:b/>
                <w:i/>
                <w:szCs w:val="22"/>
              </w:rPr>
              <w:t>e.g.</w:t>
            </w:r>
            <w:r w:rsidRPr="001844D1">
              <w:rPr>
                <w:b/>
                <w:szCs w:val="22"/>
              </w:rPr>
              <w:t>, limited to fees collected by the entity, limited to wireline or wireless service, etc.)</w:t>
            </w:r>
          </w:p>
        </w:tc>
      </w:tr>
      <w:tr w14:paraId="52A9B565" w14:textId="77777777" w:rsidTr="006744B5">
        <w:tblPrEx>
          <w:tblW w:w="0" w:type="auto"/>
          <w:jc w:val="center"/>
          <w:tblLayout w:type="fixed"/>
          <w:tblCellMar>
            <w:top w:w="72" w:type="dxa"/>
            <w:left w:w="115" w:type="dxa"/>
            <w:bottom w:w="72" w:type="dxa"/>
            <w:right w:w="115" w:type="dxa"/>
          </w:tblCellMar>
          <w:tblLook w:val="0000"/>
        </w:tblPrEx>
        <w:trPr>
          <w:jc w:val="center"/>
        </w:trPr>
        <w:tc>
          <w:tcPr>
            <w:tcW w:w="9468" w:type="dxa"/>
            <w:gridSpan w:val="3"/>
          </w:tcPr>
          <w:p w:rsidR="008828A9" w:rsidRPr="001844D1" w:rsidP="006744B5" w14:paraId="557EF351" w14:textId="77777777">
            <w:pPr>
              <w:spacing w:after="120"/>
              <w:rPr>
                <w:iCs/>
                <w:color w:val="000000"/>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p w:rsidR="008828A9" w:rsidRPr="001844D1" w:rsidP="006744B5" w14:paraId="02495760" w14:textId="77777777">
            <w:pPr>
              <w:spacing w:before="120"/>
              <w:rPr>
                <w:szCs w:val="22"/>
              </w:rPr>
            </w:pPr>
          </w:p>
        </w:tc>
      </w:tr>
    </w:tbl>
    <w:p w:rsidR="008828A9" w:rsidRPr="001844D1" w:rsidP="008828A9" w14:paraId="53A0D463"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20C5659B"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5C00ABA3" w14:textId="77777777">
            <w:pPr>
              <w:tabs>
                <w:tab w:val="left" w:pos="630"/>
              </w:tabs>
              <w:spacing w:after="120"/>
              <w:rPr>
                <w:rFonts w:ascii="Times New Roman" w:hAnsi="Times New Roman"/>
                <w:b/>
                <w:iCs/>
                <w:color w:val="000000"/>
              </w:rPr>
            </w:pPr>
            <w:r w:rsidRPr="001844D1">
              <w:rPr>
                <w:b/>
                <w:iCs/>
                <w:color w:val="000000"/>
              </w:rPr>
              <w:t>Addendum Section D1</w:t>
            </w:r>
          </w:p>
        </w:tc>
      </w:tr>
      <w:tr w14:paraId="21F58886" w14:textId="77777777" w:rsidTr="006744B5">
        <w:tblPrEx>
          <w:tblW w:w="0" w:type="auto"/>
          <w:jc w:val="center"/>
          <w:tblCellMar>
            <w:top w:w="72" w:type="dxa"/>
            <w:left w:w="115" w:type="dxa"/>
            <w:bottom w:w="72" w:type="dxa"/>
            <w:right w:w="115" w:type="dxa"/>
          </w:tblCellMar>
          <w:tblLook w:val="04A0"/>
        </w:tblPrEx>
        <w:trPr>
          <w:trHeight w:val="962"/>
          <w:jc w:val="center"/>
        </w:trPr>
        <w:tc>
          <w:tcPr>
            <w:tcW w:w="9205" w:type="dxa"/>
          </w:tcPr>
          <w:p w:rsidR="008828A9" w:rsidRPr="004203C2" w:rsidP="006744B5" w14:paraId="4FD7B988"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638348A8" w14:textId="77777777">
      <w:pPr>
        <w:spacing w:after="200" w:line="276" w:lineRule="auto"/>
        <w:rPr>
          <w:iCs/>
          <w:color w:val="000000"/>
          <w:szCs w:val="22"/>
        </w:rPr>
      </w:pPr>
    </w:p>
    <w:p w:rsidR="008828A9" w:rsidRPr="004203C2" w:rsidP="008828A9" w14:paraId="3E8735EA" w14:textId="77777777">
      <w:pPr>
        <w:pStyle w:val="ListParagraph"/>
        <w:numPr>
          <w:ilvl w:val="0"/>
          <w:numId w:val="14"/>
        </w:numPr>
        <w:spacing w:after="120" w:line="240" w:lineRule="auto"/>
        <w:rPr>
          <w:rFonts w:ascii="Times New Roman" w:hAnsi="Times New Roman"/>
          <w:b/>
          <w:iCs/>
          <w:color w:val="000000"/>
        </w:rPr>
      </w:pPr>
      <w:r w:rsidRPr="004203C2">
        <w:rPr>
          <w:rFonts w:ascii="Times New Roman" w:hAnsi="Times New Roman"/>
          <w:b/>
          <w:iCs/>
          <w:color w:val="000000"/>
        </w:rPr>
        <w:t xml:space="preserve">Has your state established a funding mechanism that mandates </w:t>
      </w:r>
      <w:r w:rsidRPr="004203C2">
        <w:rPr>
          <w:rFonts w:ascii="Times New Roman" w:hAnsi="Times New Roman"/>
          <w:b/>
          <w:i/>
          <w:iCs/>
          <w:color w:val="000000"/>
        </w:rPr>
        <w:t>how</w:t>
      </w:r>
      <w:r w:rsidRPr="004203C2">
        <w:rPr>
          <w:rFonts w:ascii="Times New Roman" w:hAnsi="Times New Roman"/>
          <w:b/>
          <w:iCs/>
          <w:color w:val="000000"/>
        </w:rPr>
        <w:t xml:space="preserve"> collected funds can be used?  </w:t>
      </w:r>
      <w:r w:rsidRPr="004203C2">
        <w:rPr>
          <w:rFonts w:ascii="Times New Roman" w:hAnsi="Times New Roman"/>
          <w:b/>
          <w:i/>
          <w:iCs/>
          <w:color w:val="000000"/>
        </w:rPr>
        <w:t>Check one</w:t>
      </w:r>
      <w:r w:rsidRPr="004203C2">
        <w:rPr>
          <w:rFonts w:ascii="Times New Roman" w:hAnsi="Times New Roman"/>
          <w:b/>
          <w:iCs/>
          <w:color w:val="000000"/>
        </w:rPr>
        <w:t>.</w:t>
      </w:r>
    </w:p>
    <w:p w:rsidR="008828A9" w:rsidRPr="001844D1" w:rsidP="008828A9" w14:paraId="642C2686" w14:textId="77777777">
      <w:pPr>
        <w:pStyle w:val="Memorandum"/>
        <w:numPr>
          <w:ilvl w:val="0"/>
          <w:numId w:val="9"/>
        </w:numPr>
        <w:spacing w:before="100"/>
        <w:jc w:val="center"/>
        <w:rPr>
          <w:rFonts w:ascii="Times New Roman" w:hAnsi="Times New Roman" w:cs="Times New Roman"/>
          <w:b w:val="0"/>
          <w:i/>
          <w:noProof w:val="0"/>
          <w:sz w:val="22"/>
          <w:szCs w:val="22"/>
        </w:rPr>
      </w:pPr>
      <w:r w:rsidRPr="001844D1">
        <w:rPr>
          <w:rFonts w:ascii="Times New Roman" w:hAnsi="Times New Roman" w:cs="Times New Roman"/>
          <w:b w:val="0"/>
          <w:noProof w:val="0"/>
          <w:sz w:val="22"/>
          <w:szCs w:val="22"/>
        </w:rPr>
        <w:t>Yes …………………..</w:t>
      </w:r>
      <w:r w:rsidRPr="001844D1">
        <w:rPr>
          <w:rFonts w:ascii="Times New Roman" w:hAnsi="Times New Roman" w:cs="Times New Roman"/>
          <w:b w:val="0"/>
          <w:noProof w:val="0"/>
          <w:sz w:val="22"/>
          <w:szCs w:val="22"/>
        </w:rPr>
        <w:tab/>
      </w:r>
      <w:r w:rsidRPr="004203C2">
        <w:rPr>
          <w:rFonts w:ascii="Times New Roman" w:hAnsi="Times New Roman" w:cs="Times New Roman"/>
          <w:b w:val="0"/>
          <w:noProof w:val="0"/>
          <w:sz w:val="22"/>
          <w:szCs w:val="22"/>
        </w:rPr>
        <w:fldChar w:fldCharType="begin">
          <w:ffData>
            <w:name w:val="Check8"/>
            <w:enabled/>
            <w:calcOnExit w:val="0"/>
            <w:checkBox>
              <w:sizeAuto/>
              <w:default w:val="0"/>
              <w:checked w:val="0"/>
            </w:checkBox>
          </w:ffData>
        </w:fldChar>
      </w:r>
      <w:r w:rsidRPr="001844D1">
        <w:rPr>
          <w:rFonts w:ascii="Times New Roman" w:hAnsi="Times New Roman" w:cs="Times New Roman"/>
          <w:b w:val="0"/>
          <w:noProof w:val="0"/>
          <w:sz w:val="22"/>
          <w:szCs w:val="22"/>
        </w:rPr>
        <w:instrText xml:space="preserve"> FORMCHECKBOX </w:instrText>
      </w:r>
      <w:r w:rsidR="00E402CA">
        <w:rPr>
          <w:rFonts w:ascii="Times New Roman" w:hAnsi="Times New Roman" w:cs="Times New Roman"/>
          <w:b w:val="0"/>
          <w:noProof w:val="0"/>
          <w:sz w:val="22"/>
          <w:szCs w:val="22"/>
        </w:rPr>
        <w:fldChar w:fldCharType="separate"/>
      </w:r>
      <w:r w:rsidRPr="004203C2">
        <w:rPr>
          <w:rFonts w:ascii="Times New Roman" w:hAnsi="Times New Roman" w:cs="Times New Roman"/>
          <w:b w:val="0"/>
          <w:noProof w:val="0"/>
          <w:sz w:val="22"/>
          <w:szCs w:val="22"/>
        </w:rPr>
        <w:fldChar w:fldCharType="end"/>
      </w:r>
    </w:p>
    <w:p w:rsidR="008828A9" w:rsidRPr="004203C2" w:rsidP="008828A9" w14:paraId="0CCEDEB1" w14:textId="77777777">
      <w:pPr>
        <w:pStyle w:val="ListParagraph"/>
        <w:numPr>
          <w:ilvl w:val="0"/>
          <w:numId w:val="9"/>
        </w:numPr>
        <w:spacing w:after="120" w:line="240" w:lineRule="auto"/>
        <w:jc w:val="center"/>
        <w:rPr>
          <w:rFonts w:ascii="Times New Roman" w:hAnsi="Times New Roman"/>
        </w:rPr>
      </w:pPr>
      <w:r w:rsidRPr="004203C2">
        <w:rPr>
          <w:rFonts w:ascii="Times New Roman" w:hAnsi="Times New Roman"/>
        </w:rPr>
        <w:t>No ………………..…..</w:t>
      </w:r>
      <w:r w:rsidRPr="004203C2">
        <w:rPr>
          <w:rFonts w:ascii="Times New Roman" w:hAnsi="Times New Roman"/>
        </w:rPr>
        <w:tab/>
      </w:r>
      <w:r w:rsidRPr="004203C2">
        <w:rPr>
          <w:rFonts w:ascii="Times New Roman" w:hAnsi="Times New Roman"/>
          <w:b/>
        </w:rPr>
        <w:fldChar w:fldCharType="begin">
          <w:ffData>
            <w:name w:val="Check8"/>
            <w:enabled/>
            <w:calcOnExit w:val="0"/>
            <w:checkBox>
              <w:sizeAuto/>
              <w:default w:val="0"/>
            </w:checkBox>
          </w:ffData>
        </w:fldChar>
      </w:r>
      <w:r w:rsidRPr="004203C2">
        <w:rPr>
          <w:rFonts w:ascii="Times New Roman" w:hAnsi="Times New Roman"/>
          <w:b/>
        </w:rPr>
        <w:instrText xml:space="preserve"> FORMCHECKBOX </w:instrText>
      </w:r>
      <w:r w:rsidR="00E402CA">
        <w:rPr>
          <w:rFonts w:ascii="Times New Roman" w:hAnsi="Times New Roman"/>
          <w:b/>
        </w:rPr>
        <w:fldChar w:fldCharType="separate"/>
      </w:r>
      <w:r w:rsidRPr="004203C2">
        <w:rPr>
          <w:rFonts w:ascii="Times New Roman" w:hAnsi="Times New Roman"/>
          <w:b/>
        </w:rPr>
        <w:fldChar w:fldCharType="end"/>
      </w:r>
    </w:p>
    <w:p w:rsidR="008828A9" w:rsidRPr="001844D1" w:rsidP="008828A9" w14:paraId="7741D103" w14:textId="77777777">
      <w:pPr>
        <w:spacing w:after="120"/>
        <w:ind w:left="2160"/>
        <w:rPr>
          <w:iCs/>
          <w:color w:val="000000"/>
          <w:szCs w:val="22"/>
        </w:rPr>
      </w:pPr>
    </w:p>
    <w:p w:rsidR="008828A9" w:rsidRPr="00AE31B6" w:rsidP="008828A9" w14:paraId="32FC6071" w14:textId="77777777">
      <w:pPr>
        <w:spacing w:after="120"/>
        <w:ind w:left="360"/>
        <w:rPr>
          <w:iCs/>
          <w:color w:val="000000"/>
          <w:szCs w:val="22"/>
        </w:rPr>
      </w:pPr>
      <w:r w:rsidRPr="001844D1">
        <w:rPr>
          <w:b/>
          <w:iCs/>
          <w:color w:val="000000"/>
          <w:szCs w:val="22"/>
        </w:rPr>
        <w:t>2a.</w:t>
      </w:r>
      <w:r w:rsidRPr="001844D1">
        <w:rPr>
          <w:iCs/>
          <w:color w:val="000000"/>
          <w:szCs w:val="22"/>
        </w:rPr>
        <w:t xml:space="preserve"> </w:t>
      </w:r>
      <w:r w:rsidRPr="007D2116">
        <w:rPr>
          <w:b/>
          <w:iCs/>
          <w:color w:val="000000"/>
          <w:szCs w:val="22"/>
        </w:rPr>
        <w:t>If you checked YES, provide a legal citation to the funding mechanism of any such criteria.</w:t>
      </w:r>
    </w:p>
    <w:p w:rsidR="008828A9" w:rsidRPr="00666744" w:rsidP="008828A9" w14:paraId="170CAEBD" w14:textId="77777777">
      <w:pPr>
        <w:spacing w:after="120"/>
        <w:ind w:left="360"/>
        <w:rPr>
          <w:iCs/>
          <w:color w:val="000000"/>
          <w:szCs w:val="22"/>
        </w:rPr>
      </w:pPr>
    </w:p>
    <w:tbl>
      <w:tblPr>
        <w:tblStyle w:val="TableGrid"/>
        <w:tblW w:w="0" w:type="auto"/>
        <w:tblInd w:w="360" w:type="dxa"/>
        <w:tblCellMar>
          <w:top w:w="72" w:type="dxa"/>
          <w:left w:w="115" w:type="dxa"/>
          <w:bottom w:w="72" w:type="dxa"/>
          <w:right w:w="115" w:type="dxa"/>
        </w:tblCellMar>
        <w:tblLook w:val="04A0"/>
      </w:tblPr>
      <w:tblGrid>
        <w:gridCol w:w="8990"/>
      </w:tblGrid>
      <w:tr w14:paraId="5705BF5C" w14:textId="77777777" w:rsidTr="006744B5">
        <w:tblPrEx>
          <w:tblW w:w="0" w:type="auto"/>
          <w:tblInd w:w="360" w:type="dxa"/>
          <w:tblCellMar>
            <w:top w:w="72" w:type="dxa"/>
            <w:left w:w="115" w:type="dxa"/>
            <w:bottom w:w="72" w:type="dxa"/>
            <w:right w:w="115" w:type="dxa"/>
          </w:tblCellMar>
          <w:tblLook w:val="04A0"/>
        </w:tblPrEx>
        <w:tc>
          <w:tcPr>
            <w:tcW w:w="9576" w:type="dxa"/>
          </w:tcPr>
          <w:p w:rsidR="008828A9" w:rsidRPr="004203C2" w:rsidP="006744B5" w14:paraId="5C983A69"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128B17DF" w14:textId="77777777">
      <w:pPr>
        <w:spacing w:after="120"/>
        <w:ind w:left="360"/>
        <w:rPr>
          <w:iCs/>
          <w:color w:val="000000"/>
          <w:szCs w:val="22"/>
        </w:rPr>
      </w:pPr>
    </w:p>
    <w:p w:rsidR="008828A9" w:rsidRPr="001844D1" w:rsidP="008828A9" w14:paraId="7D1F8B9E" w14:textId="77777777">
      <w:pPr>
        <w:spacing w:after="120"/>
        <w:ind w:left="360"/>
        <w:rPr>
          <w:iCs/>
          <w:color w:val="000000"/>
          <w:szCs w:val="22"/>
        </w:rPr>
      </w:pPr>
      <w:r w:rsidRPr="001844D1">
        <w:rPr>
          <w:b/>
          <w:iCs/>
          <w:color w:val="000000"/>
          <w:szCs w:val="22"/>
        </w:rPr>
        <w:t>2b.</w:t>
      </w:r>
      <w:r w:rsidRPr="001844D1">
        <w:rPr>
          <w:iCs/>
          <w:color w:val="000000"/>
          <w:szCs w:val="22"/>
        </w:rPr>
        <w:t xml:space="preserve"> </w:t>
      </w:r>
      <w:r w:rsidRPr="001844D1">
        <w:rPr>
          <w:b/>
          <w:iCs/>
          <w:color w:val="000000"/>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tblPr>
      <w:tblGrid>
        <w:gridCol w:w="8990"/>
      </w:tblGrid>
      <w:tr w14:paraId="240F5290" w14:textId="77777777" w:rsidTr="006744B5">
        <w:tblPrEx>
          <w:tblW w:w="0" w:type="auto"/>
          <w:tblInd w:w="360" w:type="dxa"/>
          <w:tblCellMar>
            <w:top w:w="72" w:type="dxa"/>
            <w:left w:w="115" w:type="dxa"/>
            <w:bottom w:w="72" w:type="dxa"/>
            <w:right w:w="115" w:type="dxa"/>
          </w:tblCellMar>
          <w:tblLook w:val="04A0"/>
        </w:tblPrEx>
        <w:trPr>
          <w:trHeight w:val="701"/>
        </w:trPr>
        <w:tc>
          <w:tcPr>
            <w:tcW w:w="9576" w:type="dxa"/>
          </w:tcPr>
          <w:p w:rsidR="008828A9" w:rsidRPr="004203C2" w:rsidP="006744B5" w14:paraId="3E3C22C9"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ADF141C" w14:textId="77777777">
      <w:pPr>
        <w:spacing w:after="200" w:line="276" w:lineRule="auto"/>
        <w:rPr>
          <w:iCs/>
          <w:color w:val="000000"/>
          <w:szCs w:val="22"/>
        </w:rPr>
      </w:pPr>
    </w:p>
    <w:p w:rsidR="008828A9" w:rsidRPr="004203C2" w:rsidP="008828A9" w14:paraId="5B13600B" w14:textId="77777777">
      <w:pPr>
        <w:pStyle w:val="ListParagraph"/>
        <w:numPr>
          <w:ilvl w:val="0"/>
          <w:numId w:val="11"/>
        </w:numPr>
        <w:tabs>
          <w:tab w:val="left" w:pos="630"/>
        </w:tabs>
        <w:spacing w:after="120" w:line="240" w:lineRule="auto"/>
        <w:rPr>
          <w:rFonts w:ascii="Times New Roman" w:hAnsi="Times New Roman"/>
          <w:b/>
          <w:iCs/>
          <w:color w:val="000000"/>
          <w:u w:val="single"/>
        </w:rPr>
      </w:pPr>
      <w:r w:rsidRPr="004203C2">
        <w:rPr>
          <w:rFonts w:ascii="Times New Roman" w:hAnsi="Times New Roman"/>
          <w:b/>
          <w:iCs/>
          <w:color w:val="000000"/>
          <w:u w:val="single"/>
        </w:rPr>
        <w:t>Description of Uses of Collected 911/E911 Fees</w:t>
      </w:r>
    </w:p>
    <w:p w:rsidR="008828A9" w:rsidRPr="004203C2" w:rsidP="008828A9" w14:paraId="1158792A" w14:textId="77777777">
      <w:pPr>
        <w:pStyle w:val="ListParagraph"/>
        <w:spacing w:after="120"/>
        <w:rPr>
          <w:rFonts w:ascii="Times New Roman" w:hAnsi="Times New Roman"/>
          <w:b/>
          <w:iCs/>
          <w:color w:val="000000"/>
        </w:rPr>
      </w:pPr>
    </w:p>
    <w:p w:rsidR="008828A9" w:rsidRPr="004203C2" w:rsidP="008828A9" w14:paraId="0A2CFAB5" w14:textId="77777777">
      <w:pPr>
        <w:pStyle w:val="ListParagraph"/>
        <w:numPr>
          <w:ilvl w:val="0"/>
          <w:numId w:val="16"/>
        </w:numPr>
        <w:spacing w:after="120" w:line="240" w:lineRule="auto"/>
        <w:rPr>
          <w:rFonts w:ascii="Times New Roman" w:hAnsi="Times New Roman"/>
          <w:b/>
          <w:iCs/>
          <w:color w:val="000000"/>
        </w:rPr>
      </w:pPr>
      <w:r w:rsidRPr="004203C2">
        <w:rPr>
          <w:rFonts w:ascii="Times New Roman" w:hAnsi="Times New Roman"/>
          <w:b/>
          <w:iCs/>
          <w:color w:val="000000"/>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jc w:val="center"/>
        <w:tblLook w:val="04A0"/>
      </w:tblPr>
      <w:tblGrid>
        <w:gridCol w:w="9350"/>
      </w:tblGrid>
      <w:tr w14:paraId="4CC4D7A0" w14:textId="77777777" w:rsidTr="006744B5">
        <w:tblPrEx>
          <w:tblW w:w="0" w:type="auto"/>
          <w:jc w:val="center"/>
          <w:tblLook w:val="04A0"/>
        </w:tblPrEx>
        <w:trPr>
          <w:trHeight w:val="1439"/>
          <w:jc w:val="center"/>
        </w:trPr>
        <w:tc>
          <w:tcPr>
            <w:tcW w:w="9441" w:type="dxa"/>
          </w:tcPr>
          <w:p w:rsidR="008828A9" w:rsidRPr="004203C2" w:rsidP="006744B5" w14:paraId="7A9A98F0" w14:textId="77777777">
            <w:pPr>
              <w:spacing w:after="120"/>
              <w:rPr>
                <w:rFonts w:ascii="Times New Roman" w:hAnsi="Times New Roman"/>
                <w:iCs/>
                <w:color w:val="000000"/>
              </w:rPr>
            </w:pPr>
          </w:p>
          <w:p w:rsidR="008828A9" w:rsidRPr="004203C2" w:rsidP="006744B5" w14:paraId="17EA2F51"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p w:rsidR="008828A9" w:rsidRPr="004203C2" w:rsidP="006744B5" w14:paraId="0E260148" w14:textId="77777777">
            <w:pPr>
              <w:spacing w:after="120"/>
              <w:rPr>
                <w:rFonts w:ascii="Times New Roman" w:hAnsi="Times New Roman"/>
                <w:iCs/>
                <w:color w:val="000000"/>
              </w:rPr>
            </w:pPr>
          </w:p>
          <w:p w:rsidR="008828A9" w:rsidRPr="004203C2" w:rsidP="006744B5" w14:paraId="630BEC3D" w14:textId="77777777">
            <w:pPr>
              <w:spacing w:after="120"/>
              <w:rPr>
                <w:rFonts w:ascii="Times New Roman" w:hAnsi="Times New Roman"/>
                <w:iCs/>
                <w:color w:val="000000"/>
              </w:rPr>
            </w:pPr>
          </w:p>
          <w:p w:rsidR="008828A9" w:rsidRPr="004203C2" w:rsidP="006744B5" w14:paraId="5B72CC21" w14:textId="77777777">
            <w:pPr>
              <w:spacing w:after="120"/>
              <w:rPr>
                <w:rFonts w:ascii="Times New Roman" w:hAnsi="Times New Roman"/>
                <w:iCs/>
                <w:color w:val="000000"/>
              </w:rPr>
            </w:pPr>
          </w:p>
          <w:p w:rsidR="008828A9" w:rsidRPr="004203C2" w:rsidP="006744B5" w14:paraId="5E0E0460" w14:textId="77777777">
            <w:pPr>
              <w:spacing w:after="120"/>
              <w:rPr>
                <w:rFonts w:ascii="Times New Roman" w:hAnsi="Times New Roman"/>
                <w:iCs/>
                <w:color w:val="000000"/>
              </w:rPr>
            </w:pPr>
          </w:p>
          <w:p w:rsidR="008828A9" w:rsidRPr="004203C2" w:rsidP="006744B5" w14:paraId="5ACAB06A" w14:textId="77777777">
            <w:pPr>
              <w:spacing w:after="120"/>
              <w:rPr>
                <w:rFonts w:ascii="Times New Roman" w:hAnsi="Times New Roman"/>
                <w:iCs/>
                <w:color w:val="000000"/>
              </w:rPr>
            </w:pPr>
          </w:p>
          <w:p w:rsidR="008828A9" w:rsidRPr="004203C2" w:rsidP="006744B5" w14:paraId="2CDEAEAC" w14:textId="77777777">
            <w:pPr>
              <w:spacing w:after="120"/>
              <w:rPr>
                <w:rFonts w:ascii="Times New Roman" w:hAnsi="Times New Roman"/>
                <w:iCs/>
                <w:color w:val="000000"/>
              </w:rPr>
            </w:pPr>
          </w:p>
          <w:p w:rsidR="008828A9" w:rsidRPr="004203C2" w:rsidP="006744B5" w14:paraId="75DFBFFE" w14:textId="77777777">
            <w:pPr>
              <w:spacing w:after="120"/>
              <w:rPr>
                <w:rFonts w:ascii="Times New Roman" w:hAnsi="Times New Roman"/>
                <w:iCs/>
                <w:color w:val="000000"/>
              </w:rPr>
            </w:pPr>
          </w:p>
          <w:p w:rsidR="008828A9" w:rsidRPr="004203C2" w:rsidP="006744B5" w14:paraId="23D5665E" w14:textId="77777777">
            <w:pPr>
              <w:spacing w:after="120"/>
              <w:rPr>
                <w:rFonts w:ascii="Times New Roman" w:hAnsi="Times New Roman"/>
                <w:iCs/>
                <w:color w:val="000000"/>
              </w:rPr>
            </w:pPr>
          </w:p>
        </w:tc>
      </w:tr>
    </w:tbl>
    <w:p w:rsidR="008828A9" w:rsidRPr="001844D1" w:rsidP="008828A9" w14:paraId="3690E6CC" w14:textId="77777777">
      <w:pPr>
        <w:spacing w:after="120"/>
        <w:rPr>
          <w:b/>
          <w:iCs/>
          <w:color w:val="000000"/>
        </w:rPr>
      </w:pPr>
    </w:p>
    <w:p w:rsidR="008828A9" w:rsidRPr="004203C2" w:rsidP="008828A9" w14:paraId="6FF2F97F" w14:textId="77777777">
      <w:pPr>
        <w:pStyle w:val="ListParagraph"/>
        <w:spacing w:after="120"/>
        <w:rPr>
          <w:rFonts w:ascii="Times New Roman" w:hAnsi="Times New Roman"/>
          <w:b/>
          <w:iCs/>
          <w:color w:val="000000"/>
        </w:rPr>
      </w:pPr>
    </w:p>
    <w:tbl>
      <w:tblPr>
        <w:tblStyle w:val="TableGrid"/>
        <w:tblW w:w="0" w:type="auto"/>
        <w:tblCellMar>
          <w:top w:w="72" w:type="dxa"/>
          <w:left w:w="115" w:type="dxa"/>
          <w:bottom w:w="72" w:type="dxa"/>
          <w:right w:w="115" w:type="dxa"/>
        </w:tblCellMar>
        <w:tblLook w:val="04A0"/>
      </w:tblPr>
      <w:tblGrid>
        <w:gridCol w:w="2356"/>
        <w:gridCol w:w="4015"/>
        <w:gridCol w:w="1573"/>
        <w:gridCol w:w="1406"/>
      </w:tblGrid>
      <w:tr w14:paraId="43C9B853" w14:textId="77777777" w:rsidTr="006744B5">
        <w:tblPrEx>
          <w:tblW w:w="0" w:type="auto"/>
          <w:tblCellMar>
            <w:top w:w="72" w:type="dxa"/>
            <w:left w:w="115" w:type="dxa"/>
            <w:bottom w:w="72" w:type="dxa"/>
            <w:right w:w="115" w:type="dxa"/>
          </w:tblCellMar>
          <w:tblLook w:val="04A0"/>
        </w:tblPrEx>
        <w:tc>
          <w:tcPr>
            <w:tcW w:w="9576" w:type="dxa"/>
            <w:gridSpan w:val="4"/>
            <w:shd w:val="clear" w:color="auto" w:fill="D9D9D9"/>
            <w:vAlign w:val="center"/>
          </w:tcPr>
          <w:p w:rsidR="008828A9" w:rsidRPr="004203C2" w:rsidP="008828A9" w14:paraId="575A71B9" w14:textId="77777777">
            <w:pPr>
              <w:pStyle w:val="ListParagraph"/>
              <w:numPr>
                <w:ilvl w:val="0"/>
                <w:numId w:val="16"/>
              </w:numPr>
              <w:spacing w:after="120" w:line="240" w:lineRule="auto"/>
              <w:rPr>
                <w:rFonts w:ascii="Times New Roman" w:hAnsi="Times New Roman"/>
                <w:b/>
              </w:rPr>
            </w:pPr>
            <w:r w:rsidRPr="004203C2">
              <w:rPr>
                <w:rFonts w:ascii="Times New Roman" w:hAnsi="Times New Roman"/>
                <w:b/>
                <w:iCs/>
                <w:color w:val="000000"/>
              </w:rPr>
              <w:t xml:space="preserve">Please identify the allowed uses of the collected funds. </w:t>
            </w:r>
            <w:r w:rsidRPr="004203C2">
              <w:rPr>
                <w:rFonts w:ascii="Times New Roman" w:hAnsi="Times New Roman"/>
                <w:b/>
                <w:i/>
                <w:iCs/>
                <w:color w:val="000000"/>
              </w:rPr>
              <w:t>Check all that apply</w:t>
            </w:r>
            <w:r w:rsidRPr="004203C2">
              <w:rPr>
                <w:rFonts w:ascii="Times New Roman" w:hAnsi="Times New Roman"/>
                <w:b/>
                <w:iCs/>
                <w:color w:val="000000"/>
              </w:rPr>
              <w:t>.</w:t>
            </w:r>
          </w:p>
        </w:tc>
      </w:tr>
      <w:tr w14:paraId="2265600D" w14:textId="77777777" w:rsidTr="006744B5">
        <w:tblPrEx>
          <w:tblW w:w="0" w:type="auto"/>
          <w:tblCellMar>
            <w:top w:w="72" w:type="dxa"/>
            <w:left w:w="115" w:type="dxa"/>
            <w:bottom w:w="72" w:type="dxa"/>
            <w:right w:w="115" w:type="dxa"/>
          </w:tblCellMar>
          <w:tblLook w:val="04A0"/>
        </w:tblPrEx>
        <w:tc>
          <w:tcPr>
            <w:tcW w:w="6505" w:type="dxa"/>
            <w:gridSpan w:val="2"/>
            <w:shd w:val="clear" w:color="auto" w:fill="D9D9D9"/>
            <w:vAlign w:val="center"/>
          </w:tcPr>
          <w:p w:rsidR="008828A9" w:rsidRPr="001844D1" w:rsidP="006744B5" w14:paraId="2CB11422" w14:textId="77777777">
            <w:pPr>
              <w:pStyle w:val="BodyText"/>
              <w:jc w:val="center"/>
              <w:rPr>
                <w:rFonts w:ascii="Times New Roman" w:hAnsi="Times New Roman" w:cs="Times New Roman"/>
                <w:b/>
              </w:rPr>
            </w:pPr>
            <w:r w:rsidRPr="001844D1">
              <w:rPr>
                <w:rFonts w:ascii="Times New Roman" w:hAnsi="Times New Roman" w:cs="Times New Roman"/>
                <w:b/>
              </w:rPr>
              <w:t>Type of Cost</w:t>
            </w:r>
          </w:p>
        </w:tc>
        <w:tc>
          <w:tcPr>
            <w:tcW w:w="1620" w:type="dxa"/>
            <w:shd w:val="clear" w:color="auto" w:fill="D9D9D9"/>
            <w:vAlign w:val="center"/>
          </w:tcPr>
          <w:p w:rsidR="008828A9" w:rsidRPr="001844D1" w:rsidP="006744B5" w14:paraId="205E16DF" w14:textId="77777777">
            <w:pPr>
              <w:pStyle w:val="BodyText"/>
              <w:jc w:val="center"/>
              <w:rPr>
                <w:rFonts w:ascii="Times New Roman" w:hAnsi="Times New Roman" w:cs="Times New Roman"/>
                <w:b/>
              </w:rPr>
            </w:pPr>
            <w:r w:rsidRPr="001844D1">
              <w:rPr>
                <w:rFonts w:ascii="Times New Roman" w:hAnsi="Times New Roman" w:cs="Times New Roman"/>
                <w:b/>
              </w:rPr>
              <w:t>Yes</w:t>
            </w:r>
          </w:p>
        </w:tc>
        <w:tc>
          <w:tcPr>
            <w:tcW w:w="1451" w:type="dxa"/>
            <w:shd w:val="clear" w:color="auto" w:fill="D9D9D9"/>
            <w:vAlign w:val="center"/>
          </w:tcPr>
          <w:p w:rsidR="008828A9" w:rsidRPr="001844D1" w:rsidP="006744B5" w14:paraId="54A03D88" w14:textId="77777777">
            <w:pPr>
              <w:pStyle w:val="BodyText"/>
              <w:jc w:val="center"/>
              <w:rPr>
                <w:rFonts w:ascii="Times New Roman" w:hAnsi="Times New Roman" w:cs="Times New Roman"/>
                <w:b/>
              </w:rPr>
            </w:pPr>
            <w:r w:rsidRPr="001844D1">
              <w:rPr>
                <w:rFonts w:ascii="Times New Roman" w:hAnsi="Times New Roman" w:cs="Times New Roman"/>
                <w:b/>
              </w:rPr>
              <w:t>No</w:t>
            </w:r>
          </w:p>
        </w:tc>
      </w:tr>
      <w:tr w14:paraId="764B6491" w14:textId="77777777" w:rsidTr="006744B5">
        <w:tblPrEx>
          <w:tblW w:w="0" w:type="auto"/>
          <w:tblCellMar>
            <w:top w:w="72" w:type="dxa"/>
            <w:left w:w="115" w:type="dxa"/>
            <w:bottom w:w="72" w:type="dxa"/>
            <w:right w:w="115" w:type="dxa"/>
          </w:tblCellMar>
          <w:tblLook w:val="04A0"/>
        </w:tblPrEx>
        <w:tc>
          <w:tcPr>
            <w:tcW w:w="2394" w:type="dxa"/>
            <w:vMerge w:val="restart"/>
            <w:vAlign w:val="center"/>
          </w:tcPr>
          <w:p w:rsidR="008828A9" w:rsidRPr="004203C2" w:rsidP="006744B5" w14:paraId="26229DCD" w14:textId="77777777">
            <w:pPr>
              <w:spacing w:after="200" w:line="276" w:lineRule="auto"/>
              <w:jc w:val="center"/>
              <w:rPr>
                <w:rFonts w:ascii="Times New Roman" w:hAnsi="Times New Roman"/>
                <w:b/>
                <w:iCs/>
                <w:color w:val="000000"/>
              </w:rPr>
            </w:pPr>
            <w:r w:rsidRPr="001844D1">
              <w:rPr>
                <w:b/>
                <w:iCs/>
                <w:color w:val="000000"/>
              </w:rPr>
              <w:t>Operating Costs</w:t>
            </w:r>
          </w:p>
        </w:tc>
        <w:tc>
          <w:tcPr>
            <w:tcW w:w="4111" w:type="dxa"/>
          </w:tcPr>
          <w:p w:rsidR="008828A9" w:rsidRPr="004203C2" w:rsidP="006744B5" w14:paraId="190C9B77" w14:textId="77777777">
            <w:pPr>
              <w:spacing w:after="200" w:line="276" w:lineRule="auto"/>
              <w:rPr>
                <w:rFonts w:ascii="Times New Roman" w:hAnsi="Times New Roman"/>
                <w:iCs/>
                <w:color w:val="000000"/>
              </w:rPr>
            </w:pPr>
            <w:r w:rsidRPr="001844D1">
              <w:rPr>
                <w:iCs/>
                <w:color w:val="000000"/>
              </w:rPr>
              <w:t>Lease, purchase, maintenance of customer premises equipment (CPE) (hardware and software)</w:t>
            </w:r>
          </w:p>
        </w:tc>
        <w:tc>
          <w:tcPr>
            <w:tcW w:w="1620" w:type="dxa"/>
            <w:vAlign w:val="center"/>
          </w:tcPr>
          <w:p w:rsidR="008828A9" w:rsidRPr="004203C2" w:rsidP="006744B5" w14:paraId="13B4DD7B" w14:textId="77777777">
            <w:pPr>
              <w:spacing w:after="200" w:line="276" w:lineRule="auto"/>
              <w:jc w:val="center"/>
              <w:rPr>
                <w:rFonts w:ascii="Times New Roman" w:hAnsi="Times New Roman"/>
                <w:iCs/>
                <w:color w:val="000000"/>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1CA16278" w14:textId="77777777">
            <w:pPr>
              <w:spacing w:after="200" w:line="276" w:lineRule="auto"/>
              <w:jc w:val="center"/>
              <w:rPr>
                <w:rFonts w:ascii="Times New Roman" w:hAnsi="Times New Roman"/>
                <w:iCs/>
                <w:color w:val="000000"/>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34DA0D89" w14:textId="77777777" w:rsidTr="006744B5">
        <w:tblPrEx>
          <w:tblW w:w="0" w:type="auto"/>
          <w:tblCellMar>
            <w:top w:w="72" w:type="dxa"/>
            <w:left w:w="115" w:type="dxa"/>
            <w:bottom w:w="72" w:type="dxa"/>
            <w:right w:w="115" w:type="dxa"/>
          </w:tblCellMar>
          <w:tblLook w:val="04A0"/>
        </w:tblPrEx>
        <w:tc>
          <w:tcPr>
            <w:tcW w:w="2394" w:type="dxa"/>
            <w:vMerge/>
            <w:vAlign w:val="center"/>
          </w:tcPr>
          <w:p w:rsidR="008828A9" w:rsidRPr="004203C2" w:rsidP="006744B5" w14:paraId="455DF9C0" w14:textId="77777777">
            <w:pPr>
              <w:spacing w:after="200" w:line="276" w:lineRule="auto"/>
              <w:jc w:val="center"/>
              <w:rPr>
                <w:rFonts w:ascii="Times New Roman" w:hAnsi="Times New Roman"/>
                <w:b/>
                <w:iCs/>
                <w:color w:val="000000"/>
              </w:rPr>
            </w:pPr>
          </w:p>
        </w:tc>
        <w:tc>
          <w:tcPr>
            <w:tcW w:w="4111" w:type="dxa"/>
          </w:tcPr>
          <w:p w:rsidR="008828A9" w:rsidRPr="004203C2" w:rsidP="006744B5" w14:paraId="414303F5" w14:textId="77777777">
            <w:pPr>
              <w:spacing w:after="200" w:line="276" w:lineRule="auto"/>
              <w:rPr>
                <w:rFonts w:ascii="Times New Roman" w:hAnsi="Times New Roman"/>
                <w:iCs/>
                <w:color w:val="000000"/>
              </w:rPr>
            </w:pPr>
            <w:r w:rsidRPr="001844D1">
              <w:rPr>
                <w:iCs/>
                <w:color w:val="000000"/>
              </w:rPr>
              <w:t xml:space="preserve">Lease, purchase, maintenance of computer aided dispatch (CAD) </w:t>
            </w:r>
            <w:r w:rsidRPr="001844D1">
              <w:rPr>
                <w:iCs/>
                <w:color w:val="000000"/>
              </w:rPr>
              <w:t>equipment (hardware and software)</w:t>
            </w:r>
          </w:p>
        </w:tc>
        <w:tc>
          <w:tcPr>
            <w:tcW w:w="1620" w:type="dxa"/>
            <w:vAlign w:val="center"/>
          </w:tcPr>
          <w:p w:rsidR="008828A9" w:rsidRPr="004203C2" w:rsidP="006744B5" w14:paraId="42FB933D"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484C5EB4" w14:textId="77777777">
            <w:pPr>
              <w:jc w:val="center"/>
              <w:rPr>
                <w:rFonts w:ascii="Times New Roman" w:hAnsi="Times New Roman"/>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6389D845" w14:textId="77777777" w:rsidTr="006744B5">
        <w:tblPrEx>
          <w:tblW w:w="0" w:type="auto"/>
          <w:tblCellMar>
            <w:top w:w="72" w:type="dxa"/>
            <w:left w:w="115" w:type="dxa"/>
            <w:bottom w:w="72" w:type="dxa"/>
            <w:right w:w="115" w:type="dxa"/>
          </w:tblCellMar>
          <w:tblLook w:val="04A0"/>
        </w:tblPrEx>
        <w:tc>
          <w:tcPr>
            <w:tcW w:w="2394" w:type="dxa"/>
            <w:vMerge/>
            <w:vAlign w:val="center"/>
          </w:tcPr>
          <w:p w:rsidR="008828A9" w:rsidRPr="004203C2" w:rsidP="006744B5" w14:paraId="2C461B0F" w14:textId="77777777">
            <w:pPr>
              <w:spacing w:after="200" w:line="276" w:lineRule="auto"/>
              <w:jc w:val="center"/>
              <w:rPr>
                <w:rFonts w:ascii="Times New Roman" w:hAnsi="Times New Roman"/>
                <w:b/>
                <w:iCs/>
                <w:color w:val="000000"/>
              </w:rPr>
            </w:pPr>
          </w:p>
        </w:tc>
        <w:tc>
          <w:tcPr>
            <w:tcW w:w="4111" w:type="dxa"/>
          </w:tcPr>
          <w:p w:rsidR="008828A9" w:rsidRPr="004203C2" w:rsidP="006744B5" w14:paraId="1888E392" w14:textId="77777777">
            <w:pPr>
              <w:spacing w:after="200" w:line="276" w:lineRule="auto"/>
              <w:rPr>
                <w:rFonts w:ascii="Times New Roman" w:hAnsi="Times New Roman"/>
                <w:iCs/>
                <w:color w:val="000000"/>
              </w:rPr>
            </w:pPr>
            <w:r w:rsidRPr="001844D1">
              <w:rPr>
                <w:iCs/>
                <w:color w:val="000000"/>
              </w:rPr>
              <w:t>Lease, purchase, maintenance of building/facility</w:t>
            </w:r>
          </w:p>
        </w:tc>
        <w:tc>
          <w:tcPr>
            <w:tcW w:w="1620" w:type="dxa"/>
            <w:vAlign w:val="center"/>
          </w:tcPr>
          <w:p w:rsidR="008828A9" w:rsidRPr="004203C2" w:rsidP="006744B5" w14:paraId="568F18B3"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4AB381DD"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r>
      <w:tr w14:paraId="19067D72" w14:textId="77777777" w:rsidTr="006744B5">
        <w:tblPrEx>
          <w:tblW w:w="0" w:type="auto"/>
          <w:tblCellMar>
            <w:top w:w="72" w:type="dxa"/>
            <w:left w:w="115" w:type="dxa"/>
            <w:bottom w:w="72" w:type="dxa"/>
            <w:right w:w="115" w:type="dxa"/>
          </w:tblCellMar>
          <w:tblLook w:val="04A0"/>
        </w:tblPrEx>
        <w:tc>
          <w:tcPr>
            <w:tcW w:w="2394" w:type="dxa"/>
            <w:vMerge w:val="restart"/>
            <w:vAlign w:val="center"/>
          </w:tcPr>
          <w:p w:rsidR="008828A9" w:rsidRPr="004203C2" w:rsidP="006744B5" w14:paraId="3A3AB8DE" w14:textId="77777777">
            <w:pPr>
              <w:spacing w:after="200" w:line="276" w:lineRule="auto"/>
              <w:jc w:val="center"/>
              <w:rPr>
                <w:rFonts w:ascii="Times New Roman" w:hAnsi="Times New Roman"/>
                <w:b/>
                <w:iCs/>
                <w:color w:val="000000"/>
              </w:rPr>
            </w:pPr>
            <w:r w:rsidRPr="001844D1">
              <w:rPr>
                <w:b/>
                <w:iCs/>
                <w:color w:val="000000"/>
              </w:rPr>
              <w:t>Personnel Costs</w:t>
            </w:r>
          </w:p>
        </w:tc>
        <w:tc>
          <w:tcPr>
            <w:tcW w:w="4111" w:type="dxa"/>
          </w:tcPr>
          <w:p w:rsidR="008828A9" w:rsidRPr="004203C2" w:rsidP="006744B5" w14:paraId="79D2E267" w14:textId="77777777">
            <w:pPr>
              <w:spacing w:after="200" w:line="276" w:lineRule="auto"/>
              <w:rPr>
                <w:rFonts w:ascii="Times New Roman" w:hAnsi="Times New Roman"/>
                <w:iCs/>
                <w:color w:val="000000"/>
              </w:rPr>
            </w:pPr>
            <w:r w:rsidRPr="001844D1">
              <w:rPr>
                <w:iCs/>
                <w:color w:val="000000"/>
              </w:rPr>
              <w:t>Telecommunicators’ Salaries</w:t>
            </w:r>
          </w:p>
        </w:tc>
        <w:tc>
          <w:tcPr>
            <w:tcW w:w="1620" w:type="dxa"/>
            <w:vAlign w:val="center"/>
          </w:tcPr>
          <w:p w:rsidR="008828A9" w:rsidRPr="004203C2" w:rsidP="006744B5" w14:paraId="2A448DBE"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22FE8379" w14:textId="77777777">
            <w:pPr>
              <w:jc w:val="center"/>
              <w:rPr>
                <w:rFonts w:ascii="Times New Roman" w:hAnsi="Times New Roman"/>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550F2F87" w14:textId="77777777" w:rsidTr="006744B5">
        <w:tblPrEx>
          <w:tblW w:w="0" w:type="auto"/>
          <w:tblCellMar>
            <w:top w:w="72" w:type="dxa"/>
            <w:left w:w="115" w:type="dxa"/>
            <w:bottom w:w="72" w:type="dxa"/>
            <w:right w:w="115" w:type="dxa"/>
          </w:tblCellMar>
          <w:tblLook w:val="04A0"/>
        </w:tblPrEx>
        <w:tc>
          <w:tcPr>
            <w:tcW w:w="2394" w:type="dxa"/>
            <w:vMerge/>
            <w:vAlign w:val="center"/>
          </w:tcPr>
          <w:p w:rsidR="008828A9" w:rsidRPr="004203C2" w:rsidP="006744B5" w14:paraId="290732A4" w14:textId="77777777">
            <w:pPr>
              <w:spacing w:after="200" w:line="276" w:lineRule="auto"/>
              <w:jc w:val="center"/>
              <w:rPr>
                <w:rFonts w:ascii="Times New Roman" w:hAnsi="Times New Roman"/>
                <w:b/>
                <w:iCs/>
                <w:color w:val="000000"/>
              </w:rPr>
            </w:pPr>
          </w:p>
        </w:tc>
        <w:tc>
          <w:tcPr>
            <w:tcW w:w="4111" w:type="dxa"/>
          </w:tcPr>
          <w:p w:rsidR="008828A9" w:rsidRPr="004203C2" w:rsidP="006744B5" w14:paraId="142E8836" w14:textId="77777777">
            <w:pPr>
              <w:spacing w:after="200" w:line="276" w:lineRule="auto"/>
              <w:rPr>
                <w:rFonts w:ascii="Times New Roman" w:hAnsi="Times New Roman"/>
                <w:iCs/>
                <w:color w:val="000000"/>
              </w:rPr>
            </w:pPr>
            <w:r w:rsidRPr="001844D1">
              <w:rPr>
                <w:iCs/>
                <w:color w:val="000000"/>
              </w:rPr>
              <w:t>Training of Telecommunicators</w:t>
            </w:r>
          </w:p>
        </w:tc>
        <w:tc>
          <w:tcPr>
            <w:tcW w:w="1620" w:type="dxa"/>
            <w:vAlign w:val="center"/>
          </w:tcPr>
          <w:p w:rsidR="008828A9" w:rsidRPr="004203C2" w:rsidP="006744B5" w14:paraId="582C2FCC"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32327715" w14:textId="77777777">
            <w:pPr>
              <w:jc w:val="center"/>
              <w:rPr>
                <w:rFonts w:ascii="Times New Roman" w:hAnsi="Times New Roman"/>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36A8CD80" w14:textId="77777777" w:rsidTr="006744B5">
        <w:tblPrEx>
          <w:tblW w:w="0" w:type="auto"/>
          <w:tblCellMar>
            <w:top w:w="72" w:type="dxa"/>
            <w:left w:w="115" w:type="dxa"/>
            <w:bottom w:w="72" w:type="dxa"/>
            <w:right w:w="115" w:type="dxa"/>
          </w:tblCellMar>
          <w:tblLook w:val="04A0"/>
        </w:tblPrEx>
        <w:trPr>
          <w:trHeight w:val="326"/>
        </w:trPr>
        <w:tc>
          <w:tcPr>
            <w:tcW w:w="2394" w:type="dxa"/>
            <w:vMerge w:val="restart"/>
            <w:vAlign w:val="center"/>
          </w:tcPr>
          <w:p w:rsidR="008828A9" w:rsidRPr="004203C2" w:rsidP="006744B5" w14:paraId="429F3226" w14:textId="77777777">
            <w:pPr>
              <w:spacing w:after="200" w:line="276" w:lineRule="auto"/>
              <w:jc w:val="center"/>
              <w:rPr>
                <w:rFonts w:ascii="Times New Roman" w:hAnsi="Times New Roman"/>
                <w:b/>
                <w:iCs/>
                <w:color w:val="000000"/>
              </w:rPr>
            </w:pPr>
            <w:r w:rsidRPr="001844D1">
              <w:rPr>
                <w:b/>
                <w:iCs/>
                <w:color w:val="000000"/>
              </w:rPr>
              <w:t>Administrative Costs</w:t>
            </w:r>
          </w:p>
        </w:tc>
        <w:tc>
          <w:tcPr>
            <w:tcW w:w="4111" w:type="dxa"/>
          </w:tcPr>
          <w:p w:rsidR="008828A9" w:rsidRPr="004203C2" w:rsidP="006744B5" w14:paraId="7053A90E" w14:textId="77777777">
            <w:pPr>
              <w:spacing w:after="200" w:line="276" w:lineRule="auto"/>
              <w:rPr>
                <w:rFonts w:ascii="Times New Roman" w:hAnsi="Times New Roman"/>
                <w:iCs/>
                <w:color w:val="000000"/>
              </w:rPr>
            </w:pPr>
            <w:r w:rsidRPr="001844D1">
              <w:rPr>
                <w:iCs/>
                <w:color w:val="000000"/>
              </w:rPr>
              <w:t>Program Administration</w:t>
            </w:r>
          </w:p>
        </w:tc>
        <w:tc>
          <w:tcPr>
            <w:tcW w:w="1620" w:type="dxa"/>
            <w:vAlign w:val="center"/>
          </w:tcPr>
          <w:p w:rsidR="008828A9" w:rsidRPr="004203C2" w:rsidP="006744B5" w14:paraId="54896257"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358E7EF2" w14:textId="77777777">
            <w:pPr>
              <w:jc w:val="center"/>
              <w:rPr>
                <w:rFonts w:ascii="Times New Roman" w:hAnsi="Times New Roman"/>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4E82EB78" w14:textId="77777777" w:rsidTr="006744B5">
        <w:tblPrEx>
          <w:tblW w:w="0" w:type="auto"/>
          <w:tblCellMar>
            <w:top w:w="72" w:type="dxa"/>
            <w:left w:w="115" w:type="dxa"/>
            <w:bottom w:w="72" w:type="dxa"/>
            <w:right w:w="115" w:type="dxa"/>
          </w:tblCellMar>
          <w:tblLook w:val="04A0"/>
        </w:tblPrEx>
        <w:trPr>
          <w:trHeight w:val="325"/>
        </w:trPr>
        <w:tc>
          <w:tcPr>
            <w:tcW w:w="2394" w:type="dxa"/>
            <w:vMerge/>
            <w:vAlign w:val="center"/>
          </w:tcPr>
          <w:p w:rsidR="008828A9" w:rsidRPr="004203C2" w:rsidP="006744B5" w14:paraId="04E07B33" w14:textId="77777777">
            <w:pPr>
              <w:spacing w:after="200" w:line="276" w:lineRule="auto"/>
              <w:jc w:val="center"/>
              <w:rPr>
                <w:rFonts w:ascii="Times New Roman" w:hAnsi="Times New Roman"/>
                <w:b/>
                <w:iCs/>
                <w:color w:val="000000"/>
              </w:rPr>
            </w:pPr>
          </w:p>
        </w:tc>
        <w:tc>
          <w:tcPr>
            <w:tcW w:w="4111" w:type="dxa"/>
          </w:tcPr>
          <w:p w:rsidR="008828A9" w:rsidRPr="004203C2" w:rsidP="006744B5" w14:paraId="32E302E2" w14:textId="77777777">
            <w:pPr>
              <w:spacing w:after="200" w:line="276" w:lineRule="auto"/>
              <w:rPr>
                <w:rFonts w:ascii="Times New Roman" w:hAnsi="Times New Roman"/>
                <w:iCs/>
                <w:color w:val="000000"/>
              </w:rPr>
            </w:pPr>
            <w:r w:rsidRPr="001844D1">
              <w:rPr>
                <w:iCs/>
                <w:color w:val="000000"/>
              </w:rPr>
              <w:t>Travel Expenses</w:t>
            </w:r>
          </w:p>
        </w:tc>
        <w:tc>
          <w:tcPr>
            <w:tcW w:w="1620" w:type="dxa"/>
            <w:vAlign w:val="center"/>
          </w:tcPr>
          <w:p w:rsidR="008828A9" w:rsidRPr="004203C2" w:rsidP="006744B5" w14:paraId="49F26A26"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73DF09AB" w14:textId="77777777">
            <w:pPr>
              <w:jc w:val="center"/>
              <w:rPr>
                <w:rFonts w:ascii="Times New Roman" w:hAnsi="Times New Roman"/>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55BF7C8A" w14:textId="77777777" w:rsidTr="006744B5">
        <w:tblPrEx>
          <w:tblW w:w="0" w:type="auto"/>
          <w:tblCellMar>
            <w:top w:w="72" w:type="dxa"/>
            <w:left w:w="115" w:type="dxa"/>
            <w:bottom w:w="72" w:type="dxa"/>
            <w:right w:w="115" w:type="dxa"/>
          </w:tblCellMar>
          <w:tblLook w:val="04A0"/>
        </w:tblPrEx>
        <w:tc>
          <w:tcPr>
            <w:tcW w:w="2394" w:type="dxa"/>
            <w:vMerge w:val="restart"/>
            <w:vAlign w:val="center"/>
          </w:tcPr>
          <w:p w:rsidR="008828A9" w:rsidRPr="004203C2" w:rsidP="006744B5" w14:paraId="0F90284C" w14:textId="77777777">
            <w:pPr>
              <w:spacing w:after="200" w:line="276" w:lineRule="auto"/>
              <w:jc w:val="center"/>
              <w:rPr>
                <w:rFonts w:ascii="Times New Roman" w:hAnsi="Times New Roman"/>
                <w:b/>
                <w:iCs/>
                <w:color w:val="000000"/>
              </w:rPr>
            </w:pPr>
            <w:r w:rsidRPr="001844D1">
              <w:rPr>
                <w:b/>
                <w:iCs/>
                <w:color w:val="000000"/>
              </w:rPr>
              <w:t>Dispatch Costs</w:t>
            </w:r>
          </w:p>
        </w:tc>
        <w:tc>
          <w:tcPr>
            <w:tcW w:w="4111" w:type="dxa"/>
          </w:tcPr>
          <w:p w:rsidR="008828A9" w:rsidRPr="004203C2" w:rsidP="006744B5" w14:paraId="2866ACF3" w14:textId="77777777">
            <w:pPr>
              <w:spacing w:after="200" w:line="276" w:lineRule="auto"/>
              <w:rPr>
                <w:rFonts w:ascii="Times New Roman" w:hAnsi="Times New Roman"/>
                <w:iCs/>
                <w:color w:val="000000"/>
              </w:rPr>
            </w:pPr>
            <w:r w:rsidRPr="001844D1">
              <w:rPr>
                <w:iCs/>
                <w:color w:val="000000"/>
              </w:rPr>
              <w:t>Reimbursement to other law enforcement entities providing dispatch</w:t>
            </w:r>
          </w:p>
        </w:tc>
        <w:tc>
          <w:tcPr>
            <w:tcW w:w="1620" w:type="dxa"/>
            <w:vAlign w:val="center"/>
          </w:tcPr>
          <w:p w:rsidR="008828A9" w:rsidRPr="004203C2" w:rsidP="006744B5" w14:paraId="0605A8BE"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222738EC"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r>
      <w:tr w14:paraId="009771DD" w14:textId="77777777" w:rsidTr="006744B5">
        <w:tblPrEx>
          <w:tblW w:w="0" w:type="auto"/>
          <w:tblCellMar>
            <w:top w:w="72" w:type="dxa"/>
            <w:left w:w="115" w:type="dxa"/>
            <w:bottom w:w="72" w:type="dxa"/>
            <w:right w:w="115" w:type="dxa"/>
          </w:tblCellMar>
          <w:tblLook w:val="04A0"/>
        </w:tblPrEx>
        <w:tc>
          <w:tcPr>
            <w:tcW w:w="2394" w:type="dxa"/>
            <w:vMerge/>
            <w:vAlign w:val="center"/>
          </w:tcPr>
          <w:p w:rsidR="008828A9" w:rsidRPr="004203C2" w:rsidP="006744B5" w14:paraId="2E19ACED" w14:textId="77777777">
            <w:pPr>
              <w:spacing w:after="200" w:line="276" w:lineRule="auto"/>
              <w:jc w:val="center"/>
              <w:rPr>
                <w:rFonts w:ascii="Times New Roman" w:hAnsi="Times New Roman"/>
                <w:b/>
                <w:iCs/>
                <w:color w:val="000000"/>
              </w:rPr>
            </w:pPr>
          </w:p>
        </w:tc>
        <w:tc>
          <w:tcPr>
            <w:tcW w:w="4111" w:type="dxa"/>
          </w:tcPr>
          <w:p w:rsidR="008828A9" w:rsidRPr="004203C2" w:rsidP="006744B5" w14:paraId="2A0BBE11" w14:textId="77777777">
            <w:pPr>
              <w:spacing w:after="200" w:line="276" w:lineRule="auto"/>
              <w:rPr>
                <w:rFonts w:ascii="Times New Roman" w:hAnsi="Times New Roman"/>
                <w:iCs/>
                <w:color w:val="000000"/>
              </w:rPr>
            </w:pPr>
            <w:r w:rsidRPr="001844D1">
              <w:rPr>
                <w:iCs/>
                <w:color w:val="000000"/>
              </w:rPr>
              <w:t>Lease, purchase, maintenance of Radio Dispatch Networks</w:t>
            </w:r>
          </w:p>
        </w:tc>
        <w:tc>
          <w:tcPr>
            <w:tcW w:w="1620" w:type="dxa"/>
            <w:vAlign w:val="center"/>
          </w:tcPr>
          <w:p w:rsidR="008828A9" w:rsidRPr="004203C2" w:rsidP="006744B5" w14:paraId="1F874DF9" w14:textId="77777777">
            <w:pPr>
              <w:jc w:val="center"/>
              <w:rPr>
                <w:rFonts w:ascii="Times New Roman" w:hAnsi="Times New Roman"/>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c>
          <w:tcPr>
            <w:tcW w:w="1451" w:type="dxa"/>
            <w:vAlign w:val="center"/>
          </w:tcPr>
          <w:p w:rsidR="008828A9" w:rsidRPr="004203C2" w:rsidP="006744B5" w14:paraId="24C6FAFD" w14:textId="77777777">
            <w:pPr>
              <w:jc w:val="center"/>
              <w:rPr>
                <w:rFonts w:ascii="Times New Roman" w:hAnsi="Times New Roman"/>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r w14:paraId="5DD50D08" w14:textId="77777777" w:rsidTr="006744B5">
        <w:tblPrEx>
          <w:tblW w:w="0" w:type="auto"/>
          <w:tblCellMar>
            <w:top w:w="72" w:type="dxa"/>
            <w:left w:w="115" w:type="dxa"/>
            <w:bottom w:w="72" w:type="dxa"/>
            <w:right w:w="115" w:type="dxa"/>
          </w:tblCellMar>
          <w:tblLook w:val="04A0"/>
        </w:tblPrEx>
        <w:tc>
          <w:tcPr>
            <w:tcW w:w="2394" w:type="dxa"/>
            <w:vAlign w:val="center"/>
          </w:tcPr>
          <w:p w:rsidR="008828A9" w:rsidRPr="004203C2" w:rsidP="006744B5" w14:paraId="4CF7D65E" w14:textId="77777777">
            <w:pPr>
              <w:spacing w:after="200" w:line="276" w:lineRule="auto"/>
              <w:jc w:val="center"/>
              <w:rPr>
                <w:rFonts w:ascii="Times New Roman" w:hAnsi="Times New Roman"/>
                <w:b/>
                <w:iCs/>
                <w:color w:val="000000"/>
              </w:rPr>
            </w:pPr>
            <w:r w:rsidRPr="001844D1">
              <w:rPr>
                <w:b/>
                <w:iCs/>
                <w:color w:val="000000"/>
              </w:rPr>
              <w:t>Grant Programs</w:t>
            </w:r>
          </w:p>
        </w:tc>
        <w:tc>
          <w:tcPr>
            <w:tcW w:w="4111" w:type="dxa"/>
          </w:tcPr>
          <w:p w:rsidR="008828A9" w:rsidRPr="004203C2" w:rsidP="006744B5" w14:paraId="5AE7BEFF" w14:textId="77777777">
            <w:pPr>
              <w:spacing w:after="200" w:line="276" w:lineRule="auto"/>
              <w:rPr>
                <w:rFonts w:ascii="Times New Roman" w:hAnsi="Times New Roman"/>
                <w:iCs/>
                <w:color w:val="000000"/>
              </w:rPr>
            </w:pPr>
          </w:p>
        </w:tc>
        <w:tc>
          <w:tcPr>
            <w:tcW w:w="1620" w:type="dxa"/>
            <w:vAlign w:val="center"/>
          </w:tcPr>
          <w:p w:rsidR="008828A9" w:rsidRPr="004203C2" w:rsidP="006744B5" w14:paraId="079722B1" w14:textId="77777777">
            <w:pPr>
              <w:jc w:val="center"/>
              <w:rPr>
                <w:rFonts w:ascii="Times New Roman" w:hAnsi="Times New Roman"/>
                <w:b/>
              </w:rPr>
            </w:pPr>
            <w:r w:rsidRPr="004203C2">
              <w:rPr>
                <w:b/>
              </w:rPr>
              <w:fldChar w:fldCharType="begin">
                <w:ffData>
                  <w:name w:val="Check8"/>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p w:rsidR="008828A9" w:rsidRPr="004203C2" w:rsidP="006744B5" w14:paraId="4C1AA2E9" w14:textId="77777777">
            <w:pPr>
              <w:jc w:val="center"/>
              <w:rPr>
                <w:rFonts w:ascii="Times New Roman" w:hAnsi="Times New Roman"/>
                <w:b/>
              </w:rPr>
            </w:pPr>
            <w:r w:rsidRPr="001844D1">
              <w:rPr>
                <w:b/>
              </w:rPr>
              <w:t>If YES, see 2a.</w:t>
            </w:r>
          </w:p>
        </w:tc>
        <w:tc>
          <w:tcPr>
            <w:tcW w:w="1451" w:type="dxa"/>
            <w:vAlign w:val="center"/>
          </w:tcPr>
          <w:p w:rsidR="008828A9" w:rsidRPr="004203C2" w:rsidP="006744B5" w14:paraId="34E8B0D8" w14:textId="77777777">
            <w:pPr>
              <w:jc w:val="center"/>
              <w:rPr>
                <w:rFonts w:ascii="Times New Roman" w:hAnsi="Times New Roman"/>
                <w:b/>
              </w:rPr>
            </w:pPr>
            <w:r w:rsidRPr="004203C2">
              <w:rPr>
                <w:b/>
              </w:rPr>
              <w:fldChar w:fldCharType="begin">
                <w:ffData>
                  <w:name w:val="Check8"/>
                  <w:enabled/>
                  <w:calcOnExit w:val="0"/>
                  <w:checkBox>
                    <w:sizeAuto/>
                    <w:default w:val="0"/>
                    <w:checked w:val="0"/>
                  </w:checkBox>
                </w:ffData>
              </w:fldChar>
            </w:r>
            <w:r w:rsidRPr="001844D1">
              <w:rPr>
                <w:b/>
              </w:rPr>
              <w:instrText xml:space="preserve"> FORMCHECKBOX </w:instrText>
            </w:r>
            <w:r w:rsidR="00E402CA">
              <w:rPr>
                <w:b/>
              </w:rPr>
              <w:fldChar w:fldCharType="separate"/>
            </w:r>
            <w:r w:rsidRPr="004203C2">
              <w:rPr>
                <w:b/>
              </w:rPr>
              <w:fldChar w:fldCharType="end"/>
            </w:r>
          </w:p>
        </w:tc>
      </w:tr>
      <w:tr w14:paraId="32C5F5B3" w14:textId="77777777" w:rsidTr="006744B5">
        <w:tblPrEx>
          <w:tblW w:w="0" w:type="auto"/>
          <w:tblCellMar>
            <w:top w:w="72" w:type="dxa"/>
            <w:left w:w="115" w:type="dxa"/>
            <w:bottom w:w="72" w:type="dxa"/>
            <w:right w:w="115" w:type="dxa"/>
          </w:tblCellMar>
          <w:tblLook w:val="04A0"/>
        </w:tblPrEx>
        <w:tc>
          <w:tcPr>
            <w:tcW w:w="9576" w:type="dxa"/>
            <w:gridSpan w:val="4"/>
            <w:vAlign w:val="center"/>
          </w:tcPr>
          <w:p w:rsidR="008828A9" w:rsidRPr="004203C2" w:rsidP="006744B5" w14:paraId="5161DF72" w14:textId="77777777">
            <w:pPr>
              <w:rPr>
                <w:rFonts w:ascii="Times New Roman" w:hAnsi="Times New Roman"/>
                <w:b/>
              </w:rPr>
            </w:pPr>
            <w:r w:rsidRPr="001844D1">
              <w:rPr>
                <w:b/>
              </w:rPr>
              <w:t>2a. During the annual period ending December 31, 2019, describe the grants that your state paid for through the use of collected 911/E911 fees and the purpose of the grant.</w:t>
            </w:r>
          </w:p>
        </w:tc>
      </w:tr>
      <w:tr w14:paraId="565966C4" w14:textId="77777777" w:rsidTr="006744B5">
        <w:tblPrEx>
          <w:tblW w:w="0" w:type="auto"/>
          <w:tblCellMar>
            <w:top w:w="72" w:type="dxa"/>
            <w:left w:w="115" w:type="dxa"/>
            <w:bottom w:w="72" w:type="dxa"/>
            <w:right w:w="115" w:type="dxa"/>
          </w:tblCellMar>
          <w:tblLook w:val="04A0"/>
        </w:tblPrEx>
        <w:tc>
          <w:tcPr>
            <w:tcW w:w="9576" w:type="dxa"/>
            <w:gridSpan w:val="4"/>
            <w:vAlign w:val="center"/>
          </w:tcPr>
          <w:p w:rsidR="008828A9" w:rsidRPr="004203C2" w:rsidP="006744B5" w14:paraId="6F6FB355" w14:textId="77777777">
            <w:pPr>
              <w:rPr>
                <w:rFonts w:ascii="Times New Roman" w:hAnsi="Times New Roman"/>
              </w:rPr>
            </w:pPr>
          </w:p>
          <w:p w:rsidR="008828A9" w:rsidRPr="004203C2" w:rsidP="006744B5" w14:paraId="2B3FC5E2" w14:textId="77777777">
            <w:pPr>
              <w:rPr>
                <w:rFonts w:ascii="Times New Roman" w:hAnsi="Times New Roman"/>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p w:rsidR="008828A9" w:rsidRPr="004203C2" w:rsidP="006744B5" w14:paraId="48972846" w14:textId="77777777">
            <w:pPr>
              <w:rPr>
                <w:rFonts w:ascii="Times New Roman" w:hAnsi="Times New Roman"/>
              </w:rPr>
            </w:pPr>
          </w:p>
          <w:p w:rsidR="008828A9" w:rsidRPr="004203C2" w:rsidP="006744B5" w14:paraId="69F0CF9B" w14:textId="77777777">
            <w:pPr>
              <w:jc w:val="center"/>
              <w:rPr>
                <w:rFonts w:ascii="Times New Roman" w:hAnsi="Times New Roman"/>
                <w:b/>
              </w:rPr>
            </w:pPr>
          </w:p>
        </w:tc>
      </w:tr>
    </w:tbl>
    <w:p w:rsidR="008828A9" w:rsidRPr="001844D1" w:rsidP="008828A9" w14:paraId="3EC857E7" w14:textId="77777777">
      <w:pPr>
        <w:spacing w:after="200" w:line="276" w:lineRule="auto"/>
        <w:rPr>
          <w:iCs/>
          <w:color w:val="000000"/>
          <w:szCs w:val="22"/>
        </w:rPr>
      </w:pPr>
    </w:p>
    <w:p w:rsidR="008828A9" w:rsidRPr="001844D1" w:rsidP="008828A9" w14:paraId="26E10592"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7FBAB46F"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219F84E9" w14:textId="77777777">
            <w:pPr>
              <w:tabs>
                <w:tab w:val="left" w:pos="630"/>
              </w:tabs>
              <w:spacing w:after="120"/>
              <w:rPr>
                <w:rFonts w:ascii="Times New Roman" w:hAnsi="Times New Roman"/>
                <w:b/>
                <w:iCs/>
                <w:color w:val="000000"/>
              </w:rPr>
            </w:pPr>
            <w:r w:rsidRPr="001844D1">
              <w:rPr>
                <w:b/>
                <w:iCs/>
                <w:color w:val="000000"/>
              </w:rPr>
              <w:t>Addendum Section E2</w:t>
            </w:r>
          </w:p>
        </w:tc>
      </w:tr>
      <w:tr w14:paraId="474C9C23" w14:textId="77777777" w:rsidTr="006744B5">
        <w:tblPrEx>
          <w:tblW w:w="0" w:type="auto"/>
          <w:jc w:val="center"/>
          <w:tblCellMar>
            <w:top w:w="72" w:type="dxa"/>
            <w:left w:w="115" w:type="dxa"/>
            <w:bottom w:w="72" w:type="dxa"/>
            <w:right w:w="115" w:type="dxa"/>
          </w:tblCellMar>
          <w:tblLook w:val="04A0"/>
        </w:tblPrEx>
        <w:trPr>
          <w:trHeight w:val="962"/>
          <w:jc w:val="center"/>
        </w:trPr>
        <w:tc>
          <w:tcPr>
            <w:tcW w:w="9205" w:type="dxa"/>
          </w:tcPr>
          <w:p w:rsidR="008828A9" w:rsidRPr="004203C2" w:rsidP="006744B5" w14:paraId="38A905B4"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610ECB12" w14:textId="77777777">
      <w:pPr>
        <w:spacing w:after="200" w:line="276" w:lineRule="auto"/>
        <w:rPr>
          <w:iCs/>
          <w:color w:val="000000"/>
          <w:szCs w:val="22"/>
        </w:rPr>
      </w:pPr>
    </w:p>
    <w:p w:rsidR="008828A9" w:rsidRPr="004203C2" w:rsidP="008828A9" w14:paraId="0F916202" w14:textId="77777777">
      <w:pPr>
        <w:pStyle w:val="ListParagraph"/>
        <w:numPr>
          <w:ilvl w:val="0"/>
          <w:numId w:val="11"/>
        </w:numPr>
        <w:tabs>
          <w:tab w:val="left" w:pos="630"/>
        </w:tabs>
        <w:spacing w:after="120" w:line="240" w:lineRule="auto"/>
        <w:rPr>
          <w:rFonts w:ascii="Times New Roman" w:hAnsi="Times New Roman"/>
          <w:b/>
          <w:iCs/>
          <w:color w:val="000000"/>
          <w:u w:val="single"/>
        </w:rPr>
      </w:pPr>
      <w:r w:rsidRPr="004203C2">
        <w:rPr>
          <w:rFonts w:ascii="Times New Roman" w:hAnsi="Times New Roman"/>
          <w:b/>
          <w:iCs/>
          <w:color w:val="000000"/>
          <w:u w:val="single"/>
        </w:rPr>
        <w:t>Description of 911/E911 Fees Collected</w:t>
      </w:r>
      <w:r w:rsidRPr="004203C2">
        <w:rPr>
          <w:rFonts w:ascii="Times New Roman" w:hAnsi="Times New Roman"/>
          <w:b/>
          <w:iCs/>
          <w:color w:val="000000"/>
          <w:u w:val="single"/>
        </w:rPr>
        <w:br/>
      </w:r>
    </w:p>
    <w:tbl>
      <w:tblPr>
        <w:tblStyle w:val="TableGrid"/>
        <w:tblW w:w="0" w:type="auto"/>
        <w:jc w:val="center"/>
        <w:tblCellMar>
          <w:top w:w="72" w:type="dxa"/>
          <w:left w:w="115" w:type="dxa"/>
          <w:bottom w:w="72" w:type="dxa"/>
          <w:right w:w="115" w:type="dxa"/>
        </w:tblCellMar>
        <w:tblLook w:val="04A0"/>
      </w:tblPr>
      <w:tblGrid>
        <w:gridCol w:w="2218"/>
        <w:gridCol w:w="2397"/>
        <w:gridCol w:w="3960"/>
      </w:tblGrid>
      <w:tr w14:paraId="0CFF4405" w14:textId="77777777" w:rsidTr="006744B5">
        <w:tblPrEx>
          <w:tblW w:w="0" w:type="auto"/>
          <w:jc w:val="center"/>
          <w:tblCellMar>
            <w:top w:w="72" w:type="dxa"/>
            <w:left w:w="115" w:type="dxa"/>
            <w:bottom w:w="72" w:type="dxa"/>
            <w:right w:w="115" w:type="dxa"/>
          </w:tblCellMar>
          <w:tblLook w:val="04A0"/>
        </w:tblPrEx>
        <w:trPr>
          <w:jc w:val="center"/>
        </w:trPr>
        <w:tc>
          <w:tcPr>
            <w:tcW w:w="8575" w:type="dxa"/>
            <w:gridSpan w:val="3"/>
            <w:shd w:val="clear" w:color="auto" w:fill="D9D9D9"/>
            <w:vAlign w:val="center"/>
          </w:tcPr>
          <w:p w:rsidR="008828A9" w:rsidRPr="004203C2" w:rsidP="008828A9" w14:paraId="5769B2DA" w14:textId="77777777">
            <w:pPr>
              <w:pStyle w:val="ListParagraph"/>
              <w:numPr>
                <w:ilvl w:val="0"/>
                <w:numId w:val="15"/>
              </w:numPr>
              <w:spacing w:after="120" w:line="240" w:lineRule="auto"/>
              <w:rPr>
                <w:rFonts w:ascii="Times New Roman" w:hAnsi="Times New Roman"/>
                <w:b/>
                <w:iCs/>
                <w:color w:val="000000"/>
              </w:rPr>
            </w:pPr>
            <w:r w:rsidRPr="004203C2">
              <w:rPr>
                <w:rFonts w:ascii="Times New Roman" w:hAnsi="Times New Roman"/>
                <w:b/>
                <w:iCs/>
                <w:color w:val="000000"/>
              </w:rPr>
              <w:t>Please describe the amount of the fees or charges imposed for the implementation and support of 911 and E911 services.  Please distinguish between state and local fees for each service type.</w:t>
            </w:r>
          </w:p>
        </w:tc>
      </w:tr>
      <w:tr w14:paraId="3D1C4A24" w14:textId="77777777" w:rsidTr="006744B5">
        <w:tblPrEx>
          <w:tblW w:w="0" w:type="auto"/>
          <w:jc w:val="center"/>
          <w:tblCellMar>
            <w:top w:w="72" w:type="dxa"/>
            <w:left w:w="115" w:type="dxa"/>
            <w:bottom w:w="72" w:type="dxa"/>
            <w:right w:w="115" w:type="dxa"/>
          </w:tblCellMar>
          <w:tblLook w:val="04A0"/>
        </w:tblPrEx>
        <w:trPr>
          <w:jc w:val="center"/>
        </w:trPr>
        <w:tc>
          <w:tcPr>
            <w:tcW w:w="2218" w:type="dxa"/>
            <w:shd w:val="clear" w:color="auto" w:fill="D9D9D9"/>
            <w:vAlign w:val="center"/>
          </w:tcPr>
          <w:p w:rsidR="008828A9" w:rsidRPr="004203C2" w:rsidP="006744B5" w14:paraId="37E119BB" w14:textId="77777777">
            <w:pPr>
              <w:spacing w:after="120"/>
              <w:jc w:val="center"/>
              <w:rPr>
                <w:rFonts w:ascii="Times New Roman" w:hAnsi="Times New Roman"/>
                <w:b/>
                <w:iCs/>
                <w:color w:val="000000"/>
              </w:rPr>
            </w:pPr>
            <w:r w:rsidRPr="001844D1">
              <w:rPr>
                <w:b/>
                <w:iCs/>
                <w:color w:val="000000"/>
              </w:rPr>
              <w:t>Service Type</w:t>
            </w:r>
          </w:p>
        </w:tc>
        <w:tc>
          <w:tcPr>
            <w:tcW w:w="2397" w:type="dxa"/>
            <w:shd w:val="clear" w:color="auto" w:fill="D9D9D9"/>
            <w:vAlign w:val="center"/>
          </w:tcPr>
          <w:p w:rsidR="008828A9" w:rsidRPr="004203C2" w:rsidP="006744B5" w14:paraId="51A4F153" w14:textId="77777777">
            <w:pPr>
              <w:spacing w:after="120"/>
              <w:jc w:val="center"/>
              <w:rPr>
                <w:rFonts w:ascii="Times New Roman" w:hAnsi="Times New Roman"/>
                <w:b/>
                <w:iCs/>
                <w:color w:val="000000"/>
              </w:rPr>
            </w:pPr>
            <w:r w:rsidRPr="001844D1">
              <w:rPr>
                <w:b/>
                <w:iCs/>
                <w:color w:val="000000"/>
              </w:rPr>
              <w:t>Fee/Charge Imposed</w:t>
            </w:r>
          </w:p>
        </w:tc>
        <w:tc>
          <w:tcPr>
            <w:tcW w:w="3960" w:type="dxa"/>
            <w:shd w:val="clear" w:color="auto" w:fill="D9D9D9"/>
          </w:tcPr>
          <w:p w:rsidR="008828A9" w:rsidRPr="004203C2" w:rsidP="006744B5" w14:paraId="3FCAE78D" w14:textId="77777777">
            <w:pPr>
              <w:spacing w:after="120"/>
              <w:jc w:val="center"/>
              <w:rPr>
                <w:rFonts w:ascii="Times New Roman" w:hAnsi="Times New Roman"/>
                <w:b/>
                <w:iCs/>
                <w:color w:val="000000"/>
              </w:rPr>
            </w:pPr>
            <w:r w:rsidRPr="001844D1">
              <w:rPr>
                <w:b/>
                <w:iCs/>
                <w:color w:val="000000"/>
              </w:rPr>
              <w:t>Jurisdiction Receiving Remittance</w:t>
            </w:r>
          </w:p>
          <w:p w:rsidR="008828A9" w:rsidRPr="004203C2" w:rsidP="006744B5" w14:paraId="6621E35D" w14:textId="77777777">
            <w:pPr>
              <w:spacing w:after="120"/>
              <w:jc w:val="center"/>
              <w:rPr>
                <w:rFonts w:ascii="Times New Roman" w:hAnsi="Times New Roman"/>
                <w:b/>
                <w:iCs/>
                <w:color w:val="000000"/>
              </w:rPr>
            </w:pPr>
            <w:r w:rsidRPr="001844D1">
              <w:rPr>
                <w:b/>
                <w:iCs/>
                <w:color w:val="000000"/>
              </w:rPr>
              <w:t>(</w:t>
            </w:r>
            <w:r w:rsidRPr="001844D1">
              <w:rPr>
                <w:b/>
                <w:i/>
                <w:iCs/>
                <w:color w:val="000000"/>
              </w:rPr>
              <w:t>e.g.</w:t>
            </w:r>
            <w:r w:rsidRPr="001844D1">
              <w:rPr>
                <w:b/>
                <w:iCs/>
                <w:color w:val="000000"/>
              </w:rPr>
              <w:t>, state, county, local authority, or a combination)</w:t>
            </w:r>
          </w:p>
        </w:tc>
      </w:tr>
      <w:tr w14:paraId="103054A7" w14:textId="77777777" w:rsidTr="006744B5">
        <w:tblPrEx>
          <w:tblW w:w="0" w:type="auto"/>
          <w:jc w:val="center"/>
          <w:tblCellMar>
            <w:top w:w="72" w:type="dxa"/>
            <w:left w:w="115" w:type="dxa"/>
            <w:bottom w:w="72" w:type="dxa"/>
            <w:right w:w="115" w:type="dxa"/>
          </w:tblCellMar>
          <w:tblLook w:val="04A0"/>
        </w:tblPrEx>
        <w:trPr>
          <w:jc w:val="center"/>
        </w:trPr>
        <w:tc>
          <w:tcPr>
            <w:tcW w:w="2218" w:type="dxa"/>
            <w:vAlign w:val="center"/>
          </w:tcPr>
          <w:p w:rsidR="008828A9" w:rsidRPr="004203C2" w:rsidP="006744B5" w14:paraId="01551B60" w14:textId="77777777">
            <w:pPr>
              <w:spacing w:after="120"/>
              <w:jc w:val="center"/>
              <w:rPr>
                <w:rFonts w:ascii="Times New Roman" w:hAnsi="Times New Roman"/>
                <w:iCs/>
                <w:color w:val="000000"/>
              </w:rPr>
            </w:pPr>
            <w:r w:rsidRPr="001844D1">
              <w:rPr>
                <w:iCs/>
                <w:color w:val="000000"/>
              </w:rPr>
              <w:t>Wireline</w:t>
            </w:r>
          </w:p>
        </w:tc>
        <w:tc>
          <w:tcPr>
            <w:tcW w:w="2397" w:type="dxa"/>
          </w:tcPr>
          <w:p w:rsidR="008828A9" w:rsidRPr="004203C2" w:rsidP="006744B5" w14:paraId="3907F29D" w14:textId="77777777">
            <w:pPr>
              <w:tabs>
                <w:tab w:val="left" w:pos="630"/>
              </w:tabs>
              <w:spacing w:after="120"/>
              <w:rPr>
                <w:rFonts w:ascii="Times New Roman" w:hAnsi="Times New Roman"/>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3960" w:type="dxa"/>
          </w:tcPr>
          <w:p w:rsidR="008828A9" w:rsidRPr="004203C2" w:rsidP="006744B5" w14:paraId="00F3487B"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36659F0C" w14:textId="77777777" w:rsidTr="006744B5">
        <w:tblPrEx>
          <w:tblW w:w="0" w:type="auto"/>
          <w:jc w:val="center"/>
          <w:tblCellMar>
            <w:top w:w="72" w:type="dxa"/>
            <w:left w:w="115" w:type="dxa"/>
            <w:bottom w:w="72" w:type="dxa"/>
            <w:right w:w="115" w:type="dxa"/>
          </w:tblCellMar>
          <w:tblLook w:val="04A0"/>
        </w:tblPrEx>
        <w:trPr>
          <w:jc w:val="center"/>
        </w:trPr>
        <w:tc>
          <w:tcPr>
            <w:tcW w:w="2218" w:type="dxa"/>
            <w:vAlign w:val="center"/>
          </w:tcPr>
          <w:p w:rsidR="008828A9" w:rsidRPr="004203C2" w:rsidP="006744B5" w14:paraId="292C4677" w14:textId="77777777">
            <w:pPr>
              <w:spacing w:after="120"/>
              <w:jc w:val="center"/>
              <w:rPr>
                <w:rFonts w:ascii="Times New Roman" w:hAnsi="Times New Roman"/>
                <w:iCs/>
                <w:color w:val="000000"/>
              </w:rPr>
            </w:pPr>
            <w:r w:rsidRPr="001844D1">
              <w:rPr>
                <w:iCs/>
                <w:color w:val="000000"/>
              </w:rPr>
              <w:t>Wireless</w:t>
            </w:r>
          </w:p>
        </w:tc>
        <w:tc>
          <w:tcPr>
            <w:tcW w:w="2397" w:type="dxa"/>
          </w:tcPr>
          <w:p w:rsidR="008828A9" w:rsidRPr="004203C2" w:rsidP="006744B5" w14:paraId="22980043"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3960" w:type="dxa"/>
          </w:tcPr>
          <w:p w:rsidR="008828A9" w:rsidRPr="004203C2" w:rsidP="006744B5" w14:paraId="3C4ECEF0"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7BA4EBA9" w14:textId="77777777" w:rsidTr="006744B5">
        <w:tblPrEx>
          <w:tblW w:w="0" w:type="auto"/>
          <w:jc w:val="center"/>
          <w:tblCellMar>
            <w:top w:w="72" w:type="dxa"/>
            <w:left w:w="115" w:type="dxa"/>
            <w:bottom w:w="72" w:type="dxa"/>
            <w:right w:w="115" w:type="dxa"/>
          </w:tblCellMar>
          <w:tblLook w:val="04A0"/>
        </w:tblPrEx>
        <w:trPr>
          <w:jc w:val="center"/>
        </w:trPr>
        <w:tc>
          <w:tcPr>
            <w:tcW w:w="2218" w:type="dxa"/>
            <w:vAlign w:val="center"/>
          </w:tcPr>
          <w:p w:rsidR="008828A9" w:rsidRPr="004203C2" w:rsidP="006744B5" w14:paraId="73936706" w14:textId="77777777">
            <w:pPr>
              <w:spacing w:after="120"/>
              <w:jc w:val="center"/>
              <w:rPr>
                <w:rFonts w:ascii="Times New Roman" w:hAnsi="Times New Roman"/>
                <w:iCs/>
                <w:color w:val="000000"/>
              </w:rPr>
            </w:pPr>
            <w:r w:rsidRPr="001844D1">
              <w:rPr>
                <w:iCs/>
                <w:color w:val="000000"/>
              </w:rPr>
              <w:t>Prepaid Wireless</w:t>
            </w:r>
          </w:p>
        </w:tc>
        <w:tc>
          <w:tcPr>
            <w:tcW w:w="2397" w:type="dxa"/>
          </w:tcPr>
          <w:p w:rsidR="008828A9" w:rsidRPr="004203C2" w:rsidP="006744B5" w14:paraId="78E43EF2"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3960" w:type="dxa"/>
          </w:tcPr>
          <w:p w:rsidR="008828A9" w:rsidRPr="004203C2" w:rsidP="006744B5" w14:paraId="674FCE29"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653F1A8F" w14:textId="77777777" w:rsidTr="006744B5">
        <w:tblPrEx>
          <w:tblW w:w="0" w:type="auto"/>
          <w:jc w:val="center"/>
          <w:tblCellMar>
            <w:top w:w="72" w:type="dxa"/>
            <w:left w:w="115" w:type="dxa"/>
            <w:bottom w:w="72" w:type="dxa"/>
            <w:right w:w="115" w:type="dxa"/>
          </w:tblCellMar>
          <w:tblLook w:val="04A0"/>
        </w:tblPrEx>
        <w:trPr>
          <w:jc w:val="center"/>
        </w:trPr>
        <w:tc>
          <w:tcPr>
            <w:tcW w:w="2218" w:type="dxa"/>
            <w:vAlign w:val="center"/>
          </w:tcPr>
          <w:p w:rsidR="008828A9" w:rsidRPr="004203C2" w:rsidP="006744B5" w14:paraId="00F19A66" w14:textId="77777777">
            <w:pPr>
              <w:spacing w:after="120"/>
              <w:jc w:val="center"/>
              <w:rPr>
                <w:rFonts w:ascii="Times New Roman" w:hAnsi="Times New Roman"/>
                <w:iCs/>
                <w:color w:val="000000"/>
              </w:rPr>
            </w:pPr>
            <w:r w:rsidRPr="001844D1">
              <w:rPr>
                <w:iCs/>
                <w:color w:val="000000"/>
              </w:rPr>
              <w:t>Voice Over Internet Protocol (VoIP)</w:t>
            </w:r>
          </w:p>
        </w:tc>
        <w:tc>
          <w:tcPr>
            <w:tcW w:w="2397" w:type="dxa"/>
          </w:tcPr>
          <w:p w:rsidR="008828A9" w:rsidRPr="004203C2" w:rsidP="006744B5" w14:paraId="4FBCF307"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3960" w:type="dxa"/>
          </w:tcPr>
          <w:p w:rsidR="008828A9" w:rsidRPr="004203C2" w:rsidP="006744B5" w14:paraId="1EC42152"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12BA9441" w14:textId="77777777" w:rsidTr="006744B5">
        <w:tblPrEx>
          <w:tblW w:w="0" w:type="auto"/>
          <w:jc w:val="center"/>
          <w:tblCellMar>
            <w:top w:w="72" w:type="dxa"/>
            <w:left w:w="115" w:type="dxa"/>
            <w:bottom w:w="72" w:type="dxa"/>
            <w:right w:w="115" w:type="dxa"/>
          </w:tblCellMar>
          <w:tblLook w:val="04A0"/>
        </w:tblPrEx>
        <w:trPr>
          <w:jc w:val="center"/>
        </w:trPr>
        <w:tc>
          <w:tcPr>
            <w:tcW w:w="2218" w:type="dxa"/>
            <w:vAlign w:val="center"/>
          </w:tcPr>
          <w:p w:rsidR="008828A9" w:rsidRPr="004203C2" w:rsidP="006744B5" w14:paraId="40EABCA3" w14:textId="77777777">
            <w:pPr>
              <w:spacing w:after="120"/>
              <w:jc w:val="center"/>
              <w:rPr>
                <w:rFonts w:ascii="Times New Roman" w:hAnsi="Times New Roman"/>
                <w:iCs/>
                <w:color w:val="000000"/>
              </w:rPr>
            </w:pPr>
            <w:r w:rsidRPr="001844D1">
              <w:rPr>
                <w:iCs/>
                <w:color w:val="000000"/>
              </w:rPr>
              <w:t>Other</w:t>
            </w:r>
          </w:p>
        </w:tc>
        <w:tc>
          <w:tcPr>
            <w:tcW w:w="2397" w:type="dxa"/>
          </w:tcPr>
          <w:p w:rsidR="008828A9" w:rsidRPr="004203C2" w:rsidP="006744B5" w14:paraId="08538725"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3960" w:type="dxa"/>
          </w:tcPr>
          <w:p w:rsidR="008828A9" w:rsidRPr="004203C2" w:rsidP="006744B5" w14:paraId="07744653"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1AD63AA3" w14:textId="77777777">
      <w:pPr>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7CB9D2D7"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27943B76" w14:textId="77777777">
            <w:pPr>
              <w:tabs>
                <w:tab w:val="left" w:pos="630"/>
              </w:tabs>
              <w:spacing w:after="120"/>
              <w:rPr>
                <w:rFonts w:ascii="Times New Roman" w:hAnsi="Times New Roman"/>
                <w:b/>
                <w:iCs/>
                <w:color w:val="000000"/>
              </w:rPr>
            </w:pPr>
            <w:r w:rsidRPr="001844D1">
              <w:rPr>
                <w:b/>
                <w:iCs/>
                <w:color w:val="000000"/>
              </w:rPr>
              <w:t>Addendum Section F1</w:t>
            </w:r>
          </w:p>
        </w:tc>
      </w:tr>
      <w:tr w14:paraId="797028ED" w14:textId="77777777" w:rsidTr="006744B5">
        <w:tblPrEx>
          <w:tblW w:w="0" w:type="auto"/>
          <w:jc w:val="center"/>
          <w:tblCellMar>
            <w:top w:w="72" w:type="dxa"/>
            <w:left w:w="115" w:type="dxa"/>
            <w:bottom w:w="72" w:type="dxa"/>
            <w:right w:w="115" w:type="dxa"/>
          </w:tblCellMar>
          <w:tblLook w:val="04A0"/>
        </w:tblPrEx>
        <w:trPr>
          <w:trHeight w:val="3185"/>
          <w:jc w:val="center"/>
        </w:trPr>
        <w:tc>
          <w:tcPr>
            <w:tcW w:w="9205" w:type="dxa"/>
          </w:tcPr>
          <w:p w:rsidR="008828A9" w:rsidRPr="004203C2" w:rsidP="006744B5" w14:paraId="7FDA6C0D"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5EDF1630" w14:textId="77777777">
      <w:pPr>
        <w:spacing w:after="120"/>
        <w:rPr>
          <w:iCs/>
          <w:color w:val="000000"/>
          <w:szCs w:val="22"/>
        </w:rPr>
      </w:pPr>
    </w:p>
    <w:p w:rsidR="008828A9" w:rsidRPr="004203C2" w:rsidP="008828A9" w14:paraId="2F6326A6" w14:textId="77777777">
      <w:pPr>
        <w:pStyle w:val="ListParagraph"/>
        <w:numPr>
          <w:ilvl w:val="0"/>
          <w:numId w:val="15"/>
        </w:numPr>
        <w:spacing w:after="120" w:line="240" w:lineRule="auto"/>
        <w:rPr>
          <w:rFonts w:ascii="Times New Roman" w:hAnsi="Times New Roman"/>
          <w:b/>
          <w:iCs/>
          <w:color w:val="000000"/>
        </w:rPr>
      </w:pPr>
      <w:r w:rsidRPr="004203C2">
        <w:rPr>
          <w:rFonts w:ascii="Times New Roman" w:hAnsi="Times New Roman"/>
          <w:b/>
          <w:iCs/>
          <w:color w:val="000000"/>
        </w:rPr>
        <w:t>For the annual period ending December 31, 2019, please report the total amount collected pursuant to the assessed fees or charges described in Question F 1.</w:t>
      </w:r>
    </w:p>
    <w:tbl>
      <w:tblPr>
        <w:tblStyle w:val="TableGrid"/>
        <w:tblW w:w="0" w:type="auto"/>
        <w:jc w:val="center"/>
        <w:tblCellMar>
          <w:top w:w="115" w:type="dxa"/>
          <w:left w:w="115" w:type="dxa"/>
          <w:bottom w:w="115" w:type="dxa"/>
          <w:right w:w="115" w:type="dxa"/>
        </w:tblCellMar>
        <w:tblLook w:val="04A0"/>
      </w:tblPr>
      <w:tblGrid>
        <w:gridCol w:w="2133"/>
        <w:gridCol w:w="3324"/>
      </w:tblGrid>
      <w:tr w14:paraId="28BBB179" w14:textId="77777777" w:rsidTr="006744B5">
        <w:tblPrEx>
          <w:tblW w:w="0" w:type="auto"/>
          <w:jc w:val="center"/>
          <w:tblCellMar>
            <w:top w:w="115" w:type="dxa"/>
            <w:left w:w="115" w:type="dxa"/>
            <w:bottom w:w="115" w:type="dxa"/>
            <w:right w:w="115" w:type="dxa"/>
          </w:tblCellMar>
          <w:tblLook w:val="04A0"/>
        </w:tblPrEx>
        <w:trPr>
          <w:jc w:val="center"/>
        </w:trPr>
        <w:tc>
          <w:tcPr>
            <w:tcW w:w="2133" w:type="dxa"/>
            <w:shd w:val="clear" w:color="auto" w:fill="D9D9D9"/>
            <w:vAlign w:val="center"/>
          </w:tcPr>
          <w:p w:rsidR="008828A9" w:rsidRPr="004203C2" w:rsidP="006744B5" w14:paraId="09CE87C6" w14:textId="77777777">
            <w:pPr>
              <w:spacing w:after="120"/>
              <w:jc w:val="center"/>
              <w:rPr>
                <w:rFonts w:ascii="Times New Roman" w:hAnsi="Times New Roman"/>
                <w:b/>
                <w:iCs/>
                <w:color w:val="000000"/>
              </w:rPr>
            </w:pPr>
            <w:r w:rsidRPr="001844D1">
              <w:rPr>
                <w:b/>
                <w:iCs/>
                <w:color w:val="000000"/>
              </w:rPr>
              <w:t>Service Type</w:t>
            </w:r>
          </w:p>
        </w:tc>
        <w:tc>
          <w:tcPr>
            <w:tcW w:w="3324" w:type="dxa"/>
            <w:shd w:val="clear" w:color="auto" w:fill="D9D9D9"/>
            <w:vAlign w:val="center"/>
          </w:tcPr>
          <w:p w:rsidR="008828A9" w:rsidRPr="004203C2" w:rsidP="006744B5" w14:paraId="533B65C2" w14:textId="77777777">
            <w:pPr>
              <w:spacing w:after="120"/>
              <w:jc w:val="center"/>
              <w:rPr>
                <w:rFonts w:ascii="Times New Roman" w:hAnsi="Times New Roman"/>
                <w:iCs/>
                <w:color w:val="000000"/>
              </w:rPr>
            </w:pPr>
            <w:r w:rsidRPr="001844D1">
              <w:rPr>
                <w:b/>
                <w:iCs/>
                <w:color w:val="000000"/>
              </w:rPr>
              <w:t>Total Amount Collected ($)</w:t>
            </w:r>
          </w:p>
        </w:tc>
      </w:tr>
      <w:tr w14:paraId="21B1DCBA" w14:textId="77777777" w:rsidTr="006744B5">
        <w:tblPrEx>
          <w:tblW w:w="0" w:type="auto"/>
          <w:jc w:val="center"/>
          <w:tblCellMar>
            <w:top w:w="115" w:type="dxa"/>
            <w:left w:w="115" w:type="dxa"/>
            <w:bottom w:w="115" w:type="dxa"/>
            <w:right w:w="115" w:type="dxa"/>
          </w:tblCellMar>
          <w:tblLook w:val="04A0"/>
        </w:tblPrEx>
        <w:trPr>
          <w:trHeight w:val="442"/>
          <w:jc w:val="center"/>
        </w:trPr>
        <w:tc>
          <w:tcPr>
            <w:tcW w:w="2133" w:type="dxa"/>
            <w:shd w:val="clear" w:color="auto" w:fill="auto"/>
            <w:vAlign w:val="center"/>
          </w:tcPr>
          <w:p w:rsidR="008828A9" w:rsidRPr="004203C2" w:rsidP="006744B5" w14:paraId="43943B4F" w14:textId="77777777">
            <w:pPr>
              <w:spacing w:after="120"/>
              <w:jc w:val="center"/>
              <w:rPr>
                <w:rFonts w:ascii="Times New Roman" w:hAnsi="Times New Roman"/>
                <w:iCs/>
                <w:color w:val="000000"/>
              </w:rPr>
            </w:pPr>
            <w:r w:rsidRPr="001844D1">
              <w:rPr>
                <w:iCs/>
                <w:color w:val="000000"/>
              </w:rPr>
              <w:t>Wireline</w:t>
            </w:r>
          </w:p>
        </w:tc>
        <w:tc>
          <w:tcPr>
            <w:tcW w:w="3324" w:type="dxa"/>
            <w:vAlign w:val="center"/>
          </w:tcPr>
          <w:p w:rsidR="008828A9" w:rsidRPr="004203C2" w:rsidP="006744B5" w14:paraId="28B42310"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31DA1EB5" w14:textId="77777777" w:rsidTr="006744B5">
        <w:tblPrEx>
          <w:tblW w:w="0" w:type="auto"/>
          <w:jc w:val="center"/>
          <w:tblCellMar>
            <w:top w:w="115" w:type="dxa"/>
            <w:left w:w="115" w:type="dxa"/>
            <w:bottom w:w="115" w:type="dxa"/>
            <w:right w:w="115" w:type="dxa"/>
          </w:tblCellMar>
          <w:tblLook w:val="04A0"/>
        </w:tblPrEx>
        <w:trPr>
          <w:trHeight w:val="163"/>
          <w:jc w:val="center"/>
        </w:trPr>
        <w:tc>
          <w:tcPr>
            <w:tcW w:w="2133" w:type="dxa"/>
            <w:shd w:val="clear" w:color="auto" w:fill="auto"/>
            <w:vAlign w:val="center"/>
          </w:tcPr>
          <w:p w:rsidR="008828A9" w:rsidRPr="004203C2" w:rsidP="006744B5" w14:paraId="3F6DA316" w14:textId="77777777">
            <w:pPr>
              <w:spacing w:after="120"/>
              <w:jc w:val="center"/>
              <w:rPr>
                <w:rFonts w:ascii="Times New Roman" w:hAnsi="Times New Roman"/>
                <w:iCs/>
                <w:color w:val="000000"/>
              </w:rPr>
            </w:pPr>
            <w:r w:rsidRPr="001844D1">
              <w:rPr>
                <w:iCs/>
                <w:color w:val="000000"/>
              </w:rPr>
              <w:t>Wireless</w:t>
            </w:r>
          </w:p>
        </w:tc>
        <w:tc>
          <w:tcPr>
            <w:tcW w:w="3324" w:type="dxa"/>
            <w:vAlign w:val="center"/>
          </w:tcPr>
          <w:p w:rsidR="008828A9" w:rsidRPr="004203C2" w:rsidP="006744B5" w14:paraId="6C1662D3"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49DFECE5" w14:textId="77777777" w:rsidTr="006744B5">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8828A9" w:rsidRPr="004203C2" w:rsidP="006744B5" w14:paraId="17D8C885" w14:textId="77777777">
            <w:pPr>
              <w:spacing w:after="120"/>
              <w:jc w:val="center"/>
              <w:rPr>
                <w:rFonts w:ascii="Times New Roman" w:hAnsi="Times New Roman"/>
                <w:iCs/>
                <w:color w:val="000000"/>
              </w:rPr>
            </w:pPr>
            <w:r w:rsidRPr="001844D1">
              <w:rPr>
                <w:iCs/>
                <w:color w:val="000000"/>
              </w:rPr>
              <w:t>Prepaid Wireless</w:t>
            </w:r>
          </w:p>
        </w:tc>
        <w:tc>
          <w:tcPr>
            <w:tcW w:w="3324" w:type="dxa"/>
            <w:vAlign w:val="center"/>
          </w:tcPr>
          <w:p w:rsidR="008828A9" w:rsidRPr="004203C2" w:rsidP="006744B5" w14:paraId="729143B8"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19E47F6F" w14:textId="77777777" w:rsidTr="006744B5">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8828A9" w:rsidRPr="004203C2" w:rsidP="006744B5" w14:paraId="2E8FDB31" w14:textId="77777777">
            <w:pPr>
              <w:spacing w:after="120"/>
              <w:jc w:val="center"/>
              <w:rPr>
                <w:rFonts w:ascii="Times New Roman" w:hAnsi="Times New Roman"/>
                <w:iCs/>
                <w:color w:val="000000"/>
              </w:rPr>
            </w:pPr>
            <w:r w:rsidRPr="001844D1">
              <w:rPr>
                <w:iCs/>
                <w:color w:val="000000"/>
              </w:rPr>
              <w:t>Voice Over Internet Protocol (VoIP)</w:t>
            </w:r>
          </w:p>
        </w:tc>
        <w:tc>
          <w:tcPr>
            <w:tcW w:w="3324" w:type="dxa"/>
            <w:vAlign w:val="center"/>
          </w:tcPr>
          <w:p w:rsidR="008828A9" w:rsidRPr="004203C2" w:rsidP="006744B5" w14:paraId="5FD8C403"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06916C46" w14:textId="77777777" w:rsidTr="006744B5">
        <w:tblPrEx>
          <w:tblW w:w="0" w:type="auto"/>
          <w:jc w:val="center"/>
          <w:tblCellMar>
            <w:top w:w="115" w:type="dxa"/>
            <w:left w:w="115" w:type="dxa"/>
            <w:bottom w:w="115" w:type="dxa"/>
            <w:right w:w="115" w:type="dxa"/>
          </w:tblCellMar>
          <w:tblLook w:val="04A0"/>
        </w:tblPrEx>
        <w:trPr>
          <w:jc w:val="center"/>
        </w:trPr>
        <w:tc>
          <w:tcPr>
            <w:tcW w:w="2133" w:type="dxa"/>
            <w:shd w:val="clear" w:color="auto" w:fill="auto"/>
            <w:vAlign w:val="center"/>
          </w:tcPr>
          <w:p w:rsidR="008828A9" w:rsidRPr="004203C2" w:rsidP="006744B5" w14:paraId="6DF97EB8" w14:textId="77777777">
            <w:pPr>
              <w:spacing w:after="120"/>
              <w:jc w:val="center"/>
              <w:rPr>
                <w:rFonts w:ascii="Times New Roman" w:hAnsi="Times New Roman"/>
                <w:iCs/>
                <w:color w:val="000000"/>
              </w:rPr>
            </w:pPr>
            <w:r w:rsidRPr="001844D1">
              <w:rPr>
                <w:iCs/>
                <w:color w:val="000000"/>
              </w:rPr>
              <w:t>Other</w:t>
            </w:r>
          </w:p>
        </w:tc>
        <w:tc>
          <w:tcPr>
            <w:tcW w:w="3324" w:type="dxa"/>
            <w:vAlign w:val="center"/>
          </w:tcPr>
          <w:p w:rsidR="008828A9" w:rsidRPr="004203C2" w:rsidP="006744B5" w14:paraId="177F37EE"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65384C99" w14:textId="77777777" w:rsidTr="006744B5">
        <w:tblPrEx>
          <w:tblW w:w="0" w:type="auto"/>
          <w:jc w:val="center"/>
          <w:tblCellMar>
            <w:top w:w="115" w:type="dxa"/>
            <w:left w:w="115" w:type="dxa"/>
            <w:bottom w:w="115" w:type="dxa"/>
            <w:right w:w="115" w:type="dxa"/>
          </w:tblCellMar>
          <w:tblLook w:val="04A0"/>
        </w:tblPrEx>
        <w:trPr>
          <w:jc w:val="center"/>
        </w:trPr>
        <w:tc>
          <w:tcPr>
            <w:tcW w:w="2133" w:type="dxa"/>
            <w:shd w:val="clear" w:color="auto" w:fill="D9D9D9"/>
            <w:vAlign w:val="center"/>
          </w:tcPr>
          <w:p w:rsidR="008828A9" w:rsidRPr="004203C2" w:rsidP="006744B5" w14:paraId="13F35F7F" w14:textId="77777777">
            <w:pPr>
              <w:spacing w:after="120"/>
              <w:jc w:val="center"/>
              <w:rPr>
                <w:rFonts w:ascii="Times New Roman" w:hAnsi="Times New Roman"/>
                <w:b/>
                <w:iCs/>
                <w:color w:val="000000"/>
              </w:rPr>
            </w:pPr>
            <w:r w:rsidRPr="001844D1">
              <w:rPr>
                <w:b/>
                <w:iCs/>
                <w:color w:val="000000"/>
              </w:rPr>
              <w:t>Total</w:t>
            </w:r>
          </w:p>
        </w:tc>
        <w:tc>
          <w:tcPr>
            <w:tcW w:w="3324" w:type="dxa"/>
            <w:vAlign w:val="center"/>
          </w:tcPr>
          <w:p w:rsidR="008828A9" w:rsidRPr="004203C2" w:rsidP="006744B5" w14:paraId="7AA34919" w14:textId="77777777">
            <w:pPr>
              <w:spacing w:after="120"/>
              <w:jc w:val="center"/>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3BDF87FD" w14:textId="77777777">
      <w:pPr>
        <w:spacing w:after="120"/>
        <w:rPr>
          <w:iCs/>
          <w:color w:val="000000"/>
          <w:szCs w:val="22"/>
        </w:rPr>
      </w:pPr>
    </w:p>
    <w:p w:rsidR="008828A9" w:rsidRPr="001844D1" w:rsidP="008828A9" w14:paraId="0970B8CD" w14:textId="77777777">
      <w:pPr>
        <w:pStyle w:val="BodyText"/>
        <w:ind w:left="360"/>
        <w:rPr>
          <w:rFonts w:ascii="Times New Roman" w:hAnsi="Times New Roman" w:cs="Times New Roman"/>
          <w:b/>
          <w:szCs w:val="22"/>
        </w:rPr>
      </w:pPr>
      <w:r w:rsidRPr="001844D1">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8859"/>
      </w:tblGrid>
      <w:tr w14:paraId="52B36FA9" w14:textId="77777777" w:rsidTr="006744B5">
        <w:tblPrEx>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Ex>
        <w:trPr>
          <w:jc w:val="center"/>
        </w:trPr>
        <w:tc>
          <w:tcPr>
            <w:tcW w:w="8859" w:type="dxa"/>
          </w:tcPr>
          <w:p w:rsidR="008828A9" w:rsidRPr="001844D1" w:rsidP="006744B5" w14:paraId="446E3350"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bl>
    <w:p w:rsidR="008828A9" w:rsidRPr="001844D1" w:rsidP="008828A9" w14:paraId="48CF79F0" w14:textId="77777777">
      <w:pPr>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205"/>
      </w:tblGrid>
      <w:tr w14:paraId="5C15C92B" w14:textId="77777777" w:rsidTr="006744B5">
        <w:tblPrEx>
          <w:tblW w:w="0" w:type="auto"/>
          <w:jc w:val="center"/>
          <w:tblCellMar>
            <w:top w:w="72" w:type="dxa"/>
            <w:left w:w="115" w:type="dxa"/>
            <w:bottom w:w="72" w:type="dxa"/>
            <w:right w:w="115" w:type="dxa"/>
          </w:tblCellMar>
          <w:tblLook w:val="04A0"/>
        </w:tblPrEx>
        <w:trPr>
          <w:jc w:val="center"/>
        </w:trPr>
        <w:tc>
          <w:tcPr>
            <w:tcW w:w="9205" w:type="dxa"/>
            <w:shd w:val="clear" w:color="auto" w:fill="D9D9D9"/>
            <w:vAlign w:val="center"/>
          </w:tcPr>
          <w:p w:rsidR="008828A9" w:rsidRPr="004203C2" w:rsidP="006744B5" w14:paraId="5A85DA55" w14:textId="77777777">
            <w:pPr>
              <w:tabs>
                <w:tab w:val="left" w:pos="630"/>
              </w:tabs>
              <w:spacing w:after="120"/>
              <w:rPr>
                <w:rFonts w:ascii="Times New Roman" w:hAnsi="Times New Roman"/>
                <w:b/>
                <w:iCs/>
                <w:color w:val="000000"/>
              </w:rPr>
            </w:pPr>
            <w:r w:rsidRPr="001844D1">
              <w:rPr>
                <w:b/>
                <w:iCs/>
                <w:color w:val="000000"/>
              </w:rPr>
              <w:t>Addendum Section F2</w:t>
            </w:r>
          </w:p>
        </w:tc>
      </w:tr>
      <w:tr w14:paraId="270D78B0" w14:textId="77777777" w:rsidTr="006744B5">
        <w:tblPrEx>
          <w:tblW w:w="0" w:type="auto"/>
          <w:jc w:val="center"/>
          <w:tblCellMar>
            <w:top w:w="72" w:type="dxa"/>
            <w:left w:w="115" w:type="dxa"/>
            <w:bottom w:w="72" w:type="dxa"/>
            <w:right w:w="115" w:type="dxa"/>
          </w:tblCellMar>
          <w:tblLook w:val="04A0"/>
        </w:tblPrEx>
        <w:trPr>
          <w:trHeight w:val="962"/>
          <w:jc w:val="center"/>
        </w:trPr>
        <w:tc>
          <w:tcPr>
            <w:tcW w:w="9205" w:type="dxa"/>
          </w:tcPr>
          <w:p w:rsidR="008828A9" w:rsidRPr="004203C2" w:rsidP="006744B5" w14:paraId="4AD34BBD"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4ADBC869" w14:textId="77777777">
      <w:pPr>
        <w:spacing w:after="120"/>
        <w:rPr>
          <w:iCs/>
          <w:color w:val="000000"/>
          <w:szCs w:val="22"/>
        </w:rPr>
      </w:pPr>
    </w:p>
    <w:p w:rsidR="008828A9" w:rsidRPr="004203C2" w:rsidP="008828A9" w14:paraId="6CA44121" w14:textId="77777777">
      <w:pPr>
        <w:pStyle w:val="ListParagraph"/>
        <w:numPr>
          <w:ilvl w:val="0"/>
          <w:numId w:val="15"/>
        </w:numPr>
        <w:spacing w:after="120" w:line="240" w:lineRule="auto"/>
        <w:rPr>
          <w:rFonts w:ascii="Times New Roman" w:hAnsi="Times New Roman"/>
          <w:b/>
          <w:iCs/>
          <w:color w:val="000000"/>
        </w:rPr>
      </w:pPr>
      <w:r w:rsidRPr="004203C2">
        <w:rPr>
          <w:rFonts w:ascii="Times New Roman" w:hAnsi="Times New Roman"/>
          <w:b/>
          <w:iCs/>
          <w:color w:val="000000"/>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
      <w:tblGrid>
        <w:gridCol w:w="9038"/>
      </w:tblGrid>
      <w:tr w14:paraId="271DA325" w14:textId="77777777" w:rsidTr="006744B5">
        <w:tblPrEx>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tblPrEx>
        <w:trPr>
          <w:jc w:val="center"/>
        </w:trPr>
        <w:tc>
          <w:tcPr>
            <w:tcW w:w="9038" w:type="dxa"/>
          </w:tcPr>
          <w:p w:rsidR="008828A9" w:rsidRPr="001844D1" w:rsidP="006744B5" w14:paraId="746378C9"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bl>
    <w:p w:rsidR="008828A9" w:rsidRPr="001844D1" w:rsidP="008828A9" w14:paraId="37087A1D" w14:textId="77777777">
      <w:pPr>
        <w:spacing w:after="120"/>
        <w:rPr>
          <w:iCs/>
          <w:color w:val="000000"/>
          <w:szCs w:val="22"/>
        </w:rPr>
      </w:pPr>
    </w:p>
    <w:p w:rsidR="008828A9" w:rsidRPr="001844D1" w:rsidP="008828A9" w14:paraId="5B4182CD" w14:textId="77777777">
      <w:pPr>
        <w:spacing w:after="120"/>
        <w:rPr>
          <w:iCs/>
          <w:color w:val="000000"/>
          <w:szCs w:val="22"/>
        </w:rPr>
      </w:pPr>
    </w:p>
    <w:p w:rsidR="008828A9" w:rsidRPr="001844D1" w:rsidP="008828A9" w14:paraId="7B43CB42" w14:textId="77777777">
      <w:pPr>
        <w:spacing w:after="120"/>
        <w:rPr>
          <w:iCs/>
          <w:color w:val="000000"/>
          <w:szCs w:val="22"/>
        </w:rPr>
      </w:pPr>
    </w:p>
    <w:p w:rsidR="008828A9" w:rsidRPr="001844D1" w:rsidP="008828A9" w14:paraId="72D9AC8B" w14:textId="77777777">
      <w:pPr>
        <w:spacing w:after="120"/>
        <w:rPr>
          <w:iCs/>
          <w:color w:val="000000"/>
          <w:szCs w:val="22"/>
        </w:rPr>
      </w:pPr>
    </w:p>
    <w:p w:rsidR="008828A9" w:rsidRPr="001844D1" w:rsidP="008828A9" w14:paraId="23BD3D38" w14:textId="77777777">
      <w:pPr>
        <w:spacing w:after="12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792CCA18"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vAlign w:val="center"/>
          </w:tcPr>
          <w:p w:rsidR="008828A9" w:rsidRPr="001844D1" w:rsidP="006744B5" w14:paraId="2DE25666" w14:textId="77777777">
            <w:pPr>
              <w:pStyle w:val="NoSpacing"/>
              <w:jc w:val="center"/>
              <w:rPr>
                <w:rFonts w:ascii="Times New Roman" w:hAnsi="Times New Roman"/>
                <w:b/>
              </w:rPr>
            </w:pPr>
            <w:r w:rsidRPr="001844D1">
              <w:rPr>
                <w:rFonts w:ascii="Times New Roman" w:hAnsi="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844D1" w:rsidP="006744B5" w14:paraId="5F1964B7" w14:textId="77777777">
            <w:pPr>
              <w:pStyle w:val="NoSpacing"/>
              <w:jc w:val="center"/>
              <w:rPr>
                <w:rFonts w:ascii="Times New Roman" w:hAnsi="Times New Roman"/>
                <w:b/>
              </w:rPr>
            </w:pPr>
            <w:r w:rsidRPr="001844D1">
              <w:rPr>
                <w:rFonts w:ascii="Times New Roman" w:hAnsi="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844D1" w:rsidP="006744B5" w14:paraId="6C399C44" w14:textId="77777777">
            <w:pPr>
              <w:pStyle w:val="NoSpacing"/>
              <w:jc w:val="center"/>
              <w:rPr>
                <w:rFonts w:ascii="Times New Roman" w:hAnsi="Times New Roman"/>
                <w:b/>
              </w:rPr>
            </w:pPr>
            <w:r w:rsidRPr="001844D1">
              <w:rPr>
                <w:rFonts w:ascii="Times New Roman" w:hAnsi="Times New Roman"/>
                <w:b/>
              </w:rPr>
              <w:t>No</w:t>
            </w:r>
          </w:p>
        </w:tc>
      </w:tr>
      <w:tr w14:paraId="5A694060" w14:textId="77777777" w:rsidTr="006744B5">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8828A9" w:rsidRPr="004203C2" w:rsidP="008828A9" w14:paraId="4652026A" w14:textId="77777777">
            <w:pPr>
              <w:pStyle w:val="ListParagraph"/>
              <w:numPr>
                <w:ilvl w:val="0"/>
                <w:numId w:val="15"/>
              </w:numPr>
              <w:spacing w:after="120" w:line="240" w:lineRule="auto"/>
              <w:rPr>
                <w:rFonts w:ascii="Times New Roman" w:hAnsi="Times New Roman"/>
              </w:rPr>
            </w:pPr>
            <w:r w:rsidRPr="004203C2">
              <w:rPr>
                <w:rFonts w:ascii="Times New Roman" w:hAnsi="Times New Roman"/>
                <w:b/>
              </w:rPr>
              <w:t>For the annual period ending December 31, 2019, were any 911/E911 fees that were collected by your state or jurisdiction combined with any federal, state or local funds, grants, special collections, or general budget appropriations that were designated to support 911/E911/NG911 services?</w:t>
            </w:r>
            <w:r w:rsidRPr="004203C2">
              <w:rPr>
                <w:rFonts w:ascii="Times New Roman" w:hAnsi="Times New Roman"/>
              </w:rPr>
              <w:t xml:space="preserve"> </w:t>
            </w:r>
            <w:r w:rsidRPr="004203C2">
              <w:rPr>
                <w:rFonts w:ascii="Times New Roman" w:hAnsi="Times New Roman"/>
                <w:i/>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5333748C"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ed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780B091B"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r>
      <w:tr w14:paraId="72846B5F" w14:textId="77777777" w:rsidTr="006744B5">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cPr>
          <w:p w:rsidR="008828A9" w:rsidRPr="001844D1" w:rsidP="006744B5" w14:paraId="12D78E8D" w14:textId="77777777">
            <w:pPr>
              <w:spacing w:before="120"/>
              <w:rPr>
                <w:b/>
                <w:szCs w:val="22"/>
              </w:rPr>
            </w:pPr>
            <w:r w:rsidRPr="001844D1">
              <w:rPr>
                <w:b/>
                <w:szCs w:val="22"/>
              </w:rPr>
              <w:t>4a.</w:t>
            </w:r>
            <w:r w:rsidRPr="001844D1">
              <w:rPr>
                <w:iCs/>
                <w:color w:val="000000"/>
                <w:szCs w:val="22"/>
              </w:rPr>
              <w:t xml:space="preserve"> </w:t>
            </w:r>
            <w:r w:rsidRPr="001844D1">
              <w:rPr>
                <w:b/>
                <w:iCs/>
                <w:color w:val="000000"/>
                <w:szCs w:val="22"/>
              </w:rPr>
              <w:t>If YES, please describe the federal, state or local funds and amounts that were combined with 911/E911 fees.</w:t>
            </w:r>
          </w:p>
        </w:tc>
      </w:tr>
      <w:tr w14:paraId="7D993381" w14:textId="77777777" w:rsidTr="006744B5">
        <w:tblPrEx>
          <w:tblW w:w="0" w:type="auto"/>
          <w:jc w:val="center"/>
          <w:tblLayout w:type="fixed"/>
          <w:tblCellMar>
            <w:top w:w="72" w:type="dxa"/>
            <w:left w:w="115" w:type="dxa"/>
            <w:bottom w:w="72" w:type="dxa"/>
            <w:right w:w="115" w:type="dxa"/>
          </w:tblCellMar>
          <w:tblLook w:val="0000"/>
        </w:tblPrEx>
        <w:trPr>
          <w:trHeight w:val="1394"/>
          <w:jc w:val="center"/>
        </w:trPr>
        <w:tc>
          <w:tcPr>
            <w:tcW w:w="9468" w:type="dxa"/>
            <w:gridSpan w:val="3"/>
            <w:tcBorders>
              <w:top w:val="single" w:sz="4" w:space="0" w:color="auto"/>
              <w:right w:val="single" w:sz="4" w:space="0" w:color="auto"/>
            </w:tcBorders>
          </w:tcPr>
          <w:p w:rsidR="008828A9" w:rsidRPr="001844D1" w:rsidP="006744B5" w14:paraId="5D180589"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bl>
    <w:p w:rsidR="008828A9" w:rsidRPr="001844D1" w:rsidP="008828A9" w14:paraId="7959DACA"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27E29AE6" w14:textId="77777777" w:rsidTr="006744B5">
        <w:tblPrEx>
          <w:tblW w:w="0" w:type="auto"/>
          <w:jc w:val="center"/>
          <w:tblCellMar>
            <w:top w:w="72" w:type="dxa"/>
            <w:left w:w="115" w:type="dxa"/>
            <w:bottom w:w="72" w:type="dxa"/>
            <w:right w:w="115" w:type="dxa"/>
          </w:tblCellMar>
          <w:tblLook w:val="04A0"/>
        </w:tblPrEx>
        <w:trPr>
          <w:jc w:val="center"/>
        </w:trPr>
        <w:tc>
          <w:tcPr>
            <w:tcW w:w="9625" w:type="dxa"/>
            <w:shd w:val="clear" w:color="auto" w:fill="D9D9D9"/>
            <w:vAlign w:val="center"/>
          </w:tcPr>
          <w:p w:rsidR="008828A9" w:rsidRPr="004203C2" w:rsidP="006744B5" w14:paraId="072B6C33" w14:textId="77777777">
            <w:pPr>
              <w:tabs>
                <w:tab w:val="left" w:pos="630"/>
              </w:tabs>
              <w:spacing w:after="120"/>
              <w:rPr>
                <w:rFonts w:ascii="Times New Roman" w:hAnsi="Times New Roman"/>
                <w:b/>
                <w:iCs/>
                <w:color w:val="000000"/>
              </w:rPr>
            </w:pPr>
            <w:r w:rsidRPr="001844D1">
              <w:rPr>
                <w:b/>
                <w:iCs/>
                <w:color w:val="000000"/>
              </w:rPr>
              <w:t>Addendum Section F4</w:t>
            </w:r>
          </w:p>
        </w:tc>
      </w:tr>
      <w:tr w14:paraId="010C8C9B" w14:textId="77777777" w:rsidTr="006744B5">
        <w:tblPrEx>
          <w:tblW w:w="0" w:type="auto"/>
          <w:jc w:val="center"/>
          <w:tblCellMar>
            <w:top w:w="72" w:type="dxa"/>
            <w:left w:w="115" w:type="dxa"/>
            <w:bottom w:w="72" w:type="dxa"/>
            <w:right w:w="115" w:type="dxa"/>
          </w:tblCellMar>
          <w:tblLook w:val="04A0"/>
        </w:tblPrEx>
        <w:trPr>
          <w:trHeight w:val="2348"/>
          <w:jc w:val="center"/>
        </w:trPr>
        <w:tc>
          <w:tcPr>
            <w:tcW w:w="9625" w:type="dxa"/>
          </w:tcPr>
          <w:p w:rsidR="008828A9" w:rsidRPr="004203C2" w:rsidP="006744B5" w14:paraId="3B5D3023"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5448F076" w14:textId="77777777">
      <w:pPr>
        <w:spacing w:after="200" w:line="276" w:lineRule="auto"/>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7074"/>
        <w:gridCol w:w="2394"/>
      </w:tblGrid>
      <w:tr w14:paraId="166A0EB0"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7074" w:type="dxa"/>
            <w:tcBorders>
              <w:top w:val="single" w:sz="4" w:space="0" w:color="auto"/>
              <w:bottom w:val="single" w:sz="4" w:space="0" w:color="auto"/>
              <w:right w:val="single" w:sz="4" w:space="0" w:color="auto"/>
            </w:tcBorders>
            <w:shd w:val="clear" w:color="auto" w:fill="D9D9D9"/>
            <w:vAlign w:val="center"/>
          </w:tcPr>
          <w:p w:rsidR="008828A9" w:rsidRPr="004203C2" w:rsidP="008828A9" w14:paraId="0D3DCCCA" w14:textId="77777777">
            <w:pPr>
              <w:pStyle w:val="ListParagraph"/>
              <w:numPr>
                <w:ilvl w:val="0"/>
                <w:numId w:val="15"/>
              </w:numPr>
              <w:spacing w:after="120" w:line="240" w:lineRule="auto"/>
              <w:rPr>
                <w:rFonts w:ascii="Times New Roman" w:hAnsi="Times New Roman"/>
                <w:b/>
              </w:rPr>
            </w:pPr>
            <w:r w:rsidRPr="004203C2">
              <w:rPr>
                <w:rFonts w:ascii="Times New Roman" w:hAnsi="Times New Roman"/>
                <w:b/>
              </w:rPr>
              <w:t>Please provide an estimate of the proportional contribution from each funding source towards the 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vAlign w:val="center"/>
          </w:tcPr>
          <w:p w:rsidR="008828A9" w:rsidRPr="001844D1" w:rsidP="006744B5" w14:paraId="16E626C5" w14:textId="77777777">
            <w:pPr>
              <w:pStyle w:val="NoSpacing"/>
              <w:jc w:val="center"/>
              <w:rPr>
                <w:rFonts w:ascii="Times New Roman" w:hAnsi="Times New Roman"/>
                <w:b/>
              </w:rPr>
            </w:pPr>
            <w:r w:rsidRPr="001844D1">
              <w:rPr>
                <w:rFonts w:ascii="Times New Roman" w:hAnsi="Times New Roman"/>
                <w:b/>
              </w:rPr>
              <w:t>Percent</w:t>
            </w:r>
          </w:p>
        </w:tc>
      </w:tr>
      <w:tr w14:paraId="3E38EB93" w14:textId="77777777" w:rsidTr="006744B5">
        <w:tblPrEx>
          <w:tblW w:w="0" w:type="auto"/>
          <w:jc w:val="center"/>
          <w:tblLayout w:type="fixed"/>
          <w:tblCellMar>
            <w:top w:w="72" w:type="dxa"/>
            <w:left w:w="115" w:type="dxa"/>
            <w:bottom w:w="72" w:type="dxa"/>
            <w:right w:w="115" w:type="dxa"/>
          </w:tblCellMar>
          <w:tblLook w:val="0000"/>
        </w:tblPrEx>
        <w:trPr>
          <w:trHeight w:val="530"/>
          <w:jc w:val="center"/>
        </w:trPr>
        <w:tc>
          <w:tcPr>
            <w:tcW w:w="7074" w:type="dxa"/>
            <w:tcBorders>
              <w:top w:val="single" w:sz="4" w:space="0" w:color="auto"/>
              <w:bottom w:val="single" w:sz="4" w:space="0" w:color="auto"/>
              <w:right w:val="single" w:sz="4" w:space="0" w:color="auto"/>
            </w:tcBorders>
          </w:tcPr>
          <w:p w:rsidR="008828A9" w:rsidRPr="001844D1" w:rsidP="006744B5" w14:paraId="7DC23579" w14:textId="77777777">
            <w:pPr>
              <w:pStyle w:val="BodyText"/>
              <w:rPr>
                <w:rFonts w:ascii="Times New Roman" w:hAnsi="Times New Roman" w:cs="Times New Roman"/>
              </w:rPr>
            </w:pPr>
            <w:r w:rsidRPr="001844D1">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8828A9" w:rsidRPr="001844D1" w:rsidP="006744B5" w14:paraId="1E8A645C"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r w14:paraId="7C2E8846" w14:textId="77777777" w:rsidTr="006744B5">
        <w:tblPrEx>
          <w:tblW w:w="0" w:type="auto"/>
          <w:jc w:val="center"/>
          <w:tblLayout w:type="fixed"/>
          <w:tblCellMar>
            <w:top w:w="72" w:type="dxa"/>
            <w:left w:w="115" w:type="dxa"/>
            <w:bottom w:w="72" w:type="dxa"/>
            <w:right w:w="115" w:type="dxa"/>
          </w:tblCellMar>
          <w:tblLook w:val="0000"/>
        </w:tblPrEx>
        <w:trPr>
          <w:trHeight w:val="674"/>
          <w:jc w:val="center"/>
        </w:trPr>
        <w:tc>
          <w:tcPr>
            <w:tcW w:w="7074" w:type="dxa"/>
            <w:tcBorders>
              <w:top w:val="single" w:sz="4" w:space="0" w:color="auto"/>
              <w:bottom w:val="single" w:sz="4" w:space="0" w:color="auto"/>
              <w:right w:val="single" w:sz="4" w:space="0" w:color="auto"/>
            </w:tcBorders>
          </w:tcPr>
          <w:p w:rsidR="008828A9" w:rsidRPr="001844D1" w:rsidP="006744B5" w14:paraId="28B22B30" w14:textId="77777777">
            <w:pPr>
              <w:pStyle w:val="BodyText"/>
              <w:rPr>
                <w:rFonts w:ascii="Times New Roman" w:hAnsi="Times New Roman" w:cs="Times New Roman"/>
                <w:szCs w:val="22"/>
              </w:rPr>
            </w:pPr>
            <w:r w:rsidRPr="001844D1">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8828A9" w:rsidRPr="001844D1" w:rsidP="006744B5" w14:paraId="562FA089"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r w14:paraId="61766590" w14:textId="77777777" w:rsidTr="006744B5">
        <w:tblPrEx>
          <w:tblW w:w="0" w:type="auto"/>
          <w:jc w:val="center"/>
          <w:tblLayout w:type="fixed"/>
          <w:tblCellMar>
            <w:top w:w="72" w:type="dxa"/>
            <w:left w:w="115" w:type="dxa"/>
            <w:bottom w:w="72" w:type="dxa"/>
            <w:right w:w="115" w:type="dxa"/>
          </w:tblCellMar>
          <w:tblLook w:val="0000"/>
        </w:tblPrEx>
        <w:trPr>
          <w:trHeight w:val="638"/>
          <w:jc w:val="center"/>
        </w:trPr>
        <w:tc>
          <w:tcPr>
            <w:tcW w:w="7074" w:type="dxa"/>
            <w:tcBorders>
              <w:top w:val="single" w:sz="4" w:space="0" w:color="auto"/>
              <w:right w:val="single" w:sz="4" w:space="0" w:color="auto"/>
            </w:tcBorders>
          </w:tcPr>
          <w:p w:rsidR="008828A9" w:rsidRPr="001844D1" w:rsidP="006744B5" w14:paraId="202EE3D6" w14:textId="77777777">
            <w:pPr>
              <w:pStyle w:val="BodyText"/>
              <w:rPr>
                <w:rFonts w:ascii="Times New Roman" w:hAnsi="Times New Roman" w:cs="Times New Roman"/>
                <w:szCs w:val="22"/>
              </w:rPr>
            </w:pPr>
            <w:r w:rsidRPr="001844D1">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8828A9" w:rsidRPr="001844D1" w:rsidP="006744B5" w14:paraId="41E74CB4"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r w14:paraId="0C901599" w14:textId="77777777" w:rsidTr="006744B5">
        <w:tblPrEx>
          <w:tblW w:w="0" w:type="auto"/>
          <w:jc w:val="center"/>
          <w:tblLayout w:type="fixed"/>
          <w:tblCellMar>
            <w:top w:w="72" w:type="dxa"/>
            <w:left w:w="115" w:type="dxa"/>
            <w:bottom w:w="72" w:type="dxa"/>
            <w:right w:w="115" w:type="dxa"/>
          </w:tblCellMar>
          <w:tblLook w:val="0000"/>
        </w:tblPrEx>
        <w:trPr>
          <w:trHeight w:val="432"/>
          <w:jc w:val="center"/>
        </w:trPr>
        <w:tc>
          <w:tcPr>
            <w:tcW w:w="7074" w:type="dxa"/>
            <w:tcBorders>
              <w:bottom w:val="single" w:sz="4" w:space="0" w:color="auto"/>
              <w:right w:val="single" w:sz="4" w:space="0" w:color="auto"/>
            </w:tcBorders>
          </w:tcPr>
          <w:p w:rsidR="008828A9" w:rsidRPr="001844D1" w:rsidP="006744B5" w14:paraId="16232CCB" w14:textId="77777777">
            <w:pPr>
              <w:pStyle w:val="BodyText"/>
              <w:rPr>
                <w:rFonts w:ascii="Times New Roman" w:hAnsi="Times New Roman" w:cs="Times New Roman"/>
                <w:szCs w:val="22"/>
              </w:rPr>
            </w:pPr>
            <w:r w:rsidRPr="001844D1">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8828A9" w:rsidRPr="001844D1" w:rsidP="006744B5" w14:paraId="5E7A154D"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r w14:paraId="32F60115" w14:textId="77777777" w:rsidTr="006744B5">
        <w:tblPrEx>
          <w:tblW w:w="0" w:type="auto"/>
          <w:jc w:val="center"/>
          <w:tblLayout w:type="fixed"/>
          <w:tblCellMar>
            <w:top w:w="72" w:type="dxa"/>
            <w:left w:w="115" w:type="dxa"/>
            <w:bottom w:w="72" w:type="dxa"/>
            <w:right w:w="115" w:type="dxa"/>
          </w:tblCellMar>
          <w:tblLook w:val="0000"/>
        </w:tblPrEx>
        <w:trPr>
          <w:trHeight w:val="602"/>
          <w:jc w:val="center"/>
        </w:trPr>
        <w:tc>
          <w:tcPr>
            <w:tcW w:w="7074" w:type="dxa"/>
            <w:tcBorders>
              <w:top w:val="single" w:sz="4" w:space="0" w:color="auto"/>
              <w:bottom w:val="single" w:sz="4" w:space="0" w:color="auto"/>
              <w:right w:val="single" w:sz="4" w:space="0" w:color="auto"/>
            </w:tcBorders>
          </w:tcPr>
          <w:p w:rsidR="008828A9" w:rsidRPr="001844D1" w:rsidP="006744B5" w14:paraId="0E995445" w14:textId="77777777">
            <w:pPr>
              <w:pStyle w:val="BodyText"/>
              <w:rPr>
                <w:rFonts w:ascii="Times New Roman" w:hAnsi="Times New Roman" w:cs="Times New Roman"/>
                <w:szCs w:val="22"/>
              </w:rPr>
            </w:pPr>
            <w:r w:rsidRPr="001844D1">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8828A9" w:rsidRPr="001844D1" w:rsidP="006744B5" w14:paraId="2B428BB2"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r w14:paraId="5C04A328" w14:textId="77777777" w:rsidTr="006744B5">
        <w:tblPrEx>
          <w:tblW w:w="0" w:type="auto"/>
          <w:jc w:val="center"/>
          <w:tblLayout w:type="fixed"/>
          <w:tblCellMar>
            <w:top w:w="72" w:type="dxa"/>
            <w:left w:w="115" w:type="dxa"/>
            <w:bottom w:w="72" w:type="dxa"/>
            <w:right w:w="115" w:type="dxa"/>
          </w:tblCellMar>
          <w:tblLook w:val="0000"/>
        </w:tblPrEx>
        <w:trPr>
          <w:trHeight w:val="557"/>
          <w:jc w:val="center"/>
        </w:trPr>
        <w:tc>
          <w:tcPr>
            <w:tcW w:w="7074" w:type="dxa"/>
            <w:tcBorders>
              <w:top w:val="single" w:sz="4" w:space="0" w:color="auto"/>
              <w:bottom w:val="single" w:sz="4" w:space="0" w:color="auto"/>
              <w:right w:val="single" w:sz="4" w:space="0" w:color="auto"/>
            </w:tcBorders>
          </w:tcPr>
          <w:p w:rsidR="008828A9" w:rsidRPr="001844D1" w:rsidP="006744B5" w14:paraId="22945F2B" w14:textId="77777777">
            <w:pPr>
              <w:pStyle w:val="BodyText"/>
              <w:rPr>
                <w:rFonts w:ascii="Times New Roman" w:hAnsi="Times New Roman" w:cs="Times New Roman"/>
                <w:szCs w:val="22"/>
              </w:rPr>
            </w:pPr>
            <w:r w:rsidRPr="001844D1">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8828A9" w:rsidRPr="001844D1" w:rsidP="006744B5" w14:paraId="3113B49C" w14:textId="77777777">
            <w:pPr>
              <w:pStyle w:val="BodyText"/>
              <w:rPr>
                <w:rFonts w:ascii="Times New Roman" w:hAnsi="Times New Roman" w:cs="Times New Roman"/>
              </w:rPr>
            </w:pPr>
            <w:r w:rsidRPr="008828A9">
              <w:rPr>
                <w:rFonts w:ascii="Times New Roman" w:hAnsi="Times New Roman" w:cs="Times New Roman"/>
                <w:sz w:val="24"/>
                <w:szCs w:val="22"/>
                <w:highlight w:val="lightGray"/>
              </w:rPr>
              <w:fldChar w:fldCharType="begin">
                <w:ffData>
                  <w:name w:val="B3A_Desc"/>
                  <w:enabled/>
                  <w:calcOnExit w:val="0"/>
                  <w:textInput/>
                </w:ffData>
              </w:fldChar>
            </w:r>
            <w:r w:rsidRPr="008828A9">
              <w:rPr>
                <w:rFonts w:ascii="Times New Roman" w:hAnsi="Times New Roman" w:cs="Times New Roman"/>
                <w:sz w:val="24"/>
                <w:szCs w:val="22"/>
                <w:highlight w:val="lightGray"/>
              </w:rPr>
              <w:instrText xml:space="preserve"> FORMTEXT </w:instrText>
            </w:r>
            <w:r w:rsidRPr="008828A9">
              <w:rPr>
                <w:rFonts w:ascii="Times New Roman" w:hAnsi="Times New Roman" w:cs="Times New Roman"/>
                <w:sz w:val="24"/>
                <w:szCs w:val="22"/>
                <w:highlight w:val="lightGray"/>
              </w:rPr>
              <w:fldChar w:fldCharType="separate"/>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t> </w:t>
            </w:r>
            <w:r w:rsidRPr="008828A9">
              <w:rPr>
                <w:rFonts w:ascii="Times New Roman" w:hAnsi="Times New Roman" w:cs="Times New Roman"/>
                <w:sz w:val="24"/>
                <w:szCs w:val="22"/>
                <w:highlight w:val="lightGray"/>
              </w:rPr>
              <w:fldChar w:fldCharType="end"/>
            </w:r>
          </w:p>
        </w:tc>
      </w:tr>
    </w:tbl>
    <w:p w:rsidR="008828A9" w:rsidRPr="001844D1" w:rsidP="008828A9" w14:paraId="38F4113F"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548F18BB"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06465DF4" w14:textId="77777777">
            <w:pPr>
              <w:tabs>
                <w:tab w:val="left" w:pos="630"/>
              </w:tabs>
              <w:spacing w:after="120"/>
              <w:rPr>
                <w:rFonts w:ascii="Times New Roman" w:hAnsi="Times New Roman"/>
                <w:b/>
                <w:iCs/>
                <w:color w:val="000000"/>
              </w:rPr>
            </w:pPr>
            <w:r w:rsidRPr="001844D1">
              <w:rPr>
                <w:b/>
                <w:iCs/>
                <w:color w:val="000000"/>
              </w:rPr>
              <w:t>Addendum Section F5</w:t>
            </w:r>
          </w:p>
        </w:tc>
      </w:tr>
      <w:tr w14:paraId="7AD91C7A" w14:textId="77777777" w:rsidTr="006744B5">
        <w:tblPrEx>
          <w:tblW w:w="0" w:type="auto"/>
          <w:jc w:val="center"/>
          <w:tblCellMar>
            <w:top w:w="72" w:type="dxa"/>
            <w:left w:w="115" w:type="dxa"/>
            <w:bottom w:w="72" w:type="dxa"/>
            <w:right w:w="115" w:type="dxa"/>
          </w:tblCellMar>
          <w:tblLook w:val="04A0"/>
        </w:tblPrEx>
        <w:trPr>
          <w:trHeight w:val="4256"/>
          <w:jc w:val="center"/>
        </w:trPr>
        <w:tc>
          <w:tcPr>
            <w:tcW w:w="9535" w:type="dxa"/>
          </w:tcPr>
          <w:p w:rsidR="008828A9" w:rsidRPr="004203C2" w:rsidP="006744B5" w14:paraId="10B49587"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6267C9D" w14:textId="77777777">
      <w:pPr>
        <w:spacing w:after="120"/>
        <w:rPr>
          <w:iCs/>
          <w:color w:val="000000"/>
          <w:szCs w:val="22"/>
        </w:rPr>
      </w:pPr>
    </w:p>
    <w:p w:rsidR="008828A9" w:rsidRPr="001844D1" w:rsidP="008828A9" w14:paraId="3D877C76" w14:textId="77777777">
      <w:pPr>
        <w:spacing w:after="120"/>
        <w:rPr>
          <w:iCs/>
          <w:color w:val="000000"/>
          <w:szCs w:val="22"/>
        </w:rPr>
      </w:pPr>
    </w:p>
    <w:p w:rsidR="008828A9" w:rsidRPr="004203C2" w:rsidP="008828A9" w14:paraId="11BE843A" w14:textId="77777777">
      <w:pPr>
        <w:pStyle w:val="ListParagraph"/>
        <w:numPr>
          <w:ilvl w:val="0"/>
          <w:numId w:val="11"/>
        </w:numPr>
        <w:tabs>
          <w:tab w:val="left" w:pos="630"/>
        </w:tabs>
        <w:spacing w:after="120" w:line="240" w:lineRule="auto"/>
        <w:rPr>
          <w:rFonts w:ascii="Times New Roman" w:hAnsi="Times New Roman"/>
          <w:b/>
          <w:iCs/>
          <w:color w:val="000000"/>
          <w:u w:val="single"/>
        </w:rPr>
      </w:pPr>
      <w:r w:rsidRPr="004203C2">
        <w:rPr>
          <w:rFonts w:ascii="Times New Roman" w:hAnsi="Times New Roman"/>
          <w:b/>
          <w:iCs/>
          <w:color w:val="000000"/>
          <w:u w:val="single"/>
        </w:rPr>
        <w:t>Description of Diversion or Transfer of 911/E911 Fees for Other Uses</w:t>
      </w:r>
    </w:p>
    <w:p w:rsidR="008828A9" w:rsidRPr="001844D1" w:rsidP="008828A9" w14:paraId="54E351E0" w14:textId="77777777">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2484"/>
        <w:gridCol w:w="3600"/>
        <w:gridCol w:w="1692"/>
        <w:gridCol w:w="1692"/>
      </w:tblGrid>
      <w:tr w14:paraId="10250D28"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gridSpan w:val="2"/>
            <w:tcBorders>
              <w:top w:val="single" w:sz="4" w:space="0" w:color="auto"/>
              <w:bottom w:val="single" w:sz="4" w:space="0" w:color="auto"/>
              <w:right w:val="single" w:sz="4" w:space="0" w:color="auto"/>
            </w:tcBorders>
            <w:shd w:val="clear" w:color="auto" w:fill="D9D9D9"/>
            <w:vAlign w:val="center"/>
          </w:tcPr>
          <w:p w:rsidR="008828A9" w:rsidRPr="007D2116" w:rsidP="006744B5" w14:paraId="2FC8F00B" w14:textId="77777777">
            <w:pPr>
              <w:jc w:val="center"/>
              <w:rPr>
                <w:b/>
                <w:szCs w:val="22"/>
              </w:rPr>
            </w:pPr>
            <w:r w:rsidRPr="001844D1">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666744" w:rsidP="006744B5" w14:paraId="4AAD9E87" w14:textId="77777777">
            <w:pPr>
              <w:spacing w:before="120"/>
              <w:jc w:val="center"/>
              <w:rPr>
                <w:b/>
                <w:szCs w:val="22"/>
              </w:rPr>
            </w:pPr>
            <w:r w:rsidRPr="00AE31B6">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2228D" w:rsidP="006744B5" w14:paraId="01A7744B" w14:textId="77777777">
            <w:pPr>
              <w:spacing w:before="120"/>
              <w:jc w:val="center"/>
              <w:rPr>
                <w:b/>
                <w:szCs w:val="22"/>
              </w:rPr>
            </w:pPr>
            <w:r w:rsidRPr="000E6A2A">
              <w:rPr>
                <w:b/>
                <w:szCs w:val="22"/>
              </w:rPr>
              <w:t>No</w:t>
            </w:r>
          </w:p>
        </w:tc>
      </w:tr>
      <w:tr w14:paraId="07559EB2" w14:textId="77777777" w:rsidTr="006744B5">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gridSpan w:val="2"/>
            <w:tcBorders>
              <w:top w:val="single" w:sz="4" w:space="0" w:color="auto"/>
              <w:bottom w:val="single" w:sz="4" w:space="0" w:color="auto"/>
              <w:right w:val="single" w:sz="4" w:space="0" w:color="auto"/>
            </w:tcBorders>
          </w:tcPr>
          <w:p w:rsidR="008828A9" w:rsidRPr="001844D1" w:rsidP="008828A9" w14:paraId="78767BF0" w14:textId="77777777">
            <w:pPr>
              <w:widowControl/>
              <w:numPr>
                <w:ilvl w:val="0"/>
                <w:numId w:val="17"/>
              </w:numPr>
              <w:spacing w:after="120"/>
              <w:rPr>
                <w:b/>
                <w:szCs w:val="22"/>
              </w:rPr>
            </w:pPr>
            <w:r w:rsidRPr="001844D1">
              <w:rPr>
                <w:b/>
                <w:iCs/>
                <w:color w:val="000000"/>
                <w:szCs w:val="22"/>
              </w:rPr>
              <w:t>In the annual period ending December 31, 2019, were funds collected for 911 or E911 purposes in your state or jurisdiction made available or used solely for the purposes designated by the funding mechanism?</w:t>
            </w:r>
            <w:r w:rsidRPr="001844D1">
              <w:rPr>
                <w:iCs/>
                <w:color w:val="000000"/>
                <w:szCs w:val="22"/>
              </w:rPr>
              <w:t xml:space="preserve">  </w:t>
            </w:r>
            <w:r w:rsidRPr="001844D1">
              <w:rPr>
                <w:i/>
                <w:iCs/>
                <w:color w:val="000000"/>
                <w:szCs w:val="22"/>
              </w:rPr>
              <w:t>Check one</w:t>
            </w:r>
            <w:r w:rsidRPr="001844D1">
              <w:rPr>
                <w:iCs/>
                <w:color w:val="000000"/>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747DABAB"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ed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142FC2EC"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r>
      <w:tr w14:paraId="2A9343D9" w14:textId="77777777" w:rsidTr="006744B5">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cPr>
          <w:p w:rsidR="008828A9" w:rsidRPr="001844D1" w:rsidP="006744B5" w14:paraId="7AB5C6A9" w14:textId="77777777">
            <w:pPr>
              <w:spacing w:before="120"/>
              <w:rPr>
                <w:b/>
                <w:szCs w:val="22"/>
              </w:rPr>
            </w:pPr>
            <w:r w:rsidRPr="001844D1">
              <w:rPr>
                <w:b/>
                <w:szCs w:val="22"/>
              </w:rPr>
              <w:t>1a.</w:t>
            </w:r>
            <w:r w:rsidRPr="001844D1">
              <w:rPr>
                <w:iCs/>
                <w:color w:val="000000"/>
                <w:szCs w:val="22"/>
              </w:rPr>
              <w:t xml:space="preserve"> </w:t>
            </w:r>
            <w:r w:rsidRPr="001844D1">
              <w:rPr>
                <w:b/>
                <w:iCs/>
                <w:color w:val="000000"/>
                <w:szCs w:val="22"/>
              </w:rPr>
              <w:t>If NO,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14:paraId="449FDB90" w14:textId="77777777" w:rsidTr="006744B5">
        <w:tblPrEx>
          <w:tblW w:w="0" w:type="auto"/>
          <w:jc w:val="center"/>
          <w:tblLayout w:type="fixed"/>
          <w:tblCellMar>
            <w:top w:w="72" w:type="dxa"/>
            <w:left w:w="115" w:type="dxa"/>
            <w:bottom w:w="72" w:type="dxa"/>
            <w:right w:w="115" w:type="dxa"/>
          </w:tblCellMar>
          <w:tblLook w:val="0000"/>
        </w:tblPrEx>
        <w:trPr>
          <w:trHeight w:val="220"/>
          <w:jc w:val="center"/>
        </w:trPr>
        <w:tc>
          <w:tcPr>
            <w:tcW w:w="2484" w:type="dxa"/>
            <w:tcBorders>
              <w:top w:val="single" w:sz="4" w:space="0" w:color="auto"/>
              <w:bottom w:val="single" w:sz="4" w:space="0" w:color="auto"/>
              <w:right w:val="single" w:sz="4" w:space="0" w:color="auto"/>
            </w:tcBorders>
            <w:shd w:val="clear" w:color="auto" w:fill="F2F2F2"/>
            <w:vAlign w:val="center"/>
          </w:tcPr>
          <w:p w:rsidR="008828A9" w:rsidRPr="001844D1" w:rsidP="006744B5" w14:paraId="6E9E9872" w14:textId="77777777">
            <w:pPr>
              <w:pStyle w:val="BodyText"/>
              <w:jc w:val="center"/>
              <w:rPr>
                <w:rFonts w:ascii="Times New Roman" w:hAnsi="Times New Roman" w:cs="Times New Roman"/>
                <w:b/>
              </w:rPr>
            </w:pPr>
            <w:r w:rsidRPr="001844D1">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vAlign w:val="center"/>
          </w:tcPr>
          <w:p w:rsidR="008828A9" w:rsidRPr="001844D1" w:rsidP="006744B5" w14:paraId="554B4B98" w14:textId="77777777">
            <w:pPr>
              <w:pStyle w:val="BodyText"/>
              <w:rPr>
                <w:rFonts w:ascii="Times New Roman" w:hAnsi="Times New Roman" w:cs="Times New Roman"/>
                <w:b/>
              </w:rPr>
            </w:pPr>
            <w:r w:rsidRPr="001844D1">
              <w:rPr>
                <w:rFonts w:ascii="Times New Roman" w:hAnsi="Times New Roman" w:cs="Times New Roman"/>
                <w:b/>
              </w:rPr>
              <w:t xml:space="preserve">Identify the non-related purpose(s) for which the 911/E911 funds were used.  </w:t>
            </w:r>
            <w:r w:rsidRPr="001844D1">
              <w:rPr>
                <w:rFonts w:ascii="Times New Roman" w:hAnsi="Times New Roman" w:cs="Times New Roman"/>
                <w:b/>
                <w:sz w:val="18"/>
                <w:szCs w:val="18"/>
              </w:rPr>
              <w:t>(</w:t>
            </w:r>
            <w:r w:rsidRPr="001844D1">
              <w:rPr>
                <w:rFonts w:ascii="Times New Roman" w:hAnsi="Times New Roman" w:cs="Times New Roman"/>
                <w:b/>
                <w:i/>
                <w:sz w:val="18"/>
                <w:szCs w:val="18"/>
              </w:rPr>
              <w:t>Add lines as necessary</w:t>
            </w:r>
            <w:r w:rsidRPr="001844D1">
              <w:rPr>
                <w:rFonts w:ascii="Times New Roman" w:hAnsi="Times New Roman" w:cs="Times New Roman"/>
                <w:b/>
                <w:sz w:val="18"/>
                <w:szCs w:val="18"/>
              </w:rPr>
              <w:t>)</w:t>
            </w:r>
          </w:p>
        </w:tc>
      </w:tr>
      <w:tr w14:paraId="2ED287BA" w14:textId="77777777" w:rsidTr="006744B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8828A9" w:rsidRPr="001844D1" w:rsidP="006744B5" w14:paraId="43B6F8E1"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8828A9" w:rsidRPr="001844D1" w:rsidP="006744B5" w14:paraId="5D76BA36"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r w14:paraId="486A1071" w14:textId="77777777" w:rsidTr="006744B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8828A9" w:rsidRPr="001844D1" w:rsidP="006744B5" w14:paraId="5DADC9CD"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8828A9" w:rsidRPr="001844D1" w:rsidP="006744B5" w14:paraId="6F23B881"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r w14:paraId="26DF215E" w14:textId="77777777" w:rsidTr="006744B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8828A9" w:rsidRPr="001844D1" w:rsidP="006744B5" w14:paraId="2805A854"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8828A9" w:rsidRPr="001844D1" w:rsidP="006744B5" w14:paraId="7C1759DB"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r w14:paraId="065A30B4" w14:textId="77777777" w:rsidTr="006744B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bottom w:val="single" w:sz="4" w:space="0" w:color="auto"/>
              <w:right w:val="single" w:sz="4" w:space="0" w:color="auto"/>
            </w:tcBorders>
          </w:tcPr>
          <w:p w:rsidR="008828A9" w:rsidRPr="001844D1" w:rsidP="006744B5" w14:paraId="590FE1E6"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c>
          <w:tcPr>
            <w:tcW w:w="6984" w:type="dxa"/>
            <w:gridSpan w:val="3"/>
            <w:tcBorders>
              <w:top w:val="single" w:sz="4" w:space="0" w:color="auto"/>
              <w:bottom w:val="single" w:sz="4" w:space="0" w:color="auto"/>
              <w:right w:val="single" w:sz="4" w:space="0" w:color="auto"/>
            </w:tcBorders>
          </w:tcPr>
          <w:p w:rsidR="008828A9" w:rsidRPr="001844D1" w:rsidP="006744B5" w14:paraId="515A0AB9"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r w14:paraId="78FB7912" w14:textId="77777777" w:rsidTr="006744B5">
        <w:tblPrEx>
          <w:tblW w:w="0" w:type="auto"/>
          <w:jc w:val="center"/>
          <w:tblLayout w:type="fixed"/>
          <w:tblCellMar>
            <w:top w:w="72" w:type="dxa"/>
            <w:left w:w="115" w:type="dxa"/>
            <w:bottom w:w="72" w:type="dxa"/>
            <w:right w:w="115" w:type="dxa"/>
          </w:tblCellMar>
          <w:tblLook w:val="0000"/>
        </w:tblPrEx>
        <w:trPr>
          <w:trHeight w:val="219"/>
          <w:jc w:val="center"/>
        </w:trPr>
        <w:tc>
          <w:tcPr>
            <w:tcW w:w="2484" w:type="dxa"/>
            <w:tcBorders>
              <w:top w:val="single" w:sz="4" w:space="0" w:color="auto"/>
              <w:right w:val="single" w:sz="4" w:space="0" w:color="auto"/>
            </w:tcBorders>
          </w:tcPr>
          <w:p w:rsidR="008828A9" w:rsidRPr="001844D1" w:rsidP="006744B5" w14:paraId="4D0B2688"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c>
          <w:tcPr>
            <w:tcW w:w="6984" w:type="dxa"/>
            <w:gridSpan w:val="3"/>
            <w:tcBorders>
              <w:top w:val="single" w:sz="4" w:space="0" w:color="auto"/>
              <w:right w:val="single" w:sz="4" w:space="0" w:color="auto"/>
            </w:tcBorders>
          </w:tcPr>
          <w:p w:rsidR="008828A9" w:rsidRPr="001844D1" w:rsidP="006744B5" w14:paraId="3FD211A3"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bl>
    <w:p w:rsidR="008828A9" w:rsidRPr="001844D1" w:rsidP="008828A9" w14:paraId="6260A617"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52474D54"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30D0B89E" w14:textId="77777777">
            <w:pPr>
              <w:tabs>
                <w:tab w:val="left" w:pos="630"/>
              </w:tabs>
              <w:spacing w:after="120"/>
              <w:rPr>
                <w:rFonts w:ascii="Times New Roman" w:hAnsi="Times New Roman"/>
                <w:b/>
                <w:iCs/>
                <w:color w:val="000000"/>
              </w:rPr>
            </w:pPr>
            <w:r w:rsidRPr="001844D1">
              <w:rPr>
                <w:b/>
                <w:iCs/>
                <w:color w:val="000000"/>
              </w:rPr>
              <w:t>Addendum Section G1</w:t>
            </w:r>
          </w:p>
        </w:tc>
      </w:tr>
      <w:tr w14:paraId="6CF480E6" w14:textId="77777777" w:rsidTr="006744B5">
        <w:tblPrEx>
          <w:tblW w:w="0" w:type="auto"/>
          <w:jc w:val="center"/>
          <w:tblCellMar>
            <w:top w:w="72" w:type="dxa"/>
            <w:left w:w="115" w:type="dxa"/>
            <w:bottom w:w="72" w:type="dxa"/>
            <w:right w:w="115" w:type="dxa"/>
          </w:tblCellMar>
          <w:tblLook w:val="04A0"/>
        </w:tblPrEx>
        <w:trPr>
          <w:trHeight w:val="2798"/>
          <w:jc w:val="center"/>
        </w:trPr>
        <w:tc>
          <w:tcPr>
            <w:tcW w:w="9535" w:type="dxa"/>
          </w:tcPr>
          <w:p w:rsidR="008828A9" w:rsidRPr="004203C2" w:rsidP="006744B5" w14:paraId="146E77BE"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B01DF54" w14:textId="77777777">
      <w:pPr>
        <w:spacing w:after="200" w:line="276" w:lineRule="auto"/>
        <w:rPr>
          <w:iCs/>
          <w:color w:val="000000"/>
          <w:szCs w:val="22"/>
        </w:rPr>
      </w:pPr>
    </w:p>
    <w:p w:rsidR="008828A9" w:rsidRPr="001844D1" w:rsidP="008828A9" w14:paraId="11E18963" w14:textId="77777777">
      <w:pPr>
        <w:spacing w:after="120"/>
        <w:rPr>
          <w:iCs/>
          <w:color w:val="000000"/>
          <w:szCs w:val="22"/>
        </w:rPr>
      </w:pPr>
    </w:p>
    <w:p w:rsidR="008828A9" w:rsidRPr="004203C2" w:rsidP="008828A9" w14:paraId="146055C9" w14:textId="77777777">
      <w:pPr>
        <w:pStyle w:val="ListParagraph"/>
        <w:numPr>
          <w:ilvl w:val="0"/>
          <w:numId w:val="11"/>
        </w:numPr>
        <w:tabs>
          <w:tab w:val="left" w:pos="630"/>
        </w:tabs>
        <w:spacing w:after="120" w:line="240" w:lineRule="auto"/>
        <w:rPr>
          <w:rFonts w:ascii="Times New Roman" w:hAnsi="Times New Roman"/>
        </w:rPr>
      </w:pPr>
      <w:r w:rsidRPr="004203C2">
        <w:rPr>
          <w:rFonts w:ascii="Times New Roman" w:hAnsi="Times New Roman"/>
          <w:b/>
          <w:u w:val="single"/>
        </w:rPr>
        <w:t>Oversight and Auditing of Collection and Use of 911/E911 Fees</w:t>
      </w:r>
    </w:p>
    <w:p w:rsidR="008828A9" w:rsidRPr="001844D1" w:rsidP="008828A9" w14:paraId="4EC7CA0C" w14:textId="77777777">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2D132C73"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vAlign w:val="center"/>
          </w:tcPr>
          <w:p w:rsidR="008828A9" w:rsidRPr="007D2116" w:rsidP="006744B5" w14:paraId="619F19E1" w14:textId="77777777">
            <w:pPr>
              <w:jc w:val="center"/>
              <w:rPr>
                <w:b/>
                <w:szCs w:val="22"/>
              </w:rPr>
            </w:pPr>
            <w:r w:rsidRPr="001844D1">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666744" w:rsidP="006744B5" w14:paraId="2FB0BFAE" w14:textId="77777777">
            <w:pPr>
              <w:spacing w:before="120"/>
              <w:jc w:val="center"/>
              <w:rPr>
                <w:b/>
                <w:szCs w:val="22"/>
              </w:rPr>
            </w:pPr>
            <w:r w:rsidRPr="00AE31B6">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2228D" w:rsidP="006744B5" w14:paraId="2AB6421D" w14:textId="77777777">
            <w:pPr>
              <w:spacing w:before="120"/>
              <w:jc w:val="center"/>
              <w:rPr>
                <w:b/>
                <w:szCs w:val="22"/>
              </w:rPr>
            </w:pPr>
            <w:r w:rsidRPr="000E6A2A">
              <w:rPr>
                <w:b/>
                <w:szCs w:val="22"/>
              </w:rPr>
              <w:t>No</w:t>
            </w:r>
          </w:p>
        </w:tc>
      </w:tr>
      <w:tr w14:paraId="66770071" w14:textId="77777777" w:rsidTr="006744B5">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8828A9" w:rsidRPr="001844D1" w:rsidP="008828A9" w14:paraId="539D106B" w14:textId="77777777">
            <w:pPr>
              <w:widowControl/>
              <w:numPr>
                <w:ilvl w:val="0"/>
                <w:numId w:val="18"/>
              </w:numPr>
              <w:spacing w:after="120"/>
              <w:rPr>
                <w:b/>
                <w:szCs w:val="22"/>
              </w:rPr>
            </w:pPr>
            <w:r w:rsidRPr="001844D1">
              <w:rPr>
                <w:b/>
                <w:iCs/>
                <w:color w:val="000000"/>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1844D1">
              <w:rPr>
                <w:iCs/>
                <w:color w:val="000000"/>
                <w:szCs w:val="22"/>
              </w:rPr>
              <w:t xml:space="preserve">  </w:t>
            </w:r>
            <w:r w:rsidRPr="001844D1">
              <w:rPr>
                <w:i/>
                <w:iCs/>
                <w:color w:val="000000"/>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4B8BAE24"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ed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48A469AD"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r>
      <w:tr w14:paraId="2FB51DC7" w14:textId="77777777" w:rsidTr="006744B5">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cPr>
          <w:p w:rsidR="008828A9" w:rsidRPr="001844D1" w:rsidP="006744B5" w14:paraId="7E58CCC8" w14:textId="77777777">
            <w:pPr>
              <w:spacing w:before="120"/>
              <w:rPr>
                <w:b/>
                <w:szCs w:val="22"/>
              </w:rPr>
            </w:pPr>
            <w:r w:rsidRPr="001844D1">
              <w:rPr>
                <w:b/>
                <w:szCs w:val="22"/>
              </w:rPr>
              <w:t>1a.</w:t>
            </w:r>
            <w:r w:rsidRPr="001844D1">
              <w:rPr>
                <w:iCs/>
                <w:color w:val="000000"/>
                <w:szCs w:val="22"/>
              </w:rPr>
              <w:t xml:space="preserve"> </w:t>
            </w:r>
            <w:r w:rsidRPr="001844D1">
              <w:rPr>
                <w:b/>
                <w:iCs/>
                <w:color w:val="000000"/>
                <w:szCs w:val="22"/>
              </w:rPr>
              <w:t>If YES, provide a description of the mechanisms or procedures and any enforcement or other corrective actions undertaken in connection with such auditing authority, for the annual period ending December 31, 2019.</w:t>
            </w:r>
            <w:r w:rsidRPr="001844D1">
              <w:rPr>
                <w:iCs/>
                <w:color w:val="000000"/>
                <w:szCs w:val="22"/>
              </w:rPr>
              <w:t xml:space="preserve">  </w:t>
            </w:r>
            <w:r w:rsidRPr="001844D1">
              <w:rPr>
                <w:i/>
                <w:iCs/>
                <w:color w:val="000000"/>
                <w:szCs w:val="22"/>
              </w:rPr>
              <w:t>(Enter “None” if no actions were taken.)</w:t>
            </w:r>
          </w:p>
        </w:tc>
      </w:tr>
      <w:tr w14:paraId="1A4D5257" w14:textId="77777777" w:rsidTr="006744B5">
        <w:tblPrEx>
          <w:tblW w:w="0" w:type="auto"/>
          <w:jc w:val="center"/>
          <w:tblLayout w:type="fixed"/>
          <w:tblCellMar>
            <w:top w:w="72" w:type="dxa"/>
            <w:left w:w="115" w:type="dxa"/>
            <w:bottom w:w="72" w:type="dxa"/>
            <w:right w:w="115" w:type="dxa"/>
          </w:tblCellMar>
          <w:tblLook w:val="0000"/>
        </w:tblPrEx>
        <w:trPr>
          <w:trHeight w:val="1578"/>
          <w:jc w:val="center"/>
        </w:trPr>
        <w:tc>
          <w:tcPr>
            <w:tcW w:w="9468" w:type="dxa"/>
            <w:gridSpan w:val="3"/>
            <w:tcBorders>
              <w:top w:val="single" w:sz="4" w:space="0" w:color="auto"/>
              <w:right w:val="single" w:sz="4" w:space="0" w:color="auto"/>
            </w:tcBorders>
          </w:tcPr>
          <w:p w:rsidR="008828A9" w:rsidRPr="001844D1" w:rsidP="006744B5" w14:paraId="52441E5A"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bl>
    <w:p w:rsidR="008828A9" w:rsidRPr="001844D1" w:rsidP="008828A9" w14:paraId="235C9FCF" w14:textId="77777777">
      <w:pPr>
        <w:spacing w:after="120"/>
        <w:rPr>
          <w:iCs/>
          <w:color w:val="000000"/>
          <w:szCs w:val="22"/>
        </w:rPr>
      </w:pPr>
    </w:p>
    <w:p w:rsidR="008828A9" w:rsidRPr="001844D1" w:rsidP="008828A9" w14:paraId="336B97A0" w14:textId="77777777">
      <w:pPr>
        <w:spacing w:after="12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0650AE93"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vAlign w:val="center"/>
          </w:tcPr>
          <w:p w:rsidR="008828A9" w:rsidRPr="001844D1" w:rsidP="006744B5" w14:paraId="41A49D48" w14:textId="77777777">
            <w:pPr>
              <w:jc w:val="center"/>
              <w:rPr>
                <w:b/>
                <w:szCs w:val="22"/>
              </w:rPr>
            </w:pPr>
            <w:r w:rsidRPr="001844D1">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844D1" w:rsidP="006744B5" w14:paraId="6332A9EC" w14:textId="77777777">
            <w:pPr>
              <w:spacing w:before="120"/>
              <w:jc w:val="center"/>
              <w:rPr>
                <w:b/>
                <w:szCs w:val="22"/>
              </w:rPr>
            </w:pPr>
            <w:r w:rsidRPr="001844D1">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844D1" w:rsidP="006744B5" w14:paraId="29ADA99D" w14:textId="77777777">
            <w:pPr>
              <w:spacing w:before="120"/>
              <w:jc w:val="center"/>
              <w:rPr>
                <w:b/>
                <w:szCs w:val="22"/>
              </w:rPr>
            </w:pPr>
            <w:r w:rsidRPr="001844D1">
              <w:rPr>
                <w:b/>
                <w:szCs w:val="22"/>
              </w:rPr>
              <w:t>No</w:t>
            </w:r>
          </w:p>
        </w:tc>
      </w:tr>
      <w:tr w14:paraId="667D56E3" w14:textId="77777777" w:rsidTr="006744B5">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8828A9" w:rsidRPr="001844D1" w:rsidP="008828A9" w14:paraId="6045FC44" w14:textId="77777777">
            <w:pPr>
              <w:widowControl/>
              <w:numPr>
                <w:ilvl w:val="0"/>
                <w:numId w:val="18"/>
              </w:numPr>
              <w:spacing w:after="120"/>
              <w:rPr>
                <w:b/>
                <w:szCs w:val="22"/>
              </w:rPr>
            </w:pPr>
            <w:r w:rsidRPr="001844D1">
              <w:rPr>
                <w:b/>
                <w:iCs/>
                <w:color w:val="000000"/>
                <w:szCs w:val="22"/>
              </w:rPr>
              <w:t xml:space="preserve">Does your state have the authority to audit service providers to ensure that the amount of 911/E911 fees collected from subscribers matches the service provider’s number of subscribers? </w:t>
            </w:r>
            <w:r w:rsidRPr="001844D1">
              <w:rPr>
                <w:i/>
                <w:iCs/>
                <w:color w:val="000000"/>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77EBA5C0"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ed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2642A9EB" w14:textId="77777777">
            <w:pPr>
              <w:pStyle w:val="BodyText"/>
              <w:jc w:val="center"/>
              <w:rPr>
                <w:rFonts w:ascii="Times New Roman" w:hAnsi="Times New Roman" w:cs="Times New Roman"/>
              </w:rPr>
            </w:pPr>
            <w:r w:rsidRPr="004203C2">
              <w:rPr>
                <w:rFonts w:ascii="Times New Roman" w:hAnsi="Times New Roman" w:cs="Times New Roman"/>
                <w:b/>
                <w:szCs w:val="22"/>
              </w:rPr>
              <w:fldChar w:fldCharType="begin">
                <w:ffData>
                  <w:name w:val="Check8"/>
                  <w:enabled/>
                  <w:calcOnExit w:val="0"/>
                  <w:checkBox>
                    <w:sizeAuto/>
                    <w:default w:val="0"/>
                  </w:checkBox>
                </w:ffData>
              </w:fldChar>
            </w:r>
            <w:r w:rsidRPr="001844D1">
              <w:rPr>
                <w:rFonts w:ascii="Times New Roman" w:hAnsi="Times New Roman" w:cs="Times New Roman"/>
                <w:b/>
                <w:szCs w:val="22"/>
              </w:rPr>
              <w:instrText xml:space="preserve"> FORMCHECKBOX </w:instrText>
            </w:r>
            <w:r w:rsidR="00E402CA">
              <w:rPr>
                <w:rFonts w:ascii="Times New Roman" w:hAnsi="Times New Roman" w:cs="Times New Roman"/>
                <w:b/>
                <w:szCs w:val="22"/>
              </w:rPr>
              <w:fldChar w:fldCharType="separate"/>
            </w:r>
            <w:r w:rsidRPr="004203C2">
              <w:rPr>
                <w:rFonts w:ascii="Times New Roman" w:hAnsi="Times New Roman" w:cs="Times New Roman"/>
                <w:b/>
                <w:szCs w:val="22"/>
              </w:rPr>
              <w:fldChar w:fldCharType="end"/>
            </w:r>
          </w:p>
        </w:tc>
      </w:tr>
      <w:tr w14:paraId="1FED54FA" w14:textId="77777777" w:rsidTr="006744B5">
        <w:tblPrEx>
          <w:tblW w:w="0" w:type="auto"/>
          <w:jc w:val="center"/>
          <w:tblLayout w:type="fixed"/>
          <w:tblCellMar>
            <w:top w:w="72" w:type="dxa"/>
            <w:left w:w="115" w:type="dxa"/>
            <w:bottom w:w="72" w:type="dxa"/>
            <w:right w:w="115" w:type="dxa"/>
          </w:tblCellMar>
          <w:tblLook w:val="0000"/>
        </w:tblPrEx>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cPr>
          <w:p w:rsidR="008828A9" w:rsidRPr="001844D1" w:rsidP="006744B5" w14:paraId="717B3D58" w14:textId="77777777">
            <w:pPr>
              <w:spacing w:before="120"/>
              <w:rPr>
                <w:b/>
                <w:szCs w:val="22"/>
              </w:rPr>
            </w:pPr>
            <w:r w:rsidRPr="001844D1">
              <w:rPr>
                <w:b/>
                <w:szCs w:val="22"/>
              </w:rPr>
              <w:t xml:space="preserve">2a. </w:t>
            </w:r>
            <w:r w:rsidRPr="001844D1">
              <w:rPr>
                <w:b/>
                <w:iCs/>
                <w:color w:val="000000"/>
                <w:szCs w:val="22"/>
              </w:rPr>
              <w:t xml:space="preserve">If YES, provide a description of any auditing or enforcement or other corrective actions undertaken in connection with such auditing authority, for the annual period ending December 31, 2019.  </w:t>
            </w:r>
            <w:r w:rsidRPr="001844D1">
              <w:rPr>
                <w:i/>
                <w:iCs/>
                <w:color w:val="000000"/>
                <w:szCs w:val="22"/>
              </w:rPr>
              <w:t>(Enter “None” if no actions were taken.)</w:t>
            </w:r>
          </w:p>
        </w:tc>
      </w:tr>
      <w:tr w14:paraId="6674C26A" w14:textId="77777777" w:rsidTr="006744B5">
        <w:tblPrEx>
          <w:tblW w:w="0" w:type="auto"/>
          <w:jc w:val="center"/>
          <w:tblLayout w:type="fixed"/>
          <w:tblCellMar>
            <w:top w:w="72" w:type="dxa"/>
            <w:left w:w="115" w:type="dxa"/>
            <w:bottom w:w="72" w:type="dxa"/>
            <w:right w:w="115" w:type="dxa"/>
          </w:tblCellMar>
          <w:tblLook w:val="0000"/>
        </w:tblPrEx>
        <w:trPr>
          <w:trHeight w:val="1578"/>
          <w:jc w:val="center"/>
        </w:trPr>
        <w:tc>
          <w:tcPr>
            <w:tcW w:w="9468" w:type="dxa"/>
            <w:gridSpan w:val="3"/>
            <w:tcBorders>
              <w:top w:val="single" w:sz="4" w:space="0" w:color="auto"/>
              <w:right w:val="single" w:sz="4" w:space="0" w:color="auto"/>
            </w:tcBorders>
          </w:tcPr>
          <w:p w:rsidR="008828A9" w:rsidRPr="001844D1" w:rsidP="006744B5" w14:paraId="6EE1C5F9"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bl>
    <w:p w:rsidR="008828A9" w:rsidRPr="001844D1" w:rsidP="008828A9" w14:paraId="28533826" w14:textId="77777777">
      <w:pPr>
        <w:spacing w:after="120"/>
        <w:ind w:left="360"/>
        <w:rPr>
          <w:iCs/>
          <w:color w:val="000000"/>
          <w:szCs w:val="22"/>
        </w:rPr>
      </w:pPr>
    </w:p>
    <w:p w:rsidR="008828A9" w:rsidRPr="001844D1" w:rsidP="008828A9" w14:paraId="0E4ADB22" w14:textId="77777777">
      <w:pPr>
        <w:spacing w:after="120"/>
        <w:ind w:left="360"/>
        <w:rPr>
          <w:iCs/>
          <w:color w:val="000000"/>
          <w:szCs w:val="22"/>
        </w:rPr>
      </w:pPr>
    </w:p>
    <w:p w:rsidR="008828A9" w:rsidRPr="004203C2" w:rsidP="008828A9" w14:paraId="68C55834" w14:textId="77777777">
      <w:pPr>
        <w:pStyle w:val="ListParagraph"/>
        <w:numPr>
          <w:ilvl w:val="0"/>
          <w:numId w:val="11"/>
        </w:numPr>
        <w:tabs>
          <w:tab w:val="left" w:pos="630"/>
        </w:tabs>
        <w:spacing w:after="120" w:line="240" w:lineRule="auto"/>
        <w:rPr>
          <w:rFonts w:ascii="Times New Roman" w:hAnsi="Times New Roman"/>
          <w:b/>
          <w:iCs/>
          <w:color w:val="000000"/>
          <w:u w:val="single"/>
        </w:rPr>
      </w:pPr>
      <w:r w:rsidRPr="004203C2">
        <w:rPr>
          <w:rFonts w:ascii="Times New Roman" w:hAnsi="Times New Roman"/>
          <w:b/>
          <w:iCs/>
          <w:color w:val="000000"/>
          <w:u w:val="single"/>
        </w:rPr>
        <w:t>Description of Next Generation 911 Services and Expenditures</w:t>
      </w:r>
    </w:p>
    <w:p w:rsidR="008828A9" w:rsidRPr="001844D1" w:rsidP="008828A9" w14:paraId="75D5AD36" w14:textId="77777777">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6084"/>
        <w:gridCol w:w="1692"/>
        <w:gridCol w:w="1692"/>
      </w:tblGrid>
      <w:tr w14:paraId="516E6953"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jc w:val="center"/>
        </w:trPr>
        <w:tc>
          <w:tcPr>
            <w:tcW w:w="6084" w:type="dxa"/>
            <w:tcBorders>
              <w:top w:val="single" w:sz="4" w:space="0" w:color="auto"/>
              <w:bottom w:val="single" w:sz="4" w:space="0" w:color="auto"/>
              <w:right w:val="single" w:sz="4" w:space="0" w:color="auto"/>
            </w:tcBorders>
            <w:shd w:val="clear" w:color="auto" w:fill="D9D9D9"/>
            <w:vAlign w:val="center"/>
          </w:tcPr>
          <w:p w:rsidR="008828A9" w:rsidRPr="007D2116" w:rsidP="006744B5" w14:paraId="2162E728" w14:textId="77777777">
            <w:pPr>
              <w:jc w:val="center"/>
              <w:rPr>
                <w:b/>
                <w:szCs w:val="22"/>
              </w:rPr>
            </w:pPr>
            <w:r w:rsidRPr="001844D1">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666744" w:rsidP="006744B5" w14:paraId="6A4AAACB" w14:textId="77777777">
            <w:pPr>
              <w:spacing w:before="120"/>
              <w:jc w:val="center"/>
              <w:rPr>
                <w:b/>
                <w:szCs w:val="22"/>
              </w:rPr>
            </w:pPr>
            <w:r w:rsidRPr="00AE31B6">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2228D" w:rsidP="006744B5" w14:paraId="4D870F9A" w14:textId="77777777">
            <w:pPr>
              <w:spacing w:before="120"/>
              <w:jc w:val="center"/>
              <w:rPr>
                <w:b/>
                <w:szCs w:val="22"/>
              </w:rPr>
            </w:pPr>
            <w:r w:rsidRPr="000E6A2A">
              <w:rPr>
                <w:b/>
                <w:szCs w:val="22"/>
              </w:rPr>
              <w:t>No</w:t>
            </w:r>
          </w:p>
        </w:tc>
      </w:tr>
      <w:tr w14:paraId="4DA219DD" w14:textId="77777777" w:rsidTr="006744B5">
        <w:tblPrEx>
          <w:tblW w:w="0" w:type="auto"/>
          <w:jc w:val="center"/>
          <w:tblLayout w:type="fixed"/>
          <w:tblCellMar>
            <w:top w:w="72" w:type="dxa"/>
            <w:left w:w="115" w:type="dxa"/>
            <w:bottom w:w="72" w:type="dxa"/>
            <w:right w:w="115" w:type="dxa"/>
          </w:tblCellMar>
          <w:tblLook w:val="0000"/>
        </w:tblPrEx>
        <w:trPr>
          <w:trHeight w:val="1034"/>
          <w:jc w:val="center"/>
        </w:trPr>
        <w:tc>
          <w:tcPr>
            <w:tcW w:w="6084" w:type="dxa"/>
            <w:tcBorders>
              <w:top w:val="single" w:sz="4" w:space="0" w:color="auto"/>
              <w:bottom w:val="single" w:sz="4" w:space="0" w:color="auto"/>
              <w:right w:val="single" w:sz="4" w:space="0" w:color="auto"/>
            </w:tcBorders>
          </w:tcPr>
          <w:p w:rsidR="008828A9" w:rsidRPr="001844D1" w:rsidP="008828A9" w14:paraId="13CB81F4" w14:textId="77777777">
            <w:pPr>
              <w:widowControl/>
              <w:numPr>
                <w:ilvl w:val="0"/>
                <w:numId w:val="19"/>
              </w:numPr>
              <w:spacing w:after="120"/>
              <w:rPr>
                <w:b/>
                <w:szCs w:val="22"/>
              </w:rPr>
            </w:pPr>
            <w:r w:rsidRPr="001844D1">
              <w:rPr>
                <w:b/>
                <w:szCs w:val="22"/>
              </w:rPr>
              <w:t xml:space="preserve">Does your state or jurisdiction classify expenditures on Next Generation 911 as within the scope of permissible expenditures of funds for 911 or E911 purposes? </w:t>
            </w:r>
            <w:r w:rsidRPr="001844D1">
              <w:rPr>
                <w:i/>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0145173B"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
                  <w:enabled/>
                  <w:calcOnExit w:val="0"/>
                  <w:checkBox>
                    <w:sizeAuto/>
                    <w:default w:val="0"/>
                    <w:checked w:val="0"/>
                  </w:checkBox>
                </w:ffData>
              </w:fldChar>
            </w:r>
            <w:r w:rsidRPr="001844D1">
              <w:rPr>
                <w:rFonts w:ascii="Times New Roman" w:hAnsi="Times New Roman" w:cs="Times New Roman"/>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8828A9" w:rsidRPr="001844D1" w:rsidP="006744B5" w14:paraId="5298DEA4"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
                  <w:enabled/>
                  <w:calcOnExit w:val="0"/>
                  <w:checkBox>
                    <w:sizeAuto/>
                    <w:default w:val="0"/>
                  </w:checkBox>
                </w:ffData>
              </w:fldChar>
            </w:r>
            <w:r w:rsidRPr="001844D1">
              <w:rPr>
                <w:rFonts w:ascii="Times New Roman" w:hAnsi="Times New Roman" w:cs="Times New Roman"/>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13A029B3" w14:textId="77777777" w:rsidTr="006744B5">
        <w:tblPrEx>
          <w:tblW w:w="0" w:type="auto"/>
          <w:jc w:val="center"/>
          <w:tblLayout w:type="fixed"/>
          <w:tblCellMar>
            <w:top w:w="72" w:type="dxa"/>
            <w:left w:w="115" w:type="dxa"/>
            <w:bottom w:w="72" w:type="dxa"/>
            <w:right w:w="115" w:type="dxa"/>
          </w:tblCellMar>
          <w:tblLook w:val="0000"/>
        </w:tblPrEx>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cPr>
          <w:p w:rsidR="008828A9" w:rsidRPr="001844D1" w:rsidP="006744B5" w14:paraId="5EC701E2" w14:textId="77777777">
            <w:pPr>
              <w:spacing w:before="120"/>
              <w:rPr>
                <w:b/>
                <w:szCs w:val="22"/>
              </w:rPr>
            </w:pPr>
            <w:r w:rsidRPr="001844D1">
              <w:rPr>
                <w:b/>
                <w:szCs w:val="22"/>
              </w:rPr>
              <w:t>1a. If YES, in the space below, please cite any specific legal authority:</w:t>
            </w:r>
          </w:p>
        </w:tc>
      </w:tr>
      <w:tr w14:paraId="68DFB479" w14:textId="77777777" w:rsidTr="006744B5">
        <w:tblPrEx>
          <w:tblW w:w="0" w:type="auto"/>
          <w:jc w:val="center"/>
          <w:tblLayout w:type="fixed"/>
          <w:tblCellMar>
            <w:top w:w="72" w:type="dxa"/>
            <w:left w:w="115" w:type="dxa"/>
            <w:bottom w:w="72" w:type="dxa"/>
            <w:right w:w="115" w:type="dxa"/>
          </w:tblCellMar>
          <w:tblLook w:val="0000"/>
        </w:tblPrEx>
        <w:trPr>
          <w:trHeight w:val="1578"/>
          <w:jc w:val="center"/>
        </w:trPr>
        <w:tc>
          <w:tcPr>
            <w:tcW w:w="9468" w:type="dxa"/>
            <w:gridSpan w:val="3"/>
            <w:tcBorders>
              <w:top w:val="single" w:sz="4" w:space="0" w:color="auto"/>
              <w:right w:val="single" w:sz="4" w:space="0" w:color="auto"/>
            </w:tcBorders>
          </w:tcPr>
          <w:p w:rsidR="008828A9" w:rsidRPr="001844D1" w:rsidP="006744B5" w14:paraId="026C6F67" w14:textId="77777777">
            <w:pPr>
              <w:spacing w:before="120"/>
              <w:rPr>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p w:rsidR="008828A9" w:rsidRPr="001844D1" w:rsidP="006744B5" w14:paraId="14FA7ED0" w14:textId="77777777">
            <w:pPr>
              <w:spacing w:before="120"/>
              <w:rPr>
                <w:szCs w:val="22"/>
              </w:rPr>
            </w:pPr>
          </w:p>
        </w:tc>
      </w:tr>
    </w:tbl>
    <w:p w:rsidR="008828A9" w:rsidRPr="001844D1" w:rsidP="008828A9" w14:paraId="691B7EAA" w14:textId="77777777">
      <w:pPr>
        <w:spacing w:after="120"/>
        <w:rPr>
          <w:iCs/>
          <w:color w:val="000000"/>
          <w:szCs w:val="22"/>
        </w:rPr>
      </w:pPr>
    </w:p>
    <w:tbl>
      <w:tblPr>
        <w:tblStyle w:val="TableGrid"/>
        <w:tblW w:w="0" w:type="auto"/>
        <w:tblInd w:w="175" w:type="dxa"/>
        <w:tblCellMar>
          <w:top w:w="72" w:type="dxa"/>
          <w:left w:w="115" w:type="dxa"/>
          <w:bottom w:w="72" w:type="dxa"/>
          <w:right w:w="115" w:type="dxa"/>
        </w:tblCellMar>
        <w:tblLook w:val="04A0"/>
      </w:tblPr>
      <w:tblGrid>
        <w:gridCol w:w="1637"/>
        <w:gridCol w:w="4534"/>
        <w:gridCol w:w="1503"/>
        <w:gridCol w:w="1501"/>
      </w:tblGrid>
      <w:tr w14:paraId="1D933446" w14:textId="77777777" w:rsidTr="006744B5">
        <w:tblPrEx>
          <w:tblW w:w="0" w:type="auto"/>
          <w:tblInd w:w="175" w:type="dxa"/>
          <w:tblCellMar>
            <w:top w:w="72" w:type="dxa"/>
            <w:left w:w="115" w:type="dxa"/>
            <w:bottom w:w="72" w:type="dxa"/>
            <w:right w:w="115" w:type="dxa"/>
          </w:tblCellMar>
          <w:tblLook w:val="04A0"/>
        </w:tblPrEx>
        <w:tc>
          <w:tcPr>
            <w:tcW w:w="6330" w:type="dxa"/>
            <w:gridSpan w:val="2"/>
            <w:shd w:val="clear" w:color="auto" w:fill="D9D9D9"/>
            <w:vAlign w:val="center"/>
          </w:tcPr>
          <w:p w:rsidR="008828A9" w:rsidRPr="001844D1" w:rsidP="006744B5" w14:paraId="5ED7317F" w14:textId="77777777">
            <w:pPr>
              <w:pStyle w:val="BodyText"/>
              <w:jc w:val="center"/>
              <w:rPr>
                <w:rFonts w:ascii="Times New Roman" w:hAnsi="Times New Roman" w:cs="Times New Roman"/>
                <w:b/>
              </w:rPr>
            </w:pPr>
            <w:r w:rsidRPr="001844D1">
              <w:rPr>
                <w:rFonts w:ascii="Times New Roman" w:hAnsi="Times New Roman" w:cs="Times New Roman"/>
                <w:b/>
              </w:rPr>
              <w:t>Question</w:t>
            </w:r>
          </w:p>
        </w:tc>
        <w:tc>
          <w:tcPr>
            <w:tcW w:w="1535" w:type="dxa"/>
            <w:shd w:val="clear" w:color="auto" w:fill="D9D9D9"/>
            <w:vAlign w:val="center"/>
          </w:tcPr>
          <w:p w:rsidR="008828A9" w:rsidRPr="001844D1" w:rsidP="006744B5" w14:paraId="0092CB01" w14:textId="77777777">
            <w:pPr>
              <w:pStyle w:val="BodyText"/>
              <w:jc w:val="center"/>
              <w:rPr>
                <w:rFonts w:ascii="Times New Roman" w:hAnsi="Times New Roman" w:cs="Times New Roman"/>
                <w:b/>
              </w:rPr>
            </w:pPr>
            <w:r w:rsidRPr="001844D1">
              <w:rPr>
                <w:rFonts w:ascii="Times New Roman" w:hAnsi="Times New Roman" w:cs="Times New Roman"/>
                <w:b/>
              </w:rPr>
              <w:t>Yes</w:t>
            </w:r>
          </w:p>
        </w:tc>
        <w:tc>
          <w:tcPr>
            <w:tcW w:w="1536" w:type="dxa"/>
            <w:shd w:val="clear" w:color="auto" w:fill="D9D9D9"/>
            <w:vAlign w:val="center"/>
          </w:tcPr>
          <w:p w:rsidR="008828A9" w:rsidRPr="001844D1" w:rsidP="006744B5" w14:paraId="1A828E20" w14:textId="77777777">
            <w:pPr>
              <w:pStyle w:val="BodyText"/>
              <w:jc w:val="center"/>
              <w:rPr>
                <w:rFonts w:ascii="Times New Roman" w:hAnsi="Times New Roman" w:cs="Times New Roman"/>
                <w:b/>
              </w:rPr>
            </w:pPr>
            <w:r w:rsidRPr="001844D1">
              <w:rPr>
                <w:rFonts w:ascii="Times New Roman" w:hAnsi="Times New Roman" w:cs="Times New Roman"/>
                <w:b/>
              </w:rPr>
              <w:t>No</w:t>
            </w:r>
          </w:p>
        </w:tc>
      </w:tr>
      <w:tr w14:paraId="12C60F8E" w14:textId="77777777" w:rsidTr="006744B5">
        <w:tblPrEx>
          <w:tblW w:w="0" w:type="auto"/>
          <w:tblInd w:w="175" w:type="dxa"/>
          <w:tblCellMar>
            <w:top w:w="72" w:type="dxa"/>
            <w:left w:w="115" w:type="dxa"/>
            <w:bottom w:w="72" w:type="dxa"/>
            <w:right w:w="115" w:type="dxa"/>
          </w:tblCellMar>
          <w:tblLook w:val="04A0"/>
        </w:tblPrEx>
        <w:tc>
          <w:tcPr>
            <w:tcW w:w="6330" w:type="dxa"/>
            <w:gridSpan w:val="2"/>
            <w:shd w:val="clear" w:color="auto" w:fill="auto"/>
          </w:tcPr>
          <w:p w:rsidR="008828A9" w:rsidRPr="004203C2" w:rsidP="008828A9" w14:paraId="33492DD2" w14:textId="77777777">
            <w:pPr>
              <w:widowControl/>
              <w:numPr>
                <w:ilvl w:val="0"/>
                <w:numId w:val="19"/>
              </w:numPr>
              <w:spacing w:after="120"/>
              <w:rPr>
                <w:rFonts w:ascii="Times New Roman" w:hAnsi="Times New Roman"/>
                <w:b/>
                <w:iCs/>
                <w:color w:val="000000"/>
              </w:rPr>
            </w:pPr>
            <w:r w:rsidRPr="001844D1">
              <w:rPr>
                <w:b/>
              </w:rPr>
              <w:t xml:space="preserve">In the annual period ending December 31, 2019, has your state or jurisdiction expended funds on Next Generation 911 programs? </w:t>
            </w:r>
            <w:r w:rsidRPr="001844D1">
              <w:rPr>
                <w:i/>
              </w:rPr>
              <w:t>Check one.</w:t>
            </w:r>
          </w:p>
        </w:tc>
        <w:tc>
          <w:tcPr>
            <w:tcW w:w="1535" w:type="dxa"/>
            <w:shd w:val="clear" w:color="auto" w:fill="auto"/>
            <w:vAlign w:val="center"/>
          </w:tcPr>
          <w:p w:rsidR="008828A9" w:rsidRPr="001844D1" w:rsidP="006744B5" w14:paraId="196F9EF4"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
                  <w:enabled/>
                  <w:calcOnExit w:val="0"/>
                  <w:checkBox>
                    <w:sizeAuto/>
                    <w:default w:val="0"/>
                    <w:checked w:val="0"/>
                  </w:checkBox>
                </w:ffData>
              </w:fldChar>
            </w:r>
            <w:r w:rsidRPr="001844D1">
              <w:rPr>
                <w:rFonts w:ascii="Times New Roman" w:hAnsi="Times New Roman" w:cs="Times New Roman"/>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536" w:type="dxa"/>
            <w:shd w:val="clear" w:color="auto" w:fill="auto"/>
            <w:vAlign w:val="center"/>
          </w:tcPr>
          <w:p w:rsidR="008828A9" w:rsidRPr="001844D1" w:rsidP="006744B5" w14:paraId="6A31C7AC"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
                  <w:enabled/>
                  <w:calcOnExit w:val="0"/>
                  <w:checkBox>
                    <w:sizeAuto/>
                    <w:default w:val="0"/>
                  </w:checkBox>
                </w:ffData>
              </w:fldChar>
            </w:r>
            <w:r w:rsidRPr="001844D1">
              <w:rPr>
                <w:rFonts w:ascii="Times New Roman" w:hAnsi="Times New Roman" w:cs="Times New Roman"/>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9E2061D" w14:textId="77777777" w:rsidTr="006744B5">
        <w:tblPrEx>
          <w:tblW w:w="0" w:type="auto"/>
          <w:tblInd w:w="175" w:type="dxa"/>
          <w:tblCellMar>
            <w:top w:w="72" w:type="dxa"/>
            <w:left w:w="115" w:type="dxa"/>
            <w:bottom w:w="72" w:type="dxa"/>
            <w:right w:w="115" w:type="dxa"/>
          </w:tblCellMar>
          <w:tblLook w:val="04A0"/>
        </w:tblPrEx>
        <w:tc>
          <w:tcPr>
            <w:tcW w:w="9401" w:type="dxa"/>
            <w:gridSpan w:val="4"/>
            <w:shd w:val="clear" w:color="auto" w:fill="auto"/>
          </w:tcPr>
          <w:p w:rsidR="008828A9" w:rsidRPr="004203C2" w:rsidP="006744B5" w14:paraId="534F7255" w14:textId="77777777">
            <w:pPr>
              <w:spacing w:after="120"/>
              <w:rPr>
                <w:rFonts w:ascii="Times New Roman" w:hAnsi="Times New Roman"/>
                <w:iCs/>
                <w:color w:val="000000"/>
              </w:rPr>
            </w:pPr>
            <w:r w:rsidRPr="001844D1">
              <w:rPr>
                <w:b/>
              </w:rPr>
              <w:t>2a. If YES, in the space below, please enter the dollar amount that has been expended.</w:t>
            </w:r>
          </w:p>
        </w:tc>
      </w:tr>
      <w:tr w14:paraId="505D7F7C" w14:textId="77777777" w:rsidTr="006744B5">
        <w:tblPrEx>
          <w:tblW w:w="0" w:type="auto"/>
          <w:tblInd w:w="175" w:type="dxa"/>
          <w:tblCellMar>
            <w:top w:w="72" w:type="dxa"/>
            <w:left w:w="115" w:type="dxa"/>
            <w:bottom w:w="72" w:type="dxa"/>
            <w:right w:w="115" w:type="dxa"/>
          </w:tblCellMar>
          <w:tblLook w:val="04A0"/>
        </w:tblPrEx>
        <w:trPr>
          <w:trHeight w:val="989"/>
        </w:trPr>
        <w:tc>
          <w:tcPr>
            <w:tcW w:w="1650" w:type="dxa"/>
            <w:shd w:val="clear" w:color="auto" w:fill="D9D9D9"/>
            <w:vAlign w:val="center"/>
          </w:tcPr>
          <w:p w:rsidR="008828A9" w:rsidRPr="004203C2" w:rsidP="006744B5" w14:paraId="5F115B34" w14:textId="77777777">
            <w:pPr>
              <w:spacing w:after="120"/>
              <w:jc w:val="center"/>
              <w:rPr>
                <w:rFonts w:ascii="Times New Roman" w:hAnsi="Times New Roman"/>
                <w:b/>
                <w:iCs/>
                <w:color w:val="000000"/>
              </w:rPr>
            </w:pPr>
            <w:r w:rsidRPr="001844D1">
              <w:rPr>
                <w:b/>
                <w:iCs/>
                <w:color w:val="000000"/>
              </w:rPr>
              <w:t>Amount</w:t>
            </w:r>
          </w:p>
          <w:p w:rsidR="008828A9" w:rsidRPr="004203C2" w:rsidP="006744B5" w14:paraId="37E4BD79" w14:textId="77777777">
            <w:pPr>
              <w:spacing w:after="120"/>
              <w:jc w:val="center"/>
              <w:rPr>
                <w:rFonts w:ascii="Times New Roman" w:hAnsi="Times New Roman"/>
                <w:b/>
                <w:iCs/>
                <w:color w:val="000000"/>
              </w:rPr>
            </w:pPr>
            <w:r w:rsidRPr="001844D1">
              <w:rPr>
                <w:b/>
                <w:iCs/>
                <w:color w:val="000000"/>
              </w:rPr>
              <w:t>($)</w:t>
            </w:r>
          </w:p>
        </w:tc>
        <w:tc>
          <w:tcPr>
            <w:tcW w:w="7751" w:type="dxa"/>
            <w:gridSpan w:val="3"/>
            <w:shd w:val="clear" w:color="auto" w:fill="auto"/>
          </w:tcPr>
          <w:p w:rsidR="008828A9" w:rsidRPr="004203C2" w:rsidP="006744B5" w14:paraId="5D458DCB"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2DF0909D" w14:textId="77777777">
      <w:pPr>
        <w:spacing w:after="120"/>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781BA6F6"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00E8A557" w14:textId="77777777">
            <w:pPr>
              <w:tabs>
                <w:tab w:val="left" w:pos="630"/>
              </w:tabs>
              <w:spacing w:after="120"/>
              <w:rPr>
                <w:rFonts w:ascii="Times New Roman" w:hAnsi="Times New Roman"/>
                <w:b/>
                <w:iCs/>
                <w:color w:val="000000"/>
              </w:rPr>
            </w:pPr>
            <w:r w:rsidRPr="001844D1">
              <w:rPr>
                <w:b/>
                <w:iCs/>
                <w:color w:val="000000"/>
              </w:rPr>
              <w:t>Addendum Section I2</w:t>
            </w:r>
          </w:p>
        </w:tc>
      </w:tr>
      <w:tr w14:paraId="719F7C5C" w14:textId="77777777" w:rsidTr="006744B5">
        <w:tblPrEx>
          <w:tblW w:w="0" w:type="auto"/>
          <w:jc w:val="center"/>
          <w:tblCellMar>
            <w:top w:w="72" w:type="dxa"/>
            <w:left w:w="115" w:type="dxa"/>
            <w:bottom w:w="72" w:type="dxa"/>
            <w:right w:w="115" w:type="dxa"/>
          </w:tblCellMar>
          <w:tblLook w:val="04A0"/>
        </w:tblPrEx>
        <w:trPr>
          <w:trHeight w:val="13"/>
          <w:jc w:val="center"/>
        </w:trPr>
        <w:tc>
          <w:tcPr>
            <w:tcW w:w="9535" w:type="dxa"/>
          </w:tcPr>
          <w:p w:rsidR="008828A9" w:rsidRPr="004203C2" w:rsidP="006744B5" w14:paraId="57E11996"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0E72D2B5" w14:textId="77777777">
      <w:pPr>
        <w:spacing w:after="120"/>
        <w:rPr>
          <w:iCs/>
          <w:color w:val="000000"/>
          <w:szCs w:val="22"/>
        </w:rPr>
      </w:pPr>
    </w:p>
    <w:p w:rsidR="008828A9" w:rsidRPr="001844D1" w:rsidP="008828A9" w14:paraId="660A11D7" w14:textId="77777777">
      <w:pPr>
        <w:spacing w:after="120"/>
        <w:rPr>
          <w:iCs/>
          <w:color w:val="000000"/>
          <w:szCs w:val="22"/>
        </w:rPr>
      </w:pPr>
    </w:p>
    <w:p w:rsidR="008828A9" w:rsidRPr="001844D1" w:rsidP="008828A9" w14:paraId="2B5B45C4" w14:textId="77777777">
      <w:pPr>
        <w:spacing w:after="200" w:line="276" w:lineRule="auto"/>
        <w:rPr>
          <w:iCs/>
          <w:color w:val="000000"/>
          <w:szCs w:val="22"/>
        </w:rPr>
      </w:pPr>
    </w:p>
    <w:tbl>
      <w:tblPr>
        <w:tblStyle w:val="TableGrid"/>
        <w:tblW w:w="0" w:type="auto"/>
        <w:tblCellMar>
          <w:top w:w="72" w:type="dxa"/>
          <w:left w:w="115" w:type="dxa"/>
          <w:bottom w:w="72" w:type="dxa"/>
          <w:right w:w="115" w:type="dxa"/>
        </w:tblCellMar>
        <w:tblLook w:val="04A0"/>
      </w:tblPr>
      <w:tblGrid>
        <w:gridCol w:w="2160"/>
        <w:gridCol w:w="617"/>
        <w:gridCol w:w="2026"/>
        <w:gridCol w:w="1500"/>
        <w:gridCol w:w="1510"/>
        <w:gridCol w:w="1526"/>
        <w:gridCol w:w="11"/>
      </w:tblGrid>
      <w:tr w14:paraId="218746EF" w14:textId="77777777" w:rsidTr="006744B5">
        <w:tblPrEx>
          <w:tblW w:w="0" w:type="auto"/>
          <w:tblCellMar>
            <w:top w:w="72" w:type="dxa"/>
            <w:left w:w="115" w:type="dxa"/>
            <w:bottom w:w="72" w:type="dxa"/>
            <w:right w:w="115" w:type="dxa"/>
          </w:tblCellMar>
          <w:tblLook w:val="04A0"/>
        </w:tblPrEx>
        <w:tc>
          <w:tcPr>
            <w:tcW w:w="9759" w:type="dxa"/>
            <w:gridSpan w:val="7"/>
            <w:shd w:val="clear" w:color="auto" w:fill="D9D9D9"/>
            <w:vAlign w:val="center"/>
          </w:tcPr>
          <w:p w:rsidR="008828A9" w:rsidRPr="004203C2" w:rsidP="008828A9" w14:paraId="67902FD1" w14:textId="77777777">
            <w:pPr>
              <w:widowControl/>
              <w:numPr>
                <w:ilvl w:val="0"/>
                <w:numId w:val="19"/>
              </w:numPr>
              <w:spacing w:after="120"/>
              <w:rPr>
                <w:rFonts w:ascii="Times New Roman" w:hAnsi="Times New Roman"/>
                <w:b/>
                <w:iCs/>
                <w:color w:val="000000"/>
              </w:rPr>
            </w:pPr>
            <w:r w:rsidRPr="001844D1">
              <w:rPr>
                <w:b/>
                <w:iCs/>
                <w:color w:val="000000"/>
              </w:rPr>
              <w:t>For the annual period ending December 31, 2019, please describe the type and number of NG911 Emergency Service IP Network(s) (</w:t>
            </w:r>
            <w:r w:rsidRPr="001844D1">
              <w:rPr>
                <w:b/>
                <w:iCs/>
                <w:color w:val="000000"/>
              </w:rPr>
              <w:t>ESInets</w:t>
            </w:r>
            <w:r w:rsidRPr="001844D1">
              <w:rPr>
                <w:b/>
                <w:iCs/>
                <w:color w:val="000000"/>
              </w:rPr>
              <w:t xml:space="preserve">) that operated within your state. </w:t>
            </w:r>
          </w:p>
        </w:tc>
      </w:tr>
      <w:tr w14:paraId="08B13A3A" w14:textId="77777777" w:rsidTr="006744B5">
        <w:tblPrEx>
          <w:tblW w:w="0" w:type="auto"/>
          <w:tblCellMar>
            <w:top w:w="72" w:type="dxa"/>
            <w:left w:w="115" w:type="dxa"/>
            <w:bottom w:w="72" w:type="dxa"/>
            <w:right w:w="115" w:type="dxa"/>
          </w:tblCellMar>
          <w:tblLook w:val="04A0"/>
        </w:tblPrEx>
        <w:trPr>
          <w:gridAfter w:val="1"/>
          <w:wAfter w:w="12" w:type="dxa"/>
          <w:trHeight w:val="820"/>
        </w:trPr>
        <w:tc>
          <w:tcPr>
            <w:tcW w:w="2202" w:type="dxa"/>
            <w:vMerge w:val="restart"/>
            <w:shd w:val="clear" w:color="auto" w:fill="D9D9D9"/>
            <w:vAlign w:val="center"/>
          </w:tcPr>
          <w:p w:rsidR="008828A9" w:rsidRPr="001844D1" w:rsidP="006744B5" w14:paraId="5DB908C7" w14:textId="77777777">
            <w:pPr>
              <w:pStyle w:val="BodyText"/>
              <w:jc w:val="center"/>
              <w:rPr>
                <w:rFonts w:ascii="Times New Roman" w:hAnsi="Times New Roman" w:cs="Times New Roman"/>
                <w:b/>
              </w:rPr>
            </w:pPr>
            <w:r w:rsidRPr="001844D1">
              <w:rPr>
                <w:rFonts w:ascii="Times New Roman" w:hAnsi="Times New Roman" w:cs="Times New Roman"/>
                <w:b/>
              </w:rPr>
              <w:t xml:space="preserve">Type of </w:t>
            </w:r>
            <w:r w:rsidRPr="001844D1">
              <w:rPr>
                <w:rFonts w:ascii="Times New Roman" w:hAnsi="Times New Roman" w:cs="Times New Roman"/>
                <w:b/>
              </w:rPr>
              <w:t>ESInet</w:t>
            </w:r>
          </w:p>
        </w:tc>
        <w:tc>
          <w:tcPr>
            <w:tcW w:w="622" w:type="dxa"/>
            <w:vMerge w:val="restart"/>
            <w:shd w:val="clear" w:color="auto" w:fill="D9D9D9"/>
            <w:vAlign w:val="center"/>
          </w:tcPr>
          <w:p w:rsidR="008828A9" w:rsidRPr="001844D1" w:rsidP="006744B5" w14:paraId="1E929ED9" w14:textId="77777777">
            <w:pPr>
              <w:pStyle w:val="BodyText"/>
              <w:jc w:val="center"/>
              <w:rPr>
                <w:rFonts w:ascii="Times New Roman" w:hAnsi="Times New Roman" w:cs="Times New Roman"/>
                <w:b/>
              </w:rPr>
            </w:pPr>
            <w:r w:rsidRPr="001844D1">
              <w:rPr>
                <w:rFonts w:ascii="Times New Roman" w:hAnsi="Times New Roman" w:cs="Times New Roman"/>
                <w:b/>
              </w:rPr>
              <w:t>Yes</w:t>
            </w:r>
          </w:p>
        </w:tc>
        <w:tc>
          <w:tcPr>
            <w:tcW w:w="2185" w:type="dxa"/>
            <w:vMerge w:val="restart"/>
            <w:shd w:val="clear" w:color="auto" w:fill="D9D9D9"/>
            <w:vAlign w:val="center"/>
          </w:tcPr>
          <w:p w:rsidR="008828A9" w:rsidRPr="001844D1" w:rsidP="006744B5" w14:paraId="79E4BB87" w14:textId="77777777">
            <w:pPr>
              <w:pStyle w:val="BodyText"/>
              <w:jc w:val="center"/>
              <w:rPr>
                <w:rFonts w:ascii="Times New Roman" w:hAnsi="Times New Roman" w:cs="Times New Roman"/>
                <w:b/>
              </w:rPr>
            </w:pPr>
            <w:r w:rsidRPr="001844D1">
              <w:rPr>
                <w:rFonts w:ascii="Times New Roman" w:hAnsi="Times New Roman" w:cs="Times New Roman"/>
                <w:b/>
              </w:rPr>
              <w:t>No</w:t>
            </w:r>
          </w:p>
        </w:tc>
        <w:tc>
          <w:tcPr>
            <w:tcW w:w="1532" w:type="dxa"/>
            <w:vMerge w:val="restart"/>
            <w:shd w:val="clear" w:color="auto" w:fill="D9D9D9"/>
            <w:vAlign w:val="center"/>
          </w:tcPr>
          <w:p w:rsidR="008828A9" w:rsidRPr="001844D1" w:rsidP="006744B5" w14:paraId="56FB1BEF" w14:textId="77777777">
            <w:pPr>
              <w:pStyle w:val="BodyText"/>
              <w:jc w:val="center"/>
              <w:rPr>
                <w:rFonts w:ascii="Times New Roman" w:hAnsi="Times New Roman" w:cs="Times New Roman"/>
                <w:b/>
              </w:rPr>
            </w:pPr>
            <w:r w:rsidRPr="001844D1">
              <w:rPr>
                <w:rFonts w:ascii="Times New Roman" w:hAnsi="Times New Roman" w:cs="Times New Roman"/>
                <w:b/>
              </w:rPr>
              <w:t xml:space="preserve">If Yes, Enter Total PSAPs Operating on the </w:t>
            </w:r>
            <w:r w:rsidRPr="001844D1">
              <w:rPr>
                <w:rFonts w:ascii="Times New Roman" w:hAnsi="Times New Roman" w:cs="Times New Roman"/>
                <w:b/>
              </w:rPr>
              <w:t>ESInet</w:t>
            </w:r>
          </w:p>
        </w:tc>
        <w:tc>
          <w:tcPr>
            <w:tcW w:w="3206" w:type="dxa"/>
            <w:gridSpan w:val="2"/>
            <w:shd w:val="clear" w:color="auto" w:fill="D9D9D9"/>
          </w:tcPr>
          <w:p w:rsidR="008828A9" w:rsidRPr="001844D1" w:rsidP="006744B5" w14:paraId="7A6B7D42" w14:textId="77777777">
            <w:pPr>
              <w:pStyle w:val="BodyText"/>
              <w:jc w:val="center"/>
              <w:rPr>
                <w:rFonts w:ascii="Times New Roman" w:hAnsi="Times New Roman" w:cs="Times New Roman"/>
                <w:b/>
              </w:rPr>
            </w:pPr>
            <w:r w:rsidRPr="001844D1">
              <w:rPr>
                <w:rFonts w:ascii="Times New Roman" w:hAnsi="Times New Roman" w:cs="Times New Roman"/>
                <w:b/>
              </w:rPr>
              <w:t xml:space="preserve">If Yes, does the type of </w:t>
            </w:r>
            <w:r w:rsidRPr="001844D1">
              <w:rPr>
                <w:rFonts w:ascii="Times New Roman" w:hAnsi="Times New Roman" w:cs="Times New Roman"/>
                <w:b/>
              </w:rPr>
              <w:t>ESInet</w:t>
            </w:r>
            <w:r w:rsidRPr="001844D1">
              <w:rPr>
                <w:rFonts w:ascii="Times New Roman" w:hAnsi="Times New Roman" w:cs="Times New Roman"/>
                <w:b/>
              </w:rPr>
              <w:t xml:space="preserve"> interconnect with other state, regional or local </w:t>
            </w:r>
            <w:r w:rsidRPr="001844D1">
              <w:rPr>
                <w:rFonts w:ascii="Times New Roman" w:hAnsi="Times New Roman" w:cs="Times New Roman"/>
                <w:b/>
              </w:rPr>
              <w:t>ESInets</w:t>
            </w:r>
            <w:r w:rsidRPr="001844D1">
              <w:rPr>
                <w:rFonts w:ascii="Times New Roman" w:hAnsi="Times New Roman" w:cs="Times New Roman"/>
                <w:b/>
              </w:rPr>
              <w:t>?</w:t>
            </w:r>
          </w:p>
        </w:tc>
      </w:tr>
      <w:tr w14:paraId="03F84EF2" w14:textId="77777777" w:rsidTr="006744B5">
        <w:tblPrEx>
          <w:tblW w:w="0" w:type="auto"/>
          <w:tblCellMar>
            <w:top w:w="72" w:type="dxa"/>
            <w:left w:w="115" w:type="dxa"/>
            <w:bottom w:w="72" w:type="dxa"/>
            <w:right w:w="115" w:type="dxa"/>
          </w:tblCellMar>
          <w:tblLook w:val="04A0"/>
        </w:tblPrEx>
        <w:trPr>
          <w:gridAfter w:val="1"/>
          <w:wAfter w:w="12" w:type="dxa"/>
          <w:trHeight w:val="620"/>
        </w:trPr>
        <w:tc>
          <w:tcPr>
            <w:tcW w:w="2202" w:type="dxa"/>
            <w:vMerge/>
            <w:shd w:val="clear" w:color="auto" w:fill="D9D9D9"/>
            <w:vAlign w:val="center"/>
          </w:tcPr>
          <w:p w:rsidR="008828A9" w:rsidRPr="001844D1" w:rsidP="006744B5" w14:paraId="12137041" w14:textId="77777777">
            <w:pPr>
              <w:pStyle w:val="BodyText"/>
              <w:jc w:val="center"/>
              <w:rPr>
                <w:rFonts w:ascii="Times New Roman" w:hAnsi="Times New Roman" w:cs="Times New Roman"/>
                <w:b/>
              </w:rPr>
            </w:pPr>
          </w:p>
        </w:tc>
        <w:tc>
          <w:tcPr>
            <w:tcW w:w="622" w:type="dxa"/>
            <w:vMerge/>
            <w:shd w:val="clear" w:color="auto" w:fill="D9D9D9"/>
            <w:vAlign w:val="center"/>
          </w:tcPr>
          <w:p w:rsidR="008828A9" w:rsidRPr="001844D1" w:rsidP="006744B5" w14:paraId="0EC63566" w14:textId="77777777">
            <w:pPr>
              <w:pStyle w:val="BodyText"/>
              <w:jc w:val="center"/>
              <w:rPr>
                <w:rFonts w:ascii="Times New Roman" w:hAnsi="Times New Roman" w:cs="Times New Roman"/>
                <w:b/>
              </w:rPr>
            </w:pPr>
          </w:p>
        </w:tc>
        <w:tc>
          <w:tcPr>
            <w:tcW w:w="2185" w:type="dxa"/>
            <w:vMerge/>
            <w:shd w:val="clear" w:color="auto" w:fill="D9D9D9"/>
            <w:vAlign w:val="center"/>
          </w:tcPr>
          <w:p w:rsidR="008828A9" w:rsidRPr="001844D1" w:rsidP="006744B5" w14:paraId="64FB3DFA" w14:textId="77777777">
            <w:pPr>
              <w:pStyle w:val="BodyText"/>
              <w:jc w:val="center"/>
              <w:rPr>
                <w:rFonts w:ascii="Times New Roman" w:hAnsi="Times New Roman" w:cs="Times New Roman"/>
                <w:b/>
              </w:rPr>
            </w:pPr>
          </w:p>
        </w:tc>
        <w:tc>
          <w:tcPr>
            <w:tcW w:w="1532" w:type="dxa"/>
            <w:vMerge/>
            <w:shd w:val="clear" w:color="auto" w:fill="D9D9D9"/>
            <w:vAlign w:val="center"/>
          </w:tcPr>
          <w:p w:rsidR="008828A9" w:rsidRPr="001844D1" w:rsidP="006744B5" w14:paraId="15859B4E" w14:textId="77777777">
            <w:pPr>
              <w:pStyle w:val="BodyText"/>
              <w:jc w:val="center"/>
              <w:rPr>
                <w:rFonts w:ascii="Times New Roman" w:hAnsi="Times New Roman" w:cs="Times New Roman"/>
                <w:b/>
              </w:rPr>
            </w:pPr>
          </w:p>
        </w:tc>
        <w:tc>
          <w:tcPr>
            <w:tcW w:w="1586" w:type="dxa"/>
            <w:shd w:val="clear" w:color="auto" w:fill="D9D9D9"/>
          </w:tcPr>
          <w:p w:rsidR="008828A9" w:rsidRPr="001844D1" w:rsidP="006744B5" w14:paraId="41A3C000" w14:textId="77777777">
            <w:pPr>
              <w:pStyle w:val="BodyText"/>
              <w:jc w:val="center"/>
              <w:rPr>
                <w:rFonts w:ascii="Times New Roman" w:hAnsi="Times New Roman" w:cs="Times New Roman"/>
                <w:b/>
              </w:rPr>
            </w:pPr>
            <w:r w:rsidRPr="001844D1">
              <w:rPr>
                <w:rFonts w:ascii="Times New Roman" w:hAnsi="Times New Roman" w:cs="Times New Roman"/>
                <w:b/>
              </w:rPr>
              <w:t>Yes</w:t>
            </w:r>
          </w:p>
        </w:tc>
        <w:tc>
          <w:tcPr>
            <w:tcW w:w="1620" w:type="dxa"/>
            <w:shd w:val="clear" w:color="auto" w:fill="D9D9D9"/>
            <w:vAlign w:val="center"/>
          </w:tcPr>
          <w:p w:rsidR="008828A9" w:rsidRPr="001844D1" w:rsidP="006744B5" w14:paraId="42099079" w14:textId="77777777">
            <w:pPr>
              <w:pStyle w:val="BodyText"/>
              <w:jc w:val="center"/>
              <w:rPr>
                <w:rFonts w:ascii="Times New Roman" w:hAnsi="Times New Roman" w:cs="Times New Roman"/>
                <w:b/>
              </w:rPr>
            </w:pPr>
            <w:r w:rsidRPr="001844D1">
              <w:rPr>
                <w:rFonts w:ascii="Times New Roman" w:hAnsi="Times New Roman" w:cs="Times New Roman"/>
                <w:b/>
              </w:rPr>
              <w:t>No</w:t>
            </w:r>
          </w:p>
        </w:tc>
      </w:tr>
      <w:tr w14:paraId="1D8B21CE" w14:textId="77777777" w:rsidTr="006744B5">
        <w:tblPrEx>
          <w:tblW w:w="0" w:type="auto"/>
          <w:tblCellMar>
            <w:top w:w="72" w:type="dxa"/>
            <w:left w:w="115" w:type="dxa"/>
            <w:bottom w:w="72" w:type="dxa"/>
            <w:right w:w="115" w:type="dxa"/>
          </w:tblCellMar>
          <w:tblLook w:val="04A0"/>
        </w:tblPrEx>
        <w:trPr>
          <w:gridAfter w:val="1"/>
          <w:wAfter w:w="12" w:type="dxa"/>
        </w:trPr>
        <w:tc>
          <w:tcPr>
            <w:tcW w:w="2202" w:type="dxa"/>
            <w:shd w:val="clear" w:color="auto" w:fill="auto"/>
            <w:vAlign w:val="center"/>
          </w:tcPr>
          <w:p w:rsidR="008828A9" w:rsidRPr="004203C2" w:rsidP="008828A9" w14:paraId="67F95D59" w14:textId="77777777">
            <w:pPr>
              <w:pStyle w:val="ListParagraph"/>
              <w:numPr>
                <w:ilvl w:val="0"/>
                <w:numId w:val="10"/>
              </w:numPr>
              <w:rPr>
                <w:rFonts w:ascii="Times New Roman" w:hAnsi="Times New Roman"/>
                <w:iCs/>
                <w:color w:val="000000"/>
              </w:rPr>
            </w:pPr>
            <w:r w:rsidRPr="004203C2">
              <w:rPr>
                <w:rFonts w:ascii="Times New Roman" w:hAnsi="Times New Roman"/>
                <w:iCs/>
                <w:color w:val="000000"/>
              </w:rPr>
              <w:t xml:space="preserve">A single, state-wide </w:t>
            </w:r>
            <w:r w:rsidRPr="004203C2">
              <w:rPr>
                <w:rFonts w:ascii="Times New Roman" w:hAnsi="Times New Roman"/>
                <w:iCs/>
                <w:color w:val="000000"/>
              </w:rPr>
              <w:t>ESInet</w:t>
            </w:r>
          </w:p>
        </w:tc>
        <w:tc>
          <w:tcPr>
            <w:tcW w:w="622" w:type="dxa"/>
            <w:shd w:val="clear" w:color="auto" w:fill="auto"/>
            <w:vAlign w:val="center"/>
          </w:tcPr>
          <w:p w:rsidR="008828A9" w:rsidRPr="001844D1" w:rsidP="006744B5" w14:paraId="647F0B74"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ed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2185" w:type="dxa"/>
            <w:shd w:val="clear" w:color="auto" w:fill="auto"/>
            <w:vAlign w:val="center"/>
          </w:tcPr>
          <w:p w:rsidR="008828A9" w:rsidRPr="001844D1" w:rsidP="006744B5" w14:paraId="78E73F19"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532" w:type="dxa"/>
            <w:shd w:val="clear" w:color="auto" w:fill="auto"/>
            <w:vAlign w:val="center"/>
          </w:tcPr>
          <w:p w:rsidR="008828A9" w:rsidRPr="004203C2" w:rsidP="006744B5" w14:paraId="5A6C99BE"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shd w:val="clear" w:color="auto" w:fill="auto"/>
            <w:vAlign w:val="center"/>
          </w:tcPr>
          <w:p w:rsidR="008828A9" w:rsidRPr="001844D1" w:rsidP="006744B5" w14:paraId="1352EB03"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shd w:val="clear" w:color="auto" w:fill="auto"/>
            <w:vAlign w:val="center"/>
          </w:tcPr>
          <w:p w:rsidR="008828A9" w:rsidRPr="001844D1" w:rsidP="006744B5" w14:paraId="6F0E9586"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56360EA6" w14:textId="77777777" w:rsidTr="006744B5">
        <w:tblPrEx>
          <w:tblW w:w="0" w:type="auto"/>
          <w:tblCellMar>
            <w:top w:w="72" w:type="dxa"/>
            <w:left w:w="115" w:type="dxa"/>
            <w:bottom w:w="72" w:type="dxa"/>
            <w:right w:w="115" w:type="dxa"/>
          </w:tblCellMar>
          <w:tblLook w:val="04A0"/>
        </w:tblPrEx>
        <w:trPr>
          <w:gridAfter w:val="1"/>
          <w:wAfter w:w="12" w:type="dxa"/>
        </w:trPr>
        <w:tc>
          <w:tcPr>
            <w:tcW w:w="2202" w:type="dxa"/>
            <w:shd w:val="clear" w:color="auto" w:fill="auto"/>
            <w:vAlign w:val="center"/>
          </w:tcPr>
          <w:p w:rsidR="008828A9" w:rsidRPr="004203C2" w:rsidP="008828A9" w14:paraId="7D9C9381" w14:textId="77777777">
            <w:pPr>
              <w:pStyle w:val="ListParagraph"/>
              <w:numPr>
                <w:ilvl w:val="0"/>
                <w:numId w:val="10"/>
              </w:numPr>
              <w:rPr>
                <w:rFonts w:ascii="Times New Roman" w:hAnsi="Times New Roman"/>
                <w:iCs/>
                <w:color w:val="000000"/>
              </w:rPr>
            </w:pPr>
            <w:r w:rsidRPr="004203C2">
              <w:rPr>
                <w:rFonts w:ascii="Times New Roman" w:hAnsi="Times New Roman"/>
                <w:iCs/>
                <w:color w:val="000000"/>
              </w:rPr>
              <w:t>Local (</w:t>
            </w:r>
            <w:r w:rsidRPr="004203C2">
              <w:rPr>
                <w:rFonts w:ascii="Times New Roman" w:hAnsi="Times New Roman"/>
                <w:i/>
                <w:iCs/>
                <w:color w:val="000000"/>
              </w:rPr>
              <w:t>e.g.</w:t>
            </w:r>
            <w:r w:rsidRPr="004203C2">
              <w:rPr>
                <w:rFonts w:ascii="Times New Roman" w:hAnsi="Times New Roman"/>
                <w:iCs/>
                <w:color w:val="000000"/>
              </w:rPr>
              <w:t xml:space="preserve">, county) </w:t>
            </w:r>
            <w:r w:rsidRPr="004203C2">
              <w:rPr>
                <w:rFonts w:ascii="Times New Roman" w:hAnsi="Times New Roman"/>
                <w:iCs/>
                <w:color w:val="000000"/>
              </w:rPr>
              <w:t>ESInet</w:t>
            </w:r>
          </w:p>
        </w:tc>
        <w:tc>
          <w:tcPr>
            <w:tcW w:w="622" w:type="dxa"/>
            <w:shd w:val="clear" w:color="auto" w:fill="auto"/>
            <w:vAlign w:val="center"/>
          </w:tcPr>
          <w:p w:rsidR="008828A9" w:rsidRPr="001844D1" w:rsidP="006744B5" w14:paraId="7AD3BA7D"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2185" w:type="dxa"/>
            <w:shd w:val="clear" w:color="auto" w:fill="auto"/>
            <w:vAlign w:val="center"/>
          </w:tcPr>
          <w:p w:rsidR="008828A9" w:rsidRPr="001844D1" w:rsidP="006744B5" w14:paraId="27A64CB7"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ed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532" w:type="dxa"/>
            <w:shd w:val="clear" w:color="auto" w:fill="auto"/>
            <w:vAlign w:val="center"/>
          </w:tcPr>
          <w:p w:rsidR="008828A9" w:rsidRPr="004203C2" w:rsidP="006744B5" w14:paraId="31D9D356"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shd w:val="clear" w:color="auto" w:fill="auto"/>
            <w:vAlign w:val="center"/>
          </w:tcPr>
          <w:p w:rsidR="008828A9" w:rsidRPr="001844D1" w:rsidP="006744B5" w14:paraId="0C8D4F54"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shd w:val="clear" w:color="auto" w:fill="auto"/>
            <w:vAlign w:val="center"/>
          </w:tcPr>
          <w:p w:rsidR="008828A9" w:rsidRPr="001844D1" w:rsidP="006744B5" w14:paraId="24290F20"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08D16B0" w14:textId="77777777" w:rsidTr="006744B5">
        <w:tblPrEx>
          <w:tblW w:w="0" w:type="auto"/>
          <w:tblCellMar>
            <w:top w:w="72" w:type="dxa"/>
            <w:left w:w="115" w:type="dxa"/>
            <w:bottom w:w="72" w:type="dxa"/>
            <w:right w:w="115" w:type="dxa"/>
          </w:tblCellMar>
          <w:tblLook w:val="04A0"/>
        </w:tblPrEx>
        <w:trPr>
          <w:gridAfter w:val="1"/>
          <w:wAfter w:w="12" w:type="dxa"/>
          <w:trHeight w:val="347"/>
        </w:trPr>
        <w:tc>
          <w:tcPr>
            <w:tcW w:w="2202" w:type="dxa"/>
            <w:shd w:val="clear" w:color="auto" w:fill="auto"/>
            <w:vAlign w:val="center"/>
          </w:tcPr>
          <w:p w:rsidR="008828A9" w:rsidRPr="004203C2" w:rsidP="008828A9" w14:paraId="72DCCFD7" w14:textId="77777777">
            <w:pPr>
              <w:pStyle w:val="ListParagraph"/>
              <w:numPr>
                <w:ilvl w:val="0"/>
                <w:numId w:val="10"/>
              </w:numPr>
              <w:rPr>
                <w:rFonts w:ascii="Times New Roman" w:hAnsi="Times New Roman"/>
                <w:iCs/>
                <w:color w:val="000000"/>
              </w:rPr>
            </w:pPr>
            <w:r w:rsidRPr="004203C2">
              <w:rPr>
                <w:rFonts w:ascii="Times New Roman" w:hAnsi="Times New Roman"/>
              </w:rPr>
              <w:t xml:space="preserve">Regional </w:t>
            </w:r>
            <w:r w:rsidRPr="004203C2">
              <w:rPr>
                <w:rFonts w:ascii="Times New Roman" w:hAnsi="Times New Roman"/>
              </w:rPr>
              <w:t>ESInets</w:t>
            </w:r>
          </w:p>
        </w:tc>
        <w:tc>
          <w:tcPr>
            <w:tcW w:w="622" w:type="dxa"/>
            <w:shd w:val="clear" w:color="auto" w:fill="auto"/>
            <w:vAlign w:val="center"/>
          </w:tcPr>
          <w:p w:rsidR="008828A9" w:rsidRPr="001844D1" w:rsidP="006744B5" w14:paraId="1C1E6DA2"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2185" w:type="dxa"/>
            <w:shd w:val="clear" w:color="auto" w:fill="auto"/>
            <w:vAlign w:val="center"/>
          </w:tcPr>
          <w:p w:rsidR="008828A9" w:rsidRPr="001844D1" w:rsidP="006744B5" w14:paraId="5660A383" w14:textId="77777777">
            <w:pPr>
              <w:pStyle w:val="BodyText"/>
              <w:jc w:val="center"/>
              <w:rPr>
                <w:rFonts w:ascii="Times New Roman" w:hAnsi="Times New Roman" w:cs="Times New Roman"/>
                <w:iCs/>
                <w:color w:val="000000"/>
              </w:rPr>
            </w:pPr>
            <w:r w:rsidRPr="004203C2">
              <w:rPr>
                <w:rFonts w:ascii="Times New Roman" w:hAnsi="Times New Roman" w:cs="Times New Roman"/>
                <w:b/>
              </w:rPr>
              <w:fldChar w:fldCharType="begin">
                <w:ffData>
                  <w:name w:val="Check10"/>
                  <w:enabled/>
                  <w:calcOnExit w:val="0"/>
                  <w:checkBox>
                    <w:sizeAuto/>
                    <w:default w:val="0"/>
                    <w:checked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532" w:type="dxa"/>
            <w:shd w:val="clear" w:color="auto" w:fill="auto"/>
          </w:tcPr>
          <w:p w:rsidR="008828A9" w:rsidRPr="004203C2" w:rsidP="006744B5" w14:paraId="546DB341" w14:textId="77777777">
            <w:pPr>
              <w:spacing w:after="200" w:line="276" w:lineRule="auto"/>
              <w:rPr>
                <w:rFonts w:ascii="Times New Roman" w:hAnsi="Times New Roman"/>
                <w:iCs/>
                <w:color w:val="000000"/>
                <w:sz w:val="16"/>
                <w:szCs w:val="16"/>
              </w:rPr>
            </w:pPr>
          </w:p>
          <w:p w:rsidR="008828A9" w:rsidRPr="004203C2" w:rsidP="006744B5" w14:paraId="0F829637" w14:textId="77777777">
            <w:pPr>
              <w:spacing w:after="200" w:line="276" w:lineRule="auto"/>
              <w:rPr>
                <w:rFonts w:ascii="Times New Roman" w:hAnsi="Times New Roman"/>
                <w:iCs/>
                <w:color w:val="000000"/>
                <w:sz w:val="16"/>
                <w:szCs w:val="16"/>
              </w:rPr>
            </w:pPr>
          </w:p>
          <w:p w:rsidR="008828A9" w:rsidRPr="004203C2" w:rsidP="006744B5" w14:paraId="1FC9680A" w14:textId="77777777">
            <w:pPr>
              <w:spacing w:after="200" w:line="276" w:lineRule="auto"/>
              <w:rPr>
                <w:rFonts w:ascii="Times New Roman" w:hAnsi="Times New Roman"/>
                <w:iCs/>
                <w:color w:val="000000"/>
                <w:sz w:val="16"/>
                <w:szCs w:val="16"/>
              </w:rPr>
            </w:pPr>
            <w:r w:rsidRPr="001844D1">
              <w:rPr>
                <w:iCs/>
                <w:color w:val="000000"/>
                <w:sz w:val="16"/>
                <w:szCs w:val="16"/>
              </w:rPr>
              <w:t xml:space="preserve">[If more than one Regional </w:t>
            </w:r>
            <w:r w:rsidRPr="001844D1">
              <w:rPr>
                <w:iCs/>
                <w:color w:val="000000"/>
                <w:sz w:val="16"/>
                <w:szCs w:val="16"/>
              </w:rPr>
              <w:t>ESInet</w:t>
            </w:r>
            <w:r w:rsidRPr="001844D1">
              <w:rPr>
                <w:iCs/>
                <w:color w:val="000000"/>
                <w:sz w:val="16"/>
                <w:szCs w:val="16"/>
              </w:rPr>
              <w:t xml:space="preserve"> is in operation, in the space below,  provide the total PSAPs operating on each </w:t>
            </w:r>
            <w:r w:rsidRPr="001844D1">
              <w:rPr>
                <w:iCs/>
                <w:color w:val="000000"/>
                <w:sz w:val="16"/>
                <w:szCs w:val="16"/>
              </w:rPr>
              <w:t>ESInet</w:t>
            </w:r>
            <w:r w:rsidRPr="001844D1">
              <w:rPr>
                <w:iCs/>
                <w:color w:val="000000"/>
                <w:sz w:val="16"/>
                <w:szCs w:val="16"/>
              </w:rPr>
              <w:t>]</w:t>
            </w:r>
          </w:p>
          <w:p w:rsidR="008828A9" w:rsidRPr="004203C2" w:rsidP="006744B5" w14:paraId="0CA919FC" w14:textId="77777777">
            <w:pPr>
              <w:spacing w:after="200" w:line="276" w:lineRule="auto"/>
              <w:rPr>
                <w:rFonts w:ascii="Times New Roman" w:hAnsi="Times New Roman"/>
                <w:iCs/>
                <w:color w:val="000000"/>
                <w:sz w:val="16"/>
                <w:szCs w:val="16"/>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shd w:val="clear" w:color="auto" w:fill="auto"/>
            <w:vAlign w:val="center"/>
          </w:tcPr>
          <w:p w:rsidR="008828A9" w:rsidRPr="001844D1" w:rsidP="006744B5" w14:paraId="4E567D90"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shd w:val="clear" w:color="auto" w:fill="auto"/>
            <w:vAlign w:val="center"/>
          </w:tcPr>
          <w:p w:rsidR="008828A9" w:rsidRPr="001844D1" w:rsidP="006744B5" w14:paraId="671BCCCF"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0F10F1C" w14:textId="77777777" w:rsidTr="006744B5">
        <w:tblPrEx>
          <w:tblW w:w="0" w:type="auto"/>
          <w:tblCellMar>
            <w:top w:w="72" w:type="dxa"/>
            <w:left w:w="115" w:type="dxa"/>
            <w:bottom w:w="72" w:type="dxa"/>
            <w:right w:w="115" w:type="dxa"/>
          </w:tblCellMar>
          <w:tblLook w:val="04A0"/>
        </w:tblPrEx>
        <w:trPr>
          <w:gridAfter w:val="1"/>
          <w:wAfter w:w="12" w:type="dxa"/>
          <w:trHeight w:val="346"/>
        </w:trPr>
        <w:tc>
          <w:tcPr>
            <w:tcW w:w="5009" w:type="dxa"/>
            <w:gridSpan w:val="3"/>
            <w:shd w:val="clear" w:color="auto" w:fill="auto"/>
            <w:vAlign w:val="center"/>
          </w:tcPr>
          <w:p w:rsidR="008828A9" w:rsidRPr="001844D1" w:rsidP="006744B5" w14:paraId="2FAC3096"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w:t>
            </w:r>
          </w:p>
          <w:p w:rsidR="008828A9" w:rsidRPr="001844D1" w:rsidP="006744B5" w14:paraId="7BD0AB60"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shd w:val="clear" w:color="auto" w:fill="auto"/>
            <w:vAlign w:val="center"/>
          </w:tcPr>
          <w:p w:rsidR="008828A9" w:rsidRPr="004203C2" w:rsidP="006744B5" w14:paraId="0F4B8D9F"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shd w:val="clear" w:color="auto" w:fill="auto"/>
            <w:vAlign w:val="center"/>
          </w:tcPr>
          <w:p w:rsidR="008828A9" w:rsidRPr="001844D1" w:rsidP="006744B5" w14:paraId="6084B718"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shd w:val="clear" w:color="auto" w:fill="auto"/>
            <w:vAlign w:val="center"/>
          </w:tcPr>
          <w:p w:rsidR="008828A9" w:rsidRPr="001844D1" w:rsidP="006744B5" w14:paraId="5E71059C"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FAA9F74" w14:textId="77777777" w:rsidTr="006744B5">
        <w:tblPrEx>
          <w:tblW w:w="0" w:type="auto"/>
          <w:tblCellMar>
            <w:top w:w="72" w:type="dxa"/>
            <w:left w:w="115" w:type="dxa"/>
            <w:bottom w:w="72" w:type="dxa"/>
            <w:right w:w="115" w:type="dxa"/>
          </w:tblCellMar>
          <w:tblLook w:val="04A0"/>
        </w:tblPrEx>
        <w:trPr>
          <w:gridAfter w:val="1"/>
          <w:wAfter w:w="12" w:type="dxa"/>
          <w:trHeight w:val="346"/>
        </w:trPr>
        <w:tc>
          <w:tcPr>
            <w:tcW w:w="5009" w:type="dxa"/>
            <w:gridSpan w:val="3"/>
            <w:shd w:val="clear" w:color="auto" w:fill="auto"/>
            <w:vAlign w:val="center"/>
          </w:tcPr>
          <w:p w:rsidR="008828A9" w:rsidRPr="001844D1" w:rsidP="006744B5" w14:paraId="2ADD6C0E"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w:t>
            </w:r>
          </w:p>
          <w:p w:rsidR="008828A9" w:rsidRPr="001844D1" w:rsidP="006744B5" w14:paraId="0B87287C"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shd w:val="clear" w:color="auto" w:fill="auto"/>
            <w:vAlign w:val="center"/>
          </w:tcPr>
          <w:p w:rsidR="008828A9" w:rsidRPr="004203C2" w:rsidP="006744B5" w14:paraId="5B28D6E4"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shd w:val="clear" w:color="auto" w:fill="auto"/>
            <w:vAlign w:val="center"/>
          </w:tcPr>
          <w:p w:rsidR="008828A9" w:rsidRPr="001844D1" w:rsidP="006744B5" w14:paraId="48C8CB5C"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shd w:val="clear" w:color="auto" w:fill="auto"/>
            <w:vAlign w:val="center"/>
          </w:tcPr>
          <w:p w:rsidR="008828A9" w:rsidRPr="001844D1" w:rsidP="006744B5" w14:paraId="5A2E5CCA"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05189A85"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0FB3F877"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w:t>
            </w:r>
          </w:p>
          <w:p w:rsidR="008828A9" w:rsidRPr="001844D1" w:rsidP="006744B5" w14:paraId="064FA01C"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37BE1276"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11D70CD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02154584"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4909BC77"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1BEC9153"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4:</w:t>
            </w:r>
          </w:p>
          <w:p w:rsidR="008828A9" w:rsidRPr="001844D1" w:rsidP="006744B5" w14:paraId="5D8FDFAE"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7384EC30"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4D65EB04"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59F5E2C6"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40F82DA4"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159008B6"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5:</w:t>
            </w:r>
          </w:p>
          <w:p w:rsidR="008828A9" w:rsidRPr="001844D1" w:rsidP="006744B5" w14:paraId="51AADBAC"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22BA401C"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5E3A37DB"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7A7DA38C"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1144A2B3"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0BFBC91E"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6:</w:t>
            </w:r>
          </w:p>
          <w:p w:rsidR="008828A9" w:rsidRPr="001844D1" w:rsidP="006744B5" w14:paraId="555F43E3"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2BC39F3"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4A07FAF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2F34A257"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44069B21"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11225E42"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7:</w:t>
            </w:r>
          </w:p>
          <w:p w:rsidR="008828A9" w:rsidRPr="001844D1" w:rsidP="006744B5" w14:paraId="6E86CA6A"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4102670"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A9F801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1402A1D1"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1A1E9FA6"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4C7A1069"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8:</w:t>
            </w:r>
          </w:p>
          <w:p w:rsidR="008828A9" w:rsidRPr="001844D1" w:rsidP="006744B5" w14:paraId="01D47AAB"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F72A286"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7BD1D58E"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3BFAA87D"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D6C6871"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23DF6DC9"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9:</w:t>
            </w:r>
          </w:p>
          <w:p w:rsidR="008828A9" w:rsidRPr="001844D1" w:rsidP="006744B5" w14:paraId="4D8380A0"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8EA5457"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60B25BC1"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3576E643"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18BFAA9"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32EF7132"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10:</w:t>
            </w:r>
          </w:p>
          <w:p w:rsidR="008828A9" w:rsidRPr="001844D1" w:rsidP="006744B5" w14:paraId="26D66335"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09A8AC25"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26E0AA49"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13F177C2"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4F3A5319"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621BED2D"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11:</w:t>
            </w:r>
          </w:p>
          <w:p w:rsidR="008828A9" w:rsidRPr="001844D1" w:rsidP="006744B5" w14:paraId="6466B1A2"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52B98F55"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3BC96E8"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64F612C1"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74A69D8F"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0B92CFE2"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12:</w:t>
            </w:r>
          </w:p>
          <w:p w:rsidR="008828A9" w:rsidRPr="001844D1" w:rsidP="006744B5" w14:paraId="1A3DD6DD"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516893E2"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3FE1666"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35AE23F7"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FA3EBC7"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36F76731"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13:</w:t>
            </w:r>
          </w:p>
          <w:p w:rsidR="008828A9" w:rsidRPr="001844D1" w:rsidP="006744B5" w14:paraId="4C3EA089"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19A18A87"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654C1FF4"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3472B559"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44CF4A92"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3E98FFF8"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14:</w:t>
            </w:r>
          </w:p>
          <w:p w:rsidR="008828A9" w:rsidRPr="001844D1" w:rsidP="006744B5" w14:paraId="0EA09C4C"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298C2DC"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7978550C"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1863B97A"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0992C14E"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5F6CA74B"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15:</w:t>
            </w:r>
          </w:p>
          <w:p w:rsidR="008828A9" w:rsidRPr="001844D1" w:rsidP="006744B5" w14:paraId="665AC36F"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3085556"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1BEA02E"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7913D9AD"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6D70B6C4"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5E0E7FC3"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16:</w:t>
            </w:r>
          </w:p>
          <w:p w:rsidR="008828A9" w:rsidRPr="001844D1" w:rsidP="006744B5" w14:paraId="6D483F0B"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07A775B9"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E5BDCE6"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65364137"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7F4D4C5"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18206A9A"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17:</w:t>
            </w:r>
          </w:p>
          <w:p w:rsidR="008828A9" w:rsidRPr="001844D1" w:rsidP="006744B5" w14:paraId="2EA650EA"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3D7AF8F9"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1AE4BB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069C5EFD"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72B7B0BF"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469360A2"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18:</w:t>
            </w:r>
          </w:p>
          <w:p w:rsidR="008828A9" w:rsidRPr="001844D1" w:rsidP="006744B5" w14:paraId="1EEF033E"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525C1393"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167D521"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77682DF3"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5E4382EB"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0C0477C4"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19:</w:t>
            </w:r>
          </w:p>
          <w:p w:rsidR="008828A9" w:rsidRPr="001844D1" w:rsidP="006744B5" w14:paraId="22734EBB"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3CA01C13"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6561CAF5"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73B412D6"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4D75E78D"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5F024FDB"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20:</w:t>
            </w:r>
          </w:p>
          <w:p w:rsidR="008828A9" w:rsidRPr="001844D1" w:rsidP="006744B5" w14:paraId="76BE6045"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00801D7F"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4DF8504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4A2D7888"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6B002FF"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3F40E683"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21:</w:t>
            </w:r>
          </w:p>
          <w:p w:rsidR="008828A9" w:rsidRPr="001844D1" w:rsidP="006744B5" w14:paraId="37D804B6"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75397AC7"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9281B21"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52A59E20"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6F45864C"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196FD485"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22:</w:t>
            </w:r>
          </w:p>
          <w:p w:rsidR="008828A9" w:rsidRPr="001844D1" w:rsidP="006744B5" w14:paraId="7238AAA9"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02F80604"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000B7B3C"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53834D9E"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7EE3EC97"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593E140F"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23:</w:t>
            </w:r>
          </w:p>
          <w:p w:rsidR="008828A9" w:rsidRPr="001844D1" w:rsidP="006744B5" w14:paraId="3D94666E"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012A61C8"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51F5E4A3"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615116C8"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017DC5D0"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08F85951"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24:</w:t>
            </w:r>
          </w:p>
          <w:p w:rsidR="008828A9" w:rsidRPr="001844D1" w:rsidP="006744B5" w14:paraId="3A8720AA"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6CFCE1FC"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3C7684A5"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29CB90C6"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A7E069C"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511A73C9"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25:</w:t>
            </w:r>
          </w:p>
          <w:p w:rsidR="008828A9" w:rsidRPr="001844D1" w:rsidP="006744B5" w14:paraId="7ED8BAD6"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5B84A0B9"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0A16B227"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23BD2696"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7C34B965"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3FD05867"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26:</w:t>
            </w:r>
          </w:p>
          <w:p w:rsidR="008828A9" w:rsidRPr="001844D1" w:rsidP="006744B5" w14:paraId="36DC3711"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3939643D"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69C74290"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1C517651"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16161AD0"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0DB94BD5"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27:</w:t>
            </w:r>
          </w:p>
          <w:p w:rsidR="008828A9" w:rsidRPr="001844D1" w:rsidP="006744B5" w14:paraId="189EF2D6"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24D6C805"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5EC43E35"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299361A7"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69976440"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690F5A8D"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28:</w:t>
            </w:r>
          </w:p>
          <w:p w:rsidR="008828A9" w:rsidRPr="001844D1" w:rsidP="006744B5" w14:paraId="0D11CDE2"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7F1417D6"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40E36A8C"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6F7B55CC"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5F8923C"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6FEDCFE0"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29:</w:t>
            </w:r>
          </w:p>
          <w:p w:rsidR="008828A9" w:rsidRPr="001844D1" w:rsidP="006744B5" w14:paraId="114CC268"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8CAD756"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28B3E9FE"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19247065"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1CC55535"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4C0EBC79"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30:</w:t>
            </w:r>
          </w:p>
          <w:p w:rsidR="008828A9" w:rsidRPr="001844D1" w:rsidP="006744B5" w14:paraId="6C613C08"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6948E315"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2C3C974A"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2B84B29F"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AAFB158"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596284C1"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31:</w:t>
            </w:r>
          </w:p>
          <w:p w:rsidR="008828A9" w:rsidRPr="001844D1" w:rsidP="006744B5" w14:paraId="338BCA4A"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14DC3B1F" w14:textId="77777777">
            <w:pPr>
              <w:spacing w:after="200" w:line="276" w:lineRule="auto"/>
              <w:rPr>
                <w:rFonts w:ascii="Times New Roman" w:hAnsi="Times New Roman"/>
                <w:iCs/>
                <w:color w:val="000000"/>
              </w:rPr>
            </w:pPr>
            <w:r w:rsidRPr="008828A9">
              <w:rPr>
                <w:sz w:val="24"/>
                <w:highlight w:val="lightGray"/>
              </w:rPr>
              <w:fldChar w:fldCharType="begin">
                <w:ffData>
                  <w:name w:val=""/>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5FD4DD9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0446C993"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590EF741"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31334580"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32:</w:t>
            </w:r>
          </w:p>
          <w:p w:rsidR="008828A9" w:rsidRPr="001844D1" w:rsidP="006744B5" w14:paraId="16FE12C0"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2C21FBA9"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2EC046CE"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21692075"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3FED8BDA"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2E304EC8"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33:</w:t>
            </w:r>
          </w:p>
          <w:p w:rsidR="008828A9" w:rsidRPr="001844D1" w:rsidP="006744B5" w14:paraId="0E4B2427"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73B6A94E"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418A1DEE"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6AAB1265"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5074C2B5"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tcPr>
          <w:p w:rsidR="008828A9" w:rsidRPr="001844D1" w:rsidP="006744B5" w14:paraId="171AF7E6"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34:</w:t>
            </w:r>
          </w:p>
          <w:p w:rsidR="008828A9" w:rsidRPr="001844D1" w:rsidP="006744B5" w14:paraId="00A4F3E5"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532D5AA7"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tcPr>
          <w:p w:rsidR="008828A9" w:rsidRPr="001844D1" w:rsidP="006744B5" w14:paraId="0DFB96EF"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tcPr>
          <w:p w:rsidR="008828A9" w:rsidRPr="001844D1" w:rsidP="006744B5" w14:paraId="07D9FABC"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r w14:paraId="23D8E77E" w14:textId="77777777" w:rsidTr="006744B5">
        <w:tblPrEx>
          <w:tblW w:w="0" w:type="auto"/>
          <w:tblCellMar>
            <w:top w:w="0" w:type="dxa"/>
            <w:left w:w="108" w:type="dxa"/>
            <w:bottom w:w="0" w:type="dxa"/>
            <w:right w:w="108" w:type="dxa"/>
          </w:tblCellMar>
          <w:tblLook w:val="04A0"/>
        </w:tblPrEx>
        <w:trPr>
          <w:gridAfter w:val="1"/>
          <w:wAfter w:w="12" w:type="dxa"/>
          <w:trHeight w:val="346"/>
        </w:trPr>
        <w:tc>
          <w:tcPr>
            <w:tcW w:w="5009" w:type="dxa"/>
            <w:gridSpan w:val="3"/>
            <w:vAlign w:val="center"/>
          </w:tcPr>
          <w:p w:rsidR="008828A9" w:rsidRPr="001844D1" w:rsidP="006744B5" w14:paraId="2A5E6D60" w14:textId="77777777">
            <w:pPr>
              <w:pStyle w:val="BodyText"/>
              <w:rPr>
                <w:rFonts w:ascii="Times New Roman" w:hAnsi="Times New Roman" w:cs="Times New Roman"/>
              </w:rPr>
            </w:pPr>
            <w:r w:rsidRPr="001844D1">
              <w:rPr>
                <w:rFonts w:ascii="Times New Roman" w:hAnsi="Times New Roman" w:cs="Times New Roman"/>
              </w:rPr>
              <w:t xml:space="preserve">Name of Regional </w:t>
            </w:r>
            <w:r w:rsidRPr="001844D1">
              <w:rPr>
                <w:rFonts w:ascii="Times New Roman" w:hAnsi="Times New Roman" w:cs="Times New Roman"/>
              </w:rPr>
              <w:t>ESInet</w:t>
            </w:r>
            <w:r w:rsidRPr="001844D1">
              <w:rPr>
                <w:rFonts w:ascii="Times New Roman" w:hAnsi="Times New Roman" w:cs="Times New Roman"/>
              </w:rPr>
              <w:t xml:space="preserve"> 35:</w:t>
            </w:r>
          </w:p>
          <w:p w:rsidR="008828A9" w:rsidRPr="001844D1" w:rsidP="006744B5" w14:paraId="0396CAA1" w14:textId="77777777">
            <w:pPr>
              <w:pStyle w:val="BodyText"/>
              <w:rPr>
                <w:rFonts w:ascii="Times New Roman" w:hAnsi="Times New Roman" w:cs="Times New Roman"/>
                <w:b/>
              </w:rPr>
            </w:pPr>
            <w:r w:rsidRPr="008828A9">
              <w:rPr>
                <w:rFonts w:ascii="Times New Roman" w:hAnsi="Times New Roman" w:cs="Times New Roman"/>
                <w:highlight w:val="lightGray"/>
              </w:rPr>
              <w:fldChar w:fldCharType="begin">
                <w:ffData>
                  <w:name w:val=""/>
                  <w:enabled/>
                  <w:calcOnExit w:val="0"/>
                  <w:textInput/>
                </w:ffData>
              </w:fldChar>
            </w:r>
            <w:r w:rsidRPr="008828A9">
              <w:rPr>
                <w:rFonts w:ascii="Times New Roman" w:hAnsi="Times New Roman" w:cs="Times New Roman"/>
                <w:highlight w:val="lightGray"/>
              </w:rPr>
              <w:instrText xml:space="preserve"> FORMTEXT </w:instrText>
            </w:r>
            <w:r w:rsidRPr="008828A9">
              <w:rPr>
                <w:rFonts w:ascii="Times New Roman" w:hAnsi="Times New Roman" w:cs="Times New Roman"/>
                <w:highlight w:val="lightGray"/>
              </w:rPr>
              <w:fldChar w:fldCharType="separate"/>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t> </w:t>
            </w:r>
            <w:r w:rsidRPr="008828A9">
              <w:rPr>
                <w:rFonts w:ascii="Times New Roman" w:hAnsi="Times New Roman" w:cs="Times New Roman"/>
                <w:highlight w:val="lightGray"/>
              </w:rPr>
              <w:fldChar w:fldCharType="end"/>
            </w:r>
          </w:p>
        </w:tc>
        <w:tc>
          <w:tcPr>
            <w:tcW w:w="1532" w:type="dxa"/>
            <w:vAlign w:val="center"/>
          </w:tcPr>
          <w:p w:rsidR="008828A9" w:rsidRPr="004203C2" w:rsidP="006744B5" w14:paraId="4AE8324B" w14:textId="77777777">
            <w:pPr>
              <w:spacing w:after="200" w:line="276" w:lineRule="auto"/>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c>
          <w:tcPr>
            <w:tcW w:w="1586" w:type="dxa"/>
            <w:vAlign w:val="center"/>
          </w:tcPr>
          <w:p w:rsidR="008828A9" w:rsidRPr="001844D1" w:rsidP="006744B5" w14:paraId="48DE3CBD" w14:textId="77777777">
            <w:pPr>
              <w:pStyle w:val="BodyText"/>
              <w:jc w:val="center"/>
              <w:rPr>
                <w:rFonts w:ascii="Times New Roman" w:hAnsi="Times New Roman" w:cs="Times New Roman"/>
                <w:iCs/>
                <w:color w:val="000000"/>
                <w:sz w:val="16"/>
                <w:szCs w:val="16"/>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c>
          <w:tcPr>
            <w:tcW w:w="1620" w:type="dxa"/>
            <w:vAlign w:val="center"/>
          </w:tcPr>
          <w:p w:rsidR="008828A9" w:rsidRPr="001844D1" w:rsidP="006744B5" w14:paraId="10CD022B" w14:textId="77777777">
            <w:pPr>
              <w:pStyle w:val="BodyText"/>
              <w:jc w:val="center"/>
              <w:rPr>
                <w:rFonts w:ascii="Times New Roman" w:hAnsi="Times New Roman" w:cs="Times New Roman"/>
              </w:rPr>
            </w:pPr>
            <w:r w:rsidRPr="004203C2">
              <w:rPr>
                <w:rFonts w:ascii="Times New Roman" w:hAnsi="Times New Roman" w:cs="Times New Roman"/>
                <w:b/>
              </w:rPr>
              <w:fldChar w:fldCharType="begin">
                <w:ffData>
                  <w:name w:val="Check10"/>
                  <w:enabled/>
                  <w:calcOnExit w:val="0"/>
                  <w:checkBox>
                    <w:sizeAuto/>
                    <w:default w:val="0"/>
                  </w:checkBox>
                </w:ffData>
              </w:fldChar>
            </w:r>
            <w:r w:rsidRPr="004203C2">
              <w:rPr>
                <w:rFonts w:ascii="Times New Roman" w:hAnsi="Times New Roman" w:cs="Times New Roman"/>
                <w:b/>
              </w:rPr>
              <w:instrText xml:space="preserve"> FORMCHECKBOX </w:instrText>
            </w:r>
            <w:r w:rsidR="00E402CA">
              <w:rPr>
                <w:rFonts w:ascii="Times New Roman" w:hAnsi="Times New Roman" w:cs="Times New Roman"/>
                <w:b/>
              </w:rPr>
              <w:fldChar w:fldCharType="separate"/>
            </w:r>
            <w:r w:rsidRPr="004203C2">
              <w:rPr>
                <w:rFonts w:ascii="Times New Roman" w:hAnsi="Times New Roman" w:cs="Times New Roman"/>
                <w:b/>
              </w:rPr>
              <w:fldChar w:fldCharType="end"/>
            </w:r>
          </w:p>
        </w:tc>
      </w:tr>
    </w:tbl>
    <w:p w:rsidR="008828A9" w:rsidRPr="001844D1" w:rsidP="008828A9" w14:paraId="53358545"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76B335CC"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47468042" w14:textId="77777777">
            <w:pPr>
              <w:tabs>
                <w:tab w:val="left" w:pos="630"/>
              </w:tabs>
              <w:spacing w:after="120"/>
              <w:rPr>
                <w:rFonts w:ascii="Times New Roman" w:hAnsi="Times New Roman"/>
                <w:b/>
                <w:iCs/>
                <w:color w:val="000000"/>
              </w:rPr>
            </w:pPr>
            <w:r w:rsidRPr="001844D1">
              <w:rPr>
                <w:b/>
                <w:iCs/>
                <w:color w:val="000000"/>
              </w:rPr>
              <w:t>Addendum Section I3</w:t>
            </w:r>
          </w:p>
        </w:tc>
      </w:tr>
      <w:tr w14:paraId="79B420BE" w14:textId="77777777" w:rsidTr="006744B5">
        <w:tblPrEx>
          <w:tblW w:w="0" w:type="auto"/>
          <w:jc w:val="center"/>
          <w:tblCellMar>
            <w:top w:w="72" w:type="dxa"/>
            <w:left w:w="115" w:type="dxa"/>
            <w:bottom w:w="72" w:type="dxa"/>
            <w:right w:w="115" w:type="dxa"/>
          </w:tblCellMar>
          <w:tblLook w:val="04A0"/>
        </w:tblPrEx>
        <w:trPr>
          <w:trHeight w:val="791"/>
          <w:jc w:val="center"/>
        </w:trPr>
        <w:tc>
          <w:tcPr>
            <w:tcW w:w="9535" w:type="dxa"/>
          </w:tcPr>
          <w:p w:rsidR="008828A9" w:rsidRPr="004203C2" w:rsidP="006744B5" w14:paraId="5423BA6F"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0E5912DC" w14:textId="77777777">
      <w:pPr>
        <w:spacing w:after="120"/>
        <w:rPr>
          <w:iCs/>
          <w:color w:val="000000"/>
          <w:szCs w:val="22"/>
        </w:rPr>
      </w:pPr>
    </w:p>
    <w:p w:rsidR="008828A9" w:rsidRPr="001844D1" w:rsidP="008828A9" w14:paraId="0A3542E3" w14:textId="77777777">
      <w:pPr>
        <w:widowControl/>
        <w:numPr>
          <w:ilvl w:val="0"/>
          <w:numId w:val="19"/>
        </w:numPr>
        <w:spacing w:after="120"/>
        <w:rPr>
          <w:b/>
          <w:iCs/>
          <w:color w:val="000000"/>
          <w:szCs w:val="22"/>
        </w:rPr>
      </w:pPr>
      <w:r w:rsidRPr="001844D1">
        <w:rPr>
          <w:b/>
          <w:iCs/>
          <w:color w:val="000000"/>
          <w:szCs w:val="22"/>
        </w:rPr>
        <w:t>Please provide a description of any NG911 projects completed or underway during the annual period ending December 31, 2019.</w:t>
      </w:r>
    </w:p>
    <w:tbl>
      <w:tblPr>
        <w:tblStyle w:val="TableGrid"/>
        <w:tblW w:w="0" w:type="auto"/>
        <w:tblCellMar>
          <w:top w:w="72" w:type="dxa"/>
          <w:left w:w="115" w:type="dxa"/>
          <w:bottom w:w="72" w:type="dxa"/>
          <w:right w:w="115" w:type="dxa"/>
        </w:tblCellMar>
        <w:tblLook w:val="04A0"/>
      </w:tblPr>
      <w:tblGrid>
        <w:gridCol w:w="9350"/>
      </w:tblGrid>
      <w:tr w14:paraId="00A43C49" w14:textId="77777777" w:rsidTr="006744B5">
        <w:tblPrEx>
          <w:tblW w:w="0" w:type="auto"/>
          <w:tblCellMar>
            <w:top w:w="72" w:type="dxa"/>
            <w:left w:w="115" w:type="dxa"/>
            <w:bottom w:w="72" w:type="dxa"/>
            <w:right w:w="115" w:type="dxa"/>
          </w:tblCellMar>
          <w:tblLook w:val="04A0"/>
        </w:tblPrEx>
        <w:trPr>
          <w:trHeight w:val="917"/>
        </w:trPr>
        <w:tc>
          <w:tcPr>
            <w:tcW w:w="9576" w:type="dxa"/>
          </w:tcPr>
          <w:p w:rsidR="008828A9" w:rsidRPr="004203C2" w:rsidP="006744B5" w14:paraId="3853C473"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37A95B17" w14:textId="77777777">
      <w:pPr>
        <w:spacing w:after="120"/>
        <w:rPr>
          <w:color w:val="000000"/>
          <w:sz w:val="16"/>
        </w:rPr>
      </w:pPr>
    </w:p>
    <w:tbl>
      <w:tblPr>
        <w:tblStyle w:val="TableGrid"/>
        <w:tblW w:w="0" w:type="auto"/>
        <w:tblCellMar>
          <w:top w:w="72" w:type="dxa"/>
          <w:left w:w="115" w:type="dxa"/>
          <w:bottom w:w="72" w:type="dxa"/>
          <w:right w:w="115" w:type="dxa"/>
        </w:tblCellMar>
        <w:tblLook w:val="04A0"/>
      </w:tblPr>
      <w:tblGrid>
        <w:gridCol w:w="5040"/>
        <w:gridCol w:w="4310"/>
      </w:tblGrid>
      <w:tr w14:paraId="53E5C826" w14:textId="77777777" w:rsidTr="006744B5">
        <w:tblPrEx>
          <w:tblW w:w="0" w:type="auto"/>
          <w:tblCellMar>
            <w:top w:w="72" w:type="dxa"/>
            <w:left w:w="115" w:type="dxa"/>
            <w:bottom w:w="72" w:type="dxa"/>
            <w:right w:w="115" w:type="dxa"/>
          </w:tblCellMar>
          <w:tblLook w:val="04A0"/>
        </w:tblPrEx>
        <w:trPr>
          <w:trHeight w:val="638"/>
        </w:trPr>
        <w:tc>
          <w:tcPr>
            <w:tcW w:w="5155" w:type="dxa"/>
            <w:shd w:val="clear" w:color="auto" w:fill="D9D9D9"/>
            <w:vAlign w:val="center"/>
          </w:tcPr>
          <w:p w:rsidR="008828A9" w:rsidRPr="001844D1" w:rsidP="006744B5" w14:paraId="77185F63" w14:textId="77777777">
            <w:pPr>
              <w:pStyle w:val="NoSpacing"/>
              <w:jc w:val="center"/>
              <w:rPr>
                <w:rFonts w:ascii="Times New Roman" w:hAnsi="Times New Roman"/>
                <w:b/>
              </w:rPr>
            </w:pPr>
            <w:r w:rsidRPr="001844D1">
              <w:rPr>
                <w:rFonts w:ascii="Times New Roman" w:hAnsi="Times New Roman"/>
                <w:b/>
              </w:rPr>
              <w:t>Question</w:t>
            </w:r>
          </w:p>
        </w:tc>
        <w:tc>
          <w:tcPr>
            <w:tcW w:w="4421" w:type="dxa"/>
            <w:shd w:val="clear" w:color="auto" w:fill="D9D9D9"/>
            <w:vAlign w:val="center"/>
          </w:tcPr>
          <w:p w:rsidR="008828A9" w:rsidRPr="001844D1" w:rsidP="006744B5" w14:paraId="7D10630E" w14:textId="77777777">
            <w:pPr>
              <w:pStyle w:val="NoSpacing"/>
              <w:jc w:val="center"/>
              <w:rPr>
                <w:rFonts w:ascii="Times New Roman" w:hAnsi="Times New Roman"/>
                <w:b/>
              </w:rPr>
            </w:pPr>
            <w:r w:rsidRPr="001844D1">
              <w:rPr>
                <w:rFonts w:ascii="Times New Roman" w:hAnsi="Times New Roman"/>
                <w:b/>
              </w:rPr>
              <w:t>Total PSAPs</w:t>
            </w:r>
          </w:p>
          <w:p w:rsidR="008828A9" w:rsidRPr="001844D1" w:rsidP="006744B5" w14:paraId="78B5074B" w14:textId="77777777">
            <w:pPr>
              <w:pStyle w:val="NoSpacing"/>
              <w:jc w:val="center"/>
              <w:rPr>
                <w:rFonts w:ascii="Times New Roman" w:hAnsi="Times New Roman"/>
                <w:b/>
              </w:rPr>
            </w:pPr>
            <w:r w:rsidRPr="001844D1">
              <w:rPr>
                <w:rFonts w:ascii="Times New Roman" w:hAnsi="Times New Roman"/>
                <w:b/>
              </w:rPr>
              <w:t>Accepting Texts</w:t>
            </w:r>
          </w:p>
        </w:tc>
      </w:tr>
      <w:tr w14:paraId="7A2226EC" w14:textId="77777777" w:rsidTr="006744B5">
        <w:tblPrEx>
          <w:tblW w:w="0" w:type="auto"/>
          <w:tblCellMar>
            <w:top w:w="72" w:type="dxa"/>
            <w:left w:w="115" w:type="dxa"/>
            <w:bottom w:w="72" w:type="dxa"/>
            <w:right w:w="115" w:type="dxa"/>
          </w:tblCellMar>
          <w:tblLook w:val="04A0"/>
        </w:tblPrEx>
        <w:tc>
          <w:tcPr>
            <w:tcW w:w="5155" w:type="dxa"/>
          </w:tcPr>
          <w:p w:rsidR="008828A9" w:rsidRPr="004203C2" w:rsidP="008828A9" w14:paraId="313C360B" w14:textId="77777777">
            <w:pPr>
              <w:pStyle w:val="ListParagraph"/>
              <w:numPr>
                <w:ilvl w:val="0"/>
                <w:numId w:val="19"/>
              </w:numPr>
              <w:spacing w:after="120" w:line="240" w:lineRule="auto"/>
              <w:rPr>
                <w:rFonts w:ascii="Times New Roman" w:hAnsi="Times New Roman"/>
                <w:b/>
                <w:iCs/>
                <w:color w:val="000000"/>
              </w:rPr>
            </w:pPr>
            <w:r w:rsidRPr="004203C2">
              <w:rPr>
                <w:rFonts w:ascii="Times New Roman" w:hAnsi="Times New Roman"/>
                <w:b/>
                <w:iCs/>
                <w:color w:val="000000"/>
              </w:rPr>
              <w:t>During the annual period ending December 31, 2019, how many PSAPs within your state implemented text-to-911 and are accepting texts?</w:t>
            </w:r>
          </w:p>
        </w:tc>
        <w:tc>
          <w:tcPr>
            <w:tcW w:w="4421" w:type="dxa"/>
            <w:vAlign w:val="center"/>
          </w:tcPr>
          <w:p w:rsidR="008828A9" w:rsidRPr="004203C2" w:rsidP="006744B5" w14:paraId="6DF20E79"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r w14:paraId="098DE266" w14:textId="77777777" w:rsidTr="006744B5">
        <w:tblPrEx>
          <w:tblW w:w="0" w:type="auto"/>
          <w:tblCellMar>
            <w:top w:w="72" w:type="dxa"/>
            <w:left w:w="115" w:type="dxa"/>
            <w:bottom w:w="72" w:type="dxa"/>
            <w:right w:w="115" w:type="dxa"/>
          </w:tblCellMar>
          <w:tblLook w:val="04A0"/>
        </w:tblPrEx>
        <w:tc>
          <w:tcPr>
            <w:tcW w:w="5155" w:type="dxa"/>
            <w:shd w:val="clear" w:color="auto" w:fill="D9D9D9"/>
            <w:vAlign w:val="center"/>
          </w:tcPr>
          <w:p w:rsidR="008828A9" w:rsidRPr="001844D1" w:rsidP="006744B5" w14:paraId="0B3C2C64" w14:textId="77777777">
            <w:pPr>
              <w:pStyle w:val="NoSpacing"/>
              <w:jc w:val="center"/>
              <w:rPr>
                <w:rFonts w:ascii="Times New Roman" w:hAnsi="Times New Roman"/>
                <w:b/>
              </w:rPr>
            </w:pPr>
            <w:r w:rsidRPr="001844D1">
              <w:rPr>
                <w:rFonts w:ascii="Times New Roman" w:hAnsi="Times New Roman"/>
                <w:b/>
              </w:rPr>
              <w:t>Question</w:t>
            </w:r>
          </w:p>
        </w:tc>
        <w:tc>
          <w:tcPr>
            <w:tcW w:w="4421" w:type="dxa"/>
            <w:shd w:val="clear" w:color="auto" w:fill="D9D9D9"/>
            <w:vAlign w:val="center"/>
          </w:tcPr>
          <w:p w:rsidR="008828A9" w:rsidRPr="001844D1" w:rsidP="006744B5" w14:paraId="1E7FA729" w14:textId="77777777">
            <w:pPr>
              <w:pStyle w:val="NoSpacing"/>
              <w:jc w:val="center"/>
              <w:rPr>
                <w:rFonts w:ascii="Times New Roman" w:hAnsi="Times New Roman"/>
                <w:b/>
              </w:rPr>
            </w:pPr>
            <w:r w:rsidRPr="001844D1">
              <w:rPr>
                <w:rFonts w:ascii="Times New Roman" w:hAnsi="Times New Roman"/>
                <w:b/>
              </w:rPr>
              <w:t>Estimated Number of PSAPs</w:t>
            </w:r>
          </w:p>
          <w:p w:rsidR="008828A9" w:rsidRPr="001844D1" w:rsidP="006744B5" w14:paraId="223C9787" w14:textId="77777777">
            <w:pPr>
              <w:pStyle w:val="NoSpacing"/>
              <w:jc w:val="center"/>
              <w:rPr>
                <w:rFonts w:ascii="Times New Roman" w:hAnsi="Times New Roman"/>
                <w:b/>
              </w:rPr>
            </w:pPr>
            <w:r w:rsidRPr="001844D1">
              <w:rPr>
                <w:rFonts w:ascii="Times New Roman" w:hAnsi="Times New Roman"/>
                <w:b/>
              </w:rPr>
              <w:t>that will Become Text Capable</w:t>
            </w:r>
          </w:p>
        </w:tc>
      </w:tr>
      <w:tr w14:paraId="66F91684" w14:textId="77777777" w:rsidTr="006744B5">
        <w:tblPrEx>
          <w:tblW w:w="0" w:type="auto"/>
          <w:tblCellMar>
            <w:top w:w="72" w:type="dxa"/>
            <w:left w:w="115" w:type="dxa"/>
            <w:bottom w:w="72" w:type="dxa"/>
            <w:right w:w="115" w:type="dxa"/>
          </w:tblCellMar>
          <w:tblLook w:val="04A0"/>
        </w:tblPrEx>
        <w:tc>
          <w:tcPr>
            <w:tcW w:w="5155" w:type="dxa"/>
          </w:tcPr>
          <w:p w:rsidR="008828A9" w:rsidRPr="004203C2" w:rsidP="008828A9" w14:paraId="23331A0E" w14:textId="77777777">
            <w:pPr>
              <w:pStyle w:val="ListParagraph"/>
              <w:numPr>
                <w:ilvl w:val="0"/>
                <w:numId w:val="19"/>
              </w:numPr>
              <w:spacing w:after="120" w:line="240" w:lineRule="auto"/>
              <w:rPr>
                <w:rFonts w:ascii="Times New Roman" w:hAnsi="Times New Roman"/>
                <w:b/>
                <w:iCs/>
                <w:color w:val="000000"/>
              </w:rPr>
            </w:pPr>
            <w:r w:rsidRPr="004203C2">
              <w:rPr>
                <w:rFonts w:ascii="Times New Roman" w:hAnsi="Times New Roman"/>
                <w:b/>
                <w:iCs/>
                <w:color w:val="000000"/>
              </w:rPr>
              <w:t>In the next annual period ending December 31, 2020, how many PSAPs do you anticipate will become text capable?</w:t>
            </w:r>
          </w:p>
        </w:tc>
        <w:tc>
          <w:tcPr>
            <w:tcW w:w="4421" w:type="dxa"/>
            <w:vAlign w:val="center"/>
          </w:tcPr>
          <w:p w:rsidR="008828A9" w:rsidRPr="004203C2" w:rsidP="006744B5" w14:paraId="7A7B4AFF" w14:textId="77777777">
            <w:pPr>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7CE1A5C8"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1B69F9AB"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77A1F612" w14:textId="77777777">
            <w:pPr>
              <w:tabs>
                <w:tab w:val="left" w:pos="630"/>
              </w:tabs>
              <w:spacing w:after="120"/>
              <w:rPr>
                <w:rFonts w:ascii="Times New Roman" w:hAnsi="Times New Roman"/>
                <w:b/>
                <w:iCs/>
                <w:color w:val="000000"/>
              </w:rPr>
            </w:pPr>
            <w:r w:rsidRPr="001844D1">
              <w:rPr>
                <w:b/>
                <w:iCs/>
                <w:color w:val="000000"/>
              </w:rPr>
              <w:t>Addendum Section I5</w:t>
            </w:r>
          </w:p>
        </w:tc>
      </w:tr>
      <w:tr w14:paraId="3185719A" w14:textId="77777777" w:rsidTr="006744B5">
        <w:tblPrEx>
          <w:tblW w:w="0" w:type="auto"/>
          <w:jc w:val="center"/>
          <w:tblCellMar>
            <w:top w:w="72" w:type="dxa"/>
            <w:left w:w="115" w:type="dxa"/>
            <w:bottom w:w="72" w:type="dxa"/>
            <w:right w:w="115" w:type="dxa"/>
          </w:tblCellMar>
          <w:tblLook w:val="04A0"/>
        </w:tblPrEx>
        <w:trPr>
          <w:trHeight w:val="854"/>
          <w:jc w:val="center"/>
        </w:trPr>
        <w:tc>
          <w:tcPr>
            <w:tcW w:w="9535" w:type="dxa"/>
          </w:tcPr>
          <w:p w:rsidR="008828A9" w:rsidRPr="004203C2" w:rsidP="006744B5" w14:paraId="4B9BC29A"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6763EABF"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2D955517"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7F319E5D" w14:textId="77777777">
            <w:pPr>
              <w:tabs>
                <w:tab w:val="left" w:pos="630"/>
              </w:tabs>
              <w:spacing w:after="120"/>
              <w:rPr>
                <w:rFonts w:ascii="Times New Roman" w:hAnsi="Times New Roman"/>
                <w:b/>
                <w:iCs/>
                <w:color w:val="000000"/>
              </w:rPr>
            </w:pPr>
            <w:r w:rsidRPr="001844D1">
              <w:rPr>
                <w:b/>
                <w:iCs/>
                <w:color w:val="000000"/>
              </w:rPr>
              <w:t>Addendum Section I6</w:t>
            </w:r>
          </w:p>
        </w:tc>
      </w:tr>
      <w:tr w14:paraId="4E09C2B3" w14:textId="77777777" w:rsidTr="006744B5">
        <w:tblPrEx>
          <w:tblW w:w="0" w:type="auto"/>
          <w:jc w:val="center"/>
          <w:tblCellMar>
            <w:top w:w="72" w:type="dxa"/>
            <w:left w:w="115" w:type="dxa"/>
            <w:bottom w:w="72" w:type="dxa"/>
            <w:right w:w="115" w:type="dxa"/>
          </w:tblCellMar>
          <w:tblLook w:val="04A0"/>
        </w:tblPrEx>
        <w:trPr>
          <w:trHeight w:val="692"/>
          <w:jc w:val="center"/>
        </w:trPr>
        <w:tc>
          <w:tcPr>
            <w:tcW w:w="9535" w:type="dxa"/>
          </w:tcPr>
          <w:p w:rsidR="008828A9" w:rsidRPr="004203C2" w:rsidP="006744B5" w14:paraId="54EE1E35"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677F38FF" w14:textId="77777777">
      <w:pPr>
        <w:spacing w:after="200" w:line="276" w:lineRule="auto"/>
        <w:rPr>
          <w:color w:val="000000"/>
          <w:sz w:val="16"/>
        </w:rPr>
      </w:pPr>
    </w:p>
    <w:p w:rsidR="008828A9" w:rsidRPr="004203C2" w:rsidP="008828A9" w14:paraId="16BA8507" w14:textId="77777777">
      <w:pPr>
        <w:pStyle w:val="ListParagraph"/>
        <w:numPr>
          <w:ilvl w:val="0"/>
          <w:numId w:val="11"/>
        </w:numPr>
        <w:tabs>
          <w:tab w:val="left" w:pos="630"/>
        </w:tabs>
        <w:spacing w:after="120" w:line="240" w:lineRule="auto"/>
        <w:rPr>
          <w:rFonts w:ascii="Times New Roman" w:hAnsi="Times New Roman"/>
          <w:iCs/>
          <w:color w:val="000000"/>
        </w:rPr>
      </w:pPr>
      <w:r w:rsidRPr="004203C2">
        <w:rPr>
          <w:rFonts w:ascii="Times New Roman" w:hAnsi="Times New Roman"/>
          <w:b/>
          <w:iCs/>
          <w:color w:val="000000"/>
          <w:u w:val="single"/>
        </w:rPr>
        <w:t>Description of Cybersecurity Expenditures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
      <w:tblGrid>
        <w:gridCol w:w="3974"/>
        <w:gridCol w:w="1170"/>
        <w:gridCol w:w="1170"/>
        <w:gridCol w:w="3073"/>
      </w:tblGrid>
      <w:tr w14:paraId="09C5D94F" w14:textId="77777777" w:rsidTr="006744B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tblPrEx>
        <w:trPr>
          <w:trHeight w:val="656"/>
          <w:jc w:val="center"/>
        </w:trPr>
        <w:tc>
          <w:tcPr>
            <w:tcW w:w="3974" w:type="dxa"/>
            <w:tcBorders>
              <w:top w:val="single" w:sz="4" w:space="0" w:color="auto"/>
              <w:bottom w:val="single" w:sz="4" w:space="0" w:color="auto"/>
              <w:right w:val="single" w:sz="4" w:space="0" w:color="auto"/>
            </w:tcBorders>
            <w:shd w:val="clear" w:color="auto" w:fill="D9D9D9"/>
            <w:vAlign w:val="center"/>
          </w:tcPr>
          <w:p w:rsidR="008828A9" w:rsidRPr="007D2116" w:rsidP="006744B5" w14:paraId="0C8E10B9" w14:textId="77777777">
            <w:pPr>
              <w:pStyle w:val="NoSpacing"/>
              <w:jc w:val="center"/>
              <w:rPr>
                <w:rFonts w:ascii="Times New Roman" w:hAnsi="Times New Roman"/>
                <w:b/>
              </w:rPr>
            </w:pPr>
            <w:r w:rsidRPr="001844D1">
              <w:rPr>
                <w:rFonts w:ascii="Times New Roman" w:hAnsi="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0E6A2A" w:rsidP="006744B5" w14:paraId="41243F01" w14:textId="77777777">
            <w:pPr>
              <w:pStyle w:val="NoSpacing"/>
              <w:jc w:val="center"/>
              <w:rPr>
                <w:rFonts w:ascii="Times New Roman" w:hAnsi="Times New Roman"/>
                <w:b/>
              </w:rPr>
            </w:pPr>
            <w:r w:rsidRPr="00AE31B6">
              <w:rPr>
                <w:rFonts w:ascii="Times New Roman" w:hAnsi="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vAlign w:val="center"/>
          </w:tcPr>
          <w:p w:rsidR="008828A9" w:rsidRPr="001844D1" w:rsidP="006744B5" w14:paraId="2691F33D" w14:textId="77777777">
            <w:pPr>
              <w:pStyle w:val="NoSpacing"/>
              <w:jc w:val="center"/>
              <w:rPr>
                <w:rFonts w:ascii="Times New Roman" w:hAnsi="Times New Roman"/>
                <w:b/>
              </w:rPr>
            </w:pPr>
            <w:r w:rsidRPr="000E6A2A">
              <w:rPr>
                <w:rFonts w:ascii="Times New Roman" w:hAnsi="Times New Roman"/>
                <w:b/>
              </w:rPr>
              <w:t xml:space="preserve">If </w:t>
            </w:r>
            <w:r w:rsidRPr="001844D1">
              <w:rPr>
                <w:rFonts w:ascii="Times New Roman" w:hAnsi="Times New Roman"/>
                <w:b/>
              </w:rPr>
              <w:t>Yes,</w:t>
            </w:r>
          </w:p>
          <w:p w:rsidR="008828A9" w:rsidRPr="001844D1" w:rsidP="006744B5" w14:paraId="482D37E3" w14:textId="77777777">
            <w:pPr>
              <w:pStyle w:val="NoSpacing"/>
              <w:jc w:val="center"/>
              <w:rPr>
                <w:rFonts w:ascii="Times New Roman" w:hAnsi="Times New Roman"/>
                <w:b/>
              </w:rPr>
            </w:pPr>
            <w:r w:rsidRPr="001844D1">
              <w:rPr>
                <w:rFonts w:ascii="Times New Roman" w:hAnsi="Times New Roman"/>
                <w:b/>
              </w:rPr>
              <w:t>Amount Expended ($)</w:t>
            </w:r>
          </w:p>
        </w:tc>
      </w:tr>
      <w:tr w14:paraId="5A3A12CE" w14:textId="77777777" w:rsidTr="006744B5">
        <w:tblPrEx>
          <w:tblW w:w="0" w:type="auto"/>
          <w:jc w:val="center"/>
          <w:tblLayout w:type="fixed"/>
          <w:tblCellMar>
            <w:top w:w="72" w:type="dxa"/>
            <w:left w:w="115" w:type="dxa"/>
            <w:bottom w:w="72" w:type="dxa"/>
            <w:right w:w="115" w:type="dxa"/>
          </w:tblCellMar>
          <w:tblLook w:val="0000"/>
        </w:tblPrEx>
        <w:trPr>
          <w:trHeight w:val="1007"/>
          <w:jc w:val="center"/>
        </w:trPr>
        <w:tc>
          <w:tcPr>
            <w:tcW w:w="3974" w:type="dxa"/>
            <w:tcBorders>
              <w:top w:val="single" w:sz="4" w:space="0" w:color="auto"/>
              <w:right w:val="single" w:sz="4" w:space="0" w:color="auto"/>
            </w:tcBorders>
          </w:tcPr>
          <w:p w:rsidR="008828A9" w:rsidRPr="001844D1" w:rsidP="008828A9" w14:paraId="062E5703" w14:textId="77777777">
            <w:pPr>
              <w:widowControl/>
              <w:numPr>
                <w:ilvl w:val="0"/>
                <w:numId w:val="20"/>
              </w:numPr>
              <w:spacing w:after="120"/>
              <w:rPr>
                <w:b/>
                <w:iCs/>
                <w:color w:val="000000"/>
                <w:szCs w:val="22"/>
              </w:rPr>
            </w:pPr>
            <w:r w:rsidRPr="001844D1">
              <w:rPr>
                <w:b/>
                <w:iCs/>
                <w:color w:val="000000"/>
                <w:szCs w:val="22"/>
              </w:rPr>
              <w:t xml:space="preserve">During the annual period ending December 31, 2019, did 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8828A9" w:rsidRPr="001844D1" w:rsidP="006744B5" w14:paraId="3ACCC11E" w14:textId="77777777">
            <w:pPr>
              <w:spacing w:after="120"/>
              <w:jc w:val="center"/>
              <w:rPr>
                <w:iCs/>
                <w:color w:val="000000"/>
                <w:szCs w:val="22"/>
              </w:rPr>
            </w:pPr>
            <w:r w:rsidRPr="001844D1">
              <w:rPr>
                <w:iCs/>
                <w:color w:val="000000"/>
                <w:szCs w:val="22"/>
              </w:rPr>
              <w:t>Yes</w:t>
            </w:r>
          </w:p>
          <w:p w:rsidR="008828A9" w:rsidRPr="001844D1" w:rsidP="006744B5" w14:paraId="5C196A1F" w14:textId="77777777">
            <w:pPr>
              <w:spacing w:after="120"/>
              <w:jc w:val="center"/>
              <w:rPr>
                <w:iCs/>
                <w:color w:val="000000"/>
                <w:szCs w:val="22"/>
              </w:rPr>
            </w:pPr>
            <w:r w:rsidRPr="004203C2">
              <w:rPr>
                <w:b/>
                <w:szCs w:val="22"/>
              </w:rPr>
              <w:fldChar w:fldCharType="begin">
                <w:ffData>
                  <w:name w:val="Check10"/>
                  <w:enabled/>
                  <w:calcOnExit w:val="0"/>
                  <w:checkBox>
                    <w:sizeAuto/>
                    <w:default w:val="0"/>
                    <w:checked w:val="0"/>
                  </w:checkBox>
                </w:ffData>
              </w:fldChar>
            </w:r>
            <w:r w:rsidRPr="001844D1">
              <w:rPr>
                <w:b/>
                <w:szCs w:val="22"/>
              </w:rPr>
              <w:instrText xml:space="preserve"> FORMCHECKBOX </w:instrText>
            </w:r>
            <w:r w:rsidR="00E402CA">
              <w:rPr>
                <w:b/>
                <w:szCs w:val="22"/>
              </w:rPr>
              <w:fldChar w:fldCharType="separate"/>
            </w:r>
            <w:r w:rsidRPr="004203C2">
              <w:rPr>
                <w:b/>
                <w:szCs w:val="22"/>
              </w:rPr>
              <w:fldChar w:fldCharType="end"/>
            </w:r>
          </w:p>
        </w:tc>
        <w:tc>
          <w:tcPr>
            <w:tcW w:w="1170" w:type="dxa"/>
            <w:tcBorders>
              <w:top w:val="single" w:sz="4" w:space="0" w:color="auto"/>
              <w:left w:val="single" w:sz="4" w:space="0" w:color="auto"/>
              <w:right w:val="single" w:sz="4" w:space="0" w:color="auto"/>
            </w:tcBorders>
            <w:vAlign w:val="center"/>
          </w:tcPr>
          <w:p w:rsidR="008828A9" w:rsidRPr="00AE31B6" w:rsidP="006744B5" w14:paraId="56091960" w14:textId="77777777">
            <w:pPr>
              <w:spacing w:after="120"/>
              <w:jc w:val="center"/>
              <w:rPr>
                <w:iCs/>
                <w:color w:val="000000"/>
                <w:szCs w:val="22"/>
              </w:rPr>
            </w:pPr>
            <w:r w:rsidRPr="007D2116">
              <w:rPr>
                <w:iCs/>
                <w:color w:val="000000"/>
                <w:szCs w:val="22"/>
              </w:rPr>
              <w:t>No</w:t>
            </w:r>
          </w:p>
          <w:p w:rsidR="008828A9" w:rsidRPr="001844D1" w:rsidP="006744B5" w14:paraId="361F6A37" w14:textId="77777777">
            <w:pPr>
              <w:spacing w:after="120"/>
              <w:jc w:val="center"/>
              <w:rPr>
                <w:iCs/>
                <w:color w:val="000000"/>
                <w:szCs w:val="22"/>
              </w:rPr>
            </w:pPr>
            <w:r w:rsidRPr="004203C2">
              <w:rPr>
                <w:b/>
                <w:szCs w:val="22"/>
              </w:rPr>
              <w:fldChar w:fldCharType="begin">
                <w:ffData>
                  <w:name w:val="Check10"/>
                  <w:enabled/>
                  <w:calcOnExit w:val="0"/>
                  <w:checkBox>
                    <w:sizeAuto/>
                    <w:default w:val="0"/>
                  </w:checkBox>
                </w:ffData>
              </w:fldChar>
            </w:r>
            <w:r w:rsidRPr="001844D1">
              <w:rPr>
                <w:b/>
                <w:szCs w:val="22"/>
              </w:rPr>
              <w:instrText xml:space="preserve"> FORMCHECKBOX </w:instrText>
            </w:r>
            <w:r w:rsidR="00E402CA">
              <w:rPr>
                <w:b/>
                <w:szCs w:val="22"/>
              </w:rPr>
              <w:fldChar w:fldCharType="separate"/>
            </w:r>
            <w:r w:rsidRPr="004203C2">
              <w:rPr>
                <w:b/>
                <w:szCs w:val="22"/>
              </w:rPr>
              <w:fldChar w:fldCharType="end"/>
            </w:r>
          </w:p>
        </w:tc>
        <w:tc>
          <w:tcPr>
            <w:tcW w:w="3073" w:type="dxa"/>
            <w:tcBorders>
              <w:top w:val="single" w:sz="4" w:space="0" w:color="auto"/>
              <w:left w:val="single" w:sz="4" w:space="0" w:color="auto"/>
              <w:right w:val="single" w:sz="4" w:space="0" w:color="auto"/>
            </w:tcBorders>
            <w:vAlign w:val="center"/>
          </w:tcPr>
          <w:p w:rsidR="008828A9" w:rsidRPr="001844D1" w:rsidP="006744B5" w14:paraId="6E3AA0DC" w14:textId="77777777">
            <w:pPr>
              <w:spacing w:after="120"/>
              <w:rPr>
                <w:iCs/>
                <w:color w:val="000000"/>
                <w:szCs w:val="22"/>
              </w:rPr>
            </w:pPr>
            <w:r w:rsidRPr="008828A9">
              <w:rPr>
                <w:sz w:val="24"/>
                <w:szCs w:val="22"/>
                <w:highlight w:val="lightGray"/>
              </w:rPr>
              <w:fldChar w:fldCharType="begin">
                <w:ffData>
                  <w:name w:val="B3A_Desc"/>
                  <w:enabled/>
                  <w:calcOnExit w:val="0"/>
                  <w:textInput/>
                </w:ffData>
              </w:fldChar>
            </w:r>
            <w:r w:rsidRPr="008828A9">
              <w:rPr>
                <w:sz w:val="24"/>
                <w:szCs w:val="22"/>
                <w:highlight w:val="lightGray"/>
              </w:rPr>
              <w:instrText xml:space="preserve"> FORMTEXT </w:instrText>
            </w:r>
            <w:r w:rsidRPr="008828A9">
              <w:rPr>
                <w:sz w:val="24"/>
                <w:szCs w:val="22"/>
                <w:highlight w:val="lightGray"/>
              </w:rPr>
              <w:fldChar w:fldCharType="separate"/>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t> </w:t>
            </w:r>
            <w:r w:rsidRPr="008828A9">
              <w:rPr>
                <w:sz w:val="24"/>
                <w:szCs w:val="22"/>
                <w:highlight w:val="lightGray"/>
              </w:rPr>
              <w:fldChar w:fldCharType="end"/>
            </w:r>
          </w:p>
        </w:tc>
      </w:tr>
    </w:tbl>
    <w:p w:rsidR="008828A9" w:rsidRPr="001844D1" w:rsidP="008828A9" w14:paraId="00F03E7C"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745E75D4" w14:textId="77777777" w:rsidTr="006744B5">
        <w:tblPrEx>
          <w:tblW w:w="0" w:type="auto"/>
          <w:jc w:val="center"/>
          <w:tblCellMar>
            <w:top w:w="72" w:type="dxa"/>
            <w:left w:w="115" w:type="dxa"/>
            <w:bottom w:w="72" w:type="dxa"/>
            <w:right w:w="115" w:type="dxa"/>
          </w:tblCellMar>
          <w:tblLook w:val="04A0"/>
        </w:tblPrEx>
        <w:trPr>
          <w:jc w:val="center"/>
        </w:trPr>
        <w:tc>
          <w:tcPr>
            <w:tcW w:w="9450" w:type="dxa"/>
            <w:shd w:val="clear" w:color="auto" w:fill="D9D9D9"/>
            <w:vAlign w:val="center"/>
          </w:tcPr>
          <w:p w:rsidR="008828A9" w:rsidRPr="004203C2" w:rsidP="006744B5" w14:paraId="1B99BFC4" w14:textId="77777777">
            <w:pPr>
              <w:tabs>
                <w:tab w:val="left" w:pos="630"/>
              </w:tabs>
              <w:spacing w:after="120"/>
              <w:rPr>
                <w:rFonts w:ascii="Times New Roman" w:hAnsi="Times New Roman"/>
                <w:b/>
                <w:iCs/>
                <w:color w:val="000000"/>
              </w:rPr>
            </w:pPr>
            <w:r w:rsidRPr="001844D1">
              <w:rPr>
                <w:b/>
                <w:iCs/>
                <w:color w:val="000000"/>
              </w:rPr>
              <w:t>Addendum Section J1</w:t>
            </w:r>
          </w:p>
        </w:tc>
      </w:tr>
      <w:tr w14:paraId="01F87876" w14:textId="77777777" w:rsidTr="006744B5">
        <w:tblPrEx>
          <w:tblW w:w="0" w:type="auto"/>
          <w:jc w:val="center"/>
          <w:tblCellMar>
            <w:top w:w="72" w:type="dxa"/>
            <w:left w:w="115" w:type="dxa"/>
            <w:bottom w:w="72" w:type="dxa"/>
            <w:right w:w="115" w:type="dxa"/>
          </w:tblCellMar>
          <w:tblLook w:val="04A0"/>
        </w:tblPrEx>
        <w:trPr>
          <w:trHeight w:val="530"/>
          <w:jc w:val="center"/>
        </w:trPr>
        <w:tc>
          <w:tcPr>
            <w:tcW w:w="9450" w:type="dxa"/>
          </w:tcPr>
          <w:p w:rsidR="008828A9" w:rsidRPr="004203C2" w:rsidP="006744B5" w14:paraId="66DB3120"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3432068F" w14:textId="77777777">
      <w:pPr>
        <w:spacing w:after="120"/>
        <w:rPr>
          <w:iCs/>
          <w:color w:val="000000"/>
          <w:szCs w:val="22"/>
        </w:rPr>
      </w:pPr>
    </w:p>
    <w:tbl>
      <w:tblPr>
        <w:tblStyle w:val="TableGrid"/>
        <w:tblW w:w="0" w:type="auto"/>
        <w:jc w:val="center"/>
        <w:tblCellMar>
          <w:top w:w="115" w:type="dxa"/>
          <w:left w:w="115" w:type="dxa"/>
          <w:bottom w:w="115" w:type="dxa"/>
          <w:right w:w="115" w:type="dxa"/>
        </w:tblCellMar>
        <w:tblLook w:val="04A0"/>
      </w:tblPr>
      <w:tblGrid>
        <w:gridCol w:w="6292"/>
        <w:gridCol w:w="3058"/>
      </w:tblGrid>
      <w:tr w14:paraId="7A4D68BD" w14:textId="77777777" w:rsidTr="006744B5">
        <w:tblPrEx>
          <w:tblW w:w="0" w:type="auto"/>
          <w:jc w:val="center"/>
          <w:tblCellMar>
            <w:top w:w="115" w:type="dxa"/>
            <w:left w:w="115" w:type="dxa"/>
            <w:bottom w:w="115" w:type="dxa"/>
            <w:right w:w="115" w:type="dxa"/>
          </w:tblCellMar>
          <w:tblLook w:val="04A0"/>
        </w:tblPrEx>
        <w:trPr>
          <w:trHeight w:val="649"/>
          <w:jc w:val="center"/>
        </w:trPr>
        <w:tc>
          <w:tcPr>
            <w:tcW w:w="6304" w:type="dxa"/>
            <w:shd w:val="clear" w:color="auto" w:fill="D9D9D9"/>
            <w:vAlign w:val="center"/>
          </w:tcPr>
          <w:p w:rsidR="008828A9" w:rsidRPr="004203C2" w:rsidP="006744B5" w14:paraId="7E325E8F" w14:textId="77777777">
            <w:pPr>
              <w:pStyle w:val="ListParagraph"/>
              <w:spacing w:after="120"/>
              <w:ind w:left="360"/>
              <w:jc w:val="center"/>
              <w:rPr>
                <w:rFonts w:ascii="Times New Roman" w:hAnsi="Times New Roman"/>
                <w:b/>
                <w:iCs/>
                <w:color w:val="000000"/>
              </w:rPr>
            </w:pPr>
            <w:r w:rsidRPr="004203C2">
              <w:rPr>
                <w:rFonts w:ascii="Times New Roman" w:hAnsi="Times New Roman"/>
                <w:b/>
                <w:iCs/>
                <w:color w:val="000000"/>
              </w:rPr>
              <w:t>Question</w:t>
            </w:r>
          </w:p>
        </w:tc>
        <w:tc>
          <w:tcPr>
            <w:tcW w:w="3063" w:type="dxa"/>
            <w:shd w:val="clear" w:color="auto" w:fill="D9D9D9"/>
            <w:vAlign w:val="center"/>
          </w:tcPr>
          <w:p w:rsidR="008828A9" w:rsidRPr="004203C2" w:rsidP="006744B5" w14:paraId="6D629725" w14:textId="77777777">
            <w:pPr>
              <w:spacing w:after="120"/>
              <w:ind w:left="360"/>
              <w:jc w:val="center"/>
              <w:rPr>
                <w:rFonts w:ascii="Times New Roman" w:hAnsi="Times New Roman"/>
                <w:b/>
                <w:iCs/>
                <w:color w:val="000000"/>
              </w:rPr>
            </w:pPr>
            <w:r w:rsidRPr="001844D1">
              <w:rPr>
                <w:b/>
                <w:iCs/>
                <w:color w:val="000000"/>
              </w:rPr>
              <w:t>Total PSAPs</w:t>
            </w:r>
          </w:p>
        </w:tc>
      </w:tr>
      <w:tr w14:paraId="52823443" w14:textId="77777777" w:rsidTr="006744B5">
        <w:tblPrEx>
          <w:tblW w:w="0" w:type="auto"/>
          <w:jc w:val="center"/>
          <w:tblCellMar>
            <w:top w:w="115" w:type="dxa"/>
            <w:left w:w="115" w:type="dxa"/>
            <w:bottom w:w="115" w:type="dxa"/>
            <w:right w:w="115" w:type="dxa"/>
          </w:tblCellMar>
          <w:tblLook w:val="04A0"/>
        </w:tblPrEx>
        <w:trPr>
          <w:trHeight w:val="1063"/>
          <w:jc w:val="center"/>
        </w:trPr>
        <w:tc>
          <w:tcPr>
            <w:tcW w:w="6304" w:type="dxa"/>
            <w:shd w:val="clear" w:color="auto" w:fill="FFFFFF"/>
            <w:vAlign w:val="center"/>
          </w:tcPr>
          <w:p w:rsidR="008828A9" w:rsidRPr="004203C2" w:rsidP="008828A9" w14:paraId="06B81612" w14:textId="77777777">
            <w:pPr>
              <w:pStyle w:val="ListParagraph"/>
              <w:numPr>
                <w:ilvl w:val="0"/>
                <w:numId w:val="20"/>
              </w:numPr>
              <w:spacing w:after="120" w:line="240" w:lineRule="auto"/>
              <w:rPr>
                <w:rFonts w:ascii="Times New Roman" w:hAnsi="Times New Roman"/>
                <w:b/>
                <w:iCs/>
                <w:color w:val="000000"/>
              </w:rPr>
            </w:pPr>
            <w:r w:rsidRPr="004203C2">
              <w:rPr>
                <w:rFonts w:ascii="Times New Roman" w:hAnsi="Times New Roman"/>
                <w:b/>
                <w:iCs/>
                <w:color w:val="000000"/>
              </w:rPr>
              <w:t>During the annual period ending December 31, 2019, how many PSAPs in your state either implemented a cybersecurity program or participated in a regional or state-run cybersecurity program?</w:t>
            </w:r>
          </w:p>
        </w:tc>
        <w:tc>
          <w:tcPr>
            <w:tcW w:w="3063" w:type="dxa"/>
            <w:vAlign w:val="center"/>
          </w:tcPr>
          <w:p w:rsidR="008828A9" w:rsidRPr="004203C2" w:rsidP="006744B5" w14:paraId="5F336A4F" w14:textId="77777777">
            <w:pPr>
              <w:spacing w:after="120"/>
              <w:ind w:left="36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681BC6D4"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15CD3CF6"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0CA7A0B7" w14:textId="77777777">
            <w:pPr>
              <w:tabs>
                <w:tab w:val="left" w:pos="630"/>
              </w:tabs>
              <w:spacing w:after="120"/>
              <w:rPr>
                <w:rFonts w:ascii="Times New Roman" w:hAnsi="Times New Roman"/>
                <w:b/>
                <w:iCs/>
                <w:color w:val="000000"/>
              </w:rPr>
            </w:pPr>
            <w:r w:rsidRPr="001844D1">
              <w:rPr>
                <w:b/>
                <w:iCs/>
                <w:color w:val="000000"/>
              </w:rPr>
              <w:t>Addendum Section J2</w:t>
            </w:r>
          </w:p>
        </w:tc>
      </w:tr>
      <w:tr w14:paraId="41FE199C" w14:textId="77777777" w:rsidTr="006744B5">
        <w:tblPrEx>
          <w:tblW w:w="0" w:type="auto"/>
          <w:jc w:val="center"/>
          <w:tblCellMar>
            <w:top w:w="72" w:type="dxa"/>
            <w:left w:w="115" w:type="dxa"/>
            <w:bottom w:w="72" w:type="dxa"/>
            <w:right w:w="115" w:type="dxa"/>
          </w:tblCellMar>
          <w:tblLook w:val="04A0"/>
        </w:tblPrEx>
        <w:trPr>
          <w:trHeight w:val="575"/>
          <w:jc w:val="center"/>
        </w:trPr>
        <w:tc>
          <w:tcPr>
            <w:tcW w:w="9535" w:type="dxa"/>
          </w:tcPr>
          <w:p w:rsidR="008828A9" w:rsidRPr="004203C2" w:rsidP="006744B5" w14:paraId="7DA870D8"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4C295B59" w14:textId="77777777">
      <w:pPr>
        <w:spacing w:after="120"/>
        <w:rPr>
          <w:b/>
          <w:iCs/>
          <w:color w:val="000000"/>
          <w:szCs w:val="22"/>
        </w:rPr>
      </w:pPr>
    </w:p>
    <w:tbl>
      <w:tblPr>
        <w:tblStyle w:val="TableGrid"/>
        <w:tblW w:w="0" w:type="auto"/>
        <w:tblInd w:w="108" w:type="dxa"/>
        <w:tblCellMar>
          <w:top w:w="72" w:type="dxa"/>
          <w:left w:w="115" w:type="dxa"/>
          <w:bottom w:w="72" w:type="dxa"/>
          <w:right w:w="115" w:type="dxa"/>
        </w:tblCellMar>
        <w:tblLook w:val="04A0"/>
      </w:tblPr>
      <w:tblGrid>
        <w:gridCol w:w="5338"/>
        <w:gridCol w:w="1264"/>
        <w:gridCol w:w="1392"/>
        <w:gridCol w:w="1248"/>
      </w:tblGrid>
      <w:tr w14:paraId="33261080" w14:textId="77777777" w:rsidTr="006744B5">
        <w:tblPrEx>
          <w:tblW w:w="0" w:type="auto"/>
          <w:tblInd w:w="108" w:type="dxa"/>
          <w:tblCellMar>
            <w:top w:w="72" w:type="dxa"/>
            <w:left w:w="115" w:type="dxa"/>
            <w:bottom w:w="72" w:type="dxa"/>
            <w:right w:w="115" w:type="dxa"/>
          </w:tblCellMar>
          <w:tblLook w:val="04A0"/>
        </w:tblPrEx>
        <w:tc>
          <w:tcPr>
            <w:tcW w:w="5422" w:type="dxa"/>
            <w:shd w:val="clear" w:color="auto" w:fill="D9D9D9"/>
          </w:tcPr>
          <w:p w:rsidR="008828A9" w:rsidRPr="001844D1" w:rsidP="006744B5" w14:paraId="69A251D3" w14:textId="77777777">
            <w:pPr>
              <w:pStyle w:val="NoSpacing"/>
              <w:jc w:val="center"/>
              <w:rPr>
                <w:rFonts w:ascii="Times New Roman" w:hAnsi="Times New Roman"/>
                <w:b/>
              </w:rPr>
            </w:pPr>
            <w:r w:rsidRPr="001844D1">
              <w:rPr>
                <w:rFonts w:ascii="Times New Roman" w:hAnsi="Times New Roman"/>
                <w:b/>
              </w:rPr>
              <w:t>Question</w:t>
            </w:r>
          </w:p>
        </w:tc>
        <w:tc>
          <w:tcPr>
            <w:tcW w:w="1281" w:type="dxa"/>
            <w:shd w:val="clear" w:color="auto" w:fill="D9D9D9"/>
          </w:tcPr>
          <w:p w:rsidR="008828A9" w:rsidRPr="001844D1" w:rsidP="006744B5" w14:paraId="132A0C75" w14:textId="77777777">
            <w:pPr>
              <w:pStyle w:val="NoSpacing"/>
              <w:jc w:val="center"/>
              <w:rPr>
                <w:rFonts w:ascii="Times New Roman" w:hAnsi="Times New Roman"/>
                <w:b/>
              </w:rPr>
            </w:pPr>
            <w:r w:rsidRPr="001844D1">
              <w:rPr>
                <w:rFonts w:ascii="Times New Roman" w:hAnsi="Times New Roman"/>
                <w:b/>
              </w:rPr>
              <w:t>Yes</w:t>
            </w:r>
          </w:p>
        </w:tc>
        <w:tc>
          <w:tcPr>
            <w:tcW w:w="1414" w:type="dxa"/>
            <w:shd w:val="clear" w:color="auto" w:fill="D9D9D9"/>
          </w:tcPr>
          <w:p w:rsidR="008828A9" w:rsidRPr="001844D1" w:rsidP="006744B5" w14:paraId="4F2CA132" w14:textId="77777777">
            <w:pPr>
              <w:pStyle w:val="NoSpacing"/>
              <w:jc w:val="center"/>
              <w:rPr>
                <w:rFonts w:ascii="Times New Roman" w:hAnsi="Times New Roman"/>
                <w:b/>
              </w:rPr>
            </w:pPr>
            <w:r w:rsidRPr="001844D1">
              <w:rPr>
                <w:rFonts w:ascii="Times New Roman" w:hAnsi="Times New Roman"/>
                <w:b/>
              </w:rPr>
              <w:t>No</w:t>
            </w:r>
          </w:p>
        </w:tc>
        <w:tc>
          <w:tcPr>
            <w:tcW w:w="1250" w:type="dxa"/>
            <w:shd w:val="clear" w:color="auto" w:fill="D9D9D9"/>
          </w:tcPr>
          <w:p w:rsidR="008828A9" w:rsidRPr="001844D1" w:rsidP="006744B5" w14:paraId="7E30D9F2" w14:textId="77777777">
            <w:pPr>
              <w:pStyle w:val="NoSpacing"/>
              <w:jc w:val="center"/>
              <w:rPr>
                <w:rFonts w:ascii="Times New Roman" w:hAnsi="Times New Roman"/>
                <w:b/>
              </w:rPr>
            </w:pPr>
            <w:r w:rsidRPr="001844D1">
              <w:rPr>
                <w:rFonts w:ascii="Times New Roman" w:hAnsi="Times New Roman"/>
                <w:b/>
              </w:rPr>
              <w:t>Unknown</w:t>
            </w:r>
          </w:p>
        </w:tc>
      </w:tr>
      <w:tr w14:paraId="5C872F89" w14:textId="77777777" w:rsidTr="006744B5">
        <w:tblPrEx>
          <w:tblW w:w="0" w:type="auto"/>
          <w:tblInd w:w="108" w:type="dxa"/>
          <w:tblCellMar>
            <w:top w:w="72" w:type="dxa"/>
            <w:left w:w="115" w:type="dxa"/>
            <w:bottom w:w="72" w:type="dxa"/>
            <w:right w:w="115" w:type="dxa"/>
          </w:tblCellMar>
          <w:tblLook w:val="04A0"/>
        </w:tblPrEx>
        <w:tc>
          <w:tcPr>
            <w:tcW w:w="5422" w:type="dxa"/>
            <w:shd w:val="clear" w:color="auto" w:fill="auto"/>
          </w:tcPr>
          <w:p w:rsidR="008828A9" w:rsidRPr="004203C2" w:rsidP="008828A9" w14:paraId="5653D471" w14:textId="77777777">
            <w:pPr>
              <w:widowControl/>
              <w:numPr>
                <w:ilvl w:val="0"/>
                <w:numId w:val="20"/>
              </w:numPr>
              <w:spacing w:after="120"/>
              <w:rPr>
                <w:rFonts w:ascii="Times New Roman" w:hAnsi="Times New Roman"/>
                <w:iCs/>
                <w:color w:val="000000"/>
              </w:rPr>
            </w:pPr>
            <w:r w:rsidRPr="001844D1">
              <w:rPr>
                <w:b/>
                <w:iCs/>
                <w:color w:val="000000"/>
              </w:rPr>
              <w:t xml:space="preserve">Does your state or jurisdiction adhere to the National Institute of Standards and Technology </w:t>
            </w:r>
            <w:r w:rsidRPr="001844D1">
              <w:rPr>
                <w:b/>
                <w:i/>
                <w:iCs/>
                <w:color w:val="000000"/>
              </w:rPr>
              <w:t>Framework for Improving Critical Infrastructure Cybersecurity</w:t>
            </w:r>
            <w:r w:rsidRPr="001844D1">
              <w:rPr>
                <w:b/>
                <w:iCs/>
                <w:color w:val="000000"/>
              </w:rPr>
              <w:t xml:space="preserve"> (February 2014) for networks supporting one or more PSAPs in your state or jurisdiction?</w:t>
            </w:r>
          </w:p>
        </w:tc>
        <w:tc>
          <w:tcPr>
            <w:tcW w:w="1281" w:type="dxa"/>
            <w:shd w:val="clear" w:color="auto" w:fill="auto"/>
            <w:vAlign w:val="center"/>
          </w:tcPr>
          <w:p w:rsidR="008828A9" w:rsidRPr="004203C2" w:rsidP="006744B5" w14:paraId="6909DA00" w14:textId="77777777">
            <w:pPr>
              <w:spacing w:after="120"/>
              <w:jc w:val="center"/>
              <w:rPr>
                <w:rFonts w:ascii="Times New Roman" w:hAnsi="Times New Roman"/>
                <w:iCs/>
                <w:color w:val="000000"/>
              </w:rPr>
            </w:pPr>
            <w:r w:rsidRPr="004203C2">
              <w:rPr>
                <w:b/>
              </w:rPr>
              <w:fldChar w:fldCharType="begin">
                <w:ffData>
                  <w:name w:val="Check10"/>
                  <w:enabled/>
                  <w:calcOnExit w:val="0"/>
                  <w:checkBox>
                    <w:sizeAuto/>
                    <w:default w:val="0"/>
                    <w:checked w:val="0"/>
                  </w:checkBox>
                </w:ffData>
              </w:fldChar>
            </w:r>
            <w:bookmarkStart w:id="140" w:name="Check10"/>
            <w:r w:rsidRPr="001844D1">
              <w:rPr>
                <w:b/>
              </w:rPr>
              <w:instrText xml:space="preserve"> FORMCHECKBOX </w:instrText>
            </w:r>
            <w:r w:rsidR="00E402CA">
              <w:rPr>
                <w:b/>
              </w:rPr>
              <w:fldChar w:fldCharType="separate"/>
            </w:r>
            <w:r w:rsidRPr="004203C2">
              <w:rPr>
                <w:b/>
              </w:rPr>
              <w:fldChar w:fldCharType="end"/>
            </w:r>
            <w:bookmarkEnd w:id="140"/>
          </w:p>
        </w:tc>
        <w:tc>
          <w:tcPr>
            <w:tcW w:w="1414" w:type="dxa"/>
            <w:shd w:val="clear" w:color="auto" w:fill="auto"/>
            <w:vAlign w:val="center"/>
          </w:tcPr>
          <w:p w:rsidR="008828A9" w:rsidRPr="004203C2" w:rsidP="006744B5" w14:paraId="39FD21DE" w14:textId="77777777">
            <w:pPr>
              <w:spacing w:after="120"/>
              <w:jc w:val="center"/>
              <w:rPr>
                <w:rFonts w:ascii="Times New Roman" w:hAnsi="Times New Roman"/>
                <w:iCs/>
                <w:color w:val="000000"/>
              </w:rPr>
            </w:pPr>
            <w:r w:rsidRPr="004203C2">
              <w:rPr>
                <w:b/>
              </w:rPr>
              <w:fldChar w:fldCharType="begin">
                <w:ffData>
                  <w:name w:val="Check10"/>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c>
          <w:tcPr>
            <w:tcW w:w="1250" w:type="dxa"/>
            <w:shd w:val="clear" w:color="auto" w:fill="auto"/>
            <w:vAlign w:val="center"/>
          </w:tcPr>
          <w:p w:rsidR="008828A9" w:rsidRPr="004203C2" w:rsidP="006744B5" w14:paraId="3F0922C2" w14:textId="77777777">
            <w:pPr>
              <w:spacing w:after="120"/>
              <w:jc w:val="center"/>
              <w:rPr>
                <w:rFonts w:ascii="Times New Roman" w:hAnsi="Times New Roman"/>
                <w:b/>
              </w:rPr>
            </w:pPr>
            <w:r w:rsidRPr="004203C2">
              <w:rPr>
                <w:b/>
              </w:rPr>
              <w:fldChar w:fldCharType="begin">
                <w:ffData>
                  <w:name w:val="Check10"/>
                  <w:enabled/>
                  <w:calcOnExit w:val="0"/>
                  <w:checkBox>
                    <w:sizeAuto/>
                    <w:default w:val="0"/>
                  </w:checkBox>
                </w:ffData>
              </w:fldChar>
            </w:r>
            <w:r w:rsidRPr="001844D1">
              <w:rPr>
                <w:b/>
              </w:rPr>
              <w:instrText xml:space="preserve"> FORMCHECKBOX </w:instrText>
            </w:r>
            <w:r w:rsidR="00E402CA">
              <w:rPr>
                <w:b/>
              </w:rPr>
              <w:fldChar w:fldCharType="separate"/>
            </w:r>
            <w:r w:rsidRPr="004203C2">
              <w:rPr>
                <w:b/>
              </w:rPr>
              <w:fldChar w:fldCharType="end"/>
            </w:r>
          </w:p>
        </w:tc>
      </w:tr>
    </w:tbl>
    <w:p w:rsidR="008828A9" w:rsidRPr="001844D1" w:rsidP="008828A9" w14:paraId="49378A6A" w14:textId="77777777">
      <w:pPr>
        <w:spacing w:after="200" w:line="276" w:lineRule="auto"/>
        <w:rPr>
          <w:iCs/>
          <w:color w:val="000000"/>
          <w:szCs w:val="22"/>
        </w:rPr>
      </w:pPr>
    </w:p>
    <w:tbl>
      <w:tblPr>
        <w:tblStyle w:val="TableGrid"/>
        <w:tblW w:w="0" w:type="auto"/>
        <w:jc w:val="center"/>
        <w:tblCellMar>
          <w:top w:w="72" w:type="dxa"/>
          <w:left w:w="115" w:type="dxa"/>
          <w:bottom w:w="72" w:type="dxa"/>
          <w:right w:w="115" w:type="dxa"/>
        </w:tblCellMar>
        <w:tblLook w:val="04A0"/>
      </w:tblPr>
      <w:tblGrid>
        <w:gridCol w:w="9350"/>
      </w:tblGrid>
      <w:tr w14:paraId="29E4A58B" w14:textId="77777777" w:rsidTr="006744B5">
        <w:tblPrEx>
          <w:tblW w:w="0" w:type="auto"/>
          <w:jc w:val="center"/>
          <w:tblCellMar>
            <w:top w:w="72" w:type="dxa"/>
            <w:left w:w="115" w:type="dxa"/>
            <w:bottom w:w="72" w:type="dxa"/>
            <w:right w:w="115" w:type="dxa"/>
          </w:tblCellMar>
          <w:tblLook w:val="04A0"/>
        </w:tblPrEx>
        <w:trPr>
          <w:jc w:val="center"/>
        </w:trPr>
        <w:tc>
          <w:tcPr>
            <w:tcW w:w="9535" w:type="dxa"/>
            <w:shd w:val="clear" w:color="auto" w:fill="D9D9D9"/>
            <w:vAlign w:val="center"/>
          </w:tcPr>
          <w:p w:rsidR="008828A9" w:rsidRPr="004203C2" w:rsidP="006744B5" w14:paraId="72C5D0B5" w14:textId="77777777">
            <w:pPr>
              <w:tabs>
                <w:tab w:val="left" w:pos="630"/>
              </w:tabs>
              <w:spacing w:after="120"/>
              <w:rPr>
                <w:rFonts w:ascii="Times New Roman" w:hAnsi="Times New Roman"/>
                <w:b/>
                <w:iCs/>
                <w:color w:val="000000"/>
              </w:rPr>
            </w:pPr>
            <w:r w:rsidRPr="001844D1">
              <w:rPr>
                <w:b/>
                <w:iCs/>
                <w:color w:val="000000"/>
              </w:rPr>
              <w:t>Addendum Section J3</w:t>
            </w:r>
          </w:p>
        </w:tc>
      </w:tr>
      <w:tr w14:paraId="40DA166F" w14:textId="77777777" w:rsidTr="006744B5">
        <w:tblPrEx>
          <w:tblW w:w="0" w:type="auto"/>
          <w:jc w:val="center"/>
          <w:tblCellMar>
            <w:top w:w="72" w:type="dxa"/>
            <w:left w:w="115" w:type="dxa"/>
            <w:bottom w:w="72" w:type="dxa"/>
            <w:right w:w="115" w:type="dxa"/>
          </w:tblCellMar>
          <w:tblLook w:val="04A0"/>
        </w:tblPrEx>
        <w:trPr>
          <w:trHeight w:val="422"/>
          <w:jc w:val="center"/>
        </w:trPr>
        <w:tc>
          <w:tcPr>
            <w:tcW w:w="9535" w:type="dxa"/>
          </w:tcPr>
          <w:p w:rsidR="008828A9" w:rsidRPr="004203C2" w:rsidP="006744B5" w14:paraId="43AF8DA7" w14:textId="77777777">
            <w:pPr>
              <w:tabs>
                <w:tab w:val="left" w:pos="630"/>
              </w:tabs>
              <w:spacing w:after="120"/>
              <w:rPr>
                <w:rFonts w:ascii="Times New Roman" w:hAnsi="Times New Roman"/>
                <w:iCs/>
                <w:color w:val="000000"/>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tc>
      </w:tr>
    </w:tbl>
    <w:p w:rsidR="008828A9" w:rsidRPr="001844D1" w:rsidP="008828A9" w14:paraId="099B8734" w14:textId="77777777">
      <w:pPr>
        <w:spacing w:after="200" w:line="276" w:lineRule="auto"/>
        <w:rPr>
          <w:iCs/>
          <w:color w:val="000000"/>
          <w:sz w:val="16"/>
          <w:szCs w:val="16"/>
        </w:rPr>
      </w:pPr>
    </w:p>
    <w:p w:rsidR="008828A9" w:rsidRPr="001844D1" w:rsidP="008828A9" w14:paraId="2E9E986E" w14:textId="77777777">
      <w:pPr>
        <w:spacing w:after="120"/>
        <w:rPr>
          <w:iCs/>
          <w:color w:val="000000"/>
          <w:szCs w:val="22"/>
        </w:rPr>
      </w:pPr>
    </w:p>
    <w:p w:rsidR="008828A9" w:rsidRPr="004203C2" w:rsidP="008828A9" w14:paraId="154A72D4" w14:textId="77777777">
      <w:pPr>
        <w:pStyle w:val="ListParagraph"/>
        <w:numPr>
          <w:ilvl w:val="0"/>
          <w:numId w:val="11"/>
        </w:numPr>
        <w:tabs>
          <w:tab w:val="left" w:pos="630"/>
        </w:tabs>
        <w:spacing w:after="120" w:line="240" w:lineRule="auto"/>
        <w:rPr>
          <w:rFonts w:ascii="Times New Roman" w:hAnsi="Times New Roman"/>
          <w:iCs/>
          <w:color w:val="000000"/>
        </w:rPr>
      </w:pPr>
      <w:r w:rsidRPr="004203C2">
        <w:rPr>
          <w:rFonts w:ascii="Times New Roman" w:hAnsi="Times New Roman"/>
          <w:b/>
          <w:iCs/>
          <w:color w:val="000000"/>
          <w:u w:val="single"/>
        </w:rPr>
        <w:t>Measuring Effective Utilization of 911/E911 Fees</w:t>
      </w:r>
    </w:p>
    <w:p w:rsidR="008828A9" w:rsidRPr="001844D1" w:rsidP="008828A9" w14:paraId="6423F1B3" w14:textId="77777777">
      <w:pPr>
        <w:widowControl/>
        <w:numPr>
          <w:ilvl w:val="0"/>
          <w:numId w:val="21"/>
        </w:numPr>
        <w:spacing w:after="120"/>
        <w:rPr>
          <w:iCs/>
          <w:color w:val="000000"/>
          <w:szCs w:val="22"/>
        </w:rPr>
      </w:pPr>
      <w:r w:rsidRPr="001844D1">
        <w:rPr>
          <w:b/>
          <w:iCs/>
          <w:color w:val="000000"/>
          <w:szCs w:val="22"/>
        </w:rPr>
        <w:t>Please provide an assessment of the effects achieved from the expenditure of state 911/E911 or NG911 funds, including any criteria your state</w:t>
      </w:r>
      <w:r w:rsidRPr="007D2116">
        <w:rPr>
          <w:b/>
          <w:iCs/>
          <w:color w:val="000000"/>
          <w:szCs w:val="22"/>
        </w:rPr>
        <w:t xml:space="preserve"> or jurisdiction uses to measure the effectiveness of the use of 911/E911 fees and charges. </w:t>
      </w:r>
      <w:r w:rsidRPr="00AE31B6">
        <w:rPr>
          <w:iCs/>
          <w:color w:val="000000"/>
          <w:szCs w:val="22"/>
        </w:rPr>
        <w:t xml:space="preserve"> </w:t>
      </w:r>
      <w:r w:rsidRPr="000E6A2A">
        <w:rPr>
          <w:b/>
          <w:iCs/>
          <w:color w:val="000000"/>
          <w:szCs w:val="22"/>
        </w:rPr>
        <w:t xml:space="preserve">If your state conducts annual or other periodic assessments, please provide an </w:t>
      </w:r>
      <w:r w:rsidRPr="001844D1">
        <w:rPr>
          <w:b/>
          <w:iCs/>
          <w:color w:val="000000"/>
          <w:szCs w:val="22"/>
        </w:rPr>
        <w:t>electronic copy (</w:t>
      </w:r>
      <w:r w:rsidRPr="001844D1">
        <w:rPr>
          <w:b/>
          <w:i/>
          <w:iCs/>
          <w:color w:val="000000"/>
          <w:szCs w:val="22"/>
        </w:rPr>
        <w:t>e.g.</w:t>
      </w:r>
      <w:r w:rsidRPr="001844D1">
        <w:rPr>
          <w:b/>
          <w:iCs/>
          <w:color w:val="000000"/>
          <w:szCs w:val="22"/>
        </w:rPr>
        <w:t>, Word, PDF) of the latest such report upon submission of this questionnaire to the FCC or provide links to online versions of such reports in the space below.</w:t>
      </w:r>
    </w:p>
    <w:tbl>
      <w:tblPr>
        <w:tblStyle w:val="TableGrid"/>
        <w:tblW w:w="9606" w:type="dxa"/>
        <w:tblLook w:val="04A0"/>
      </w:tblPr>
      <w:tblGrid>
        <w:gridCol w:w="9606"/>
      </w:tblGrid>
      <w:tr w14:paraId="4844E5FB" w14:textId="77777777" w:rsidTr="006744B5">
        <w:tblPrEx>
          <w:tblW w:w="9606" w:type="dxa"/>
          <w:tblLook w:val="04A0"/>
        </w:tblPrEx>
        <w:trPr>
          <w:trHeight w:val="3572"/>
        </w:trPr>
        <w:tc>
          <w:tcPr>
            <w:tcW w:w="9606" w:type="dxa"/>
          </w:tcPr>
          <w:p w:rsidR="008828A9" w:rsidRPr="004203C2" w:rsidP="006744B5" w14:paraId="51FC5331" w14:textId="77777777">
            <w:pPr>
              <w:spacing w:line="360" w:lineRule="auto"/>
              <w:rPr>
                <w:rFonts w:ascii="Times New Roman" w:hAnsi="Times New Roman"/>
              </w:rPr>
            </w:pPr>
            <w:r w:rsidRPr="008828A9">
              <w:rPr>
                <w:sz w:val="24"/>
                <w:highlight w:val="lightGray"/>
              </w:rPr>
              <w:fldChar w:fldCharType="begin">
                <w:ffData>
                  <w:name w:val="B3A_Desc"/>
                  <w:enabled/>
                  <w:calcOnExit w:val="0"/>
                  <w:textInput/>
                </w:ffData>
              </w:fldChar>
            </w:r>
            <w:r w:rsidRPr="008828A9">
              <w:rPr>
                <w:sz w:val="24"/>
                <w:highlight w:val="lightGray"/>
              </w:rPr>
              <w:instrText xml:space="preserve"> FORMTEXT </w:instrText>
            </w:r>
            <w:r w:rsidRPr="008828A9">
              <w:rPr>
                <w:sz w:val="24"/>
                <w:highlight w:val="lightGray"/>
              </w:rPr>
              <w:fldChar w:fldCharType="separate"/>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t> </w:t>
            </w:r>
            <w:r w:rsidRPr="008828A9">
              <w:rPr>
                <w:sz w:val="24"/>
                <w:highlight w:val="lightGray"/>
              </w:rPr>
              <w:fldChar w:fldCharType="end"/>
            </w:r>
          </w:p>
          <w:p w:rsidR="008828A9" w:rsidRPr="004203C2" w:rsidP="006744B5" w14:paraId="58105F9B" w14:textId="77777777">
            <w:pPr>
              <w:spacing w:line="360" w:lineRule="auto"/>
              <w:rPr>
                <w:rFonts w:ascii="Times New Roman" w:hAnsi="Times New Roman"/>
              </w:rPr>
            </w:pPr>
          </w:p>
          <w:p w:rsidR="008828A9" w:rsidRPr="004203C2" w:rsidP="006744B5" w14:paraId="0730B13A" w14:textId="77777777">
            <w:pPr>
              <w:spacing w:line="360" w:lineRule="auto"/>
              <w:rPr>
                <w:rFonts w:ascii="Times New Roman" w:hAnsi="Times New Roman"/>
              </w:rPr>
            </w:pPr>
          </w:p>
          <w:p w:rsidR="008828A9" w:rsidRPr="004203C2" w:rsidP="006744B5" w14:paraId="720BB178" w14:textId="77777777">
            <w:pPr>
              <w:spacing w:line="360" w:lineRule="auto"/>
              <w:rPr>
                <w:rFonts w:ascii="Times New Roman" w:hAnsi="Times New Roman"/>
              </w:rPr>
            </w:pPr>
          </w:p>
          <w:p w:rsidR="008828A9" w:rsidRPr="004203C2" w:rsidP="006744B5" w14:paraId="45A439A9" w14:textId="77777777">
            <w:pPr>
              <w:spacing w:line="360" w:lineRule="auto"/>
              <w:rPr>
                <w:rFonts w:ascii="Times New Roman" w:hAnsi="Times New Roman"/>
              </w:rPr>
            </w:pPr>
          </w:p>
        </w:tc>
      </w:tr>
    </w:tbl>
    <w:p w:rsidR="008828A9" w:rsidRPr="001844D1" w:rsidP="008828A9" w14:paraId="1637A301" w14:textId="77777777">
      <w:pPr>
        <w:tabs>
          <w:tab w:val="left" w:pos="0"/>
        </w:tabs>
        <w:suppressAutoHyphens/>
        <w:spacing w:after="120"/>
        <w:rPr>
          <w:b/>
          <w:color w:val="000000"/>
          <w:sz w:val="24"/>
        </w:rPr>
      </w:pPr>
    </w:p>
    <w:p w:rsidR="008828A9" w:rsidRPr="001844D1" w:rsidP="008828A9" w14:paraId="6F752884" w14:textId="77777777">
      <w:pPr>
        <w:tabs>
          <w:tab w:val="left" w:pos="0"/>
        </w:tabs>
        <w:suppressAutoHyphens/>
        <w:spacing w:after="120"/>
        <w:rPr>
          <w:b/>
          <w:color w:val="000000"/>
          <w:sz w:val="24"/>
        </w:rPr>
      </w:pPr>
    </w:p>
    <w:p w:rsidR="008828A9" w:rsidRPr="007D2116" w:rsidP="008828A9" w14:paraId="7CA030E8" w14:textId="77777777">
      <w:pPr>
        <w:tabs>
          <w:tab w:val="left" w:pos="0"/>
        </w:tabs>
        <w:suppressAutoHyphens/>
        <w:spacing w:after="120"/>
        <w:rPr>
          <w:b/>
          <w:color w:val="000000"/>
          <w:sz w:val="24"/>
          <w:szCs w:val="24"/>
        </w:rPr>
      </w:pPr>
      <w:r w:rsidRPr="001844D1">
        <w:rPr>
          <w:b/>
          <w:color w:val="000000"/>
          <w:sz w:val="24"/>
          <w:szCs w:val="24"/>
        </w:rPr>
        <w:t>We have estimated that your response to this collection of information will take an average of 10 to 55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1844D1">
        <w:rPr>
          <w:b/>
          <w:color w:val="000000"/>
          <w:sz w:val="24"/>
          <w:szCs w:val="24"/>
        </w:rPr>
        <w:noBreakHyphen/>
        <w:t>PERM, Washington, DC 20554, Paperwork Reduction Act Project (3060</w:t>
      </w:r>
      <w:r w:rsidRPr="001844D1">
        <w:rPr>
          <w:b/>
          <w:color w:val="000000"/>
          <w:sz w:val="24"/>
          <w:szCs w:val="24"/>
        </w:rPr>
        <w:noBreakHyphen/>
        <w:t xml:space="preserve">1122).   We will also accept your PRA comments via the Internet if you send an e-mail to </w:t>
      </w:r>
      <w:hyperlink r:id="rId14" w:history="1">
        <w:r w:rsidRPr="007D2116">
          <w:rPr>
            <w:rStyle w:val="Hyperlink"/>
            <w:b/>
            <w:sz w:val="24"/>
            <w:szCs w:val="24"/>
          </w:rPr>
          <w:t>PRA@fcc.gov</w:t>
        </w:r>
      </w:hyperlink>
      <w:r w:rsidRPr="001844D1">
        <w:rPr>
          <w:b/>
          <w:color w:val="000000"/>
          <w:sz w:val="24"/>
          <w:szCs w:val="24"/>
        </w:rPr>
        <w:t xml:space="preserve">.    </w:t>
      </w:r>
    </w:p>
    <w:p w:rsidR="008828A9" w:rsidRPr="001844D1" w:rsidP="008828A9" w14:paraId="28813649" w14:textId="77777777">
      <w:pPr>
        <w:tabs>
          <w:tab w:val="left" w:pos="0"/>
        </w:tabs>
        <w:suppressAutoHyphens/>
        <w:spacing w:after="120"/>
        <w:jc w:val="both"/>
        <w:rPr>
          <w:b/>
          <w:color w:val="000000"/>
          <w:sz w:val="24"/>
          <w:szCs w:val="24"/>
        </w:rPr>
      </w:pPr>
      <w:r w:rsidRPr="00666744">
        <w:rPr>
          <w:b/>
          <w:color w:val="000000"/>
          <w:sz w:val="24"/>
          <w:szCs w:val="24"/>
        </w:rPr>
        <w:t>Please DO NOT SEND COMPLETED FORMS TO THIS ADDRESS.   You are not require</w:t>
      </w:r>
      <w:r w:rsidRPr="000E6A2A">
        <w:rPr>
          <w:b/>
          <w:color w:val="000000"/>
          <w:sz w:val="24"/>
          <w:szCs w:val="24"/>
        </w:rPr>
        <w:t>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0E6A2A">
        <w:rPr>
          <w:b/>
          <w:color w:val="000000"/>
          <w:sz w:val="24"/>
          <w:szCs w:val="24"/>
        </w:rPr>
        <w:noBreakHyphen/>
        <w:t>1122.</w:t>
      </w:r>
    </w:p>
    <w:p w:rsidR="008828A9" w:rsidRPr="001844D1" w:rsidP="008828A9" w14:paraId="000C47B2" w14:textId="77777777">
      <w:pPr>
        <w:tabs>
          <w:tab w:val="left" w:pos="0"/>
        </w:tabs>
        <w:suppressAutoHyphens/>
        <w:spacing w:after="120"/>
        <w:jc w:val="both"/>
        <w:rPr>
          <w:b/>
          <w:color w:val="000000"/>
          <w:sz w:val="24"/>
          <w:szCs w:val="24"/>
        </w:rPr>
      </w:pPr>
      <w:r w:rsidRPr="001844D1">
        <w:rPr>
          <w:b/>
          <w:color w:val="000000"/>
          <w:sz w:val="24"/>
          <w:szCs w:val="24"/>
        </w:rPr>
        <w:t>THIS NOTICE IS REQUIRED BY THE PAPERWORK REDUCTION ACT OF 1995, PUBLIC LAW 104-13, OCTOBER 1, 1995, 44 U.S.C. SECTION 3507.</w:t>
      </w:r>
    </w:p>
    <w:p w:rsidR="008828A9" w:rsidRPr="001844D1" w:rsidP="008828A9" w14:paraId="72271B7A" w14:textId="77777777">
      <w:pPr>
        <w:rPr>
          <w:szCs w:val="22"/>
        </w:rPr>
      </w:pPr>
    </w:p>
    <w:p w:rsidR="008828A9" w:rsidRPr="001844D1" w:rsidP="008828A9" w14:paraId="615610C7" w14:textId="77777777"/>
    <w:p w:rsidR="005E0BB1" w:rsidP="008828A9" w14:paraId="1791C1AA" w14:textId="77777777">
      <w:pPr>
        <w:pStyle w:val="Heading1"/>
        <w:numPr>
          <w:ilvl w:val="0"/>
          <w:numId w:val="0"/>
        </w:numPr>
        <w:sectPr w:rsidSect="00023638">
          <w:footnotePr>
            <w:numRestart w:val="eachSect"/>
          </w:footnotePr>
          <w:endnotePr>
            <w:numFmt w:val="decimal"/>
          </w:endnotePr>
          <w:pgSz w:w="12240" w:h="15840"/>
          <w:pgMar w:top="1440" w:right="1440" w:bottom="720" w:left="1440" w:header="720" w:footer="720" w:gutter="0"/>
          <w:cols w:space="720"/>
          <w:noEndnote/>
          <w:titlePg/>
        </w:sectPr>
      </w:pPr>
    </w:p>
    <w:p w:rsidR="005E0BB1" w:rsidRPr="005577AD" w:rsidP="005E0BB1" w14:paraId="4DBF601D" w14:textId="77777777">
      <w:pPr>
        <w:jc w:val="center"/>
        <w:rPr>
          <w:b/>
          <w:bCs/>
          <w:caps/>
          <w:szCs w:val="22"/>
        </w:rPr>
      </w:pPr>
      <w:r w:rsidRPr="005577AD">
        <w:rPr>
          <w:b/>
          <w:bCs/>
          <w:caps/>
          <w:szCs w:val="22"/>
        </w:rPr>
        <w:t>Statement of</w:t>
      </w:r>
    </w:p>
    <w:p w:rsidR="005E0BB1" w:rsidRPr="005577AD" w:rsidP="005E0BB1" w14:paraId="41D70BB5" w14:textId="77777777">
      <w:pPr>
        <w:spacing w:after="240"/>
        <w:jc w:val="center"/>
        <w:rPr>
          <w:b/>
          <w:bCs/>
          <w:caps/>
          <w:szCs w:val="22"/>
        </w:rPr>
      </w:pPr>
      <w:r w:rsidRPr="009D2CFA">
        <w:rPr>
          <w:b/>
          <w:bCs/>
          <w:caps/>
          <w:szCs w:val="22"/>
        </w:rPr>
        <w:t>CHAIRMAN AJIT PAI</w:t>
      </w:r>
    </w:p>
    <w:p w:rsidR="005E0BB1" w:rsidRPr="00466EC3" w:rsidP="005E0BB1" w14:paraId="71E8EA0E" w14:textId="77777777">
      <w:pPr>
        <w:spacing w:after="120"/>
        <w:ind w:left="720" w:hanging="720"/>
        <w:rPr>
          <w:i/>
          <w:iCs/>
          <w:szCs w:val="22"/>
        </w:rPr>
      </w:pPr>
      <w:r w:rsidRPr="005577AD">
        <w:rPr>
          <w:iCs/>
          <w:szCs w:val="22"/>
        </w:rPr>
        <w:t>Re:</w:t>
      </w:r>
      <w:r w:rsidRPr="005577AD">
        <w:rPr>
          <w:szCs w:val="22"/>
        </w:rPr>
        <w:t xml:space="preserve"> </w:t>
      </w:r>
      <w:r w:rsidRPr="005577AD">
        <w:rPr>
          <w:szCs w:val="22"/>
        </w:rPr>
        <w:tab/>
      </w:r>
      <w:r w:rsidRPr="00E73B83">
        <w:rPr>
          <w:i/>
          <w:iCs/>
          <w:szCs w:val="22"/>
        </w:rPr>
        <w:t>911 Fee Diversion</w:t>
      </w:r>
      <w:r>
        <w:rPr>
          <w:szCs w:val="22"/>
        </w:rPr>
        <w:t xml:space="preserve">, PS Docket No. 20-291; </w:t>
      </w:r>
      <w:r w:rsidRPr="00E73B83">
        <w:rPr>
          <w:i/>
          <w:iCs/>
        </w:rPr>
        <w:t>New and Emerging Technologies 911 Improvement Act of 2008</w:t>
      </w:r>
      <w:r>
        <w:t>, PS Docket No. 09-14.</w:t>
      </w:r>
    </w:p>
    <w:p w:rsidR="005E0BB1" w:rsidRPr="004A4207" w:rsidP="005E0BB1" w14:paraId="0F6809FC" w14:textId="77777777">
      <w:pPr>
        <w:spacing w:after="120"/>
        <w:ind w:firstLine="720"/>
        <w:rPr>
          <w:szCs w:val="22"/>
        </w:rPr>
      </w:pPr>
      <w:r>
        <w:rPr>
          <w:snapToGrid/>
          <w:kern w:val="0"/>
          <w:szCs w:val="22"/>
        </w:rPr>
        <w:t xml:space="preserve">In 2020, we have been reminded many times of the life-saving work performed by our nation’s first responders.  </w:t>
      </w:r>
      <w:r>
        <w:rPr>
          <w:szCs w:val="22"/>
        </w:rPr>
        <w:t>While there are still three months left in the year, it seems we’ve already had enough disasters to last a lifetime, from the COVID-19 pandemic to raging wildfires in the West, and from Hurricanes Laura and Sally to the Iowa Derecho.  But whenever disaster has struck, our first responders have answered the call and put their lives on the line to serve the American people.  And more times than not, that call has come through our nation’s 911 system.</w:t>
      </w:r>
    </w:p>
    <w:p w:rsidR="005E0BB1" w:rsidRPr="00D82263" w:rsidP="005E0BB1" w14:paraId="2553B56E" w14:textId="77777777">
      <w:pPr>
        <w:spacing w:after="120"/>
        <w:ind w:firstLine="720"/>
        <w:rPr>
          <w:szCs w:val="22"/>
        </w:rPr>
      </w:pPr>
      <w:r>
        <w:rPr>
          <w:szCs w:val="22"/>
        </w:rPr>
        <w:t xml:space="preserve">That’s why </w:t>
      </w:r>
      <w:r w:rsidRPr="00637D95">
        <w:rPr>
          <w:szCs w:val="22"/>
        </w:rPr>
        <w:t xml:space="preserve">it is so important that our 911 system </w:t>
      </w:r>
      <w:r w:rsidRPr="0002048A">
        <w:rPr>
          <w:szCs w:val="22"/>
        </w:rPr>
        <w:t>receives the funding it needs.  And that’s why it is outrageous that some money earmarked for 91</w:t>
      </w:r>
      <w:r w:rsidRPr="00637D95">
        <w:rPr>
          <w:szCs w:val="22"/>
        </w:rPr>
        <w:t>1 is being diverted for other purposes.  Indeed, our latest annual report to Congress</w:t>
      </w:r>
      <w:r w:rsidRPr="00D82263">
        <w:rPr>
          <w:szCs w:val="22"/>
        </w:rPr>
        <w:t xml:space="preserve"> on states’ collection and use of 911 fees found that between 2012 and 2018, states diverted over $1.275 billion in fees collected for 911 services to non-911 purposes.  </w:t>
      </w:r>
      <w:r>
        <w:rPr>
          <w:szCs w:val="22"/>
        </w:rPr>
        <w:t xml:space="preserve">I’ll be blunt: </w:t>
      </w:r>
      <w:r w:rsidRPr="00D82263">
        <w:rPr>
          <w:szCs w:val="22"/>
        </w:rPr>
        <w:t xml:space="preserve">911 fee diversion is fraud.  </w:t>
      </w:r>
      <w:r>
        <w:rPr>
          <w:szCs w:val="22"/>
        </w:rPr>
        <w:t xml:space="preserve">The government takes money from consumers with the promise it’ll be spent on improving our 911 system and spends it on something else.  </w:t>
      </w:r>
      <w:r w:rsidRPr="00D82263">
        <w:rPr>
          <w:szCs w:val="22"/>
        </w:rPr>
        <w:t xml:space="preserve">And </w:t>
      </w:r>
      <w:r>
        <w:rPr>
          <w:szCs w:val="22"/>
        </w:rPr>
        <w:t xml:space="preserve">this </w:t>
      </w:r>
      <w:r w:rsidRPr="00D82263">
        <w:rPr>
          <w:szCs w:val="22"/>
        </w:rPr>
        <w:t>fraudulent practice has real-life consequences.  911</w:t>
      </w:r>
      <w:r>
        <w:rPr>
          <w:szCs w:val="22"/>
        </w:rPr>
        <w:t xml:space="preserve"> </w:t>
      </w:r>
      <w:r w:rsidRPr="00D82263">
        <w:rPr>
          <w:szCs w:val="22"/>
        </w:rPr>
        <w:t xml:space="preserve">fee diversion makes it harder for legacy 911 systems to transition to </w:t>
      </w:r>
      <w:r w:rsidRPr="00637D95">
        <w:rPr>
          <w:szCs w:val="22"/>
        </w:rPr>
        <w:t>next-generation IP-enabled emergency networks</w:t>
      </w:r>
      <w:r w:rsidRPr="00D82263">
        <w:rPr>
          <w:szCs w:val="22"/>
        </w:rPr>
        <w:t xml:space="preserve">.  </w:t>
      </w:r>
      <w:r>
        <w:rPr>
          <w:szCs w:val="22"/>
        </w:rPr>
        <w:t xml:space="preserve">It </w:t>
      </w:r>
      <w:r w:rsidRPr="00D82263">
        <w:rPr>
          <w:szCs w:val="22"/>
        </w:rPr>
        <w:t xml:space="preserve">makes it harder for 911 dispatchers to do their jobs.  And </w:t>
      </w:r>
      <w:r>
        <w:rPr>
          <w:szCs w:val="22"/>
        </w:rPr>
        <w:t xml:space="preserve">it </w:t>
      </w:r>
      <w:r w:rsidRPr="00D82263">
        <w:rPr>
          <w:szCs w:val="22"/>
        </w:rPr>
        <w:t xml:space="preserve">jeopardizes the safety of the American people. </w:t>
      </w:r>
    </w:p>
    <w:p w:rsidR="005E0BB1" w:rsidP="005E0BB1" w14:paraId="17640F3C" w14:textId="77777777">
      <w:pPr>
        <w:spacing w:after="120"/>
        <w:ind w:firstLine="720"/>
        <w:rPr>
          <w:szCs w:val="22"/>
        </w:rPr>
      </w:pPr>
      <w:r>
        <w:rPr>
          <w:szCs w:val="22"/>
        </w:rPr>
        <w:t xml:space="preserve">The </w:t>
      </w:r>
      <w:r w:rsidRPr="000D637D">
        <w:rPr>
          <w:szCs w:val="22"/>
        </w:rPr>
        <w:t>diversi</w:t>
      </w:r>
      <w:r>
        <w:rPr>
          <w:szCs w:val="22"/>
        </w:rPr>
        <w:t xml:space="preserve">on </w:t>
      </w:r>
      <w:r w:rsidRPr="000D637D">
        <w:rPr>
          <w:szCs w:val="22"/>
        </w:rPr>
        <w:t xml:space="preserve">of 911 fees </w:t>
      </w:r>
      <w:r>
        <w:rPr>
          <w:szCs w:val="22"/>
        </w:rPr>
        <w:t>must</w:t>
      </w:r>
      <w:r w:rsidRPr="000D637D">
        <w:rPr>
          <w:szCs w:val="22"/>
        </w:rPr>
        <w:t xml:space="preserve"> stop, and </w:t>
      </w:r>
      <w:r>
        <w:rPr>
          <w:szCs w:val="22"/>
        </w:rPr>
        <w:t>t</w:t>
      </w:r>
      <w:r w:rsidRPr="000D637D">
        <w:rPr>
          <w:szCs w:val="22"/>
        </w:rPr>
        <w:t>oday’s Notice of Inquiry</w:t>
      </w:r>
      <w:r>
        <w:rPr>
          <w:szCs w:val="22"/>
        </w:rPr>
        <w:t xml:space="preserve"> is an important step toward achieving that goal</w:t>
      </w:r>
      <w:r w:rsidRPr="000D637D">
        <w:rPr>
          <w:szCs w:val="22"/>
        </w:rPr>
        <w:t>.</w:t>
      </w:r>
      <w:r>
        <w:rPr>
          <w:szCs w:val="22"/>
        </w:rPr>
        <w:t xml:space="preserve">  We seek</w:t>
      </w:r>
      <w:r w:rsidRPr="000D637D">
        <w:rPr>
          <w:szCs w:val="22"/>
        </w:rPr>
        <w:t xml:space="preserve"> </w:t>
      </w:r>
      <w:r w:rsidRPr="00121D79">
        <w:rPr>
          <w:szCs w:val="22"/>
        </w:rPr>
        <w:t>comment on the effects of 911 fee diversion and explo</w:t>
      </w:r>
      <w:r w:rsidRPr="000D637D">
        <w:rPr>
          <w:szCs w:val="22"/>
        </w:rPr>
        <w:t>re</w:t>
      </w:r>
      <w:r w:rsidRPr="00121D79">
        <w:rPr>
          <w:szCs w:val="22"/>
        </w:rPr>
        <w:t xml:space="preserve"> additional steps the Commission </w:t>
      </w:r>
      <w:r w:rsidRPr="000D637D">
        <w:rPr>
          <w:szCs w:val="22"/>
        </w:rPr>
        <w:t xml:space="preserve">and </w:t>
      </w:r>
      <w:r w:rsidRPr="00121D79">
        <w:rPr>
          <w:szCs w:val="22"/>
        </w:rPr>
        <w:t>or others could take to discourage states from diverting 911 fees.</w:t>
      </w:r>
      <w:r w:rsidRPr="000D637D">
        <w:rPr>
          <w:szCs w:val="22"/>
        </w:rPr>
        <w:t xml:space="preserve">  We’re </w:t>
      </w:r>
      <w:r>
        <w:rPr>
          <w:szCs w:val="22"/>
        </w:rPr>
        <w:t>examining all options, s</w:t>
      </w:r>
      <w:r w:rsidRPr="000D637D">
        <w:rPr>
          <w:szCs w:val="22"/>
        </w:rPr>
        <w:t>uch as placing restrictions on grant funding</w:t>
      </w:r>
      <w:r>
        <w:rPr>
          <w:szCs w:val="22"/>
        </w:rPr>
        <w:t xml:space="preserve">, </w:t>
      </w:r>
      <w:r w:rsidRPr="000D637D">
        <w:rPr>
          <w:szCs w:val="22"/>
        </w:rPr>
        <w:t>conditioning state eligibility for FCC licenses</w:t>
      </w:r>
      <w:r>
        <w:rPr>
          <w:szCs w:val="22"/>
        </w:rPr>
        <w:t>, and leveraging our truth-in-billing authority</w:t>
      </w:r>
      <w:r w:rsidRPr="00855DCD">
        <w:rPr>
          <w:szCs w:val="22"/>
        </w:rPr>
        <w:t xml:space="preserve"> </w:t>
      </w:r>
      <w:r w:rsidRPr="00F256C9">
        <w:rPr>
          <w:szCs w:val="22"/>
        </w:rPr>
        <w:t>to address the description of 911 fees on consumer bills when diversion occurs</w:t>
      </w:r>
      <w:r>
        <w:rPr>
          <w:szCs w:val="22"/>
        </w:rPr>
        <w:t>.</w:t>
      </w:r>
    </w:p>
    <w:p w:rsidR="005E0BB1" w:rsidP="005E0BB1" w14:paraId="74A93534" w14:textId="2671CE71">
      <w:pPr>
        <w:widowControl/>
        <w:spacing w:after="120"/>
        <w:ind w:firstLine="720"/>
        <w:rPr>
          <w:szCs w:val="22"/>
        </w:rPr>
      </w:pPr>
      <w:r>
        <w:rPr>
          <w:szCs w:val="22"/>
        </w:rPr>
        <w:t>Of course, the problem of 911 fee diversion is not new.  And t</w:t>
      </w:r>
      <w:r w:rsidRPr="00BF6BCE">
        <w:rPr>
          <w:szCs w:val="22"/>
        </w:rPr>
        <w:t xml:space="preserve">hanks to the leadership of FCC Commissioner Mike </w:t>
      </w:r>
      <w:r w:rsidRPr="00BF6BCE">
        <w:rPr>
          <w:szCs w:val="22"/>
        </w:rPr>
        <w:t>O’Rielly</w:t>
      </w:r>
      <w:r w:rsidRPr="00BF6BCE">
        <w:rPr>
          <w:szCs w:val="22"/>
        </w:rPr>
        <w:t xml:space="preserve">, this problem </w:t>
      </w:r>
      <w:r>
        <w:rPr>
          <w:szCs w:val="22"/>
        </w:rPr>
        <w:t xml:space="preserve">in recent years </w:t>
      </w:r>
      <w:r w:rsidRPr="00BF6BCE">
        <w:rPr>
          <w:szCs w:val="22"/>
        </w:rPr>
        <w:t xml:space="preserve">has been getting </w:t>
      </w:r>
      <w:r>
        <w:rPr>
          <w:szCs w:val="22"/>
        </w:rPr>
        <w:t>the scrutiny it deserves.  Indeed, just last week the U.S. House of Representatives overwhelmingly approved legislation</w:t>
      </w:r>
      <w:r>
        <w:rPr>
          <w:rStyle w:val="FootnoteReference"/>
          <w:szCs w:val="22"/>
        </w:rPr>
        <w:footnoteReference w:id="97"/>
      </w:r>
      <w:r>
        <w:rPr>
          <w:szCs w:val="22"/>
        </w:rPr>
        <w:t xml:space="preserve"> by a 410-5 vote that would, among other things, help prevent 911 fee diversion by states and other taxing jurisdictions by requiring the Commission to establish rules specifying acceptable purposes and functions for which 911 fees may be used. </w:t>
      </w:r>
    </w:p>
    <w:p w:rsidR="005E0BB1" w:rsidP="005E0BB1" w14:paraId="1A6B05E0" w14:textId="77777777">
      <w:pPr>
        <w:spacing w:after="120"/>
        <w:ind w:firstLine="720"/>
        <w:rPr>
          <w:szCs w:val="22"/>
        </w:rPr>
      </w:pPr>
      <w:r>
        <w:rPr>
          <w:szCs w:val="22"/>
        </w:rPr>
        <w:t>With today’s Notice of Inquiry, we are continuing to do our part to address the problem of 911 fee diversion.  And if we can find a way to end this practice once and for all, we will improve our 911 system, keep Americans safe, and do right by our nation’s first responders.</w:t>
      </w:r>
    </w:p>
    <w:p w:rsidR="005E0BB1" w:rsidRPr="00DB67E5" w:rsidP="005E0BB1" w14:paraId="16CD3121" w14:textId="77777777">
      <w:pPr>
        <w:spacing w:after="120"/>
        <w:ind w:firstLine="720"/>
        <w:rPr>
          <w:sz w:val="24"/>
          <w:szCs w:val="24"/>
        </w:rPr>
      </w:pPr>
      <w:r w:rsidRPr="001B6D59">
        <w:rPr>
          <w:snapToGrid/>
          <w:kern w:val="0"/>
          <w:szCs w:val="22"/>
        </w:rPr>
        <w:t xml:space="preserve">For their hard work, I would like to thank the dedicated staff who worked on this Notice of Inquiry: </w:t>
      </w:r>
      <w:r>
        <w:rPr>
          <w:snapToGrid/>
          <w:kern w:val="0"/>
          <w:szCs w:val="22"/>
        </w:rPr>
        <w:t xml:space="preserve"> </w:t>
      </w:r>
      <w:r w:rsidRPr="001B6D59">
        <w:rPr>
          <w:color w:val="000000"/>
          <w:szCs w:val="22"/>
        </w:rPr>
        <w:t xml:space="preserve">Brenda Boykin, Rochelle Cohen, Jill Coogan, John Evanoff, Lisa Fowlkes, David Furth, Erika Olsen, and Michael Wilhelm from the Public Safety and Homeland Security Bureau; </w:t>
      </w:r>
      <w:r w:rsidRPr="001B6D59">
        <w:rPr>
          <w:szCs w:val="22"/>
        </w:rPr>
        <w:t xml:space="preserve">Zac Champ, Gregory Cooke, and Gregory </w:t>
      </w:r>
      <w:r w:rsidRPr="001B6D59">
        <w:rPr>
          <w:szCs w:val="22"/>
        </w:rPr>
        <w:t>Haledj</w:t>
      </w:r>
      <w:r>
        <w:rPr>
          <w:szCs w:val="22"/>
        </w:rPr>
        <w:t>i</w:t>
      </w:r>
      <w:r w:rsidRPr="001B6D59">
        <w:rPr>
          <w:szCs w:val="22"/>
        </w:rPr>
        <w:t>an</w:t>
      </w:r>
      <w:r w:rsidRPr="001B6D59">
        <w:rPr>
          <w:szCs w:val="22"/>
        </w:rPr>
        <w:t xml:space="preserve"> from the Consumer and Governmental Affairs Bureau; Becky Tangren and Matthew Warner from the Wireless Telecommunications Bureau; Justin Faulb from the Wireline Competition Bureau; </w:t>
      </w:r>
      <w:r w:rsidRPr="001B6D59">
        <w:rPr>
          <w:color w:val="000000"/>
          <w:szCs w:val="22"/>
        </w:rPr>
        <w:t>Chana Wilkerson and Sanford Williams from the Office of Communications Business Opportunities; Alex Espinoza, Chuck Needy, and Emily Talaga from the Office of Economics and Analytics; and David Horowitz, Bill Richardson, and Anjali Singh from the Office of General Counsel.</w:t>
      </w:r>
    </w:p>
    <w:p w:rsidR="0029102F" w:rsidP="008828A9" w14:paraId="08E5068C" w14:textId="77777777">
      <w:pPr>
        <w:pStyle w:val="Heading1"/>
        <w:numPr>
          <w:ilvl w:val="0"/>
          <w:numId w:val="0"/>
        </w:numPr>
        <w:sectPr w:rsidSect="00334518">
          <w:headerReference w:type="default" r:id="rId15"/>
          <w:footerReference w:type="even" r:id="rId16"/>
          <w:footerReference w:type="default" r:id="rId17"/>
          <w:footnotePr>
            <w:numRestart w:val="eachSect"/>
          </w:footnotePr>
          <w:endnotePr>
            <w:numFmt w:val="decimal"/>
          </w:endnotePr>
          <w:pgSz w:w="12240" w:h="15840"/>
          <w:pgMar w:top="1440" w:right="1440" w:bottom="720" w:left="1440" w:header="720" w:footer="720" w:gutter="0"/>
          <w:cols w:space="720"/>
          <w:noEndnote/>
          <w:titlePg/>
        </w:sectPr>
      </w:pPr>
    </w:p>
    <w:p w:rsidR="0029102F" w:rsidRPr="00267362" w:rsidP="0029102F" w14:paraId="5538DFC5" w14:textId="77777777">
      <w:pPr>
        <w:pStyle w:val="NormalWeb"/>
        <w:jc w:val="center"/>
        <w:rPr>
          <w:sz w:val="22"/>
          <w:szCs w:val="22"/>
        </w:rPr>
      </w:pPr>
      <w:r w:rsidRPr="0029102F">
        <w:rPr>
          <w:b/>
          <w:bCs/>
          <w:color w:val="000000"/>
          <w:sz w:val="22"/>
          <w:szCs w:val="22"/>
        </w:rPr>
        <w:t>STATEMENT OF</w:t>
      </w:r>
    </w:p>
    <w:p w:rsidR="0029102F" w:rsidRPr="00267362" w:rsidP="0029102F" w14:paraId="01ED7EFC" w14:textId="77777777">
      <w:pPr>
        <w:pStyle w:val="NormalWeb"/>
        <w:spacing w:after="240"/>
        <w:jc w:val="center"/>
        <w:rPr>
          <w:sz w:val="22"/>
          <w:szCs w:val="22"/>
        </w:rPr>
      </w:pPr>
      <w:r w:rsidRPr="0029102F">
        <w:rPr>
          <w:b/>
          <w:bCs/>
          <w:color w:val="000000"/>
          <w:sz w:val="22"/>
          <w:szCs w:val="22"/>
        </w:rPr>
        <w:t>COMMISSIONER MICHAEL O’RIELLY</w:t>
      </w:r>
    </w:p>
    <w:p w:rsidR="0029102F" w:rsidRPr="0029102F" w:rsidP="00267362" w14:paraId="0F2D4425" w14:textId="77777777">
      <w:pPr>
        <w:pStyle w:val="NormalWeb"/>
        <w:spacing w:after="120"/>
        <w:ind w:left="720" w:hanging="720"/>
        <w:rPr>
          <w:sz w:val="22"/>
          <w:szCs w:val="22"/>
        </w:rPr>
      </w:pPr>
      <w:r w:rsidRPr="0029102F">
        <w:rPr>
          <w:color w:val="000000"/>
          <w:sz w:val="22"/>
          <w:szCs w:val="22"/>
        </w:rPr>
        <w:t>Re:</w:t>
      </w:r>
      <w:r w:rsidRPr="0029102F">
        <w:rPr>
          <w:rStyle w:val="apple-tab-span"/>
          <w:color w:val="000000"/>
          <w:sz w:val="22"/>
          <w:szCs w:val="22"/>
        </w:rPr>
        <w:tab/>
      </w:r>
      <w:r w:rsidRPr="00267362">
        <w:rPr>
          <w:i/>
          <w:iCs/>
          <w:sz w:val="22"/>
          <w:szCs w:val="22"/>
        </w:rPr>
        <w:t>911 Fee Diversion</w:t>
      </w:r>
      <w:r w:rsidRPr="00267362">
        <w:rPr>
          <w:sz w:val="22"/>
          <w:szCs w:val="22"/>
        </w:rPr>
        <w:t>, PS Docket No. 20-291;</w:t>
      </w:r>
      <w:r w:rsidRPr="00267362">
        <w:rPr>
          <w:i/>
          <w:iCs/>
          <w:sz w:val="22"/>
          <w:szCs w:val="22"/>
        </w:rPr>
        <w:t xml:space="preserve"> New and Emerging Technologies 911 Improvement Act of 2008</w:t>
      </w:r>
      <w:r w:rsidRPr="00267362">
        <w:rPr>
          <w:sz w:val="22"/>
          <w:szCs w:val="22"/>
        </w:rPr>
        <w:t>, PS Docket No. 09-14.</w:t>
      </w:r>
    </w:p>
    <w:p w:rsidR="0029102F" w:rsidRPr="000A6D90" w:rsidP="0029102F" w14:paraId="569BF491" w14:textId="77777777">
      <w:pPr>
        <w:pStyle w:val="NormalWeb"/>
        <w:ind w:firstLine="720"/>
        <w:rPr>
          <w:sz w:val="22"/>
          <w:szCs w:val="22"/>
        </w:rPr>
      </w:pPr>
      <w:r w:rsidRPr="0029102F">
        <w:rPr>
          <w:sz w:val="22"/>
          <w:szCs w:val="22"/>
        </w:rPr>
        <w:t xml:space="preserve">There is </w:t>
      </w:r>
      <w:r w:rsidRPr="000A6D90">
        <w:rPr>
          <w:sz w:val="22"/>
          <w:szCs w:val="22"/>
        </w:rPr>
        <w:t>no question that consumers expect states to use 9-1-1 fees only</w:t>
      </w:r>
      <w:r w:rsidRPr="00B46113">
        <w:rPr>
          <w:sz w:val="22"/>
          <w:szCs w:val="22"/>
        </w:rPr>
        <w:t xml:space="preserve"> </w:t>
      </w:r>
      <w:r w:rsidRPr="00926084">
        <w:rPr>
          <w:sz w:val="22"/>
          <w:szCs w:val="22"/>
        </w:rPr>
        <w:t>for purposes directly related to the building and operating of 9-1-1 system</w:t>
      </w:r>
      <w:r w:rsidRPr="0029102F">
        <w:rPr>
          <w:sz w:val="22"/>
          <w:szCs w:val="22"/>
        </w:rPr>
        <w:t>s and not for filling state coffers, stealing the money and diverting funds toward other projects and programs unrelated to essential 9-1-1 services.  No matter how meritorious that other spending may be in a few limited cases,</w:t>
      </w:r>
      <w:r w:rsidRPr="0029102F">
        <w:rPr>
          <w:sz w:val="22"/>
          <w:szCs w:val="22"/>
        </w:rPr>
        <w:t xml:space="preserve"> </w:t>
      </w:r>
      <w:r w:rsidRPr="0029102F">
        <w:rPr>
          <w:sz w:val="22"/>
          <w:szCs w:val="22"/>
        </w:rPr>
        <w:t xml:space="preserve">we all know the fungible nature of state taxes and fees means that these state diverters could otherwise cut spending elsewhere or raise taxes to meet their funding needs for their non-9-1-1 programs.  What is unconscionable, even shameful, is that certain states hide behind labels like “public safety” to dupe consumers and shortchange 9-1-1 call centers.  Yet, despite public reprimands and cajoling, these states simply refuse to change their diverting ways, and, unfortunately, the preliminary review of calendar year 2019 data suggests that four states are likely to remain unapologetically on the list: New Jersey, New York, Rhode Island, and Nevada.  In New York, I heard firsthand how local property taxes had to be increased at the county level to pay for 9-1-1 call answering centers to make up for the huge shortfalls in funds </w:t>
      </w:r>
      <w:r w:rsidRPr="00267362">
        <w:rPr>
          <w:sz w:val="22"/>
          <w:szCs w:val="22"/>
        </w:rPr>
        <w:t xml:space="preserve">that were supposed to be </w:t>
      </w:r>
      <w:r w:rsidRPr="0029102F">
        <w:rPr>
          <w:sz w:val="22"/>
          <w:szCs w:val="22"/>
        </w:rPr>
        <w:t xml:space="preserve">sent by the </w:t>
      </w:r>
      <w:r w:rsidRPr="000A6D90">
        <w:rPr>
          <w:sz w:val="22"/>
          <w:szCs w:val="22"/>
        </w:rPr>
        <w:t xml:space="preserve">New York State government.  Similar stories can be told of the other states. </w:t>
      </w:r>
    </w:p>
    <w:p w:rsidR="0029102F" w:rsidRPr="00B46113" w:rsidP="0029102F" w14:paraId="38024734" w14:textId="77777777">
      <w:pPr>
        <w:pStyle w:val="NormalWeb"/>
        <w:rPr>
          <w:sz w:val="22"/>
          <w:szCs w:val="22"/>
        </w:rPr>
      </w:pPr>
    </w:p>
    <w:p w:rsidR="0029102F" w:rsidRPr="0029102F" w:rsidP="0029102F" w14:paraId="4A725847" w14:textId="77777777">
      <w:pPr>
        <w:pStyle w:val="NormalWeb"/>
        <w:ind w:firstLine="720"/>
        <w:rPr>
          <w:sz w:val="22"/>
          <w:szCs w:val="22"/>
        </w:rPr>
      </w:pPr>
      <w:r w:rsidRPr="00926084">
        <w:rPr>
          <w:sz w:val="22"/>
          <w:szCs w:val="22"/>
        </w:rPr>
        <w:t xml:space="preserve">Despite these few remaining outliers, it is worth noting that </w:t>
      </w:r>
      <w:r w:rsidRPr="00926084">
        <w:rPr>
          <w:sz w:val="22"/>
          <w:szCs w:val="22"/>
        </w:rPr>
        <w:t>the vast majority of</w:t>
      </w:r>
      <w:r w:rsidRPr="00926084">
        <w:rPr>
          <w:sz w:val="22"/>
          <w:szCs w:val="22"/>
        </w:rPr>
        <w:t xml:space="preserve"> states have taken steps over the last decade to rectify their behavior and remove their names from this odious list.  While</w:t>
      </w:r>
      <w:r w:rsidRPr="0029102F">
        <w:rPr>
          <w:sz w:val="22"/>
          <w:szCs w:val="22"/>
        </w:rPr>
        <w:t xml:space="preserve"> we have had some success shrinking the number of diverters, more work remains.  This undertaking has been one of my top priorities during my time at the Commission, and I thank the Chairman and dedicated staff for finalizing today’s Notice of Inquiry (NOI), which is an effort to explore every creative idea and tactic the Commission can use under its </w:t>
      </w:r>
      <w:r w:rsidRPr="0029102F">
        <w:rPr>
          <w:i/>
          <w:iCs/>
          <w:sz w:val="22"/>
          <w:szCs w:val="22"/>
        </w:rPr>
        <w:t>existing</w:t>
      </w:r>
      <w:r w:rsidRPr="0029102F">
        <w:rPr>
          <w:sz w:val="22"/>
          <w:szCs w:val="22"/>
        </w:rPr>
        <w:t xml:space="preserve"> authority to end these diversions once and for all.  Diverters are already statutorily barred from receiving federal NextGen911 grants, and I expect that Congress may need to provide even stronger statutory tools for the Commission to finally address the remaining diverters and prevent this horrendous practice in the future.    </w:t>
      </w:r>
    </w:p>
    <w:p w:rsidR="0029102F" w:rsidRPr="0029102F" w:rsidP="0029102F" w14:paraId="1FB17316" w14:textId="77777777">
      <w:pPr>
        <w:pStyle w:val="NormalWeb"/>
        <w:rPr>
          <w:sz w:val="22"/>
          <w:szCs w:val="22"/>
        </w:rPr>
      </w:pPr>
      <w:r w:rsidRPr="0029102F">
        <w:rPr>
          <w:sz w:val="22"/>
          <w:szCs w:val="22"/>
        </w:rPr>
        <w:t xml:space="preserve">  </w:t>
      </w:r>
    </w:p>
    <w:p w:rsidR="0029102F" w:rsidRPr="0029102F" w:rsidP="0029102F" w14:paraId="7598DDEB" w14:textId="77777777">
      <w:pPr>
        <w:pStyle w:val="NormalWeb"/>
        <w:ind w:firstLine="720"/>
        <w:rPr>
          <w:sz w:val="22"/>
          <w:szCs w:val="22"/>
        </w:rPr>
      </w:pPr>
      <w:r w:rsidRPr="0029102F">
        <w:rPr>
          <w:sz w:val="22"/>
          <w:szCs w:val="22"/>
        </w:rPr>
        <w:t xml:space="preserve">In any case, I am heartened by the overwhelming support for reform shown in Congress, as recently as last week, and throughout the Commission, and I am hopeful that today’s NOI will continue the positive momentum needed to finish the project and reduce the number of diverters to zero.  I also want to thank Chairman Pai and Commissioner </w:t>
      </w:r>
      <w:r w:rsidRPr="0029102F">
        <w:rPr>
          <w:sz w:val="22"/>
          <w:szCs w:val="22"/>
        </w:rPr>
        <w:t>Rosenworcel</w:t>
      </w:r>
      <w:r w:rsidRPr="0029102F">
        <w:rPr>
          <w:sz w:val="22"/>
          <w:szCs w:val="22"/>
        </w:rPr>
        <w:t xml:space="preserve"> for joining me on this crusade over the years, and Chief Lisa Fowlkes and Deputy Chief David Furth of PSHSB, along with all of the members of their team, for the hard work that goes into the annual report and for supporting the broader effort to rein in rogue states.  Thank you all. </w:t>
      </w:r>
    </w:p>
    <w:p w:rsidR="0029102F" w:rsidRPr="0029102F" w:rsidP="0029102F" w14:paraId="048672CA" w14:textId="77777777">
      <w:pPr>
        <w:pStyle w:val="NormalWeb"/>
        <w:rPr>
          <w:sz w:val="22"/>
          <w:szCs w:val="22"/>
        </w:rPr>
      </w:pPr>
    </w:p>
    <w:p w:rsidR="000A6D90" w:rsidP="0029102F" w14:paraId="2EA87A43" w14:textId="77777777">
      <w:pPr>
        <w:pStyle w:val="NormalWeb"/>
        <w:ind w:firstLine="720"/>
        <w:rPr>
          <w:sz w:val="22"/>
          <w:szCs w:val="22"/>
        </w:rPr>
        <w:sectPr>
          <w:pgSz w:w="12240" w:h="15840"/>
          <w:pgMar w:top="1440" w:right="1440" w:bottom="1440" w:left="1440" w:header="720" w:footer="720" w:gutter="0"/>
          <w:cols w:space="720"/>
          <w:docGrid w:linePitch="360"/>
        </w:sectPr>
      </w:pPr>
      <w:r w:rsidRPr="0029102F">
        <w:rPr>
          <w:sz w:val="22"/>
          <w:szCs w:val="22"/>
        </w:rPr>
        <w:t>I approve.</w:t>
      </w:r>
    </w:p>
    <w:p w:rsidR="000A6D90" w:rsidRPr="003F7EC1" w:rsidP="000A6D90" w14:paraId="10672B8B" w14:textId="77777777">
      <w:pPr>
        <w:jc w:val="center"/>
        <w:rPr>
          <w:b/>
          <w:bCs/>
          <w:caps/>
          <w:szCs w:val="22"/>
        </w:rPr>
      </w:pPr>
      <w:bookmarkStart w:id="141" w:name="_Hlk49948112"/>
      <w:r w:rsidRPr="003F7EC1">
        <w:rPr>
          <w:b/>
          <w:bCs/>
          <w:caps/>
          <w:szCs w:val="22"/>
        </w:rPr>
        <w:t>STATEMENT OF</w:t>
      </w:r>
    </w:p>
    <w:p w:rsidR="000A6D90" w:rsidRPr="003F7EC1" w:rsidP="000A6D90" w14:paraId="60FE26BF" w14:textId="77777777">
      <w:pPr>
        <w:jc w:val="center"/>
        <w:rPr>
          <w:b/>
          <w:bCs/>
          <w:caps/>
          <w:szCs w:val="22"/>
        </w:rPr>
      </w:pPr>
      <w:r w:rsidRPr="003F7EC1">
        <w:rPr>
          <w:b/>
          <w:bCs/>
          <w:caps/>
          <w:szCs w:val="22"/>
        </w:rPr>
        <w:t>COMMISSIONER JESSICA ROSENWORCEL</w:t>
      </w:r>
    </w:p>
    <w:p w:rsidR="000A6D90" w:rsidRPr="005577AD" w:rsidP="000A6D90" w14:paraId="11215085" w14:textId="77777777">
      <w:pPr>
        <w:jc w:val="center"/>
        <w:rPr>
          <w:b/>
          <w:bCs/>
          <w:caps/>
          <w:szCs w:val="22"/>
        </w:rPr>
      </w:pPr>
    </w:p>
    <w:p w:rsidR="000A6D90" w:rsidRPr="006F2848" w:rsidP="000A6D90" w14:paraId="461ABDB5" w14:textId="77777777">
      <w:pPr>
        <w:ind w:left="720" w:hanging="720"/>
        <w:rPr>
          <w:i/>
          <w:iCs/>
          <w:snapToGrid/>
          <w:kern w:val="0"/>
        </w:rPr>
      </w:pPr>
      <w:r w:rsidRPr="005577AD">
        <w:rPr>
          <w:iCs/>
          <w:szCs w:val="22"/>
        </w:rPr>
        <w:t>Re:</w:t>
      </w:r>
      <w:r w:rsidRPr="005577AD">
        <w:rPr>
          <w:szCs w:val="22"/>
        </w:rPr>
        <w:t xml:space="preserve"> </w:t>
      </w:r>
      <w:r w:rsidRPr="005577AD">
        <w:rPr>
          <w:szCs w:val="22"/>
        </w:rPr>
        <w:tab/>
      </w:r>
      <w:r>
        <w:rPr>
          <w:i/>
          <w:iCs/>
        </w:rPr>
        <w:t>911 Fee Diversion</w:t>
      </w:r>
      <w:r>
        <w:t xml:space="preserve">, PS Docket No. 20-291, </w:t>
      </w:r>
      <w:r>
        <w:rPr>
          <w:i/>
          <w:iCs/>
        </w:rPr>
        <w:t>New and Emerging Technologies 911 Improvement Act of 2008</w:t>
      </w:r>
      <w:r>
        <w:t>, PS Docket No. 09-14, Notice of Inquiry (September 30, 2020)</w:t>
      </w:r>
    </w:p>
    <w:bookmarkEnd w:id="141"/>
    <w:p w:rsidR="000A6D90" w:rsidP="000A6D90" w14:paraId="0AEC95DC" w14:textId="77777777"/>
    <w:p w:rsidR="000A6D90" w:rsidP="000A6D90" w14:paraId="313DC8E1" w14:textId="77777777">
      <w:pPr>
        <w:ind w:firstLine="720"/>
      </w:pPr>
      <w:r>
        <w:t xml:space="preserve">As the saying goes, you may only call 911 once in your life, but it will be the most important call you ever make.  Chances are that when you make that call, you won’t put much thought into the system that’s behind it.  </w:t>
      </w:r>
      <w:r>
        <w:t>So</w:t>
      </w:r>
      <w:r>
        <w:t xml:space="preserve"> let’s take a moment to praise the people behind our 911 system and recognize the folks who keep us connected when the unthinkable occurs.  We can start with Betty Wafer.</w:t>
      </w:r>
    </w:p>
    <w:p w:rsidR="000A6D90" w:rsidP="000A6D90" w14:paraId="2A501CCE" w14:textId="77777777">
      <w:pPr>
        <w:ind w:firstLine="720"/>
      </w:pPr>
    </w:p>
    <w:p w:rsidR="000A6D90" w:rsidP="000A6D90" w14:paraId="5E6DE619" w14:textId="77777777">
      <w:pPr>
        <w:ind w:firstLine="720"/>
      </w:pPr>
      <w:r>
        <w:t xml:space="preserve">I first saw her in action at the 911 call center in Dallas, Texas.  She was born and raised in the Big D and knows the city inside and out.  It makes a difference.  Because when people cry out for help, she knows the ins and outs of how to deploy in the city she loves and has always called home.  Over the course of three decades she rose to the top of its public safety ranks.  Today she </w:t>
      </w:r>
      <w:r>
        <w:t>is in charge of</w:t>
      </w:r>
      <w:r>
        <w:t xml:space="preserve"> all 911 communications for the Dallas Police Department.  </w:t>
      </w:r>
    </w:p>
    <w:p w:rsidR="000A6D90" w:rsidP="000A6D90" w14:paraId="39213010" w14:textId="77777777"/>
    <w:p w:rsidR="000A6D90" w:rsidP="000A6D90" w14:paraId="493DADA1" w14:textId="77777777">
      <w:pPr>
        <w:ind w:firstLine="720"/>
      </w:pPr>
      <w:r>
        <w:t xml:space="preserve">There is not a lot Betty Wafer hasn’t seen.  Like most people who work on the 911 front lines, she has a preternatural calm.  After all, these are people who listen to us at our most troubled and then help ensure that help is on the way.  As we walked through her call center, she spoke with authority about how technology has changed, how essential it was be able to keep up, and how important it was to ensure that funding for 911 makes it to its intended destination.  </w:t>
      </w:r>
    </w:p>
    <w:p w:rsidR="000A6D90" w:rsidP="000A6D90" w14:paraId="5E3ACED5" w14:textId="77777777">
      <w:pPr>
        <w:ind w:firstLine="720"/>
      </w:pPr>
    </w:p>
    <w:p w:rsidR="000A6D90" w:rsidP="000A6D90" w14:paraId="111D96F3" w14:textId="77777777">
      <w:pPr>
        <w:ind w:firstLine="720"/>
      </w:pPr>
      <w:r>
        <w:t>I was so inspired by that trip that we partnered to write an editorial that was published over four years ago.  We wrote about the need for a national funding plan for 911 and tops on our list was ending 911 fee diversion.  It’s not acceptable when states allow a line item on communications bills that expressly says it is for 911 service but then turn around and send those fees elsewhere.</w:t>
      </w:r>
    </w:p>
    <w:p w:rsidR="000A6D90" w:rsidP="000A6D90" w14:paraId="3734AC63" w14:textId="77777777">
      <w:pPr>
        <w:ind w:firstLine="720"/>
      </w:pPr>
    </w:p>
    <w:p w:rsidR="000A6D90" w:rsidP="000A6D90" w14:paraId="7AC63012" w14:textId="77777777">
      <w:pPr>
        <w:ind w:firstLine="720"/>
      </w:pPr>
      <w:r>
        <w:t xml:space="preserve">It was the first time anyone from this agency had written on this subject.  I then testified before Congress about it.  Later I shared the pen with Commissioner </w:t>
      </w:r>
      <w:r>
        <w:t>O’Rielly</w:t>
      </w:r>
      <w:r>
        <w:t xml:space="preserve"> who shares my concern about this practice.  He deserves credit for pressing this issue in a big way.  I’m glad to see that some of the ideas we put forward—including efforts to incentivize fee-diverting states to do the right things—are included in today’s notice of inquiry.  It also asks appropriate questions about the boundaries of this agency’s authority and seeks ideas regarding the steps we can take to improve our annual fee diversion reports and put the pressure on to end this ugly practice altogether.  </w:t>
      </w:r>
    </w:p>
    <w:p w:rsidR="000A6D90" w:rsidP="000A6D90" w14:paraId="202F2823" w14:textId="77777777"/>
    <w:p w:rsidR="000A6D90" w:rsidP="000A6D90" w14:paraId="4C239B75" w14:textId="77777777">
      <w:r>
        <w:tab/>
        <w:t xml:space="preserve">All good ideas are welcome.  They can make a meaningful difference across the country as we navigate the transition to next-generation 911.  They are especially important for states wrestling with funding challenges in the here and now that have been brought on by this pandemic.  And they matter for our nation’s 911 operators, like Betty Wafer and the thousands of others who run our 911 centers across the country.  They deserve the support intended for them; fee diversion needs to stop.    </w:t>
      </w:r>
    </w:p>
    <w:p w:rsidR="000A6D90" w:rsidP="000A6D90" w14:paraId="0D0FC20E" w14:textId="77777777"/>
    <w:p w:rsidR="000A6D90" w:rsidP="000A6D90" w14:paraId="309451CD" w14:textId="77777777">
      <w:pPr>
        <w:ind w:firstLine="720"/>
      </w:pPr>
      <w:r>
        <w:t>I fully support this inquiry and look forward to the record that will develop.</w:t>
      </w:r>
    </w:p>
    <w:p w:rsidR="000A6D90" w:rsidP="000A6D90" w14:paraId="45130096" w14:textId="77777777"/>
    <w:p w:rsidR="0029102F" w:rsidRPr="000A6D90" w:rsidP="0029102F" w14:paraId="34EE70F2" w14:textId="74C7C39E">
      <w:pPr>
        <w:pStyle w:val="NormalWeb"/>
        <w:ind w:firstLine="720"/>
        <w:rPr>
          <w:sz w:val="22"/>
          <w:szCs w:val="22"/>
        </w:rPr>
      </w:pPr>
    </w:p>
    <w:p w:rsidR="00412FC5" w:rsidP="008828A9" w14:paraId="3DCF79F4" w14:textId="03C71E60">
      <w:pPr>
        <w:pStyle w:val="Heading1"/>
        <w:numPr>
          <w:ilvl w:val="0"/>
          <w:numId w:val="0"/>
        </w:num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rsidP="0055614C" w14:paraId="4FD085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102F" w14:paraId="0D8F78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rsidP="0055614C" w14:paraId="1ED0FB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29102F" w14:paraId="523C1AB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rsidP="0055614C" w14:paraId="62827373"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29102F" w14:paraId="4193F9C4"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102F" w14:paraId="0CC47EC8" w14:textId="77777777">
      <w:r>
        <w:separator/>
      </w:r>
    </w:p>
  </w:footnote>
  <w:footnote w:type="continuationSeparator" w:id="1">
    <w:p w:rsidR="0029102F" w:rsidP="00C721AC" w14:paraId="69D46399" w14:textId="77777777">
      <w:pPr>
        <w:spacing w:before="120"/>
        <w:rPr>
          <w:sz w:val="20"/>
        </w:rPr>
      </w:pPr>
      <w:r>
        <w:rPr>
          <w:sz w:val="20"/>
        </w:rPr>
        <w:t xml:space="preserve">(Continued from previous page)  </w:t>
      </w:r>
      <w:r>
        <w:rPr>
          <w:sz w:val="20"/>
        </w:rPr>
        <w:separator/>
      </w:r>
    </w:p>
  </w:footnote>
  <w:footnote w:type="continuationNotice" w:id="2">
    <w:p w:rsidR="0029102F" w:rsidP="00C721AC" w14:paraId="0A7BD005" w14:textId="77777777">
      <w:pPr>
        <w:jc w:val="right"/>
        <w:rPr>
          <w:sz w:val="20"/>
        </w:rPr>
      </w:pPr>
      <w:r>
        <w:rPr>
          <w:sz w:val="20"/>
        </w:rPr>
        <w:t>(continued….)</w:t>
      </w:r>
    </w:p>
  </w:footnote>
  <w:footnote w:id="3">
    <w:p w:rsidR="0029102F" w:rsidP="008828A9" w14:paraId="3A11C142" w14:textId="77777777">
      <w:pPr>
        <w:pStyle w:val="FootnoteText"/>
      </w:pPr>
      <w:r>
        <w:rPr>
          <w:rStyle w:val="FootnoteReference"/>
        </w:rPr>
        <w:footnoteRef/>
      </w:r>
      <w:r>
        <w:t xml:space="preserve"> This total comes from the Commission’s annual reports to Congress on state collection and distribution of 911/E911 fees and charges.  Copies of reports from all responding jurisdictions are available on the FCC website at </w:t>
      </w:r>
      <w:hyperlink r:id="rId1" w:history="1">
        <w:r>
          <w:rPr>
            <w:rStyle w:val="Hyperlink"/>
          </w:rPr>
          <w:t>https://www.fcc.gov/general/911-fee-reports</w:t>
        </w:r>
      </w:hyperlink>
      <w:r>
        <w:t xml:space="preserve">.  Herein, the term states, unless the context indicates otherwise, should be taken to include territories and the District of Columbia. </w:t>
      </w:r>
    </w:p>
  </w:footnote>
  <w:footnote w:id="4">
    <w:p w:rsidR="0029102F" w:rsidP="008828A9" w14:paraId="562FE0F5" w14:textId="77777777">
      <w:pPr>
        <w:pStyle w:val="FootnoteText"/>
      </w:pPr>
      <w:r>
        <w:rPr>
          <w:rStyle w:val="FootnoteReference"/>
        </w:rPr>
        <w:footnoteRef/>
      </w:r>
      <w:r>
        <w:t xml:space="preserve"> </w:t>
      </w:r>
      <w:r w:rsidRPr="008C35BB">
        <w:rPr>
          <w:i/>
          <w:iCs/>
        </w:rPr>
        <w:t>See</w:t>
      </w:r>
      <w:r>
        <w:t xml:space="preserve"> </w:t>
      </w:r>
      <w:r w:rsidRPr="00F55EE7">
        <w:t xml:space="preserve">FCC, Eleventh Annual Report to Congress on State Collection and Distribution of 911 and Enhanced 911 Fees and Charges at </w:t>
      </w:r>
      <w:r>
        <w:t xml:space="preserve">10, para. 11 </w:t>
      </w:r>
      <w:r w:rsidRPr="00F55EE7">
        <w:t>(2019) (Eleventh Report),</w:t>
      </w:r>
      <w:r>
        <w:t xml:space="preserve"> </w:t>
      </w:r>
      <w:hyperlink r:id="rId2" w:history="1">
        <w:r w:rsidRPr="001A32B0">
          <w:rPr>
            <w:rStyle w:val="Hyperlink"/>
          </w:rPr>
          <w:t>https://www.fcc.gov/files/11thannual911feereport2019pdf</w:t>
        </w:r>
      </w:hyperlink>
      <w:r>
        <w:t xml:space="preserve"> (noting that states and other jurisdictions estimated receiving a total of 213,840,824 calls to 911 during 2018); </w:t>
      </w:r>
      <w:r w:rsidRPr="00CD4EC3">
        <w:rPr>
          <w:i/>
          <w:iCs/>
        </w:rPr>
        <w:t>see also</w:t>
      </w:r>
      <w:r>
        <w:t xml:space="preserve"> NENA: The 9-1-1 Association (NENA), </w:t>
      </w:r>
      <w:r w:rsidRPr="004203C2">
        <w:rPr>
          <w:i/>
        </w:rPr>
        <w:t>9-1-1- Statistics</w:t>
      </w:r>
      <w:r>
        <w:t xml:space="preserve">, </w:t>
      </w:r>
      <w:hyperlink r:id="rId3" w:history="1">
        <w:r>
          <w:rPr>
            <w:rStyle w:val="Hyperlink"/>
          </w:rPr>
          <w:t>https://www.nena.org/page/911Statistics</w:t>
        </w:r>
      </w:hyperlink>
      <w:r>
        <w:t xml:space="preserve"> (last visited Sept. 1, 2020) (stating that “[a]n estimated 240 million calls are made to 9-1-1 in the U.S. each year”).</w:t>
      </w:r>
    </w:p>
  </w:footnote>
  <w:footnote w:id="5">
    <w:p w:rsidR="0029102F" w:rsidP="008828A9" w14:paraId="05D60AFF" w14:textId="77777777">
      <w:pPr>
        <w:pStyle w:val="FootnoteText"/>
      </w:pPr>
      <w:r>
        <w:rPr>
          <w:rStyle w:val="FootnoteReference"/>
        </w:rPr>
        <w:footnoteRef/>
      </w:r>
      <w:r>
        <w:t xml:space="preserve"> NENA defines NG911 as “[a]n Internet Protocol (IP)-based system comprised of managed Emergency Services IP networks (</w:t>
      </w:r>
      <w:r>
        <w:t>ESInets</w:t>
      </w:r>
      <w:r>
        <w:t xml:space="preserve">), functional elements (applications), and databases that replicate traditional E9-1-1 features and functions and provide[ ] additional capabilities” and states that NG911 is “designed to provide access to emergency services from all connected communications sources, and provide multimedia data capabilities for [PSAPs] and other emergency service organizations.”  NENA, Master Glossary of 9-1-1 Terminology at 118 (2020), </w:t>
      </w:r>
      <w:hyperlink r:id="rId4" w:history="1">
        <w:r w:rsidRPr="00F018DE">
          <w:rPr>
            <w:rStyle w:val="Hyperlink"/>
          </w:rPr>
          <w:t>https://cdn.ymaws.com/www.nena.org/resource/resmgr/standards/NENA-ADM-000.23-2020_FINAL_2.pdf</w:t>
        </w:r>
      </w:hyperlink>
      <w:r>
        <w:t xml:space="preserve">.  </w:t>
      </w:r>
      <w:r>
        <w:rPr>
          <w:i/>
          <w:iCs/>
        </w:rPr>
        <w:t>S</w:t>
      </w:r>
      <w:r w:rsidRPr="00A43E24">
        <w:rPr>
          <w:i/>
          <w:iCs/>
        </w:rPr>
        <w:t>ee also</w:t>
      </w:r>
      <w:r>
        <w:t xml:space="preserve"> The National 911 Program et al., NG911 Roadmap, Pathways Toward Nationwide Interconnection of 911 Services at 7 (2019) (NG911 Roadmap), </w:t>
      </w:r>
      <w:hyperlink r:id="rId5" w:history="1">
        <w:r>
          <w:rPr>
            <w:rStyle w:val="Hyperlink"/>
          </w:rPr>
          <w:t>https://www.911.gov/pdf/NG911_Roadmap_Final.pdf</w:t>
        </w:r>
      </w:hyperlink>
      <w:r>
        <w:t xml:space="preserve"> (discussing “What We Mean by NG911”).  </w:t>
      </w:r>
      <w:r w:rsidRPr="00FC322F">
        <w:t>For a description of the NG911 architecture</w:t>
      </w:r>
      <w:r>
        <w:t>,</w:t>
      </w:r>
      <w:r w:rsidRPr="00FC322F">
        <w:t xml:space="preserve"> see</w:t>
      </w:r>
      <w:r w:rsidRPr="004203C2">
        <w:rPr>
          <w:i/>
        </w:rPr>
        <w:t xml:space="preserve"> </w:t>
      </w:r>
      <w:r w:rsidRPr="00FC322F">
        <w:t>FCC, Task Force on Optimal PSAP Architecture (TFOPA), Final Report (2016)</w:t>
      </w:r>
      <w:r>
        <w:t xml:space="preserve"> (</w:t>
      </w:r>
      <w:r w:rsidRPr="004203C2">
        <w:t>TFOPA Final Report</w:t>
      </w:r>
      <w:r>
        <w:t>)</w:t>
      </w:r>
      <w:r w:rsidRPr="00FC322F">
        <w:t xml:space="preserve">, </w:t>
      </w:r>
      <w:hyperlink r:id="rId6" w:history="1">
        <w:r w:rsidRPr="00FC322F">
          <w:rPr>
            <w:rStyle w:val="Hyperlink"/>
          </w:rPr>
          <w:t>https://www.fcc.gov/about-fcc/advisory-committees/general/task-force-optimal-public-safety-answering-point</w:t>
        </w:r>
      </w:hyperlink>
      <w:r w:rsidRPr="00FC322F">
        <w:t xml:space="preserve"> (providing recommendations to the Commission regarding actions that PSAPs can take to optimize their security, operations, and funding as they implement NG911).</w:t>
      </w:r>
    </w:p>
  </w:footnote>
  <w:footnote w:id="6">
    <w:p w:rsidR="0029102F" w:rsidP="008828A9" w14:paraId="7F709301" w14:textId="77777777">
      <w:pPr>
        <w:pStyle w:val="FootnoteText"/>
      </w:pPr>
      <w:r>
        <w:rPr>
          <w:rStyle w:val="FootnoteReference"/>
        </w:rPr>
        <w:footnoteRef/>
      </w:r>
      <w:r>
        <w:t xml:space="preserve"> Funding for 911 may also come from partner agencies, such as police, fire, and EMS (which may, in turn, derive funding from sales and income taxes), or from local property taxes.  </w:t>
      </w:r>
      <w:r w:rsidRPr="00AE4266">
        <w:rPr>
          <w:i/>
          <w:iCs/>
        </w:rPr>
        <w:t>See</w:t>
      </w:r>
      <w:r>
        <w:t xml:space="preserve"> NENA, How 9-1-1 Is Changing in a COVID-19 World, 9-1-1 &amp; COVID-19 Report Series at 3 n.7 (2020) (NENA COVID-19 Report), </w:t>
      </w:r>
      <w:hyperlink r:id="rId7" w:history="1">
        <w:r>
          <w:rPr>
            <w:rStyle w:val="Hyperlink"/>
          </w:rPr>
          <w:t>https://cdn.ymaws.com/www.nena.org/resource/resmgr/covid/COVID-19_Report_2.pdf</w:t>
        </w:r>
      </w:hyperlink>
      <w:r>
        <w:t xml:space="preserve">.   </w:t>
      </w:r>
    </w:p>
  </w:footnote>
  <w:footnote w:id="7">
    <w:p w:rsidR="0029102F" w:rsidP="008828A9" w14:paraId="1CC47A50" w14:textId="77777777">
      <w:pPr>
        <w:pStyle w:val="FootnoteText"/>
      </w:pPr>
      <w:r>
        <w:rPr>
          <w:rStyle w:val="FootnoteReference"/>
        </w:rPr>
        <w:footnoteRef/>
      </w:r>
      <w:r>
        <w:t xml:space="preserve"> </w:t>
      </w:r>
      <w:r w:rsidRPr="00BC4521">
        <w:rPr>
          <w:i/>
          <w:iCs/>
        </w:rPr>
        <w:t>See</w:t>
      </w:r>
      <w:r>
        <w:t xml:space="preserve"> Eleventh Report at 16, para. 13.</w:t>
      </w:r>
    </w:p>
  </w:footnote>
  <w:footnote w:id="8">
    <w:p w:rsidR="0029102F" w:rsidP="008828A9" w14:paraId="389506BC" w14:textId="77777777">
      <w:pPr>
        <w:pStyle w:val="FootnoteText"/>
      </w:pPr>
      <w:r>
        <w:rPr>
          <w:rStyle w:val="FootnoteReference"/>
        </w:rPr>
        <w:footnoteRef/>
      </w:r>
      <w:r>
        <w:t xml:space="preserve"> </w:t>
      </w:r>
      <w:r w:rsidRPr="00830582">
        <w:rPr>
          <w:i/>
          <w:iCs/>
        </w:rPr>
        <w:t>See</w:t>
      </w:r>
      <w:r>
        <w:t xml:space="preserve"> 47 U.S.C. </w:t>
      </w:r>
      <w:r w:rsidRPr="00957469">
        <w:t>§</w:t>
      </w:r>
      <w:r>
        <w:t xml:space="preserve"> 615a-1(f)(2).  The FCC Chairman submits the Annual Report to Congress on 911 Fees.  For ease of reference, we refer herein to submission of these reports by the Commission.  </w:t>
      </w:r>
      <w:r w:rsidRPr="00C86609">
        <w:rPr>
          <w:i/>
          <w:iCs/>
        </w:rPr>
        <w:t>See, e.g.</w:t>
      </w:r>
      <w:r>
        <w:t>, Eleventh Report at 2, para. 1 &amp; n.1.</w:t>
      </w:r>
    </w:p>
  </w:footnote>
  <w:footnote w:id="9">
    <w:p w:rsidR="0029102F" w:rsidP="008828A9" w14:paraId="48303290" w14:textId="77777777">
      <w:pPr>
        <w:pStyle w:val="FootnoteText"/>
      </w:pPr>
      <w:r>
        <w:rPr>
          <w:rStyle w:val="FootnoteReference"/>
        </w:rPr>
        <w:footnoteRef/>
      </w:r>
      <w:r>
        <w:t xml:space="preserve"> </w:t>
      </w:r>
      <w:r w:rsidRPr="00DA46F3">
        <w:t>New and Emerging Technologies 911 Improvement Act of 2008, Pub. L. No. 110-283, 122 Stat. 2620</w:t>
      </w:r>
      <w:r>
        <w:t xml:space="preserve"> (2008), Preamble </w:t>
      </w:r>
      <w:r w:rsidRPr="00DA46F3">
        <w:t>(NET 911 Act).</w:t>
      </w:r>
      <w:r>
        <w:t xml:space="preserve">  The NET 911 Act enacted 47 U.S.C. </w:t>
      </w:r>
      <w:r w:rsidRPr="00957469">
        <w:t>§</w:t>
      </w:r>
      <w:r>
        <w:t xml:space="preserve"> 615a-1 and amended 47 U.S.C. </w:t>
      </w:r>
      <w:r w:rsidRPr="00957469">
        <w:t>§§</w:t>
      </w:r>
      <w:r>
        <w:t xml:space="preserve"> 222, 615a, 615b, and 942.  </w:t>
      </w:r>
      <w:r w:rsidRPr="00E23B5F">
        <w:rPr>
          <w:i/>
          <w:iCs/>
        </w:rPr>
        <w:t>See</w:t>
      </w:r>
      <w:r>
        <w:t xml:space="preserve"> 47 U.S.C. </w:t>
      </w:r>
      <w:r w:rsidRPr="00957469">
        <w:t>§</w:t>
      </w:r>
      <w:r>
        <w:t xml:space="preserve"> 615a-1 Editorial Notes. </w:t>
      </w:r>
    </w:p>
  </w:footnote>
  <w:footnote w:id="10">
    <w:p w:rsidR="0029102F" w:rsidP="008828A9" w14:paraId="7C109719" w14:textId="77777777">
      <w:pPr>
        <w:pStyle w:val="FootnoteText"/>
      </w:pPr>
      <w:r>
        <w:rPr>
          <w:rStyle w:val="FootnoteReference"/>
        </w:rPr>
        <w:footnoteRef/>
      </w:r>
      <w:r>
        <w:t xml:space="preserve"> 47 U.S.C. </w:t>
      </w:r>
      <w:r w:rsidRPr="00957469">
        <w:t>§</w:t>
      </w:r>
      <w:r>
        <w:t xml:space="preserve"> 615a-1(f)(2)</w:t>
      </w:r>
      <w:r w:rsidRPr="00DA46F3">
        <w:t>.</w:t>
      </w:r>
      <w:r>
        <w:t xml:space="preserve"> </w:t>
      </w:r>
    </w:p>
  </w:footnote>
  <w:footnote w:id="11">
    <w:p w:rsidR="0029102F" w:rsidRPr="004203C2" w:rsidP="008828A9" w14:paraId="2381A3A7" w14:textId="77777777">
      <w:pPr>
        <w:pStyle w:val="FootnoteText"/>
        <w:rPr>
          <w:lang w:val="fr-FR"/>
        </w:rPr>
      </w:pPr>
      <w:r>
        <w:rPr>
          <w:rStyle w:val="FootnoteReference"/>
        </w:rPr>
        <w:footnoteRef/>
      </w:r>
      <w:r w:rsidRPr="004203C2">
        <w:rPr>
          <w:lang w:val="fr-FR"/>
        </w:rPr>
        <w:t xml:space="preserve"> 47 U.S.C. § 151 </w:t>
      </w:r>
      <w:r w:rsidRPr="004203C2">
        <w:rPr>
          <w:i/>
          <w:lang w:val="fr-FR"/>
        </w:rPr>
        <w:t xml:space="preserve">et </w:t>
      </w:r>
      <w:r w:rsidRPr="004203C2">
        <w:rPr>
          <w:i/>
          <w:lang w:val="fr-FR"/>
        </w:rPr>
        <w:t>seq</w:t>
      </w:r>
      <w:r w:rsidRPr="004203C2">
        <w:rPr>
          <w:lang w:val="fr-FR"/>
        </w:rPr>
        <w:t xml:space="preserve">.  </w:t>
      </w:r>
    </w:p>
  </w:footnote>
  <w:footnote w:id="12">
    <w:p w:rsidR="0029102F" w:rsidP="008828A9" w14:paraId="3F700407" w14:textId="77777777">
      <w:pPr>
        <w:pStyle w:val="FootnoteText"/>
      </w:pPr>
      <w:r>
        <w:rPr>
          <w:rStyle w:val="FootnoteReference"/>
        </w:rPr>
        <w:footnoteRef/>
      </w:r>
      <w:r w:rsidRPr="004203C2">
        <w:rPr>
          <w:lang w:val="fr-FR"/>
        </w:rPr>
        <w:t xml:space="preserve"> 47 U.S.C. § 615a-1(f)(1).  </w:t>
      </w:r>
      <w:r>
        <w:t xml:space="preserve">Under the NET 911 Act, the Commission’s annual 911 fee report covers states, as well as U.S. territories and the District of Columbia.  </w:t>
      </w:r>
      <w:r w:rsidRPr="00C12BEB">
        <w:rPr>
          <w:i/>
          <w:iCs/>
        </w:rPr>
        <w:t>See</w:t>
      </w:r>
      <w:r>
        <w:t xml:space="preserve"> 47 U.S.C. </w:t>
      </w:r>
      <w:r w:rsidRPr="00957469">
        <w:t>§</w:t>
      </w:r>
      <w:r>
        <w:t xml:space="preserve"> 615b(2).    </w:t>
      </w:r>
    </w:p>
  </w:footnote>
  <w:footnote w:id="13">
    <w:p w:rsidR="0029102F" w:rsidP="008828A9" w14:paraId="47574986" w14:textId="77777777">
      <w:pPr>
        <w:pStyle w:val="FootnoteText"/>
      </w:pPr>
      <w:r>
        <w:rPr>
          <w:rStyle w:val="FootnoteReference"/>
        </w:rPr>
        <w:footnoteRef/>
      </w:r>
      <w:r>
        <w:t xml:space="preserve"> 47 U.S.C. </w:t>
      </w:r>
      <w:r w:rsidRPr="00957469">
        <w:t>§</w:t>
      </w:r>
      <w:r>
        <w:t xml:space="preserve"> 615a-1(f)(2)</w:t>
      </w:r>
      <w:r w:rsidRPr="00DA46F3">
        <w:t>.</w:t>
      </w:r>
    </w:p>
  </w:footnote>
  <w:footnote w:id="14">
    <w:p w:rsidR="0029102F" w:rsidP="008828A9" w14:paraId="7AAC705E" w14:textId="77777777">
      <w:pPr>
        <w:pStyle w:val="FootnoteText"/>
      </w:pPr>
      <w:r>
        <w:rPr>
          <w:rStyle w:val="FootnoteReference"/>
        </w:rPr>
        <w:footnoteRef/>
      </w:r>
      <w:r>
        <w:t xml:space="preserve"> </w:t>
      </w:r>
      <w:r w:rsidRPr="00E441BE">
        <w:rPr>
          <w:i/>
          <w:iCs/>
        </w:rPr>
        <w:t>See</w:t>
      </w:r>
      <w:r>
        <w:t xml:space="preserve"> House of Representatives Committee on Energy and Commerce, Report on 911 Modernization and Public Safety Act of 2007 at 11 (Nov. 13, 2007), </w:t>
      </w:r>
      <w:hyperlink r:id="rId8" w:history="1">
        <w:r>
          <w:rPr>
            <w:rStyle w:val="Hyperlink"/>
          </w:rPr>
          <w:t>https://www.congress.gov/110/crpt/hrpt442/CRPT-110hrpt442.pdf</w:t>
        </w:r>
      </w:hyperlink>
      <w:r>
        <w:t xml:space="preserve"> (“The most recent data available indicate that four states use 911 fees, including wireless and wireline fees, for purposes other than 911 or emergency communications services.”).</w:t>
      </w:r>
    </w:p>
  </w:footnote>
  <w:footnote w:id="15">
    <w:p w:rsidR="0029102F" w:rsidP="008828A9" w14:paraId="445FCC6C" w14:textId="77777777">
      <w:pPr>
        <w:pStyle w:val="FootnoteText"/>
      </w:pPr>
      <w:r>
        <w:rPr>
          <w:rStyle w:val="FootnoteReference"/>
        </w:rPr>
        <w:footnoteRef/>
      </w:r>
      <w:r>
        <w:t xml:space="preserve"> </w:t>
      </w:r>
      <w:r w:rsidRPr="005D052B">
        <w:rPr>
          <w:i/>
          <w:iCs/>
        </w:rPr>
        <w:t>Id.</w:t>
      </w:r>
      <w:r>
        <w:t xml:space="preserve"> at 15.</w:t>
      </w:r>
    </w:p>
  </w:footnote>
  <w:footnote w:id="16">
    <w:p w:rsidR="0029102F" w:rsidP="008828A9" w14:paraId="2A3211E5" w14:textId="77777777">
      <w:pPr>
        <w:pStyle w:val="FootnoteText"/>
      </w:pPr>
      <w:r>
        <w:rPr>
          <w:rStyle w:val="FootnoteReference"/>
        </w:rPr>
        <w:footnoteRef/>
      </w:r>
      <w:r>
        <w:t xml:space="preserve"> </w:t>
      </w:r>
      <w:r w:rsidRPr="00E441BE">
        <w:rPr>
          <w:i/>
          <w:iCs/>
        </w:rPr>
        <w:t>Id.</w:t>
      </w:r>
    </w:p>
  </w:footnote>
  <w:footnote w:id="17">
    <w:p w:rsidR="0029102F" w:rsidP="008828A9" w14:paraId="5DE53CAE" w14:textId="77777777">
      <w:pPr>
        <w:pStyle w:val="FootnoteText"/>
      </w:pPr>
      <w:r>
        <w:rPr>
          <w:rStyle w:val="FootnoteReference"/>
        </w:rPr>
        <w:footnoteRef/>
      </w:r>
      <w:r>
        <w:t xml:space="preserve"> FCC, Connecting America:  The National Broadband Plan at 326 (2010), </w:t>
      </w:r>
      <w:hyperlink r:id="rId9" w:history="1">
        <w:r>
          <w:rPr>
            <w:rStyle w:val="Hyperlink"/>
          </w:rPr>
          <w:t>https://transition.fcc.gov/national-broadband-plan/national-broadband-plan.pdf</w:t>
        </w:r>
      </w:hyperlink>
      <w:r>
        <w:t xml:space="preserve">.  </w:t>
      </w:r>
    </w:p>
  </w:footnote>
  <w:footnote w:id="18">
    <w:p w:rsidR="0029102F" w:rsidRPr="00836F0C" w:rsidP="008828A9" w14:paraId="3E55CBC8" w14:textId="77777777">
      <w:pPr>
        <w:pStyle w:val="FootnoteText"/>
        <w:rPr>
          <w:b/>
          <w:bCs/>
        </w:rPr>
      </w:pPr>
      <w:r w:rsidRPr="003E508D">
        <w:rPr>
          <w:rStyle w:val="FootnoteReference"/>
        </w:rPr>
        <w:footnoteRef/>
      </w:r>
      <w:r w:rsidRPr="003E508D">
        <w:t xml:space="preserve"> </w:t>
      </w:r>
      <w:r w:rsidRPr="00B04F15">
        <w:rPr>
          <w:i/>
          <w:iCs/>
        </w:rPr>
        <w:t>See</w:t>
      </w:r>
      <w:r w:rsidRPr="00093CF6">
        <w:t xml:space="preserve"> Next Generation 911 Advancement Act of 2012 (Middle Class Tax Relief and Jo</w:t>
      </w:r>
      <w:r w:rsidRPr="00355E52">
        <w:t>b Creation Act of 2012, Pub. L. No. 112-96, Title VI, Subtitle E), 126 Stat. 237, codified at 47 U.S.C. § 942 (NG911 Advancement Act of 2012);</w:t>
      </w:r>
      <w:r>
        <w:t xml:space="preserve"> </w:t>
      </w:r>
      <w:r w:rsidRPr="00836F0C">
        <w:rPr>
          <w:i/>
          <w:iCs/>
        </w:rPr>
        <w:t>see also</w:t>
      </w:r>
      <w:r>
        <w:t xml:space="preserve"> FCC, Legal and Regulatory Framework for Next Generation 911 Services, Report to Congress and Recommendations at 36 (2013), </w:t>
      </w:r>
      <w:hyperlink r:id="rId10" w:history="1">
        <w:r>
          <w:rPr>
            <w:rStyle w:val="Hyperlink"/>
          </w:rPr>
          <w:t>https://www.fcc.gov/document/legal-and-regulatory-framework-ng911-services-report-congress</w:t>
        </w:r>
      </w:hyperlink>
      <w:r>
        <w:t xml:space="preserve"> (recommending that Congress consider “conditioning appropriate federal benefits on a requirement that states use fees collected for 911 and NG911 solely for 911/NG911 purposes, and provide for adequate auditing or enforcement of that obligation”).</w:t>
      </w:r>
    </w:p>
  </w:footnote>
  <w:footnote w:id="19">
    <w:p w:rsidR="0029102F" w:rsidP="008828A9" w14:paraId="7C77990F" w14:textId="77777777">
      <w:pPr>
        <w:pStyle w:val="FootnoteText"/>
      </w:pPr>
      <w:r>
        <w:rPr>
          <w:rStyle w:val="FootnoteReference"/>
        </w:rPr>
        <w:footnoteRef/>
      </w:r>
      <w:r>
        <w:t xml:space="preserve"> </w:t>
      </w:r>
      <w:r w:rsidRPr="009853DF">
        <w:rPr>
          <w:i/>
          <w:iCs/>
        </w:rPr>
        <w:t>See</w:t>
      </w:r>
      <w:r>
        <w:t xml:space="preserve"> Appendix B, Annual Collection of Information Related to the Collection and Use of 911 and E911 Fees by States and Other Jurisdictions (FCC Questionnaire).  The FCC Questionnaire</w:t>
      </w:r>
      <w:r w:rsidRPr="00A552D1">
        <w:t xml:space="preserve"> incorporates recommendations made by the Government Accountability Office (GAO) in its April 2013 report on state collection and use of 911 funds. </w:t>
      </w:r>
      <w:r>
        <w:t xml:space="preserve"> </w:t>
      </w:r>
      <w:r w:rsidRPr="00B87DE3">
        <w:rPr>
          <w:i/>
        </w:rPr>
        <w:t>See</w:t>
      </w:r>
      <w:r>
        <w:t xml:space="preserve"> </w:t>
      </w:r>
      <w:r w:rsidRPr="00A552D1">
        <w:t xml:space="preserve">Government Accountability Office, “Most States Used 911 Funds for Intended Purposes, but FCC Could Improve Its Reporting on States’ Use of Funds,” GAO-13-376 (Apr. 2013) (GAO Report).  GAO prepared this report pursuant to a directive in the </w:t>
      </w:r>
      <w:r>
        <w:t>NG</w:t>
      </w:r>
      <w:r w:rsidRPr="00A552D1">
        <w:t xml:space="preserve">911 Advancement Act of 2012.  </w:t>
      </w:r>
      <w:r w:rsidRPr="00B87DE3">
        <w:rPr>
          <w:i/>
        </w:rPr>
        <w:t>See</w:t>
      </w:r>
      <w:r w:rsidRPr="00A552D1">
        <w:t xml:space="preserve"> Middle Class Tax Relief and Job Creation Act of 2012, Pub. L. No. 112-96, 126 Stat. </w:t>
      </w:r>
      <w:r w:rsidRPr="00B04F15">
        <w:t>242</w:t>
      </w:r>
      <w:r w:rsidRPr="00A552D1">
        <w:t xml:space="preserve"> (2012).</w:t>
      </w:r>
      <w:r w:rsidRPr="008B54D8">
        <w:t xml:space="preserve"> </w:t>
      </w:r>
      <w:r>
        <w:t xml:space="preserve">  </w:t>
      </w:r>
    </w:p>
  </w:footnote>
  <w:footnote w:id="20">
    <w:p w:rsidR="0029102F" w:rsidP="008828A9" w14:paraId="1337D9C0" w14:textId="77777777">
      <w:pPr>
        <w:pStyle w:val="FootnoteText"/>
      </w:pPr>
      <w:r>
        <w:rPr>
          <w:rStyle w:val="FootnoteReference"/>
        </w:rPr>
        <w:footnoteRef/>
      </w:r>
      <w:r>
        <w:t xml:space="preserve"> Eleventh Report at 39, para. 27.</w:t>
      </w:r>
    </w:p>
  </w:footnote>
  <w:footnote w:id="21">
    <w:p w:rsidR="0029102F" w:rsidP="008828A9" w14:paraId="60A9539E" w14:textId="77777777">
      <w:pPr>
        <w:pStyle w:val="FootnoteText"/>
      </w:pPr>
      <w:r>
        <w:rPr>
          <w:rStyle w:val="FootnoteReference"/>
        </w:rPr>
        <w:footnoteRef/>
      </w:r>
      <w:r>
        <w:t xml:space="preserve"> </w:t>
      </w:r>
      <w:r w:rsidRPr="00CF2D4A">
        <w:rPr>
          <w:i/>
          <w:iCs/>
        </w:rPr>
        <w:t>Id.</w:t>
      </w:r>
    </w:p>
  </w:footnote>
  <w:footnote w:id="22">
    <w:p w:rsidR="0029102F" w:rsidP="008828A9" w14:paraId="5AF9CF6E" w14:textId="77777777">
      <w:pPr>
        <w:pStyle w:val="FootnoteText"/>
      </w:pPr>
      <w:r>
        <w:rPr>
          <w:rStyle w:val="FootnoteReference"/>
        </w:rPr>
        <w:footnoteRef/>
      </w:r>
      <w:r>
        <w:t xml:space="preserve"> </w:t>
      </w:r>
      <w:r w:rsidRPr="00C86609">
        <w:rPr>
          <w:i/>
          <w:iCs/>
        </w:rPr>
        <w:t>See, e.g.</w:t>
      </w:r>
      <w:r>
        <w:t xml:space="preserve">, </w:t>
      </w:r>
      <w:r w:rsidRPr="004203C2">
        <w:t>TFOPA Final Report</w:t>
      </w:r>
      <w:r>
        <w:t xml:space="preserve"> at 165 (“Lack of adequate 9-1-1 funding to sustain the migration from legacy to NG9-1-1 will slow the overall transition time to fully functioning NG9-1-1 technologies.”).</w:t>
      </w:r>
    </w:p>
  </w:footnote>
  <w:footnote w:id="23">
    <w:p w:rsidR="0029102F" w:rsidP="008828A9" w14:paraId="3C97928B" w14:textId="77777777">
      <w:pPr>
        <w:pStyle w:val="FootnoteText"/>
      </w:pPr>
      <w:r>
        <w:rPr>
          <w:rStyle w:val="FootnoteReference"/>
        </w:rPr>
        <w:footnoteRef/>
      </w:r>
      <w:r>
        <w:t xml:space="preserve"> </w:t>
      </w:r>
      <w:r w:rsidRPr="00F158BE">
        <w:t>FCC, Tenth Annual Report to Congress on State Collection and Distribution of 911 and Enhanced 911 Fees and Charges (2018) (Tenth Report),</w:t>
      </w:r>
      <w:r w:rsidRPr="00C84F7B">
        <w:rPr>
          <w:rFonts w:ascii="CIDFont+F1" w:eastAsia="Calibri" w:hAnsi="CIDFont+F1" w:cs="CIDFont+F1"/>
          <w:color w:val="000000"/>
        </w:rPr>
        <w:t xml:space="preserve"> </w:t>
      </w:r>
      <w:hyperlink r:id="rId11" w:history="1">
        <w:r w:rsidRPr="00C84F7B">
          <w:rPr>
            <w:rStyle w:val="Hyperlink"/>
            <w:rFonts w:eastAsia="Calibri"/>
          </w:rPr>
          <w:t>https://www.fcc.gov/files/10thannual911feereporttocongresspdf</w:t>
        </w:r>
      </w:hyperlink>
      <w:r w:rsidRPr="00C84F7B">
        <w:rPr>
          <w:rFonts w:eastAsia="Calibri"/>
          <w:color w:val="000000"/>
        </w:rPr>
        <w:t xml:space="preserve">. </w:t>
      </w:r>
      <w:r>
        <w:rPr>
          <w:rFonts w:eastAsia="Calibri"/>
          <w:color w:val="000000"/>
        </w:rPr>
        <w:t xml:space="preserve"> </w:t>
      </w:r>
      <w:r>
        <w:t xml:space="preserve">On December 19, 2018, the Commission issued a Public Notice seeking comment on the 2018 Tenth Annual Report and the sufficiency and accuracy of the reported information.  </w:t>
      </w:r>
      <w:r w:rsidRPr="00E651EC">
        <w:rPr>
          <w:i/>
          <w:iCs/>
        </w:rPr>
        <w:t>FCC Seeks Public Comment on Tenth Annual Report to Congress on State Collection and Distribution of 911 and Enhanced 911 Fees and Charges</w:t>
      </w:r>
      <w:r>
        <w:t xml:space="preserve">, PS Docket No. 09-14, Public Notice, 33 FCC </w:t>
      </w:r>
      <w:r>
        <w:t>Rcd</w:t>
      </w:r>
      <w:r>
        <w:t xml:space="preserve"> 12275 (PSHSB 2018), </w:t>
      </w:r>
      <w:hyperlink r:id="rId12" w:history="1">
        <w:r w:rsidRPr="00F11F0B">
          <w:rPr>
            <w:rStyle w:val="Hyperlink"/>
          </w:rPr>
          <w:t>https://www.fcc.gov/document/fcc-seeks-comment-tenth-annual-report-congress-state-911-fees</w:t>
        </w:r>
      </w:hyperlink>
      <w:r>
        <w:t>.  The Commission received comments from APCO, the Colorado Public Utilities Commission (COPUC), and CTIA, and reply comments from the Boulder Regional Emergency Telephone Service Authority (BRETSA) and the New Jersey Wireless Association (NJWA).</w:t>
      </w:r>
    </w:p>
  </w:footnote>
  <w:footnote w:id="24">
    <w:p w:rsidR="0029102F" w:rsidP="008828A9" w14:paraId="1DDDA156" w14:textId="77777777">
      <w:pPr>
        <w:pStyle w:val="FootnoteText"/>
      </w:pPr>
      <w:r>
        <w:rPr>
          <w:rStyle w:val="FootnoteReference"/>
        </w:rPr>
        <w:footnoteRef/>
      </w:r>
      <w:r>
        <w:t xml:space="preserve"> NJWA Reply Comments, PS Docket No. 09-14, at 2 (rec. Feb. 12, 2019).</w:t>
      </w:r>
    </w:p>
  </w:footnote>
  <w:footnote w:id="25">
    <w:p w:rsidR="0029102F" w:rsidP="008828A9" w14:paraId="5A83149E" w14:textId="77777777">
      <w:pPr>
        <w:pStyle w:val="FootnoteText"/>
      </w:pPr>
      <w:r>
        <w:rPr>
          <w:rStyle w:val="FootnoteReference"/>
        </w:rPr>
        <w:footnoteRef/>
      </w:r>
      <w:r>
        <w:t xml:space="preserve"> Testimony of Nevada Chapter of APCO at 1 (Feb. 15, 2019),  </w:t>
      </w:r>
      <w:hyperlink r:id="rId13" w:history="1">
        <w:r>
          <w:rPr>
            <w:rStyle w:val="Hyperlink"/>
          </w:rPr>
          <w:t>https://www.leg.state.nv.us/App/NELIS/REL/80th2019/ExhibitDocument/OpenExhibitDocument?exhibitId=36516&amp;fileDownloadName=SB%2025_Testimony%20in%20Opposition_Matthew%20Grogan%20Nevada%20Fee%20Diversion.pdf</w:t>
        </w:r>
      </w:hyperlink>
      <w:r>
        <w:t>.</w:t>
      </w:r>
    </w:p>
  </w:footnote>
  <w:footnote w:id="26">
    <w:p w:rsidR="0029102F" w:rsidRPr="009A01D1" w:rsidP="008828A9" w14:paraId="71BAC9F6" w14:textId="77777777">
      <w:pPr>
        <w:pStyle w:val="FootnoteText"/>
      </w:pPr>
      <w:r>
        <w:rPr>
          <w:rStyle w:val="FootnoteReference"/>
        </w:rPr>
        <w:footnoteRef/>
      </w:r>
      <w:r>
        <w:t xml:space="preserve"> </w:t>
      </w:r>
      <w:r w:rsidRPr="00994488">
        <w:rPr>
          <w:i/>
          <w:iCs/>
        </w:rPr>
        <w:t>Id.</w:t>
      </w:r>
      <w:r>
        <w:t xml:space="preserve">; </w:t>
      </w:r>
      <w:r w:rsidRPr="009A01D1">
        <w:rPr>
          <w:i/>
          <w:iCs/>
        </w:rPr>
        <w:t>see also</w:t>
      </w:r>
      <w:r>
        <w:t xml:space="preserve"> CTIA Comments, PS Docket No. 09-14, at 4 (rec. Feb. 8, 2019) (stating that diversion of 911 funds drains resources away from efforts to modernize PSAPs, “such as by implementing Text-to-911 and NG911 technologies”).</w:t>
      </w:r>
    </w:p>
  </w:footnote>
  <w:footnote w:id="27">
    <w:p w:rsidR="0029102F" w:rsidP="008828A9" w14:paraId="25E2D708" w14:textId="77777777">
      <w:pPr>
        <w:pStyle w:val="FootnoteText"/>
      </w:pPr>
      <w:r>
        <w:rPr>
          <w:rStyle w:val="FootnoteReference"/>
        </w:rPr>
        <w:footnoteRef/>
      </w:r>
      <w:r>
        <w:t xml:space="preserve"> CTIA Comments, PS Docket No. 09-14, at 3 (rec. Feb. 8, 2019).  </w:t>
      </w:r>
      <w:r w:rsidRPr="00E573C8">
        <w:rPr>
          <w:i/>
          <w:iCs/>
        </w:rPr>
        <w:t>See also</w:t>
      </w:r>
      <w:r>
        <w:t xml:space="preserve"> Yakima Public Safety Communications Center Comments, PS Docket No. 09-14, at 1 (rec. Feb. 19, 2015) (noting that “the diversion of funds also erodes the credibility and trust of the local elected officials and creates greater skepticism of the public when it becomes necessary for elected officials to garner future public support of future public safety communications systems”); Pacific County Sheriff’s Office Comments, PS Docket No. 09-14, at 1 (rec. Mar. 20, 2015) (noting the diversion of funds “erodes the credibility and trust of both local elected officials and the public”).</w:t>
      </w:r>
    </w:p>
  </w:footnote>
  <w:footnote w:id="28">
    <w:p w:rsidR="0029102F" w:rsidP="008828A9" w14:paraId="0A6020B5" w14:textId="77777777">
      <w:pPr>
        <w:pStyle w:val="FootnoteText"/>
      </w:pPr>
      <w:r>
        <w:rPr>
          <w:rStyle w:val="FootnoteReference"/>
        </w:rPr>
        <w:footnoteRef/>
      </w:r>
      <w:r>
        <w:t xml:space="preserve"> CTIA Comments, PS Docket No. 09-14, at 6-7 (rec. Feb. 8, 2019).</w:t>
      </w:r>
    </w:p>
  </w:footnote>
  <w:footnote w:id="29">
    <w:p w:rsidR="0029102F" w:rsidP="008828A9" w14:paraId="24D36838" w14:textId="77777777">
      <w:pPr>
        <w:pStyle w:val="FootnoteText"/>
      </w:pPr>
      <w:r>
        <w:rPr>
          <w:rStyle w:val="FootnoteReference"/>
        </w:rPr>
        <w:footnoteRef/>
      </w:r>
      <w:r>
        <w:t xml:space="preserve"> NENA COVID-19 Report at 2.</w:t>
      </w:r>
      <w:r w:rsidRPr="00D611DF">
        <w:t xml:space="preserve"> </w:t>
      </w:r>
    </w:p>
  </w:footnote>
  <w:footnote w:id="30">
    <w:p w:rsidR="0029102F" w:rsidP="008828A9" w14:paraId="5D51E31D" w14:textId="77777777">
      <w:pPr>
        <w:pStyle w:val="FootnoteText"/>
      </w:pPr>
      <w:r>
        <w:rPr>
          <w:rStyle w:val="FootnoteReference"/>
        </w:rPr>
        <w:footnoteRef/>
      </w:r>
      <w:r>
        <w:t xml:space="preserve"> </w:t>
      </w:r>
      <w:r w:rsidRPr="00D611DF">
        <w:t xml:space="preserve">Police Executive Research Forum, </w:t>
      </w:r>
      <w:r w:rsidRPr="004203C2">
        <w:rPr>
          <w:i/>
        </w:rPr>
        <w:t>PERF Daily COVID-19 Report</w:t>
      </w:r>
      <w:r w:rsidRPr="00D611DF">
        <w:t xml:space="preserve"> </w:t>
      </w:r>
      <w:r>
        <w:t>(</w:t>
      </w:r>
      <w:r w:rsidRPr="00D611DF">
        <w:t>Apr</w:t>
      </w:r>
      <w:r>
        <w:t>.</w:t>
      </w:r>
      <w:r w:rsidRPr="00D611DF">
        <w:t xml:space="preserve"> 2, 2020</w:t>
      </w:r>
      <w:r>
        <w:t xml:space="preserve">), </w:t>
      </w:r>
      <w:hyperlink r:id="rId14" w:history="1">
        <w:r>
          <w:rPr>
            <w:rStyle w:val="Hyperlink"/>
          </w:rPr>
          <w:t>https://www.policeforum.org/covidapril2</w:t>
        </w:r>
      </w:hyperlink>
      <w:r>
        <w:t>.</w:t>
      </w:r>
    </w:p>
  </w:footnote>
  <w:footnote w:id="31">
    <w:p w:rsidR="0029102F" w:rsidP="008828A9" w14:paraId="2982C746" w14:textId="77777777">
      <w:pPr>
        <w:pStyle w:val="FootnoteText"/>
      </w:pPr>
      <w:r>
        <w:rPr>
          <w:rStyle w:val="FootnoteReference"/>
        </w:rPr>
        <w:footnoteRef/>
      </w:r>
      <w:r>
        <w:t xml:space="preserve"> NENA COVID-19 Report at 3 &amp; n.7.</w:t>
      </w:r>
      <w:r>
        <w:t xml:space="preserve"> </w:t>
      </w:r>
      <w:r>
        <w:t xml:space="preserve"> </w:t>
      </w:r>
    </w:p>
  </w:footnote>
  <w:footnote w:id="32">
    <w:p w:rsidR="0029102F" w:rsidP="008828A9" w14:paraId="192385F3" w14:textId="77777777">
      <w:pPr>
        <w:pStyle w:val="FootnoteText"/>
      </w:pPr>
      <w:r>
        <w:rPr>
          <w:rStyle w:val="FootnoteReference"/>
        </w:rPr>
        <w:footnoteRef/>
      </w:r>
      <w:r>
        <w:t xml:space="preserve"> 47 U.S.C. </w:t>
      </w:r>
      <w:r w:rsidRPr="00957469">
        <w:t>§</w:t>
      </w:r>
      <w:r>
        <w:t xml:space="preserve"> 615a-1(f)(2).</w:t>
      </w:r>
    </w:p>
  </w:footnote>
  <w:footnote w:id="33">
    <w:p w:rsidR="0029102F" w:rsidP="008828A9" w14:paraId="02D673A1" w14:textId="77777777">
      <w:pPr>
        <w:pStyle w:val="FootnoteText"/>
      </w:pPr>
      <w:r>
        <w:rPr>
          <w:rStyle w:val="FootnoteReference"/>
        </w:rPr>
        <w:footnoteRef/>
      </w:r>
      <w:r>
        <w:t xml:space="preserve"> 47 U.S.C. </w:t>
      </w:r>
      <w:r w:rsidRPr="00957469">
        <w:t>§</w:t>
      </w:r>
      <w:r>
        <w:t xml:space="preserve"> 615a-1(f)(1) (emphasis added).</w:t>
      </w:r>
    </w:p>
  </w:footnote>
  <w:footnote w:id="34">
    <w:p w:rsidR="0029102F" w:rsidP="008828A9" w14:paraId="781E8B60" w14:textId="77777777">
      <w:pPr>
        <w:pStyle w:val="FootnoteText"/>
      </w:pPr>
      <w:r>
        <w:rPr>
          <w:rStyle w:val="FootnoteReference"/>
        </w:rPr>
        <w:footnoteRef/>
      </w:r>
      <w:r>
        <w:t xml:space="preserve"> </w:t>
      </w:r>
      <w:r w:rsidRPr="00AE512F">
        <w:rPr>
          <w:i/>
          <w:iCs/>
        </w:rPr>
        <w:t>See</w:t>
      </w:r>
      <w:r>
        <w:t xml:space="preserve"> </w:t>
      </w:r>
      <w:r w:rsidRPr="00093CF6">
        <w:t>NG911 Advancement Act of 2012 (</w:t>
      </w:r>
      <w:r w:rsidRPr="00A7063A">
        <w:t>codified at 47 U.S.C. § 942</w:t>
      </w:r>
      <w:r w:rsidRPr="00093CF6">
        <w:t>).</w:t>
      </w:r>
    </w:p>
  </w:footnote>
  <w:footnote w:id="35">
    <w:p w:rsidR="0029102F" w:rsidP="008828A9" w14:paraId="46D5E24E" w14:textId="77777777">
      <w:pPr>
        <w:pStyle w:val="FootnoteText"/>
      </w:pPr>
      <w:r>
        <w:rPr>
          <w:rStyle w:val="FootnoteReference"/>
        </w:rPr>
        <w:footnoteRef/>
      </w:r>
      <w:r>
        <w:t xml:space="preserve"> 47 U.S.C. </w:t>
      </w:r>
      <w:r w:rsidRPr="00957469">
        <w:t>§</w:t>
      </w:r>
      <w:r>
        <w:t xml:space="preserve"> 942(b)(1)(A).</w:t>
      </w:r>
    </w:p>
  </w:footnote>
  <w:footnote w:id="36">
    <w:p w:rsidR="0029102F" w:rsidP="008828A9" w14:paraId="1657A1A1" w14:textId="77777777">
      <w:pPr>
        <w:pStyle w:val="FootnoteText"/>
      </w:pPr>
      <w:r>
        <w:rPr>
          <w:rStyle w:val="FootnoteReference"/>
        </w:rPr>
        <w:footnoteRef/>
      </w:r>
      <w:r>
        <w:t xml:space="preserve"> </w:t>
      </w:r>
      <w:r w:rsidRPr="006844BD">
        <w:rPr>
          <w:i/>
          <w:iCs/>
        </w:rPr>
        <w:t>Id.</w:t>
      </w:r>
      <w:r>
        <w:t xml:space="preserve"> </w:t>
      </w:r>
      <w:r w:rsidRPr="00957469">
        <w:t>§</w:t>
      </w:r>
      <w:r>
        <w:t xml:space="preserve"> 942(c)(2)-(3).</w:t>
      </w:r>
    </w:p>
  </w:footnote>
  <w:footnote w:id="37">
    <w:p w:rsidR="0029102F" w:rsidP="008828A9" w14:paraId="3AE0686B" w14:textId="77777777">
      <w:pPr>
        <w:pStyle w:val="FootnoteText"/>
      </w:pPr>
      <w:r>
        <w:rPr>
          <w:rStyle w:val="FootnoteReference"/>
        </w:rPr>
        <w:footnoteRef/>
      </w:r>
      <w:r>
        <w:t xml:space="preserve"> </w:t>
      </w:r>
      <w:r w:rsidRPr="00A63C82">
        <w:rPr>
          <w:i/>
          <w:iCs/>
        </w:rPr>
        <w:t>S</w:t>
      </w:r>
      <w:r w:rsidRPr="00EF6892">
        <w:rPr>
          <w:i/>
          <w:iCs/>
        </w:rPr>
        <w:t>ee</w:t>
      </w:r>
      <w:r>
        <w:t xml:space="preserve"> 47 CFR Part 400; </w:t>
      </w:r>
      <w:r w:rsidRPr="00EF6892">
        <w:rPr>
          <w:i/>
          <w:iCs/>
        </w:rPr>
        <w:t>see also</w:t>
      </w:r>
      <w:r>
        <w:t xml:space="preserve"> Department of Commerce, NTIA, Department of Transportation, NHTSA, 911 Grant Program, Final Rule, 83 Fed. Reg. 38051 (Aug. 3, 2018) (adopting grant program regulations).</w:t>
      </w:r>
    </w:p>
  </w:footnote>
  <w:footnote w:id="38">
    <w:p w:rsidR="0029102F" w:rsidP="008828A9" w14:paraId="4E129CEC" w14:textId="77777777">
      <w:pPr>
        <w:pStyle w:val="FootnoteText"/>
      </w:pPr>
      <w:r>
        <w:rPr>
          <w:rStyle w:val="FootnoteReference"/>
        </w:rPr>
        <w:footnoteRef/>
      </w:r>
      <w:r>
        <w:t xml:space="preserve"> 47 CFR </w:t>
      </w:r>
      <w:r w:rsidRPr="00957469">
        <w:t>§</w:t>
      </w:r>
      <w:r>
        <w:t xml:space="preserve"> 400.4(a)(5), (b)(5).  Grant recipients also must certify that they have not diverted 911 fees annually after the end of each fiscal year in which grant funds are available.  47 CFR </w:t>
      </w:r>
      <w:r w:rsidRPr="00957469">
        <w:t>§</w:t>
      </w:r>
      <w:r>
        <w:t xml:space="preserve"> 400.8(a).</w:t>
      </w:r>
    </w:p>
  </w:footnote>
  <w:footnote w:id="39">
    <w:p w:rsidR="0029102F" w:rsidP="008828A9" w14:paraId="3B1AF196" w14:textId="77777777">
      <w:pPr>
        <w:pStyle w:val="FootnoteText"/>
      </w:pPr>
      <w:r>
        <w:rPr>
          <w:rStyle w:val="FootnoteReference"/>
        </w:rPr>
        <w:footnoteRef/>
      </w:r>
      <w:r>
        <w:t xml:space="preserve"> 47 CFR </w:t>
      </w:r>
      <w:r w:rsidRPr="00957469">
        <w:t>§</w:t>
      </w:r>
      <w:r>
        <w:t xml:space="preserve"> 400.8(b)(2).</w:t>
      </w:r>
    </w:p>
  </w:footnote>
  <w:footnote w:id="40">
    <w:p w:rsidR="0029102F" w:rsidP="008828A9" w14:paraId="13B2D7E5" w14:textId="77777777">
      <w:pPr>
        <w:pStyle w:val="FootnoteText"/>
      </w:pPr>
      <w:bookmarkStart w:id="44" w:name="_Hlk50029898"/>
      <w:r>
        <w:rPr>
          <w:rStyle w:val="FootnoteReference"/>
        </w:rPr>
        <w:footnoteRef/>
      </w:r>
      <w:r>
        <w:t xml:space="preserve"> </w:t>
      </w:r>
      <w:r w:rsidRPr="000E6807">
        <w:rPr>
          <w:i/>
        </w:rPr>
        <w:t>See</w:t>
      </w:r>
      <w:r>
        <w:t xml:space="preserve"> Press Release, NTIA, Departments of Commerce and Transportation Announce $109 Million in Grants to Modernize 911 Services for States and Tribal Nations (Aug. 9, 2019), </w:t>
      </w:r>
      <w:hyperlink r:id="rId15" w:history="1">
        <w:r>
          <w:rPr>
            <w:rStyle w:val="Hyperlink"/>
          </w:rPr>
          <w:t>https://www.ntia.doc.gov/press-release/2019/departments-commerce-and-transportation-announce-109-million-grants-modernize</w:t>
        </w:r>
      </w:hyperlink>
      <w:r>
        <w:t xml:space="preserve">; </w:t>
      </w:r>
      <w:r w:rsidRPr="00AE512F">
        <w:rPr>
          <w:i/>
          <w:iCs/>
        </w:rPr>
        <w:t>see also</w:t>
      </w:r>
      <w:r>
        <w:t xml:space="preserve"> 47 U.S.C. § 942(b)(2) (matching requirement).</w:t>
      </w:r>
    </w:p>
    <w:bookmarkEnd w:id="44"/>
  </w:footnote>
  <w:footnote w:id="41">
    <w:p w:rsidR="0029102F" w:rsidP="008828A9" w14:paraId="4F111BD8" w14:textId="77777777">
      <w:pPr>
        <w:pStyle w:val="FootnoteText"/>
      </w:pPr>
      <w:r>
        <w:rPr>
          <w:rStyle w:val="FootnoteReference"/>
        </w:rPr>
        <w:footnoteRef/>
      </w:r>
      <w:r>
        <w:t xml:space="preserve">  </w:t>
      </w:r>
      <w:bookmarkStart w:id="45" w:name="_Hlk49513514"/>
      <w:r>
        <w:t xml:space="preserve">The Commission manages a range of licensing, technical assistance, and information programs, such as those discussed below.  In addition, some federal grant programs may limit eligibility based on compliance with Commission requirements.  </w:t>
      </w:r>
      <w:r w:rsidRPr="00E27CED">
        <w:rPr>
          <w:i/>
          <w:iCs/>
        </w:rPr>
        <w:t>See, e.</w:t>
      </w:r>
      <w:r>
        <w:rPr>
          <w:i/>
          <w:iCs/>
        </w:rPr>
        <w:t>g</w:t>
      </w:r>
      <w:r>
        <w:t xml:space="preserve">., Cybersecurity and Infrastructure Security Agency, SAFECOM Guidance on Emergency Communications Grants, Fiscal Year 2020 (2020), </w:t>
      </w:r>
      <w:hyperlink r:id="rId16" w:history="1">
        <w:r w:rsidRPr="00E215EC">
          <w:rPr>
            <w:rStyle w:val="Hyperlink"/>
          </w:rPr>
          <w:t>https://w</w:t>
        </w:r>
        <w:r w:rsidRPr="00990E74">
          <w:rPr>
            <w:rStyle w:val="Hyperlink"/>
          </w:rPr>
          <w:t>ww.cisa.gov/sites/default/files/publications/fy_2020_safecom_guidance_on_emergency_communications_grants_final.pdf</w:t>
        </w:r>
      </w:hyperlink>
      <w:r>
        <w:t xml:space="preserve">.  </w:t>
      </w:r>
      <w:bookmarkEnd w:id="45"/>
    </w:p>
  </w:footnote>
  <w:footnote w:id="42">
    <w:p w:rsidR="0029102F" w:rsidP="00023638" w14:paraId="7504A677" w14:textId="374A0FAC">
      <w:pPr>
        <w:pStyle w:val="FootnoteText"/>
      </w:pPr>
      <w:r>
        <w:rPr>
          <w:rStyle w:val="FootnoteReference"/>
        </w:rPr>
        <w:footnoteRef/>
      </w:r>
      <w:r>
        <w:t xml:space="preserve"> </w:t>
      </w:r>
      <w:r w:rsidRPr="00023638">
        <w:rPr>
          <w:rStyle w:val="Footnote0"/>
        </w:rPr>
        <w:t xml:space="preserve">47 CFR 64.2401(a)-(b); </w:t>
      </w:r>
      <w:r w:rsidRPr="00023638">
        <w:rPr>
          <w:rStyle w:val="Footnote0"/>
          <w:i/>
        </w:rPr>
        <w:t>see also Truth-in-Billing and Billing Format; National Association of State Utility Consumer Advocates’ Petition for Declaratory Ruling Regarding Truth-in-Billing</w:t>
      </w:r>
      <w:r w:rsidRPr="00023638">
        <w:rPr>
          <w:rStyle w:val="Footnote0"/>
        </w:rPr>
        <w:t xml:space="preserve">, CC Docket No. 98-170 and CG Docket No. 04-208, Second Report and Order, Declaratory Ruling, and Second Further Notice of Proposed Rulemaking, 20 FCC </w:t>
      </w:r>
      <w:r w:rsidRPr="00023638">
        <w:rPr>
          <w:rStyle w:val="Footnote0"/>
        </w:rPr>
        <w:t>Rcd</w:t>
      </w:r>
      <w:r w:rsidRPr="00023638">
        <w:rPr>
          <w:rStyle w:val="Footnote0"/>
        </w:rPr>
        <w:t xml:space="preserve"> 6448, 6457 para. 19 (2005) (</w:t>
      </w:r>
      <w:r w:rsidRPr="00023638">
        <w:rPr>
          <w:rStyle w:val="Footnote0"/>
          <w:i/>
          <w:iCs/>
        </w:rPr>
        <w:t>Second Truth-in-Billing Order</w:t>
      </w:r>
      <w:r w:rsidRPr="00023638">
        <w:rPr>
          <w:rStyle w:val="Footnote0"/>
        </w:rPr>
        <w:t xml:space="preserve">) (“The Commission already has concluded that the truth-in-billing principles, including the principle that billing descriptions be brief, clear, non-misleading and in plain language, apply to both wireline and wireless.”), </w:t>
      </w:r>
      <w:r w:rsidRPr="00023638">
        <w:rPr>
          <w:rStyle w:val="Footnote0"/>
          <w:i/>
          <w:iCs/>
        </w:rPr>
        <w:t xml:space="preserve">vacated in part sub nom. Nat’l </w:t>
      </w:r>
      <w:r w:rsidRPr="00023638">
        <w:rPr>
          <w:rStyle w:val="Footnote0"/>
          <w:i/>
          <w:iCs/>
        </w:rPr>
        <w:t>Ass’n</w:t>
      </w:r>
      <w:r w:rsidRPr="00023638">
        <w:rPr>
          <w:rStyle w:val="Footnote0"/>
          <w:i/>
          <w:iCs/>
        </w:rPr>
        <w:t xml:space="preserve"> of State Util. Consumer Advocates v. FCC</w:t>
      </w:r>
      <w:r w:rsidRPr="00023638">
        <w:rPr>
          <w:rStyle w:val="Footnote0"/>
        </w:rPr>
        <w:t xml:space="preserve">, 457 F.3d 1238 (11th Cir. 2006); </w:t>
      </w:r>
      <w:r w:rsidRPr="00023638">
        <w:rPr>
          <w:rStyle w:val="Footnote0"/>
          <w:i/>
          <w:iCs/>
        </w:rPr>
        <w:t>Truth-in-Billing and Billing Format</w:t>
      </w:r>
      <w:r w:rsidRPr="00023638">
        <w:rPr>
          <w:rStyle w:val="Footnote0"/>
        </w:rPr>
        <w:t xml:space="preserve">, CC Docket No. 98-170, First Report and Order and Further Notice of Proposed Rulemaking, 14 FCC </w:t>
      </w:r>
      <w:r w:rsidRPr="00023638">
        <w:rPr>
          <w:rStyle w:val="Footnote0"/>
        </w:rPr>
        <w:t>Rcd</w:t>
      </w:r>
      <w:r w:rsidRPr="00023638">
        <w:rPr>
          <w:rStyle w:val="Footnote0"/>
        </w:rPr>
        <w:t xml:space="preserve"> 7492, 7501, para. 13 (1999) (</w:t>
      </w:r>
      <w:r w:rsidRPr="00023638">
        <w:rPr>
          <w:rStyle w:val="Footnote0"/>
          <w:i/>
          <w:iCs/>
        </w:rPr>
        <w:t>First Truth-in-Billing Order</w:t>
      </w:r>
      <w:r w:rsidRPr="00023638">
        <w:rPr>
          <w:rStyle w:val="Footnote0"/>
        </w:rPr>
        <w:t xml:space="preserve">) (“Like wireline carriers, wireless carriers also should be fair, clear, and truthful in their billing practices.  Consumers deserve no less.”), </w:t>
      </w:r>
      <w:r w:rsidRPr="00023638">
        <w:rPr>
          <w:rStyle w:val="Footnote0"/>
          <w:i/>
          <w:iCs/>
        </w:rPr>
        <w:t>corrected by</w:t>
      </w:r>
      <w:r w:rsidRPr="00023638">
        <w:rPr>
          <w:rStyle w:val="Footnote0"/>
          <w:i/>
        </w:rPr>
        <w:t xml:space="preserve"> </w:t>
      </w:r>
      <w:r w:rsidRPr="00023638">
        <w:rPr>
          <w:rStyle w:val="Footnote0"/>
        </w:rPr>
        <w:t xml:space="preserve">Errata, 15 FCC </w:t>
      </w:r>
      <w:r w:rsidRPr="00023638">
        <w:rPr>
          <w:rStyle w:val="Footnote0"/>
        </w:rPr>
        <w:t>Rcd</w:t>
      </w:r>
      <w:r w:rsidRPr="00023638">
        <w:rPr>
          <w:rStyle w:val="Footnote0"/>
        </w:rPr>
        <w:t xml:space="preserve"> 16544 (CC Mar. 31, 2000).</w:t>
      </w:r>
    </w:p>
  </w:footnote>
  <w:footnote w:id="43">
    <w:p w:rsidR="0029102F" w:rsidP="008828A9" w14:paraId="0E3590B7" w14:textId="77777777">
      <w:pPr>
        <w:pStyle w:val="FootnoteText"/>
      </w:pPr>
      <w:r>
        <w:rPr>
          <w:rStyle w:val="FootnoteReference"/>
        </w:rPr>
        <w:footnoteRef/>
      </w:r>
      <w:r>
        <w:t xml:space="preserve"> The Commission’s authority to adopt truth-in-billing rules for common carriers derives in part from s</w:t>
      </w:r>
      <w:r w:rsidRPr="004203C2">
        <w:t>ection 201(b) of the Communications Act of 1934, as amended.  Section 201(b) states that for common carriers, “[a]</w:t>
      </w:r>
      <w:r w:rsidRPr="004203C2">
        <w:t>ll</w:t>
      </w:r>
      <w:r w:rsidRPr="004203C2">
        <w:t xml:space="preserve"> charges, practices, classifications, and regulations for and in connection with such communication service, shall be just and reasonable, and any such charge, practice, classification, or regulation that is unjust or unreasonable is</w:t>
      </w:r>
      <w:r w:rsidRPr="00C84F7B">
        <w:rPr>
          <w:rFonts w:ascii="TimesNewRomanPSMT" w:eastAsia="Calibri" w:hAnsi="TimesNewRomanPSMT" w:cs="TimesNewRomanPSMT"/>
        </w:rPr>
        <w:t xml:space="preserve"> </w:t>
      </w:r>
      <w:r w:rsidRPr="004203C2">
        <w:t xml:space="preserve">declared to be unlawful.”  47 U.S.C. </w:t>
      </w:r>
      <w:r w:rsidRPr="00957469">
        <w:t>§</w:t>
      </w:r>
      <w:r>
        <w:t xml:space="preserve"> </w:t>
      </w:r>
      <w:r w:rsidRPr="004203C2">
        <w:t xml:space="preserve">201(b).  </w:t>
      </w:r>
      <w:r w:rsidRPr="00882FA7">
        <w:rPr>
          <w:i/>
          <w:iCs/>
        </w:rPr>
        <w:t>See, e.g.</w:t>
      </w:r>
      <w:r w:rsidRPr="00882FA7">
        <w:t xml:space="preserve">, </w:t>
      </w:r>
      <w:r w:rsidRPr="00882FA7">
        <w:rPr>
          <w:i/>
          <w:iCs/>
        </w:rPr>
        <w:t>First Truth-in-Billing Order</w:t>
      </w:r>
      <w:r w:rsidRPr="00882FA7">
        <w:t xml:space="preserve">, </w:t>
      </w:r>
      <w:r w:rsidRPr="007C1B18">
        <w:t xml:space="preserve">14 FCC </w:t>
      </w:r>
      <w:r w:rsidRPr="007C1B18">
        <w:t>Rcd</w:t>
      </w:r>
      <w:r w:rsidRPr="007C1B18">
        <w:t xml:space="preserve"> </w:t>
      </w:r>
      <w:r>
        <w:t xml:space="preserve">at </w:t>
      </w:r>
      <w:r w:rsidRPr="007C1B18">
        <w:t xml:space="preserve">7506, para. 24 </w:t>
      </w:r>
      <w:r w:rsidRPr="00882FA7">
        <w:t>(adopting certain truth-in-billing principles and guidelines to “deter carriers from engaging in unjust and unreasonable practices in violation of section 201(b)” and “</w:t>
      </w:r>
      <w:r w:rsidRPr="00882FA7">
        <w:t>emphasiz</w:t>
      </w:r>
      <w:r w:rsidRPr="00882FA7">
        <w:t>[</w:t>
      </w:r>
      <w:r w:rsidRPr="00882FA7">
        <w:t>ing</w:t>
      </w:r>
      <w:r w:rsidRPr="00882FA7">
        <w:t>] that a carrier’s provision of misleading or deceptive billing information is an unjust and unreasonable practice in violation of section 201(b) of the Act”).</w:t>
      </w:r>
    </w:p>
  </w:footnote>
  <w:footnote w:id="44">
    <w:p w:rsidR="0029102F" w:rsidP="008828A9" w14:paraId="37FD779A" w14:textId="77777777">
      <w:pPr>
        <w:pStyle w:val="FootnoteText"/>
      </w:pPr>
      <w:r>
        <w:rPr>
          <w:rStyle w:val="FootnoteReference"/>
        </w:rPr>
        <w:footnoteRef/>
      </w:r>
      <w:r>
        <w:t xml:space="preserve"> </w:t>
      </w:r>
      <w:r w:rsidRPr="008A61E4">
        <w:t xml:space="preserve">For example, AT&amp;T lists </w:t>
      </w:r>
      <w:r>
        <w:t xml:space="preserve">on its website some of the governmental taxes and fees it collects from subscribers and prepaid service customers.  AT&amp;T, </w:t>
      </w:r>
      <w:r w:rsidRPr="004203C2">
        <w:rPr>
          <w:i/>
        </w:rPr>
        <w:t>AT&amp;T Mobility Fee Schedule</w:t>
      </w:r>
      <w:r>
        <w:t xml:space="preserve">, </w:t>
      </w:r>
      <w:hyperlink r:id="rId17" w:history="1">
        <w:r>
          <w:rPr>
            <w:rStyle w:val="Hyperlink"/>
          </w:rPr>
          <w:t>https://www.att.com/legal/terms.otherWirelessFeeSchedule.html</w:t>
        </w:r>
      </w:hyperlink>
      <w:r>
        <w:t xml:space="preserve"> (last visited Sept. 3, 2020). </w:t>
      </w:r>
    </w:p>
  </w:footnote>
  <w:footnote w:id="45">
    <w:p w:rsidR="0029102F" w:rsidP="008828A9" w14:paraId="11E20E7D" w14:textId="77777777">
      <w:pPr>
        <w:pStyle w:val="FootnoteText"/>
      </w:pPr>
      <w:r>
        <w:rPr>
          <w:rStyle w:val="FootnoteReference"/>
        </w:rPr>
        <w:footnoteRef/>
      </w:r>
      <w:r>
        <w:t xml:space="preserve"> </w:t>
      </w:r>
      <w:r w:rsidRPr="002F4365">
        <w:rPr>
          <w:i/>
          <w:iCs/>
        </w:rPr>
        <w:t>See, e.g.</w:t>
      </w:r>
      <w:r>
        <w:t xml:space="preserve">, 47 CFR </w:t>
      </w:r>
      <w:r w:rsidRPr="00957469">
        <w:t>§</w:t>
      </w:r>
      <w:r>
        <w:t xml:space="preserve"> 1.945(e) (stating that the Commission may grant license applications “subject to conditions other than those normally applied to authorizations of the same type”).</w:t>
      </w:r>
    </w:p>
  </w:footnote>
  <w:footnote w:id="46">
    <w:p w:rsidR="0029102F" w:rsidRPr="00A4107D" w:rsidP="008F0C6C" w14:paraId="2958C88E" w14:textId="3C0A303D">
      <w:pPr>
        <w:spacing w:after="120"/>
        <w:rPr>
          <w:color w:val="000000"/>
          <w:sz w:val="20"/>
        </w:rPr>
      </w:pPr>
      <w:r w:rsidRPr="008F0C6C">
        <w:rPr>
          <w:rStyle w:val="FootnoteReference"/>
        </w:rPr>
        <w:footnoteRef/>
      </w:r>
      <w:r w:rsidRPr="00A4107D">
        <w:rPr>
          <w:sz w:val="20"/>
        </w:rPr>
        <w:t xml:space="preserve">  </w:t>
      </w:r>
      <w:r w:rsidRPr="004B2EB2">
        <w:rPr>
          <w:rStyle w:val="Footnote0"/>
          <w:sz w:val="20"/>
        </w:rPr>
        <w:t xml:space="preserve">In the 4.9 GHz proceeding, we seek comment on whether or not fee diverting states should be permitted to benefit from our 4.9 GHz leasing framework as well as related issues.  </w:t>
      </w:r>
      <w:r w:rsidRPr="004B2EB2">
        <w:rPr>
          <w:rStyle w:val="Footnote0"/>
          <w:i/>
          <w:iCs/>
          <w:sz w:val="20"/>
        </w:rPr>
        <w:t>Amendment of Part 90 of the Commission’s Rules</w:t>
      </w:r>
      <w:r w:rsidRPr="004B2EB2">
        <w:rPr>
          <w:rStyle w:val="Footnote0"/>
          <w:sz w:val="20"/>
        </w:rPr>
        <w:t>, WP Docket No. 07-100, Sixth Report and Order and Seventh Further Notice of Proposed Rulemaking, FCC 20-</w:t>
      </w:r>
      <w:r>
        <w:rPr>
          <w:rStyle w:val="Footnote0"/>
          <w:sz w:val="20"/>
        </w:rPr>
        <w:t>137</w:t>
      </w:r>
      <w:r w:rsidRPr="004B2EB2">
        <w:rPr>
          <w:rStyle w:val="Footnote0"/>
          <w:sz w:val="20"/>
        </w:rPr>
        <w:t>, paras. 68</w:t>
      </w:r>
      <w:r>
        <w:rPr>
          <w:rStyle w:val="Footnote0"/>
          <w:sz w:val="20"/>
        </w:rPr>
        <w:t>-70</w:t>
      </w:r>
      <w:r w:rsidRPr="004B2EB2">
        <w:rPr>
          <w:rStyle w:val="Footnote0"/>
          <w:sz w:val="20"/>
        </w:rPr>
        <w:t xml:space="preserve"> (rel. </w:t>
      </w:r>
      <w:r>
        <w:rPr>
          <w:rStyle w:val="Footnote0"/>
          <w:sz w:val="20"/>
        </w:rPr>
        <w:t>October</w:t>
      </w:r>
      <w:r w:rsidRPr="004B2EB2">
        <w:rPr>
          <w:rStyle w:val="Footnote0"/>
          <w:sz w:val="20"/>
        </w:rPr>
        <w:t xml:space="preserve"> </w:t>
      </w:r>
      <w:r w:rsidR="00E402CA">
        <w:rPr>
          <w:rStyle w:val="Footnote0"/>
          <w:sz w:val="20"/>
        </w:rPr>
        <w:t>2</w:t>
      </w:r>
      <w:bookmarkStart w:id="54" w:name="_GoBack"/>
      <w:bookmarkEnd w:id="54"/>
      <w:r w:rsidRPr="004B2EB2">
        <w:rPr>
          <w:rStyle w:val="Footnote0"/>
          <w:sz w:val="20"/>
        </w:rPr>
        <w:t xml:space="preserve">, 2020).  Commenters addressing the issue of fee diversion as a restriction on FCC-licensed services for all other </w:t>
      </w:r>
      <w:r w:rsidRPr="004B2EB2">
        <w:rPr>
          <w:rStyle w:val="Footnote0"/>
          <w:sz w:val="20"/>
        </w:rPr>
        <w:t>bands</w:t>
      </w:r>
      <w:r w:rsidRPr="004B2EB2">
        <w:rPr>
          <w:rStyle w:val="Footnote0"/>
          <w:sz w:val="20"/>
        </w:rPr>
        <w:t xml:space="preserve"> or more generally should file their comments in this</w:t>
      </w:r>
      <w:r>
        <w:rPr>
          <w:rStyle w:val="Footnote0"/>
          <w:sz w:val="20"/>
        </w:rPr>
        <w:t xml:space="preserve"> NOI’s</w:t>
      </w:r>
      <w:r w:rsidRPr="004B2EB2">
        <w:rPr>
          <w:rStyle w:val="Footnote0"/>
          <w:sz w:val="20"/>
        </w:rPr>
        <w:t xml:space="preserve"> docket</w:t>
      </w:r>
      <w:r>
        <w:rPr>
          <w:rStyle w:val="Footnote0"/>
          <w:sz w:val="20"/>
        </w:rPr>
        <w:t>s</w:t>
      </w:r>
      <w:r w:rsidRPr="004B2EB2">
        <w:rPr>
          <w:rStyle w:val="Footnote0"/>
          <w:sz w:val="20"/>
        </w:rPr>
        <w:t>.</w:t>
      </w:r>
      <w:r w:rsidRPr="008F0C6C">
        <w:rPr>
          <w:color w:val="000000"/>
          <w:sz w:val="20"/>
        </w:rPr>
        <w:t> </w:t>
      </w:r>
    </w:p>
  </w:footnote>
  <w:footnote w:id="47">
    <w:p w:rsidR="0029102F" w:rsidP="008828A9" w14:paraId="28528616" w14:textId="77777777">
      <w:pPr>
        <w:pStyle w:val="FootnoteText"/>
      </w:pPr>
      <w:r>
        <w:rPr>
          <w:rStyle w:val="FootnoteReference"/>
        </w:rPr>
        <w:footnoteRef/>
      </w:r>
      <w:r>
        <w:t xml:space="preserve"> </w:t>
      </w:r>
      <w:bookmarkStart w:id="55" w:name="_Hlk49506524"/>
      <w:r>
        <w:rPr>
          <w:color w:val="000000"/>
        </w:rPr>
        <w:t xml:space="preserve">For example, in a Second Further Notice of Proposed Rulemaking proposing an information sharing framework with state and federal agencies for the </w:t>
      </w:r>
      <w:r>
        <w:t xml:space="preserve">Network Outage Reporting System (NORS) and Disaster Information Reporting System (DIRS), the Commission asked if criteria should be applied to determine whether local entities should be granted direct access to NORS and DIRS filings.  Among the possible criteria, the Commission asked, “Should we exclude from eligibility agencies located in states that have diverted or transferred 911/Enhanced 911 (E911) fees for purposes other than 911/E911?”  </w:t>
      </w:r>
      <w:r w:rsidRPr="000551E7">
        <w:rPr>
          <w:i/>
          <w:iCs/>
        </w:rPr>
        <w:t>Amendments to Part 4 of the Commission’s Rules Concerning Disruptions to Communications; Petition of California Public Utilities Commission and the People of the State of California for Rulemaking on States’ Access to the Network Outage Reporting System (“NORS”) and a Ruling Granting California Access to NORS</w:t>
      </w:r>
      <w:r>
        <w:t>, PS Docket No. 15</w:t>
      </w:r>
      <w:r w:rsidRPr="009F5460">
        <w:t>-80 and RM</w:t>
      </w:r>
      <w:r>
        <w:t xml:space="preserve"> No. 11588 (terminated), Second Further Notice of Proposed Rulemaking, 35 FCC </w:t>
      </w:r>
      <w:r>
        <w:t>Rcd</w:t>
      </w:r>
      <w:r>
        <w:t xml:space="preserve"> 2239, 2248, para. 26 (2020).</w:t>
      </w:r>
      <w:bookmarkEnd w:id="55"/>
    </w:p>
  </w:footnote>
  <w:footnote w:id="48">
    <w:p w:rsidR="0029102F" w:rsidRPr="00D52B79" w:rsidP="008828A9" w14:paraId="00EEC812" w14:textId="77777777">
      <w:pPr>
        <w:pStyle w:val="FootnoteText"/>
      </w:pPr>
      <w:r w:rsidRPr="00B62E58">
        <w:rPr>
          <w:rStyle w:val="FootnoteReference"/>
        </w:rPr>
        <w:footnoteRef/>
      </w:r>
      <w:r w:rsidRPr="00B62E58">
        <w:t xml:space="preserve"> </w:t>
      </w:r>
      <w:r w:rsidRPr="00B62E58">
        <w:rPr>
          <w:color w:val="201F1E"/>
          <w:shd w:val="clear" w:color="auto" w:fill="FFFFFF"/>
        </w:rPr>
        <w:t xml:space="preserve">For example, Commissioner </w:t>
      </w:r>
      <w:r w:rsidRPr="00B62E58">
        <w:rPr>
          <w:color w:val="201F1E"/>
          <w:shd w:val="clear" w:color="auto" w:fill="FFFFFF"/>
        </w:rPr>
        <w:t>O’Rielly</w:t>
      </w:r>
      <w:r w:rsidRPr="00B62E58">
        <w:rPr>
          <w:color w:val="201F1E"/>
          <w:shd w:val="clear" w:color="auto" w:fill="FFFFFF"/>
        </w:rPr>
        <w:t xml:space="preserve"> has written publicly to the governors of some diverting states to urge them to end their diversion practices.  </w:t>
      </w:r>
      <w:r w:rsidRPr="00D52B79">
        <w:rPr>
          <w:i/>
          <w:iCs/>
          <w:color w:val="201F1E"/>
          <w:shd w:val="clear" w:color="auto" w:fill="FFFFFF"/>
        </w:rPr>
        <w:t>See, e.g.</w:t>
      </w:r>
      <w:r w:rsidRPr="00D52B79">
        <w:rPr>
          <w:color w:val="201F1E"/>
          <w:shd w:val="clear" w:color="auto" w:fill="FFFFFF"/>
        </w:rPr>
        <w:t xml:space="preserve">, Letter from Michael </w:t>
      </w:r>
      <w:r w:rsidRPr="00D52B79">
        <w:rPr>
          <w:color w:val="201F1E"/>
          <w:shd w:val="clear" w:color="auto" w:fill="FFFFFF"/>
        </w:rPr>
        <w:t>O’Rielly</w:t>
      </w:r>
      <w:r w:rsidRPr="00D52B79">
        <w:rPr>
          <w:color w:val="201F1E"/>
          <w:shd w:val="clear" w:color="auto" w:fill="FFFFFF"/>
        </w:rPr>
        <w:t>, Commissioner, FCC, to The Honorable Steve C. Bullock, Governor, Montana (Sept. 9, 2019), </w:t>
      </w:r>
      <w:hyperlink r:id="rId18" w:tgtFrame="_blank" w:history="1">
        <w:r w:rsidRPr="00D52B79">
          <w:rPr>
            <w:rStyle w:val="Hyperlink"/>
            <w:color w:val="954F72"/>
            <w:bdr w:val="none" w:sz="0" w:space="0" w:color="auto" w:frame="1"/>
            <w:shd w:val="clear" w:color="auto" w:fill="FFFFFF"/>
          </w:rPr>
          <w:t>https://docs.fcc.gov/public/attachments/DOC-359575A1.pdf</w:t>
        </w:r>
      </w:hyperlink>
      <w:r w:rsidRPr="00D52B79">
        <w:rPr>
          <w:color w:val="201F1E"/>
          <w:shd w:val="clear" w:color="auto" w:fill="FFFFFF"/>
        </w:rPr>
        <w:t xml:space="preserve">; Letter from Michael </w:t>
      </w:r>
      <w:r w:rsidRPr="00D52B79">
        <w:rPr>
          <w:color w:val="201F1E"/>
          <w:shd w:val="clear" w:color="auto" w:fill="FFFFFF"/>
        </w:rPr>
        <w:t>O’Rielly</w:t>
      </w:r>
      <w:r w:rsidRPr="00D52B79">
        <w:rPr>
          <w:color w:val="201F1E"/>
          <w:shd w:val="clear" w:color="auto" w:fill="FFFFFF"/>
        </w:rPr>
        <w:t>, Commissioner, FCC, to The Honorable Jim Justice, Governor, West Virginia (Nov. 28, 2018), </w:t>
      </w:r>
      <w:hyperlink r:id="rId19" w:tgtFrame="_blank" w:history="1">
        <w:r w:rsidRPr="00D52B79">
          <w:rPr>
            <w:rStyle w:val="Hyperlink"/>
            <w:color w:val="954F72"/>
            <w:bdr w:val="none" w:sz="0" w:space="0" w:color="auto" w:frame="1"/>
            <w:shd w:val="clear" w:color="auto" w:fill="FFFFFF"/>
          </w:rPr>
          <w:t>https://docs.fcc.gov/public/attachments/DOC-355305A1.pdf</w:t>
        </w:r>
      </w:hyperlink>
      <w:r>
        <w:rPr>
          <w:color w:val="201F1E"/>
          <w:shd w:val="clear" w:color="auto" w:fill="FFFFFF"/>
        </w:rPr>
        <w:t>.</w:t>
      </w:r>
    </w:p>
  </w:footnote>
  <w:footnote w:id="49">
    <w:p w:rsidR="0029102F" w:rsidP="008828A9" w14:paraId="637E185A" w14:textId="77777777">
      <w:pPr>
        <w:pStyle w:val="FootnoteText"/>
      </w:pPr>
      <w:r>
        <w:rPr>
          <w:rStyle w:val="FootnoteReference"/>
        </w:rPr>
        <w:footnoteRef/>
      </w:r>
      <w:r>
        <w:t xml:space="preserve"> Eleventh Report at 44-45, paras. 38-40. </w:t>
      </w:r>
    </w:p>
  </w:footnote>
  <w:footnote w:id="50">
    <w:p w:rsidR="0029102F" w:rsidP="008828A9" w14:paraId="77792F47" w14:textId="77777777">
      <w:pPr>
        <w:pStyle w:val="FootnoteText"/>
      </w:pPr>
      <w:r>
        <w:rPr>
          <w:rStyle w:val="FootnoteReference"/>
        </w:rPr>
        <w:footnoteRef/>
      </w:r>
      <w:r>
        <w:t xml:space="preserve"> </w:t>
      </w:r>
      <w:bookmarkStart w:id="65" w:name="_Hlk47505291"/>
      <w:r w:rsidRPr="00C1503C">
        <w:rPr>
          <w:i/>
          <w:iCs/>
        </w:rPr>
        <w:t>See</w:t>
      </w:r>
      <w:r>
        <w:t xml:space="preserve"> Bloomberg Tax, </w:t>
      </w:r>
      <w:r w:rsidRPr="004203C2">
        <w:rPr>
          <w:i/>
        </w:rPr>
        <w:t>West Virginia Governor Signs Law Amending Wireless Enhanced 911 Fee, Adding New Fees</w:t>
      </w:r>
      <w:r>
        <w:t xml:space="preserve"> (Mar. 26, 2020), </w:t>
      </w:r>
      <w:hyperlink r:id="rId20" w:history="1">
        <w:r>
          <w:rPr>
            <w:rStyle w:val="Hyperlink"/>
          </w:rPr>
          <w:t>https://news.bloombergtax.com/daily-tax-report-state/west-virginia-governor-signs-law-amending-wireless-enhanced-911-fee-adding-new-fees</w:t>
        </w:r>
      </w:hyperlink>
      <w:r>
        <w:t>.</w:t>
      </w:r>
      <w:bookmarkEnd w:id="65"/>
      <w:r>
        <w:t xml:space="preserve">  </w:t>
      </w:r>
    </w:p>
  </w:footnote>
  <w:footnote w:id="51">
    <w:p w:rsidR="0029102F" w:rsidP="008828A9" w14:paraId="7F17A263" w14:textId="77777777">
      <w:pPr>
        <w:pStyle w:val="FootnoteText"/>
      </w:pPr>
      <w:r>
        <w:rPr>
          <w:rStyle w:val="FootnoteReference"/>
        </w:rPr>
        <w:footnoteRef/>
      </w:r>
      <w:r>
        <w:t xml:space="preserve"> Tenth Report at </w:t>
      </w:r>
      <w:r w:rsidRPr="00F158BE">
        <w:t>4</w:t>
      </w:r>
      <w:r>
        <w:t>5-46, para. 34.</w:t>
      </w:r>
      <w:r w:rsidRPr="00C84F7B">
        <w:rPr>
          <w:rFonts w:eastAsia="Calibri"/>
          <w:color w:val="000000"/>
        </w:rPr>
        <w:t xml:space="preserve"> </w:t>
      </w:r>
    </w:p>
  </w:footnote>
  <w:footnote w:id="52">
    <w:p w:rsidR="0029102F" w:rsidP="008828A9" w14:paraId="48BDA9DF" w14:textId="77777777">
      <w:pPr>
        <w:pStyle w:val="FootnoteText"/>
      </w:pPr>
      <w:r>
        <w:rPr>
          <w:rStyle w:val="FootnoteReference"/>
        </w:rPr>
        <w:footnoteRef/>
      </w:r>
      <w:r>
        <w:t xml:space="preserve"> </w:t>
      </w:r>
      <w:r w:rsidRPr="00426BCE">
        <w:rPr>
          <w:i/>
          <w:iCs/>
        </w:rPr>
        <w:t>Id.</w:t>
      </w:r>
      <w:r>
        <w:t xml:space="preserve"> at 46, para. 34.</w:t>
      </w:r>
    </w:p>
  </w:footnote>
  <w:footnote w:id="53">
    <w:p w:rsidR="0029102F" w:rsidP="008828A9" w14:paraId="2F2ABE3C" w14:textId="77777777">
      <w:pPr>
        <w:pStyle w:val="FootnoteText"/>
      </w:pPr>
      <w:r>
        <w:rPr>
          <w:rStyle w:val="FootnoteReference"/>
        </w:rPr>
        <w:footnoteRef/>
      </w:r>
      <w:r>
        <w:t xml:space="preserve"> COPUC Comments, PS Docket No. 09-14, at 2 (rec. Jan. 24, 2019).  NENA has published model guidelines for drafting statutes or rules to assess 911 fees on prepaid wireless service.  NENA, NENA Model Baseline Guidelines for Drafting Statutes or Rules Associated with Prepaid Wireless Service and 9-1-1 Emergency Service Fees, Regulatory/Legislative Information Document (RLID) (2008), </w:t>
      </w:r>
      <w:hyperlink r:id="rId21" w:history="1">
        <w:r>
          <w:rPr>
            <w:rStyle w:val="Hyperlink"/>
          </w:rPr>
          <w:t>https://cdn.ymaws.com/www.nena.org/resource/resmgr/govaffairs/model_guidlines_for_prepaid.pdf</w:t>
        </w:r>
      </w:hyperlink>
      <w:r>
        <w:t xml:space="preserve">.  The guidelines address the collection of 911 fees for prepaid wireless service and the remittance of such fees to the appropriate governmental entity, but they do not address the expenditure of such funds by the governmental entity.   </w:t>
      </w:r>
    </w:p>
  </w:footnote>
  <w:footnote w:id="54">
    <w:p w:rsidR="0029102F" w:rsidP="008828A9" w14:paraId="15D0BEB2" w14:textId="77777777">
      <w:pPr>
        <w:pStyle w:val="FootnoteText"/>
      </w:pPr>
      <w:r>
        <w:rPr>
          <w:rStyle w:val="FootnoteReference"/>
        </w:rPr>
        <w:footnoteRef/>
      </w:r>
      <w:r>
        <w:t xml:space="preserve"> NG911 Roadmap at 15; The National 911 Program et al., Next Generation 911 (NG911) Roadmap Progress Report at 10 (2020), </w:t>
      </w:r>
      <w:hyperlink r:id="rId22" w:history="1">
        <w:r>
          <w:rPr>
            <w:rStyle w:val="Hyperlink"/>
          </w:rPr>
          <w:t>https://www.911.gov/pdf/National_911_Program_NG911_Roadmap_Progress_Report.pdf</w:t>
        </w:r>
      </w:hyperlink>
      <w:r>
        <w:t xml:space="preserve"> (NG911 Roadmap Progress Report).</w:t>
      </w:r>
    </w:p>
  </w:footnote>
  <w:footnote w:id="55">
    <w:p w:rsidR="0029102F" w:rsidP="008828A9" w14:paraId="04305D4D" w14:textId="77777777">
      <w:pPr>
        <w:pStyle w:val="FootnoteText"/>
      </w:pPr>
      <w:r>
        <w:rPr>
          <w:rStyle w:val="FootnoteReference"/>
        </w:rPr>
        <w:footnoteRef/>
      </w:r>
      <w:r>
        <w:t xml:space="preserve"> NG911 Roadmap Progress Report at 10.</w:t>
      </w:r>
    </w:p>
  </w:footnote>
  <w:footnote w:id="56">
    <w:p w:rsidR="0029102F" w:rsidP="008828A9" w14:paraId="4E781403" w14:textId="77777777">
      <w:pPr>
        <w:pStyle w:val="FootnoteText"/>
      </w:pPr>
      <w:r>
        <w:rPr>
          <w:rStyle w:val="FootnoteReference"/>
        </w:rPr>
        <w:footnoteRef/>
      </w:r>
      <w:r>
        <w:t xml:space="preserve"> </w:t>
      </w:r>
      <w:r w:rsidRPr="00A455A0">
        <w:rPr>
          <w:i/>
          <w:iCs/>
        </w:rPr>
        <w:t>See</w:t>
      </w:r>
      <w:r>
        <w:t xml:space="preserve"> CTIA Comments, PS Docket No. 09-14, at 8 (rec. Feb. 8, 2019); APCO Comments, PS Docket No. 09-14, at 3 (rec. Jan. 18, 2019); NJWA Reply Comments, PS Docket No. 09-14, at 4 (rec. Feb. 12, 2019).</w:t>
      </w:r>
    </w:p>
  </w:footnote>
  <w:footnote w:id="57">
    <w:p w:rsidR="0029102F" w:rsidP="008828A9" w14:paraId="6FA4840A" w14:textId="77777777">
      <w:pPr>
        <w:pStyle w:val="FootnoteText"/>
      </w:pPr>
      <w:r>
        <w:rPr>
          <w:rStyle w:val="FootnoteReference"/>
        </w:rPr>
        <w:footnoteRef/>
      </w:r>
      <w:r>
        <w:t xml:space="preserve"> NG911 Roadmap at 15.</w:t>
      </w:r>
    </w:p>
  </w:footnote>
  <w:footnote w:id="58">
    <w:p w:rsidR="0029102F" w:rsidP="008828A9" w14:paraId="156A6261" w14:textId="77777777">
      <w:pPr>
        <w:pStyle w:val="FootnoteText"/>
      </w:pPr>
      <w:r>
        <w:rPr>
          <w:rStyle w:val="FootnoteReference"/>
        </w:rPr>
        <w:footnoteRef/>
      </w:r>
      <w:r>
        <w:t xml:space="preserve"> CTIA Comments, PS Docket No. 09-14, at 6-7 (rec. Feb. 8, 2019).  The Eleventh Report notes that 22 states collect at least some of their 911 fees at the local level.  Eleventh Report at 18, para. 14.</w:t>
      </w:r>
    </w:p>
  </w:footnote>
  <w:footnote w:id="59">
    <w:p w:rsidR="0029102F" w:rsidP="008828A9" w14:paraId="2D4CE8B3" w14:textId="77777777">
      <w:pPr>
        <w:pStyle w:val="FootnoteText"/>
      </w:pPr>
      <w:r>
        <w:rPr>
          <w:rStyle w:val="FootnoteReference"/>
        </w:rPr>
        <w:footnoteRef/>
      </w:r>
      <w:r>
        <w:t xml:space="preserve"> Eleventh Report at 47-50, paras. 43-44 and Table 18.</w:t>
      </w:r>
    </w:p>
  </w:footnote>
  <w:footnote w:id="60">
    <w:p w:rsidR="0029102F" w:rsidP="008828A9" w14:paraId="7A87DD1C" w14:textId="77777777">
      <w:pPr>
        <w:pStyle w:val="FootnoteText"/>
      </w:pPr>
      <w:r>
        <w:rPr>
          <w:rStyle w:val="FootnoteReference"/>
        </w:rPr>
        <w:footnoteRef/>
      </w:r>
      <w:r>
        <w:t xml:space="preserve"> </w:t>
      </w:r>
      <w:r w:rsidRPr="00D17AE5">
        <w:rPr>
          <w:i/>
          <w:iCs/>
        </w:rPr>
        <w:t>See, e.g.</w:t>
      </w:r>
      <w:r>
        <w:t xml:space="preserve">, Eleventh Report at 41, para. 30 (finding that, consistent with the Tenth Report, expenditure of 911 fees for police body cameras constituted fee diversion). </w:t>
      </w:r>
    </w:p>
  </w:footnote>
  <w:footnote w:id="61">
    <w:p w:rsidR="0029102F" w:rsidP="008828A9" w14:paraId="493A8351" w14:textId="77777777">
      <w:pPr>
        <w:pStyle w:val="FootnoteText"/>
      </w:pPr>
      <w:r>
        <w:rPr>
          <w:rStyle w:val="FootnoteReference"/>
        </w:rPr>
        <w:footnoteRef/>
      </w:r>
      <w:r>
        <w:t xml:space="preserve"> </w:t>
      </w:r>
      <w:r w:rsidRPr="00420B36">
        <w:rPr>
          <w:i/>
          <w:iCs/>
        </w:rPr>
        <w:t>See</w:t>
      </w:r>
      <w:r>
        <w:t xml:space="preserve"> Tenth Report at 49, para. 40.  </w:t>
      </w:r>
      <w:r w:rsidRPr="00D83108">
        <w:rPr>
          <w:rFonts w:cs="Calibri"/>
          <w:szCs w:val="22"/>
        </w:rPr>
        <w:t xml:space="preserve">Under this analysis, funding for 911 dispatcher salaries and training would have a sufficient nexus to 911, but equipment and infrastructure for law enforcement, firefighters, and other first responders generally would not.  </w:t>
      </w:r>
    </w:p>
  </w:footnote>
  <w:footnote w:id="62">
    <w:p w:rsidR="0029102F" w:rsidP="008828A9" w14:paraId="64CC95E9" w14:textId="21307BAC">
      <w:pPr>
        <w:pStyle w:val="FootnoteText"/>
      </w:pPr>
      <w:r>
        <w:rPr>
          <w:rStyle w:val="FootnoteReference"/>
        </w:rPr>
        <w:footnoteRef/>
      </w:r>
      <w:r>
        <w:t xml:space="preserve"> </w:t>
      </w:r>
      <w:r w:rsidRPr="0092289A">
        <w:rPr>
          <w:i/>
          <w:iCs/>
        </w:rPr>
        <w:t>See</w:t>
      </w:r>
      <w:r>
        <w:t xml:space="preserve"> Eleventh Report at 39, para. 26; Tenth Report at 42, para. 26.  The Commission has explained that it does not consider the purchase or upgrade of public safety radio equipment to be 911 related because “radio networks used by first responders are technically and operationally distinct from the 911 call-handling system.”  </w:t>
      </w:r>
      <w:r w:rsidRPr="00C60301">
        <w:rPr>
          <w:i/>
          <w:iCs/>
        </w:rPr>
        <w:t>See</w:t>
      </w:r>
      <w:r>
        <w:t xml:space="preserve"> Eleventh Report at 42, para. 32; </w:t>
      </w:r>
      <w:r w:rsidRPr="00C60301">
        <w:rPr>
          <w:i/>
          <w:iCs/>
        </w:rPr>
        <w:t>see also</w:t>
      </w:r>
      <w:r>
        <w:t xml:space="preserve"> Eleventh Report at 44, para. 37 (finding that there was no 911 fee diversion where Virginia allocated a portion of its wireless E911 funding to the Virginia State Police for costs incurred for answering wireless 911 telephone calls and to support sheriff’s 911 dispatchers). </w:t>
      </w:r>
    </w:p>
  </w:footnote>
  <w:footnote w:id="63">
    <w:p w:rsidR="0029102F" w:rsidP="008828A9" w14:paraId="17A00388" w14:textId="77777777">
      <w:pPr>
        <w:pStyle w:val="FootnoteText"/>
      </w:pPr>
      <w:r>
        <w:rPr>
          <w:rStyle w:val="FootnoteReference"/>
        </w:rPr>
        <w:footnoteRef/>
      </w:r>
      <w:r>
        <w:t xml:space="preserve"> </w:t>
      </w:r>
      <w:r w:rsidRPr="004F147C">
        <w:rPr>
          <w:i/>
          <w:iCs/>
        </w:rPr>
        <w:t>See</w:t>
      </w:r>
      <w:r>
        <w:t xml:space="preserve"> Eleventh Report at 39, para. 25; Tenth Report at 42, para. 25.  In the Eleventh Report, the Commission found that Rhode Island and New York diverted 911 fees by transferring fees to their state general funds.  Eleventh Report at 40, 42-44, paras. 28, 33-36.  Conversely, the Commission found that Montana, which revised its 911 funding mechanism to eliminate the transfer of fees to the state’s general fund, was no longer diverting fees.  </w:t>
      </w:r>
      <w:r w:rsidRPr="00AE512F">
        <w:t>Eleventh Report</w:t>
      </w:r>
      <w:r>
        <w:t xml:space="preserve"> at 44, para. 38.  </w:t>
      </w:r>
    </w:p>
  </w:footnote>
  <w:footnote w:id="64">
    <w:p w:rsidR="0029102F" w:rsidP="008828A9" w14:paraId="70B443DB" w14:textId="77777777">
      <w:pPr>
        <w:pStyle w:val="FootnoteText"/>
      </w:pPr>
      <w:r>
        <w:rPr>
          <w:rStyle w:val="FootnoteReference"/>
        </w:rPr>
        <w:footnoteRef/>
      </w:r>
      <w:r>
        <w:t xml:space="preserve"> </w:t>
      </w:r>
      <w:r w:rsidRPr="00B20594">
        <w:rPr>
          <w:i/>
          <w:iCs/>
        </w:rPr>
        <w:t>See</w:t>
      </w:r>
      <w:r>
        <w:rPr>
          <w:i/>
          <w:iCs/>
        </w:rPr>
        <w:t>, e.g.,</w:t>
      </w:r>
      <w:r>
        <w:t xml:space="preserve"> Eleventh Report at 41-42, paras. 30, 32 (finding that certain expenditures authorized under Nevada’s and West Virginia’s funding mechanisms constituted diversion of fees).  </w:t>
      </w:r>
      <w:r w:rsidRPr="00FB2D05">
        <w:rPr>
          <w:i/>
          <w:iCs/>
        </w:rPr>
        <w:t>But see</w:t>
      </w:r>
      <w:r>
        <w:t xml:space="preserve"> Washington State E911 Coordination Office Comments, PS Docket No. 09-14, at 2 (rec. Feb. 9, 2017) (asserting that “each state designates authorizations regarding 911 funds, so that </w:t>
      </w:r>
      <w:r w:rsidRPr="00FB2D05">
        <w:t xml:space="preserve">if a state legislature writes into law an authorized expense, such 911 funds would subsequently not be considered </w:t>
      </w:r>
      <w:r>
        <w:t>‘</w:t>
      </w:r>
      <w:r w:rsidRPr="00FB2D05">
        <w:t>diversion</w:t>
      </w:r>
      <w:r>
        <w:t>’</w:t>
      </w:r>
      <w:r w:rsidRPr="00FB2D05">
        <w:t>”</w:t>
      </w:r>
      <w:r>
        <w:t>).</w:t>
      </w:r>
    </w:p>
  </w:footnote>
  <w:footnote w:id="65">
    <w:p w:rsidR="0029102F" w:rsidP="008828A9" w14:paraId="4E9C2563" w14:textId="77777777">
      <w:pPr>
        <w:pStyle w:val="FootnoteText"/>
      </w:pPr>
      <w:r>
        <w:rPr>
          <w:rStyle w:val="FootnoteReference"/>
        </w:rPr>
        <w:footnoteRef/>
      </w:r>
      <w:r>
        <w:t xml:space="preserve"> </w:t>
      </w:r>
      <w:r w:rsidRPr="003D0573">
        <w:rPr>
          <w:i/>
          <w:iCs/>
        </w:rPr>
        <w:t>See</w:t>
      </w:r>
      <w:r w:rsidRPr="008D49F1">
        <w:rPr>
          <w:i/>
          <w:iCs/>
        </w:rPr>
        <w:t>, e.g.</w:t>
      </w:r>
      <w:r>
        <w:t>, APCO Comments, PS Docket No. 09-14, at 3 (rec. Jan. 18, 2019) (noting that despite some Commission guidance, “disagreements over what constitutes diversion persist”); CTIA Comments, PS Docket No. 09-14, at 5-6 &amp; n.16 (rec. Feb. 8, 2019) (“[S]</w:t>
      </w:r>
      <w:r>
        <w:t>ome</w:t>
      </w:r>
      <w:r>
        <w:t xml:space="preserve"> states claim they are compliant, even while using 9-1-1 fees for expenditures that cannot properly be deemed in support of 9-1-1 activities under the NET 911 Act.”); NJWA Reply Comments, PS Docket No. 09-14, at 4 (rec. Mar. 26, 2018) (stating that “clarification of eligible expenditures and definition of NG911 services would provide guidance to not only the state of New Jersey, but other repeat offending states”); Washington State E911 Coordination Office Comments, PS Docket No. 09-14, at 2 (rec. Feb. 9, 2017) (“G</w:t>
      </w:r>
      <w:r w:rsidRPr="00065EF4">
        <w:t xml:space="preserve">uidance from the </w:t>
      </w:r>
      <w:r>
        <w:t xml:space="preserve">[FCC] and clarification on </w:t>
      </w:r>
      <w:r w:rsidRPr="00065EF4">
        <w:t xml:space="preserve">what is considered </w:t>
      </w:r>
      <w:r>
        <w:t>‘</w:t>
      </w:r>
      <w:r w:rsidRPr="00065EF4">
        <w:t>diversion</w:t>
      </w:r>
      <w:r>
        <w:t>’</w:t>
      </w:r>
      <w:r w:rsidRPr="00065EF4">
        <w:t xml:space="preserve"> or what constitutes </w:t>
      </w:r>
      <w:r>
        <w:t>‘</w:t>
      </w:r>
      <w:r w:rsidRPr="00065EF4">
        <w:t>E911 purposes</w:t>
      </w:r>
      <w:r>
        <w:t>’</w:t>
      </w:r>
      <w:r w:rsidRPr="00065EF4">
        <w:t xml:space="preserve"> would be beneficial and timely</w:t>
      </w:r>
      <w:r>
        <w:t xml:space="preserve">.”). </w:t>
      </w:r>
    </w:p>
  </w:footnote>
  <w:footnote w:id="66">
    <w:p w:rsidR="0029102F" w:rsidP="008828A9" w14:paraId="5753387B" w14:textId="77777777">
      <w:pPr>
        <w:pStyle w:val="FootnoteText"/>
      </w:pPr>
      <w:r>
        <w:rPr>
          <w:rStyle w:val="FootnoteReference"/>
        </w:rPr>
        <w:footnoteRef/>
      </w:r>
      <w:r>
        <w:t xml:space="preserve"> CTIA Comments, PS Docket No. 09-14, at 8 (rec. Feb. 8, 2019).</w:t>
      </w:r>
    </w:p>
  </w:footnote>
  <w:footnote w:id="67">
    <w:p w:rsidR="0029102F" w:rsidRPr="00493985" w:rsidP="008828A9" w14:paraId="2EAAA7A4" w14:textId="77777777">
      <w:pPr>
        <w:pStyle w:val="FootnoteText"/>
      </w:pPr>
      <w:r>
        <w:rPr>
          <w:rStyle w:val="FootnoteReference"/>
        </w:rPr>
        <w:footnoteRef/>
      </w:r>
      <w:r>
        <w:t xml:space="preserve"> APCO Comments, PS Docket No. 09-14, at 3 (rec. Jan. 18, 2019); </w:t>
      </w:r>
      <w:r w:rsidRPr="00493985">
        <w:rPr>
          <w:i/>
          <w:iCs/>
        </w:rPr>
        <w:t>see also</w:t>
      </w:r>
      <w:r>
        <w:t xml:space="preserve"> Washington State Chapter APCO-NENA Comments, PS Docket No. 09-14, at 2 (rec. Feb. 17, 2016) (“Without a national standard definition for appropriate uses of 911 funds it is left to each state or jurisdiction to determine their own definition/boundaries and expenditure rules.”).  NJWA agrees that “clarification is needed” and asserts that some states’ interpretation of eligibility requirements is “consistently illegitimate.”  NJWA Reply Comments, PS Docket No. 09-14, at 3 (rec. Mar. 26, 2018).  NJWA also asserts that “[o]</w:t>
      </w:r>
      <w:r w:rsidRPr="00C56BD5">
        <w:t>ur</w:t>
      </w:r>
      <w:r w:rsidRPr="00C56BD5">
        <w:t xml:space="preserve"> state [New Jersey] continues to be a prime example of needed clarification (or just plain ignorance of the federal law), therefore further emphasizing the need for clarification of specific and eligible expenditures under the NET911 ACT</w:t>
      </w:r>
      <w:r>
        <w:t xml:space="preserve">.”  </w:t>
      </w:r>
      <w:r w:rsidRPr="00C24166">
        <w:rPr>
          <w:i/>
          <w:iCs/>
        </w:rPr>
        <w:t>Id.</w:t>
      </w:r>
    </w:p>
  </w:footnote>
  <w:footnote w:id="68">
    <w:p w:rsidR="0029102F" w:rsidP="008828A9" w14:paraId="63EE1A10" w14:textId="77777777">
      <w:pPr>
        <w:pStyle w:val="FootnoteText"/>
      </w:pPr>
      <w:r>
        <w:rPr>
          <w:rStyle w:val="FootnoteReference"/>
        </w:rPr>
        <w:footnoteRef/>
      </w:r>
      <w:r>
        <w:t xml:space="preserve"> NG911 Roadmap Progress Report at 9-10; </w:t>
      </w:r>
      <w:r w:rsidRPr="007D0378">
        <w:rPr>
          <w:i/>
          <w:iCs/>
        </w:rPr>
        <w:t>see also</w:t>
      </w:r>
      <w:r>
        <w:t xml:space="preserve"> NG911 Roadmap at 15 (stating that “how ‘fee diversion’ is defined across jurisdictions is inconsistent, thus jeopardizing the integrity with which 911 funds are used and whether they are applied to NG911 maturation” and calling for a concrete definition of “what constitutes eligible spending of 911 funds”).</w:t>
      </w:r>
    </w:p>
  </w:footnote>
  <w:footnote w:id="69">
    <w:p w:rsidR="0029102F" w:rsidP="008828A9" w14:paraId="406ACFB3" w14:textId="77777777">
      <w:pPr>
        <w:pStyle w:val="FootnoteText"/>
      </w:pPr>
      <w:r>
        <w:rPr>
          <w:rStyle w:val="FootnoteReference"/>
        </w:rPr>
        <w:footnoteRef/>
      </w:r>
      <w:r>
        <w:t xml:space="preserve"> Minn. Stat. </w:t>
      </w:r>
      <w:r w:rsidRPr="00957469">
        <w:t>§</w:t>
      </w:r>
      <w:r>
        <w:t xml:space="preserve"> 403.113, </w:t>
      </w:r>
      <w:r>
        <w:t>Subd</w:t>
      </w:r>
      <w:r>
        <w:t xml:space="preserve">. 1 (2019), </w:t>
      </w:r>
      <w:hyperlink r:id="rId23" w:history="1">
        <w:r>
          <w:rPr>
            <w:rStyle w:val="Hyperlink"/>
          </w:rPr>
          <w:t>https://www.revisor.mn.gov/statutes/cite/403.113</w:t>
        </w:r>
      </w:hyperlink>
      <w:r>
        <w:t>.</w:t>
      </w:r>
    </w:p>
  </w:footnote>
  <w:footnote w:id="70">
    <w:p w:rsidR="0029102F" w:rsidP="008828A9" w14:paraId="5CAED17B" w14:textId="77777777">
      <w:pPr>
        <w:pStyle w:val="FootnoteText"/>
      </w:pPr>
      <w:r>
        <w:rPr>
          <w:rStyle w:val="FootnoteReference"/>
        </w:rPr>
        <w:footnoteRef/>
      </w:r>
      <w:r>
        <w:t xml:space="preserve"> </w:t>
      </w:r>
      <w:r w:rsidRPr="00BC00E0">
        <w:rPr>
          <w:i/>
          <w:iCs/>
        </w:rPr>
        <w:t>Id.</w:t>
      </w:r>
      <w:r>
        <w:t xml:space="preserve"> </w:t>
      </w:r>
      <w:r w:rsidRPr="00957469">
        <w:t>§</w:t>
      </w:r>
      <w:r>
        <w:t xml:space="preserve"> 403.113, </w:t>
      </w:r>
      <w:r>
        <w:t>Subd</w:t>
      </w:r>
      <w:r>
        <w:t xml:space="preserve">. 3.  In addition, the statute provides that 911 funds may not be spent on “(1) purchasing or leasing of real estate or cosmetic additions to or remodeling of communications centers; (2) mobile communications vehicles, fire engines, ambulances, law enforcement vehicles, or other emergency vehicles; (3) signs, posts, or other markers related to addressing or any costs associated with the installation or maintenance of signs, posts, or markers.”  </w:t>
      </w:r>
      <w:r w:rsidRPr="004862AF">
        <w:rPr>
          <w:i/>
          <w:iCs/>
        </w:rPr>
        <w:t>Id.</w:t>
      </w:r>
      <w:r>
        <w:t xml:space="preserve"> </w:t>
      </w:r>
    </w:p>
  </w:footnote>
  <w:footnote w:id="71">
    <w:p w:rsidR="0029102F" w:rsidP="008828A9" w14:paraId="39A73227" w14:textId="77777777">
      <w:pPr>
        <w:pStyle w:val="FootnoteText"/>
      </w:pPr>
      <w:r>
        <w:rPr>
          <w:rStyle w:val="FootnoteReference"/>
        </w:rPr>
        <w:footnoteRef/>
      </w:r>
      <w:r>
        <w:t xml:space="preserve"> 35 Pa. Cons. Stat. </w:t>
      </w:r>
      <w:r w:rsidRPr="00957469">
        <w:t>§</w:t>
      </w:r>
      <w:r>
        <w:t xml:space="preserve"> 5303(a)(10), </w:t>
      </w:r>
      <w:hyperlink r:id="rId24" w:history="1">
        <w:r>
          <w:rPr>
            <w:rStyle w:val="Hyperlink"/>
          </w:rPr>
          <w:t>https://www.legis.state.pa.us/WU01/LI/LI/CT/HTM/35/00.053.003.000..HTM</w:t>
        </w:r>
      </w:hyperlink>
      <w:r>
        <w:t xml:space="preserve">.  </w:t>
      </w:r>
    </w:p>
  </w:footnote>
  <w:footnote w:id="72">
    <w:p w:rsidR="0029102F" w:rsidP="008828A9" w14:paraId="5E3BCD2B" w14:textId="77777777">
      <w:pPr>
        <w:pStyle w:val="FootnoteText"/>
      </w:pPr>
      <w:r>
        <w:rPr>
          <w:rStyle w:val="FootnoteReference"/>
        </w:rPr>
        <w:footnoteRef/>
      </w:r>
      <w:r>
        <w:t xml:space="preserve"> </w:t>
      </w:r>
      <w:r w:rsidRPr="00E31C35">
        <w:rPr>
          <w:i/>
          <w:iCs/>
        </w:rPr>
        <w:t>See</w:t>
      </w:r>
      <w:r>
        <w:t xml:space="preserve"> Pennsylvania Emergency Management Agency, 911 Program, Program Guidance, Calendar Year 2020 at Appx. B (2020 Eligibility Factors List) (undated), </w:t>
      </w:r>
      <w:hyperlink r:id="rId25" w:history="1">
        <w:r>
          <w:rPr>
            <w:rStyle w:val="Hyperlink"/>
          </w:rPr>
          <w:t>https://www.pema.pa.gov/911-Program/Partners/Requirements-Resources/Documents/911-Program-Guidance-2020.pdf</w:t>
        </w:r>
      </w:hyperlink>
      <w:r>
        <w:t xml:space="preserve">.    </w:t>
      </w:r>
    </w:p>
  </w:footnote>
  <w:footnote w:id="73">
    <w:p w:rsidR="0029102F" w:rsidP="008828A9" w14:paraId="373AE401" w14:textId="77777777">
      <w:pPr>
        <w:pStyle w:val="FootnoteText"/>
      </w:pPr>
      <w:r>
        <w:rPr>
          <w:rStyle w:val="FootnoteReference"/>
        </w:rPr>
        <w:footnoteRef/>
      </w:r>
      <w:r>
        <w:t xml:space="preserve"> Virginia Department of Emergency Management, NG9-1-1 Funding and PSAP Grant Program Guidelines, FY22 (undated), </w:t>
      </w:r>
      <w:hyperlink r:id="rId26" w:history="1">
        <w:r>
          <w:rPr>
            <w:rStyle w:val="Hyperlink"/>
          </w:rPr>
          <w:t>https://www.vaemergency.gov/wp-content/uploads/2020/07/FY22Guidelines.pdf</w:t>
        </w:r>
      </w:hyperlink>
      <w:r>
        <w:t xml:space="preserve">.  </w:t>
      </w:r>
    </w:p>
  </w:footnote>
  <w:footnote w:id="74">
    <w:p w:rsidR="0029102F" w:rsidP="008828A9" w14:paraId="6949DE17" w14:textId="77777777">
      <w:pPr>
        <w:pStyle w:val="FootnoteText"/>
      </w:pPr>
      <w:r>
        <w:rPr>
          <w:rStyle w:val="FootnoteReference"/>
        </w:rPr>
        <w:footnoteRef/>
      </w:r>
      <w:r>
        <w:t xml:space="preserve"> Letter from Lisa McCabe, Director, State Legislative Affairs, CTIA, to Councilmember Charles Allen, Chair, Committee on Judiciary &amp; Public Safety, Council of the District of Columbia, B22-0519, at 1 (Jan. 22, 2018), </w:t>
      </w:r>
      <w:hyperlink r:id="rId27" w:history="1">
        <w:r>
          <w:rPr>
            <w:rStyle w:val="Hyperlink"/>
          </w:rPr>
          <w:t>https://api.ctia.org/docs/default-source/legislative-activity/ctia-letter-with-concerns-regarding-washington-dc-b22-0519----funding-personnel-through-911-fees.pdf</w:t>
        </w:r>
      </w:hyperlink>
      <w:r>
        <w:t>.</w:t>
      </w:r>
    </w:p>
  </w:footnote>
  <w:footnote w:id="75">
    <w:p w:rsidR="0029102F" w:rsidP="008828A9" w14:paraId="51DA0F7E" w14:textId="77777777">
      <w:pPr>
        <w:pStyle w:val="FootnoteText"/>
      </w:pPr>
      <w:r>
        <w:rPr>
          <w:rStyle w:val="FootnoteReference"/>
        </w:rPr>
        <w:footnoteRef/>
      </w:r>
      <w:r>
        <w:t xml:space="preserve"> </w:t>
      </w:r>
      <w:r w:rsidRPr="005C0B71">
        <w:rPr>
          <w:i/>
          <w:iCs/>
        </w:rPr>
        <w:t>Id.</w:t>
      </w:r>
    </w:p>
  </w:footnote>
  <w:footnote w:id="76">
    <w:p w:rsidR="0029102F" w:rsidP="008828A9" w14:paraId="35912745" w14:textId="35973636">
      <w:pPr>
        <w:pStyle w:val="FootnoteText"/>
      </w:pPr>
      <w:r>
        <w:rPr>
          <w:rStyle w:val="FootnoteReference"/>
        </w:rPr>
        <w:footnoteRef/>
      </w:r>
      <w:r>
        <w:t xml:space="preserve"> </w:t>
      </w:r>
      <w:r w:rsidRPr="00DA7A50">
        <w:rPr>
          <w:i/>
          <w:iCs/>
        </w:rPr>
        <w:t>See</w:t>
      </w:r>
      <w:r>
        <w:rPr>
          <w:i/>
          <w:iCs/>
        </w:rPr>
        <w:t>, e.g.</w:t>
      </w:r>
      <w:r w:rsidRPr="006744B5">
        <w:t>,</w:t>
      </w:r>
      <w:r>
        <w:t xml:space="preserve"> Eleventh Report at 21, para. 18</w:t>
      </w:r>
      <w:r w:rsidRPr="004203C2">
        <w:rPr>
          <w:color w:val="201F1E"/>
          <w:shd w:val="clear" w:color="auto" w:fill="FFFFFF"/>
        </w:rPr>
        <w:t>; Tenth Report at 44-45, para. 33</w:t>
      </w:r>
      <w:r w:rsidRPr="00F072AD">
        <w:t>.</w:t>
      </w:r>
      <w:r>
        <w:t xml:space="preserve"> </w:t>
      </w:r>
    </w:p>
  </w:footnote>
  <w:footnote w:id="77">
    <w:p w:rsidR="0029102F" w:rsidP="008828A9" w14:paraId="1C9C5B62" w14:textId="77777777">
      <w:pPr>
        <w:pStyle w:val="FootnoteText"/>
      </w:pPr>
      <w:r>
        <w:rPr>
          <w:rStyle w:val="FootnoteReference"/>
        </w:rPr>
        <w:footnoteRef/>
      </w:r>
      <w:r>
        <w:t xml:space="preserve"> </w:t>
      </w:r>
      <w:r w:rsidRPr="00011E52">
        <w:t>The Nebraska Public Service Commission (PSC) recently sought comment on whether it should expand the eligible uses of PSAP funding to include radio equipment, among other uses</w:t>
      </w:r>
      <w:r>
        <w:t xml:space="preserve">.  </w:t>
      </w:r>
      <w:r w:rsidRPr="00922F46">
        <w:rPr>
          <w:i/>
          <w:iCs/>
        </w:rPr>
        <w:t>See</w:t>
      </w:r>
      <w:r>
        <w:t xml:space="preserve"> </w:t>
      </w:r>
      <w:r>
        <w:rPr>
          <w:i/>
          <w:iCs/>
        </w:rPr>
        <w:t xml:space="preserve">Nebraska Public Service Commission, on its own motion, to consider recommendations of the Service System Advisory Committee for creation of a new funding system for Next Generation 911, </w:t>
      </w:r>
      <w:r>
        <w:t xml:space="preserve">Application Nos. 911-073/PI-232, Order Opening Docket and Seeking Public Comment at 3 (May 5, 2020), </w:t>
      </w:r>
      <w:hyperlink r:id="rId28" w:history="1">
        <w:r>
          <w:rPr>
            <w:rStyle w:val="Hyperlink"/>
          </w:rPr>
          <w:t>https://www.nebraska.gov/psc/orders/state911/2020-05-05%20911-073%20PI-232%20Order%20Opening%20Docket%20And%20Seeking%20Public%20Comment.pdf</w:t>
        </w:r>
      </w:hyperlink>
      <w:r>
        <w:t xml:space="preserve">.  </w:t>
      </w:r>
      <w:r w:rsidRPr="00011E52">
        <w:t xml:space="preserve">While CTIA (citing the Commission’s Eleventh Report) commented that using 911 funding for public </w:t>
      </w:r>
      <w:r>
        <w:t xml:space="preserve">safety </w:t>
      </w:r>
      <w:r w:rsidRPr="00011E52">
        <w:t>radio systems would constitute fee diversion</w:t>
      </w:r>
      <w:r>
        <w:t xml:space="preserve">, </w:t>
      </w:r>
      <w:r w:rsidRPr="00011E52">
        <w:t>the Douglas County 911 Director asserted that “[t]he call, once answered must be processed in accordance with local guidance, necessary and appropriate help must be correctly determined and emergency response must be directed until they arrive at the citizen.”  Accordingly, “Douglas County adamantly supports that funding be authorized for ALL the necessary components of the entire 911 System.”</w:t>
      </w:r>
      <w:r>
        <w:t xml:space="preserve">  </w:t>
      </w:r>
      <w:r w:rsidRPr="00011E52">
        <w:rPr>
          <w:i/>
          <w:iCs/>
        </w:rPr>
        <w:t>See</w:t>
      </w:r>
      <w:r>
        <w:t xml:space="preserve"> CTIA Comments, Application Nos. 911-073/PI-232, at 1-3 (rec. June 5, 2020), </w:t>
      </w:r>
      <w:hyperlink r:id="rId29" w:history="1">
        <w:r>
          <w:rPr>
            <w:rStyle w:val="Hyperlink"/>
          </w:rPr>
          <w:t>https://psc.nebraska.gov/sites/psc.nebraska.gov/files/doc/CTIA%20Comments%20911-073%206-5-20.pdf</w:t>
        </w:r>
      </w:hyperlink>
      <w:r>
        <w:t xml:space="preserve">; Letter from Kathy Allen, Douglas County 911 Director, to Nebraska Public Service Commission, Application Nos. 911-073/PI-232, at 1 (filed June 4, 2020), </w:t>
      </w:r>
      <w:hyperlink r:id="rId30" w:history="1">
        <w:r>
          <w:rPr>
            <w:rStyle w:val="Hyperlink"/>
          </w:rPr>
          <w:t>https://psc.nebraska.gov/sites/psc.nebraska.gov/files/doc/Douglas%20County%20911%20Comments%20filed%206-4-2020%20on%20Application%20911-073PI232%20%281%29.pdf</w:t>
        </w:r>
      </w:hyperlink>
      <w:r>
        <w:t xml:space="preserve">; </w:t>
      </w:r>
      <w:r w:rsidRPr="00011E52">
        <w:rPr>
          <w:i/>
          <w:iCs/>
        </w:rPr>
        <w:t>see also</w:t>
      </w:r>
      <w:r>
        <w:t xml:space="preserve"> Letter from Ken Moody, Dawson County Sheriff, to Nebraska Public Service Commission, Application Nos. 911-073/PI-232, at 1 (filed May 26, 2020), </w:t>
      </w:r>
      <w:hyperlink r:id="rId31" w:history="1">
        <w:r>
          <w:rPr>
            <w:rStyle w:val="Hyperlink"/>
          </w:rPr>
          <w:t>https://psc.nebraska.gov/sites/psc.nebraska.gov/files/doc/Dawson%20County%20Sheriff%20comments%205-27-2020.pdf</w:t>
        </w:r>
      </w:hyperlink>
      <w:r>
        <w:rPr>
          <w:rStyle w:val="Hyperlink"/>
        </w:rPr>
        <w:t xml:space="preserve">. </w:t>
      </w:r>
      <w:r>
        <w:t xml:space="preserve">(stating that allowable uses of 911 funding should include “radio equipment or any other expense to run a 9-1-1 Center”).  </w:t>
      </w:r>
    </w:p>
  </w:footnote>
  <w:footnote w:id="78">
    <w:p w:rsidR="0029102F" w:rsidP="008828A9" w14:paraId="356A85DC" w14:textId="77777777">
      <w:pPr>
        <w:pStyle w:val="FootnoteText"/>
      </w:pPr>
      <w:r>
        <w:rPr>
          <w:rStyle w:val="FootnoteReference"/>
        </w:rPr>
        <w:footnoteRef/>
      </w:r>
      <w:r>
        <w:t xml:space="preserve"> </w:t>
      </w:r>
      <w:r w:rsidRPr="00C86609">
        <w:rPr>
          <w:i/>
          <w:iCs/>
        </w:rPr>
        <w:t>See, e.g.</w:t>
      </w:r>
      <w:r>
        <w:t xml:space="preserve">, </w:t>
      </w:r>
      <w:r w:rsidRPr="00C86609">
        <w:rPr>
          <w:i/>
          <w:iCs/>
        </w:rPr>
        <w:t>TFOPA Final Report</w:t>
      </w:r>
      <w:r>
        <w:t xml:space="preserve"> at 155 (“9-1-1 funds should be collected and deposited in special purpose dedicated fund/accounts held outside the legislative appropriations process and not subject to restrictions beyond the scope of the authorizing 9-1-1 legislation.”).</w:t>
      </w:r>
    </w:p>
  </w:footnote>
  <w:footnote w:id="79">
    <w:p w:rsidR="0029102F" w:rsidP="008828A9" w14:paraId="529E18CB" w14:textId="77777777">
      <w:pPr>
        <w:pStyle w:val="FootnoteText"/>
      </w:pPr>
      <w:r>
        <w:rPr>
          <w:rStyle w:val="FootnoteReference"/>
        </w:rPr>
        <w:footnoteRef/>
      </w:r>
      <w:r>
        <w:t xml:space="preserve"> </w:t>
      </w:r>
      <w:r w:rsidRPr="00E00698">
        <w:rPr>
          <w:i/>
          <w:iCs/>
        </w:rPr>
        <w:t>E.g.</w:t>
      </w:r>
      <w:r>
        <w:t>, Eleventh Report at 43, para. 34 (“We do not agree that a fee or charge must be exclusively designated for 911 or E911 purposes in order to constitute a fee or charge ‘for the support or implementation of 9-1-1 or enhanced 9-1-1 services’ under Section 6(f)(1) of the NET 911 Act.”).</w:t>
      </w:r>
    </w:p>
  </w:footnote>
  <w:footnote w:id="80">
    <w:p w:rsidR="0029102F" w:rsidP="008828A9" w14:paraId="162A15B7" w14:textId="77777777">
      <w:pPr>
        <w:pStyle w:val="FootnoteText"/>
      </w:pPr>
      <w:r>
        <w:rPr>
          <w:rStyle w:val="FootnoteReference"/>
        </w:rPr>
        <w:footnoteRef/>
      </w:r>
      <w:r>
        <w:t xml:space="preserve"> Eleventh Report at 42-43, para. 34 &amp; nn.61, 63 (citing New York tax statute and New York Response at 4).</w:t>
      </w:r>
    </w:p>
  </w:footnote>
  <w:footnote w:id="81">
    <w:p w:rsidR="0029102F" w:rsidP="008828A9" w14:paraId="678FCB85" w14:textId="77777777">
      <w:pPr>
        <w:pStyle w:val="FootnoteText"/>
      </w:pPr>
      <w:r>
        <w:rPr>
          <w:rStyle w:val="FootnoteReference"/>
        </w:rPr>
        <w:footnoteRef/>
      </w:r>
      <w:r>
        <w:t xml:space="preserve"> Eleventh Report at 43, para. 34 &amp; n.65 (citing N.Y. Tax Law § 186-f 1(d) (McKinney 2017)).</w:t>
      </w:r>
    </w:p>
  </w:footnote>
  <w:footnote w:id="82">
    <w:p w:rsidR="0029102F" w:rsidP="008828A9" w14:paraId="127F9672" w14:textId="77777777">
      <w:pPr>
        <w:pStyle w:val="FootnoteText"/>
      </w:pPr>
      <w:r>
        <w:rPr>
          <w:rStyle w:val="FootnoteReference"/>
        </w:rPr>
        <w:footnoteRef/>
      </w:r>
      <w:r>
        <w:t xml:space="preserve"> Eleventh Report at 43, para. 34.</w:t>
      </w:r>
    </w:p>
  </w:footnote>
  <w:footnote w:id="83">
    <w:p w:rsidR="0029102F" w:rsidP="008828A9" w14:paraId="43BB40D2" w14:textId="77777777">
      <w:pPr>
        <w:pStyle w:val="FootnoteText"/>
      </w:pPr>
      <w:r>
        <w:rPr>
          <w:rStyle w:val="FootnoteReference"/>
        </w:rPr>
        <w:footnoteRef/>
      </w:r>
      <w:r>
        <w:t xml:space="preserve"> Eleventh Report at 43, paras. 34-35.</w:t>
      </w:r>
    </w:p>
  </w:footnote>
  <w:footnote w:id="84">
    <w:p w:rsidR="0029102F" w:rsidP="008828A9" w14:paraId="01B294FB" w14:textId="77777777">
      <w:pPr>
        <w:pStyle w:val="FootnoteText"/>
      </w:pPr>
      <w:r>
        <w:rPr>
          <w:rStyle w:val="FootnoteReference"/>
        </w:rPr>
        <w:footnoteRef/>
      </w:r>
      <w:r>
        <w:t xml:space="preserve"> Eleventh Report at 42-44, paras. 33-36.</w:t>
      </w:r>
    </w:p>
  </w:footnote>
  <w:footnote w:id="85">
    <w:p w:rsidR="0029102F" w:rsidP="008828A9" w14:paraId="3B0A08BF" w14:textId="77777777">
      <w:pPr>
        <w:pStyle w:val="FootnoteText"/>
      </w:pPr>
      <w:r>
        <w:rPr>
          <w:rStyle w:val="FootnoteReference"/>
        </w:rPr>
        <w:footnoteRef/>
      </w:r>
      <w:r>
        <w:t xml:space="preserve"> Eleventh Report at 44-45, paras. 39-40.</w:t>
      </w:r>
    </w:p>
  </w:footnote>
  <w:footnote w:id="86">
    <w:p w:rsidR="0029102F" w:rsidP="008828A9" w14:paraId="0AFE5DA3" w14:textId="77777777">
      <w:pPr>
        <w:pStyle w:val="FootnoteText"/>
      </w:pPr>
      <w:r>
        <w:rPr>
          <w:rStyle w:val="FootnoteReference"/>
        </w:rPr>
        <w:footnoteRef/>
      </w:r>
      <w:r>
        <w:t xml:space="preserve"> Eleventh Report at 45, para. 40.</w:t>
      </w:r>
    </w:p>
  </w:footnote>
  <w:footnote w:id="87">
    <w:p w:rsidR="0029102F" w:rsidP="008828A9" w14:paraId="5B5ADCF4" w14:textId="77777777">
      <w:pPr>
        <w:pStyle w:val="FootnoteText"/>
      </w:pPr>
      <w:r>
        <w:rPr>
          <w:rStyle w:val="FootnoteReference"/>
        </w:rPr>
        <w:footnoteRef/>
      </w:r>
      <w:r>
        <w:t xml:space="preserve"> </w:t>
      </w:r>
      <w:r w:rsidRPr="00695A88">
        <w:rPr>
          <w:i/>
          <w:iCs/>
        </w:rPr>
        <w:t>Id.</w:t>
      </w:r>
    </w:p>
  </w:footnote>
  <w:footnote w:id="88">
    <w:p w:rsidR="0029102F" w:rsidP="008828A9" w14:paraId="47DB52F5" w14:textId="77777777">
      <w:pPr>
        <w:pStyle w:val="FootnoteText"/>
      </w:pPr>
      <w:r>
        <w:rPr>
          <w:rStyle w:val="FootnoteReference"/>
        </w:rPr>
        <w:footnoteRef/>
      </w:r>
      <w:r>
        <w:t xml:space="preserve"> </w:t>
      </w:r>
      <w:r w:rsidRPr="005240BC">
        <w:rPr>
          <w:i/>
          <w:iCs/>
        </w:rPr>
        <w:t>Id.</w:t>
      </w:r>
    </w:p>
  </w:footnote>
  <w:footnote w:id="89">
    <w:p w:rsidR="0029102F" w:rsidRPr="006817F9" w:rsidP="008828A9" w14:paraId="440A646F" w14:textId="77777777">
      <w:pPr>
        <w:pStyle w:val="FootnoteText"/>
      </w:pPr>
      <w:r>
        <w:rPr>
          <w:rStyle w:val="FootnoteReference"/>
        </w:rPr>
        <w:footnoteRef/>
      </w:r>
      <w:r>
        <w:t xml:space="preserve"> </w:t>
      </w:r>
      <w:r w:rsidRPr="001249A4">
        <w:rPr>
          <w:i/>
          <w:iCs/>
        </w:rPr>
        <w:t>Id.</w:t>
      </w:r>
    </w:p>
  </w:footnote>
  <w:footnote w:id="90">
    <w:p w:rsidR="0029102F" w:rsidP="008828A9" w14:paraId="5DBBD196" w14:textId="77777777">
      <w:pPr>
        <w:pStyle w:val="FootnoteText"/>
      </w:pPr>
      <w:r>
        <w:rPr>
          <w:rStyle w:val="FootnoteReference"/>
        </w:rPr>
        <w:footnoteRef/>
      </w:r>
      <w:r>
        <w:t xml:space="preserve"> Eleventh Report at 44-45, paras. 39-40.</w:t>
      </w:r>
    </w:p>
  </w:footnote>
  <w:footnote w:id="91">
    <w:p w:rsidR="0029102F" w:rsidP="008828A9" w14:paraId="09644A7A" w14:textId="77777777">
      <w:pPr>
        <w:pStyle w:val="FootnoteText"/>
      </w:pPr>
      <w:r>
        <w:rPr>
          <w:rStyle w:val="FootnoteReference"/>
        </w:rPr>
        <w:footnoteRef/>
      </w:r>
      <w:r>
        <w:t xml:space="preserve">  </w:t>
      </w:r>
      <w:r w:rsidRPr="00BA0296">
        <w:rPr>
          <w:i/>
          <w:iCs/>
        </w:rPr>
        <w:t>See</w:t>
      </w:r>
      <w:r>
        <w:rPr>
          <w:i/>
          <w:iCs/>
        </w:rPr>
        <w:t xml:space="preserve">, e.g., </w:t>
      </w:r>
      <w:r>
        <w:t xml:space="preserve">APCO Comments, PS Docket No. 09-14, at 4-5 (rec. Jan. 18, 2019) (urging the Commission to clearly define NG911 and provide more information about NG911 expenditures); NJWA Reply Comments, PS Docket No. 09-14, at 3 (rec. Feb. 12, 2019) (agreeing with APCO on the need for clarification of NG911 expenditures).  </w:t>
      </w:r>
    </w:p>
  </w:footnote>
  <w:footnote w:id="92">
    <w:p w:rsidR="0029102F" w:rsidP="008828A9" w14:paraId="6789DBC5" w14:textId="77777777">
      <w:pPr>
        <w:pStyle w:val="FootnoteText"/>
      </w:pPr>
      <w:r>
        <w:rPr>
          <w:rStyle w:val="FootnoteReference"/>
        </w:rPr>
        <w:footnoteRef/>
      </w:r>
      <w:r>
        <w:t xml:space="preserve"> 47 CF</w:t>
      </w:r>
      <w:r w:rsidRPr="002F2805">
        <w:t xml:space="preserve">R §§ 1.1200 </w:t>
      </w:r>
      <w:r w:rsidRPr="002F2805">
        <w:rPr>
          <w:i/>
          <w:iCs/>
        </w:rPr>
        <w:t>et seq.</w:t>
      </w:r>
    </w:p>
  </w:footnote>
  <w:footnote w:id="93">
    <w:p w:rsidR="00F64F7E" w14:paraId="14A14D48" w14:textId="54695553">
      <w:pPr>
        <w:pStyle w:val="FootnoteText"/>
      </w:pPr>
      <w:r>
        <w:rPr>
          <w:rStyle w:val="FootnoteReference"/>
        </w:rPr>
        <w:footnoteRef/>
      </w:r>
      <w:r>
        <w:t xml:space="preserve"> This Table is derived from Table 17 of the Eleventh Report, as corrected.  Eleventh Report at 45-46, Table 17.  As explained by the Eleventh Report, the Commission has determined that the U.S. Virgin Islands was not a 911 fee diverter for report year 2018 (i.e., calendar year 2017).  Eleventh Report at 44, para. 39.  Thus, the U.S. Virgin Islands entry has been removed from this Appendix A for the 2018 report year.</w:t>
      </w:r>
    </w:p>
  </w:footnote>
  <w:footnote w:id="94">
    <w:p w:rsidR="0029102F" w:rsidP="008828A9" w14:paraId="3F9A2300" w14:textId="77777777">
      <w:pPr>
        <w:pStyle w:val="FootnoteText"/>
      </w:pPr>
      <w:r>
        <w:rPr>
          <w:rStyle w:val="FootnoteReference"/>
        </w:rPr>
        <w:footnoteRef/>
      </w:r>
      <w:r>
        <w:t xml:space="preserve"> The Commission did not find that Nevada diverted 911 fees at the state level in CY 2018.  However, the Commission concluded that one local Nevada jurisdiction diverted 911 fees in 2018.</w:t>
      </w:r>
    </w:p>
  </w:footnote>
  <w:footnote w:id="95">
    <w:p w:rsidR="00F64F7E" w14:paraId="6EA60A8F" w14:textId="11610026">
      <w:pPr>
        <w:pStyle w:val="FootnoteText"/>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32" w:history="1">
        <w:r>
          <w:rPr>
            <w:rStyle w:val="Hyperlink"/>
          </w:rPr>
          <w:t>https://cdn.ymaws.com/www.nena.org/resource/resmgr/standards/NENA-ADM-000.22-2018_FINAL_2.pdf</w:t>
        </w:r>
      </w:hyperlink>
      <w:r w:rsidRPr="00003A91">
        <w:t>.</w:t>
      </w:r>
    </w:p>
  </w:footnote>
  <w:footnote w:id="96">
    <w:p w:rsidR="0029102F" w:rsidRPr="00554172" w:rsidP="008828A9" w14:paraId="2CA8BF49" w14:textId="77777777">
      <w:pPr>
        <w:pStyle w:val="FootnoteText"/>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 w:id="97">
    <w:p w:rsidR="00F64F7E" w14:paraId="77099885" w14:textId="3B17B4B0">
      <w:pPr>
        <w:pStyle w:val="FootnoteText"/>
      </w:pPr>
      <w:r>
        <w:rPr>
          <w:rStyle w:val="FootnoteReference"/>
        </w:rPr>
        <w:footnoteRef/>
      </w:r>
      <w:r>
        <w:t xml:space="preserve"> </w:t>
      </w:r>
      <w:r w:rsidRPr="002B1811">
        <w:rPr>
          <w:i/>
        </w:rPr>
        <w:t xml:space="preserve">See </w:t>
      </w:r>
      <w:r w:rsidRPr="002B1811">
        <w:t xml:space="preserve">Don’t Break </w:t>
      </w:r>
      <w:r>
        <w:t>U</w:t>
      </w:r>
      <w:r w:rsidRPr="002B1811">
        <w:t>p the T-Band Act of 2020, H.R. 451, 115th Cong. § 4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14:paraId="7C8A07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rsidP="00810B6F" w14:paraId="334E3000" w14:textId="0D56EEA4">
    <w:pPr>
      <w:pStyle w:val="Header"/>
      <w:rPr>
        <w:b w:val="0"/>
      </w:rPr>
    </w:pPr>
    <w:r>
      <w:tab/>
      <w:t>Federal Communications Commission</w:t>
    </w:r>
    <w:r>
      <w:tab/>
      <w:t>FCC 20-134</w:t>
    </w:r>
  </w:p>
  <w:p w:rsidR="0029102F" w14:paraId="59942C64" w14:textId="28A3F0D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9102F" w14:paraId="2477E19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rsidP="00810B6F" w14:paraId="576E23D2" w14:textId="4459B1B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20-134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02F" w:rsidP="00810B6F" w14:paraId="01C1373E" w14:textId="4A8A6930">
    <w:pPr>
      <w:pStyle w:val="Header"/>
      <w:rPr>
        <w:b w:val="0"/>
      </w:rPr>
    </w:pPr>
    <w:r>
      <w:tab/>
      <w:t>Federal Communications Commission</w:t>
    </w:r>
    <w:r>
      <w:tab/>
      <w:t>FCC 20-</w:t>
    </w:r>
    <w:r w:rsidR="00926084">
      <w:t>134</w:t>
    </w:r>
  </w:p>
  <w:p w:rsidR="0029102F" w14:paraId="6C7102A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v:path arrowok="t"/>
              <w10:wrap anchorx="margin"/>
            </v:rect>
          </w:pict>
        </mc:Fallback>
      </mc:AlternateContent>
    </w:r>
  </w:p>
  <w:p w:rsidR="0029102F" w14:paraId="468015FE"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E7045F"/>
    <w:multiLevelType w:val="hybridMultilevel"/>
    <w:tmpl w:val="13A623F4"/>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5821C0"/>
    <w:multiLevelType w:val="hybridMultilevel"/>
    <w:tmpl w:val="FE0254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0B2BF8"/>
    <w:multiLevelType w:val="hybridMultilevel"/>
    <w:tmpl w:val="3872E820"/>
    <w:lvl w:ilvl="0">
      <w:start w:val="1"/>
      <w:numFmt w:val="decimal"/>
      <w:lvlText w:val="%1."/>
      <w:lvlJc w:val="left"/>
      <w:pPr>
        <w:ind w:left="360" w:hanging="360"/>
      </w:pPr>
      <w:rPr>
        <w:rFonts w:hint="default"/>
        <w:color w:val="00000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363D95"/>
    <w:multiLevelType w:val="hybridMultilevel"/>
    <w:tmpl w:val="714852D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0AE1A33"/>
    <w:multiLevelType w:val="hybridMultilevel"/>
    <w:tmpl w:val="D6B0BF40"/>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6">
    <w:nsid w:val="13776257"/>
    <w:multiLevelType w:val="hybridMultilevel"/>
    <w:tmpl w:val="9C7A823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002286"/>
    <w:multiLevelType w:val="hybridMultilevel"/>
    <w:tmpl w:val="C644B49C"/>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A304909"/>
    <w:multiLevelType w:val="hybridMultilevel"/>
    <w:tmpl w:val="7B5C1516"/>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9">
    <w:nsid w:val="1EE73740"/>
    <w:multiLevelType w:val="hybridMultilevel"/>
    <w:tmpl w:val="EF2ACD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2440E76"/>
    <w:multiLevelType w:val="hybridMultilevel"/>
    <w:tmpl w:val="62B8BEEA"/>
    <w:lvl w:ilvl="0">
      <w:start w:val="1"/>
      <w:numFmt w:val="decimal"/>
      <w:lvlText w:val="%1."/>
      <w:lvlJc w:val="left"/>
      <w:pPr>
        <w:ind w:left="360" w:hanging="360"/>
      </w:pPr>
      <w:rPr>
        <w:rFonts w:ascii="Times New Roman Bold" w:hAnsi="Times New Roman Bold" w:cs="Arial"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12">
    <w:nsid w:val="386C4351"/>
    <w:multiLevelType w:val="hybridMultilevel"/>
    <w:tmpl w:val="10E0E922"/>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5D33A9"/>
    <w:multiLevelType w:val="hybridMultilevel"/>
    <w:tmpl w:val="83E467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82925"/>
    <w:multiLevelType w:val="singleLevel"/>
    <w:tmpl w:val="85360708"/>
    <w:lvl w:ilvl="0">
      <w:start w:val="1"/>
      <w:numFmt w:val="decimal"/>
      <w:pStyle w:val="ParaNum"/>
      <w:lvlText w:val="%1."/>
      <w:lvlJc w:val="left"/>
      <w:pPr>
        <w:tabs>
          <w:tab w:val="num" w:pos="1080"/>
        </w:tabs>
        <w:ind w:left="0" w:firstLine="720"/>
      </w:pPr>
      <w:rPr>
        <w:b w:val="0"/>
      </w:rPr>
    </w:lvl>
  </w:abstractNum>
  <w:abstractNum w:abstractNumId="15">
    <w:nsid w:val="641D75A4"/>
    <w:multiLevelType w:val="hybridMultilevel"/>
    <w:tmpl w:val="C31484F2"/>
    <w:lvl w:ilvl="0">
      <w:start w:val="1"/>
      <w:numFmt w:val="decimal"/>
      <w:lvlText w:val="%1."/>
      <w:lvlJc w:val="left"/>
      <w:pPr>
        <w:ind w:left="360" w:hanging="360"/>
      </w:pPr>
      <w:rPr>
        <w:rFonts w:ascii="Times New Roman" w:hAnsi="Times New Roman" w:cs="Times New Roman"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5A960BF"/>
    <w:multiLevelType w:val="hybridMultilevel"/>
    <w:tmpl w:val="902A1AC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69773708"/>
    <w:multiLevelType w:val="hybridMultilevel"/>
    <w:tmpl w:val="C1DE0F4E"/>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abstractNum w:abstractNumId="18">
    <w:nsid w:val="75F15EBB"/>
    <w:multiLevelType w:val="hybridMultilevel"/>
    <w:tmpl w:val="89C8675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BDD2A1F"/>
    <w:multiLevelType w:val="hybridMultilevel"/>
    <w:tmpl w:val="D0644B88"/>
    <w:lvl w:ilvl="0">
      <w:start w:val="1"/>
      <w:numFmt w:val="decimal"/>
      <w:lvlText w:val="%1."/>
      <w:lvlJc w:val="left"/>
      <w:pPr>
        <w:ind w:left="360" w:hanging="360"/>
      </w:pPr>
      <w:rPr>
        <w:rFonts w:ascii="Times New Roman" w:hAnsi="Times New Roman" w:cs="Times New Roman" w:hint="default"/>
        <w:b/>
        <w:sz w:val="22"/>
        <w:szCs w:val="22"/>
      </w:rPr>
    </w:lvl>
    <w:lvl w:ilvl="1">
      <w:start w:val="1"/>
      <w:numFmt w:val="bullet"/>
      <w:lvlText w:val="o"/>
      <w:lvlJc w:val="left"/>
      <w:pPr>
        <w:ind w:left="1080" w:hanging="360"/>
      </w:pPr>
      <w:rPr>
        <w:rFonts w:ascii="Courier New" w:hAnsi="Courier New" w:cs="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Symbol"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Symbol" w:hint="default"/>
      </w:rPr>
    </w:lvl>
    <w:lvl w:ilvl="8"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14"/>
    <w:lvlOverride w:ilvl="0">
      <w:startOverride w:val="1"/>
    </w:lvlOverride>
  </w:num>
  <w:num w:numId="4">
    <w:abstractNumId w:val="1"/>
  </w:num>
  <w:num w:numId="5">
    <w:abstractNumId w:val="2"/>
  </w:num>
  <w:num w:numId="6">
    <w:abstractNumId w:val="17"/>
  </w:num>
  <w:num w:numId="7">
    <w:abstractNumId w:val="12"/>
  </w:num>
  <w:num w:numId="8">
    <w:abstractNumId w:val="16"/>
  </w:num>
  <w:num w:numId="9">
    <w:abstractNumId w:val="18"/>
  </w:num>
  <w:num w:numId="10">
    <w:abstractNumId w:val="13"/>
  </w:num>
  <w:num w:numId="11">
    <w:abstractNumId w:val="7"/>
  </w:num>
  <w:num w:numId="12">
    <w:abstractNumId w:val="9"/>
  </w:num>
  <w:num w:numId="13">
    <w:abstractNumId w:val="6"/>
  </w:num>
  <w:num w:numId="14">
    <w:abstractNumId w:val="3"/>
  </w:num>
  <w:num w:numId="15">
    <w:abstractNumId w:val="4"/>
  </w:num>
  <w:num w:numId="16">
    <w:abstractNumId w:val="15"/>
  </w:num>
  <w:num w:numId="17">
    <w:abstractNumId w:val="5"/>
  </w:num>
  <w:num w:numId="18">
    <w:abstractNumId w:val="8"/>
  </w:num>
  <w:num w:numId="19">
    <w:abstractNumId w:val="19"/>
  </w:num>
  <w:num w:numId="20">
    <w:abstractNumId w:val="1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A9"/>
    <w:rsid w:val="0000390D"/>
    <w:rsid w:val="00003A91"/>
    <w:rsid w:val="00011B7F"/>
    <w:rsid w:val="00011E52"/>
    <w:rsid w:val="0002048A"/>
    <w:rsid w:val="00023638"/>
    <w:rsid w:val="00024F10"/>
    <w:rsid w:val="00025E04"/>
    <w:rsid w:val="00036039"/>
    <w:rsid w:val="00037F90"/>
    <w:rsid w:val="000551E7"/>
    <w:rsid w:val="00065EF4"/>
    <w:rsid w:val="00081DCC"/>
    <w:rsid w:val="000829E9"/>
    <w:rsid w:val="000875BF"/>
    <w:rsid w:val="00093CF6"/>
    <w:rsid w:val="00096D8C"/>
    <w:rsid w:val="000A6D90"/>
    <w:rsid w:val="000C0B65"/>
    <w:rsid w:val="000C5F51"/>
    <w:rsid w:val="000D637D"/>
    <w:rsid w:val="000E05FE"/>
    <w:rsid w:val="000E3D42"/>
    <w:rsid w:val="000E51C0"/>
    <w:rsid w:val="000E6807"/>
    <w:rsid w:val="000E6A2A"/>
    <w:rsid w:val="00121D79"/>
    <w:rsid w:val="0012228D"/>
    <w:rsid w:val="00122BD5"/>
    <w:rsid w:val="001249A4"/>
    <w:rsid w:val="00133F79"/>
    <w:rsid w:val="00170829"/>
    <w:rsid w:val="00172474"/>
    <w:rsid w:val="001844D1"/>
    <w:rsid w:val="00194A66"/>
    <w:rsid w:val="001A32B0"/>
    <w:rsid w:val="001B6D59"/>
    <w:rsid w:val="001C3491"/>
    <w:rsid w:val="001D243A"/>
    <w:rsid w:val="001D6BCF"/>
    <w:rsid w:val="001E01CA"/>
    <w:rsid w:val="00201612"/>
    <w:rsid w:val="0024364B"/>
    <w:rsid w:val="002466EC"/>
    <w:rsid w:val="00267362"/>
    <w:rsid w:val="00275CF5"/>
    <w:rsid w:val="0028301F"/>
    <w:rsid w:val="00285017"/>
    <w:rsid w:val="0029102F"/>
    <w:rsid w:val="002A2D2E"/>
    <w:rsid w:val="002B1811"/>
    <w:rsid w:val="002B6EEF"/>
    <w:rsid w:val="002C00E8"/>
    <w:rsid w:val="002C0710"/>
    <w:rsid w:val="002C66C2"/>
    <w:rsid w:val="002C7C95"/>
    <w:rsid w:val="002F2805"/>
    <w:rsid w:val="002F4365"/>
    <w:rsid w:val="00334518"/>
    <w:rsid w:val="00340BFD"/>
    <w:rsid w:val="00343749"/>
    <w:rsid w:val="00347798"/>
    <w:rsid w:val="0035391C"/>
    <w:rsid w:val="00355E52"/>
    <w:rsid w:val="003614D5"/>
    <w:rsid w:val="00365B4E"/>
    <w:rsid w:val="003660ED"/>
    <w:rsid w:val="003708C0"/>
    <w:rsid w:val="003B0550"/>
    <w:rsid w:val="003B694F"/>
    <w:rsid w:val="003D0573"/>
    <w:rsid w:val="003E508D"/>
    <w:rsid w:val="003F171C"/>
    <w:rsid w:val="003F1ECE"/>
    <w:rsid w:val="003F7EC1"/>
    <w:rsid w:val="00412FC5"/>
    <w:rsid w:val="0041426C"/>
    <w:rsid w:val="00417DFA"/>
    <w:rsid w:val="004203C2"/>
    <w:rsid w:val="00420B36"/>
    <w:rsid w:val="00422276"/>
    <w:rsid w:val="004242F1"/>
    <w:rsid w:val="00426BCE"/>
    <w:rsid w:val="004312C3"/>
    <w:rsid w:val="00445A00"/>
    <w:rsid w:val="00451B0F"/>
    <w:rsid w:val="00466EC3"/>
    <w:rsid w:val="00485B78"/>
    <w:rsid w:val="004862AF"/>
    <w:rsid w:val="00493985"/>
    <w:rsid w:val="00495459"/>
    <w:rsid w:val="004A4207"/>
    <w:rsid w:val="004A46D9"/>
    <w:rsid w:val="004A7131"/>
    <w:rsid w:val="004B2EB2"/>
    <w:rsid w:val="004B6933"/>
    <w:rsid w:val="004C2EE3"/>
    <w:rsid w:val="004C3E80"/>
    <w:rsid w:val="004D601E"/>
    <w:rsid w:val="004E4A22"/>
    <w:rsid w:val="004F147C"/>
    <w:rsid w:val="00511968"/>
    <w:rsid w:val="005240BC"/>
    <w:rsid w:val="005355E6"/>
    <w:rsid w:val="005449C9"/>
    <w:rsid w:val="00554172"/>
    <w:rsid w:val="0055614C"/>
    <w:rsid w:val="005577AD"/>
    <w:rsid w:val="00566D06"/>
    <w:rsid w:val="00572A18"/>
    <w:rsid w:val="00593983"/>
    <w:rsid w:val="005C0B71"/>
    <w:rsid w:val="005D052B"/>
    <w:rsid w:val="005E0BB1"/>
    <w:rsid w:val="005E14C2"/>
    <w:rsid w:val="005F6934"/>
    <w:rsid w:val="00607BA5"/>
    <w:rsid w:val="0061180A"/>
    <w:rsid w:val="00626EB6"/>
    <w:rsid w:val="006337E9"/>
    <w:rsid w:val="00637D95"/>
    <w:rsid w:val="00655D03"/>
    <w:rsid w:val="00663A3B"/>
    <w:rsid w:val="00666744"/>
    <w:rsid w:val="006744B5"/>
    <w:rsid w:val="006817F9"/>
    <w:rsid w:val="00683388"/>
    <w:rsid w:val="00683F84"/>
    <w:rsid w:val="006844BD"/>
    <w:rsid w:val="00695A88"/>
    <w:rsid w:val="006A6A81"/>
    <w:rsid w:val="006E2D90"/>
    <w:rsid w:val="006E3DA4"/>
    <w:rsid w:val="006F2848"/>
    <w:rsid w:val="006F7393"/>
    <w:rsid w:val="0070224F"/>
    <w:rsid w:val="007115F7"/>
    <w:rsid w:val="00745643"/>
    <w:rsid w:val="007517CA"/>
    <w:rsid w:val="00767165"/>
    <w:rsid w:val="00785689"/>
    <w:rsid w:val="0079754B"/>
    <w:rsid w:val="007A1E6D"/>
    <w:rsid w:val="007A3E29"/>
    <w:rsid w:val="007B0EB2"/>
    <w:rsid w:val="007C1B18"/>
    <w:rsid w:val="007D0378"/>
    <w:rsid w:val="007D2116"/>
    <w:rsid w:val="007D7267"/>
    <w:rsid w:val="007F4B88"/>
    <w:rsid w:val="00810B6F"/>
    <w:rsid w:val="00822CE0"/>
    <w:rsid w:val="00830582"/>
    <w:rsid w:val="00834CE9"/>
    <w:rsid w:val="00836F0C"/>
    <w:rsid w:val="00841AB1"/>
    <w:rsid w:val="00854516"/>
    <w:rsid w:val="00855DCD"/>
    <w:rsid w:val="008828A9"/>
    <w:rsid w:val="00882FA7"/>
    <w:rsid w:val="00890FBE"/>
    <w:rsid w:val="008A61E4"/>
    <w:rsid w:val="008B458D"/>
    <w:rsid w:val="008B51F0"/>
    <w:rsid w:val="008B54D8"/>
    <w:rsid w:val="008C35BB"/>
    <w:rsid w:val="008C68F1"/>
    <w:rsid w:val="008D49F1"/>
    <w:rsid w:val="008F0B85"/>
    <w:rsid w:val="008F0C6C"/>
    <w:rsid w:val="00921803"/>
    <w:rsid w:val="0092289A"/>
    <w:rsid w:val="00922F46"/>
    <w:rsid w:val="00926084"/>
    <w:rsid w:val="00926503"/>
    <w:rsid w:val="0092676F"/>
    <w:rsid w:val="00946E8E"/>
    <w:rsid w:val="009503BF"/>
    <w:rsid w:val="00957469"/>
    <w:rsid w:val="0096223D"/>
    <w:rsid w:val="009726D8"/>
    <w:rsid w:val="009853DF"/>
    <w:rsid w:val="00990E74"/>
    <w:rsid w:val="00994488"/>
    <w:rsid w:val="009A01D1"/>
    <w:rsid w:val="009A7479"/>
    <w:rsid w:val="009D2CFA"/>
    <w:rsid w:val="009D7308"/>
    <w:rsid w:val="009F5460"/>
    <w:rsid w:val="009F76DB"/>
    <w:rsid w:val="00A07844"/>
    <w:rsid w:val="00A32C3B"/>
    <w:rsid w:val="00A4107D"/>
    <w:rsid w:val="00A43E24"/>
    <w:rsid w:val="00A455A0"/>
    <w:rsid w:val="00A45F4F"/>
    <w:rsid w:val="00A552D1"/>
    <w:rsid w:val="00A600A9"/>
    <w:rsid w:val="00A63C82"/>
    <w:rsid w:val="00A7063A"/>
    <w:rsid w:val="00AA0E7F"/>
    <w:rsid w:val="00AA55B7"/>
    <w:rsid w:val="00AA5B9E"/>
    <w:rsid w:val="00AB2407"/>
    <w:rsid w:val="00AB53DF"/>
    <w:rsid w:val="00AE2BCF"/>
    <w:rsid w:val="00AE31B6"/>
    <w:rsid w:val="00AE4266"/>
    <w:rsid w:val="00AE512F"/>
    <w:rsid w:val="00AF1124"/>
    <w:rsid w:val="00B04F15"/>
    <w:rsid w:val="00B07E5C"/>
    <w:rsid w:val="00B20594"/>
    <w:rsid w:val="00B252CB"/>
    <w:rsid w:val="00B46113"/>
    <w:rsid w:val="00B46675"/>
    <w:rsid w:val="00B62E58"/>
    <w:rsid w:val="00B811F7"/>
    <w:rsid w:val="00B87DE3"/>
    <w:rsid w:val="00BA0296"/>
    <w:rsid w:val="00BA5DC6"/>
    <w:rsid w:val="00BA6196"/>
    <w:rsid w:val="00BC00E0"/>
    <w:rsid w:val="00BC4521"/>
    <w:rsid w:val="00BC6D8C"/>
    <w:rsid w:val="00BF6BCE"/>
    <w:rsid w:val="00C10A40"/>
    <w:rsid w:val="00C12BEB"/>
    <w:rsid w:val="00C1503C"/>
    <w:rsid w:val="00C24166"/>
    <w:rsid w:val="00C34006"/>
    <w:rsid w:val="00C36B4C"/>
    <w:rsid w:val="00C426B1"/>
    <w:rsid w:val="00C45109"/>
    <w:rsid w:val="00C566A3"/>
    <w:rsid w:val="00C56BD5"/>
    <w:rsid w:val="00C60301"/>
    <w:rsid w:val="00C66160"/>
    <w:rsid w:val="00C6658A"/>
    <w:rsid w:val="00C721AC"/>
    <w:rsid w:val="00C8071B"/>
    <w:rsid w:val="00C84F7B"/>
    <w:rsid w:val="00C86609"/>
    <w:rsid w:val="00C90D6A"/>
    <w:rsid w:val="00CA243D"/>
    <w:rsid w:val="00CA247E"/>
    <w:rsid w:val="00CA6D21"/>
    <w:rsid w:val="00CC1DF1"/>
    <w:rsid w:val="00CC72B6"/>
    <w:rsid w:val="00CD4EC3"/>
    <w:rsid w:val="00CF2D4A"/>
    <w:rsid w:val="00D0218D"/>
    <w:rsid w:val="00D12676"/>
    <w:rsid w:val="00D17AE5"/>
    <w:rsid w:val="00D25FB5"/>
    <w:rsid w:val="00D41C2A"/>
    <w:rsid w:val="00D44223"/>
    <w:rsid w:val="00D503D3"/>
    <w:rsid w:val="00D52679"/>
    <w:rsid w:val="00D52B79"/>
    <w:rsid w:val="00D611DF"/>
    <w:rsid w:val="00D82263"/>
    <w:rsid w:val="00D83108"/>
    <w:rsid w:val="00DA2529"/>
    <w:rsid w:val="00DA46F3"/>
    <w:rsid w:val="00DA7A50"/>
    <w:rsid w:val="00DB130A"/>
    <w:rsid w:val="00DB2EBB"/>
    <w:rsid w:val="00DB67E5"/>
    <w:rsid w:val="00DC10A1"/>
    <w:rsid w:val="00DC5CC5"/>
    <w:rsid w:val="00DC655F"/>
    <w:rsid w:val="00DD0B59"/>
    <w:rsid w:val="00DD5D1F"/>
    <w:rsid w:val="00DD7306"/>
    <w:rsid w:val="00DD7EBD"/>
    <w:rsid w:val="00DF04CB"/>
    <w:rsid w:val="00DF62B6"/>
    <w:rsid w:val="00E00698"/>
    <w:rsid w:val="00E050A9"/>
    <w:rsid w:val="00E07225"/>
    <w:rsid w:val="00E174D4"/>
    <w:rsid w:val="00E214DD"/>
    <w:rsid w:val="00E215EC"/>
    <w:rsid w:val="00E23B5F"/>
    <w:rsid w:val="00E27CED"/>
    <w:rsid w:val="00E30E73"/>
    <w:rsid w:val="00E31C35"/>
    <w:rsid w:val="00E32409"/>
    <w:rsid w:val="00E33EE8"/>
    <w:rsid w:val="00E402CA"/>
    <w:rsid w:val="00E441BE"/>
    <w:rsid w:val="00E5198B"/>
    <w:rsid w:val="00E5409F"/>
    <w:rsid w:val="00E573C8"/>
    <w:rsid w:val="00E651EC"/>
    <w:rsid w:val="00E7244C"/>
    <w:rsid w:val="00E72635"/>
    <w:rsid w:val="00E73B83"/>
    <w:rsid w:val="00E740B0"/>
    <w:rsid w:val="00E874F9"/>
    <w:rsid w:val="00EE0B24"/>
    <w:rsid w:val="00EE6488"/>
    <w:rsid w:val="00EF6892"/>
    <w:rsid w:val="00F018DE"/>
    <w:rsid w:val="00F021FA"/>
    <w:rsid w:val="00F072AD"/>
    <w:rsid w:val="00F11F0B"/>
    <w:rsid w:val="00F158BE"/>
    <w:rsid w:val="00F256C9"/>
    <w:rsid w:val="00F43929"/>
    <w:rsid w:val="00F55EE7"/>
    <w:rsid w:val="00F57C88"/>
    <w:rsid w:val="00F62E97"/>
    <w:rsid w:val="00F64209"/>
    <w:rsid w:val="00F6472E"/>
    <w:rsid w:val="00F64F7E"/>
    <w:rsid w:val="00F825D3"/>
    <w:rsid w:val="00F93BF5"/>
    <w:rsid w:val="00FB2D05"/>
    <w:rsid w:val="00FC322F"/>
    <w:rsid w:val="00FC52D0"/>
    <w:rsid w:val="00FF0F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5D2762-2B42-447A-BF21-DFA40787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33"/>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7A1E6D"/>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C426B1"/>
    <w:pPr>
      <w:keepNext/>
      <w:numPr>
        <w:ilvl w:val="3"/>
        <w:numId w:val="2"/>
      </w:numPr>
      <w:tabs>
        <w:tab w:val="left" w:pos="2880"/>
      </w:tabs>
      <w:spacing w:after="120"/>
      <w:outlineLvl w:val="3"/>
    </w:pPr>
    <w:rPr>
      <w:b/>
    </w:rPr>
  </w:style>
  <w:style w:type="paragraph" w:styleId="Heading5">
    <w:name w:val="heading 5"/>
    <w:aliases w:val="Heading 5 Char,Heading 5 Char Char Char Char Char,Heading 5 Char Char Char Char1,Heading 5 Char Char Char1,Heading 5 Char Char1 Char,Heading 5 Char Char2,Heading 5 Char1 Char Char Char,Heading 5 Char1 Char Char1,Heading 5 Char1 Char1"/>
    <w:basedOn w:val="Normal"/>
    <w:next w:val="ParaNum"/>
    <w:qFormat/>
    <w:rsid w:val="00511968"/>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2"/>
      </w:numPr>
      <w:tabs>
        <w:tab w:val="left" w:pos="4320"/>
      </w:tabs>
      <w:spacing w:after="120"/>
      <w:outlineLvl w:val="5"/>
    </w:pPr>
    <w:rPr>
      <w:b/>
    </w:rPr>
  </w:style>
  <w:style w:type="paragraph" w:styleId="Heading7">
    <w:name w:val="heading 7"/>
    <w:basedOn w:val="Normal"/>
    <w:next w:val="ParaNum"/>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1"/>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8828A9"/>
    <w:rPr>
      <w:rFonts w:ascii="Segoe UI" w:hAnsi="Segoe UI" w:cs="Segoe UI"/>
      <w:sz w:val="18"/>
      <w:szCs w:val="18"/>
    </w:rPr>
  </w:style>
  <w:style w:type="character" w:customStyle="1" w:styleId="BalloonTextChar">
    <w:name w:val="Balloon Text Char"/>
    <w:basedOn w:val="DefaultParagraphFont"/>
    <w:link w:val="BalloonText"/>
    <w:rsid w:val="008828A9"/>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8828A9"/>
  </w:style>
  <w:style w:type="paragraph" w:styleId="ListParagraph">
    <w:name w:val="List Paragraph"/>
    <w:basedOn w:val="Normal"/>
    <w:uiPriority w:val="34"/>
    <w:qFormat/>
    <w:rsid w:val="008828A9"/>
    <w:pPr>
      <w:widowControl/>
      <w:spacing w:after="200" w:line="276" w:lineRule="auto"/>
      <w:ind w:left="720"/>
      <w:contextualSpacing/>
    </w:pPr>
    <w:rPr>
      <w:rFonts w:ascii="Calibri" w:eastAsia="Calibri" w:hAnsi="Calibri"/>
      <w:snapToGrid/>
      <w:kern w:val="0"/>
      <w:szCs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8828A9"/>
    <w:rPr>
      <w:rFonts w:ascii="Times New Roman Bold" w:hAnsi="Times New Roman Bold"/>
      <w:b/>
      <w:caps/>
      <w:snapToGrid w:val="0"/>
      <w:kern w:val="28"/>
      <w:sz w:val="22"/>
    </w:rPr>
  </w:style>
  <w:style w:type="character" w:customStyle="1" w:styleId="ParaNumChar">
    <w:name w:val="ParaNum Char"/>
    <w:link w:val="ParaNum"/>
    <w:rsid w:val="008828A9"/>
    <w:rPr>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8828A9"/>
    <w:rPr>
      <w:b/>
      <w:snapToGrid w:val="0"/>
      <w:kern w:val="28"/>
      <w:sz w:val="22"/>
    </w:rPr>
  </w:style>
  <w:style w:type="character" w:styleId="CommentReference">
    <w:name w:val="annotation reference"/>
    <w:unhideWhenUsed/>
    <w:rsid w:val="008828A9"/>
    <w:rPr>
      <w:sz w:val="16"/>
      <w:szCs w:val="16"/>
    </w:rPr>
  </w:style>
  <w:style w:type="paragraph" w:styleId="CommentText">
    <w:name w:val="annotation text"/>
    <w:basedOn w:val="Normal"/>
    <w:link w:val="CommentTextChar"/>
    <w:unhideWhenUsed/>
    <w:rsid w:val="008828A9"/>
    <w:rPr>
      <w:sz w:val="20"/>
    </w:rPr>
  </w:style>
  <w:style w:type="character" w:customStyle="1" w:styleId="CommentTextChar">
    <w:name w:val="Comment Text Char"/>
    <w:basedOn w:val="DefaultParagraphFont"/>
    <w:link w:val="CommentText"/>
    <w:rsid w:val="008828A9"/>
    <w:rPr>
      <w:snapToGrid w:val="0"/>
      <w:kern w:val="28"/>
    </w:rPr>
  </w:style>
  <w:style w:type="paragraph" w:styleId="CommentSubject">
    <w:name w:val="annotation subject"/>
    <w:basedOn w:val="CommentText"/>
    <w:next w:val="CommentText"/>
    <w:link w:val="CommentSubjectChar"/>
    <w:rsid w:val="008828A9"/>
    <w:rPr>
      <w:b/>
      <w:bCs/>
    </w:rPr>
  </w:style>
  <w:style w:type="character" w:customStyle="1" w:styleId="CommentSubjectChar">
    <w:name w:val="Comment Subject Char"/>
    <w:basedOn w:val="CommentTextChar"/>
    <w:link w:val="CommentSubject"/>
    <w:rsid w:val="008828A9"/>
    <w:rPr>
      <w:b/>
      <w:bCs/>
      <w:snapToGrid w:val="0"/>
      <w:kern w:val="28"/>
    </w:rPr>
  </w:style>
  <w:style w:type="paragraph" w:customStyle="1" w:styleId="StyleParaNumAfter12pt">
    <w:name w:val="Style ParaNum + After:  12 pt"/>
    <w:basedOn w:val="ParaNum"/>
    <w:rsid w:val="008828A9"/>
    <w:pPr>
      <w:widowControl/>
      <w:numPr>
        <w:numId w:val="0"/>
      </w:numPr>
      <w:tabs>
        <w:tab w:val="num" w:pos="360"/>
        <w:tab w:val="num" w:pos="1440"/>
      </w:tabs>
      <w:spacing w:after="240"/>
      <w:ind w:left="360" w:hanging="360"/>
    </w:pPr>
  </w:style>
  <w:style w:type="character" w:styleId="FollowedHyperlink">
    <w:name w:val="FollowedHyperlink"/>
    <w:rsid w:val="008828A9"/>
    <w:rPr>
      <w:color w:val="954F72"/>
      <w:u w:val="single"/>
    </w:rPr>
  </w:style>
  <w:style w:type="character" w:customStyle="1" w:styleId="UnresolvedMention1">
    <w:name w:val="Unresolved Mention1"/>
    <w:uiPriority w:val="99"/>
    <w:semiHidden/>
    <w:unhideWhenUsed/>
    <w:rsid w:val="008828A9"/>
    <w:rPr>
      <w:color w:val="605E5C"/>
      <w:shd w:val="clear" w:color="auto" w:fill="E1DFDD"/>
    </w:rPr>
  </w:style>
  <w:style w:type="character" w:customStyle="1" w:styleId="FootnoteTextChar1">
    <w:name w:val="Footnote Text Char1"/>
    <w:aliases w:val="ALTS FOOTNOTE Char Char,ALTS FOOTNOTE Char1,FOOT Char,Footnote Text Char Char... + Italic Char,Footnote Text Char2 Char Char,Footnote Text Char2 Char1 Char1 Char Char,Footnote Text Char3 Char1 Char Char,f Char"/>
    <w:locked/>
    <w:rsid w:val="008828A9"/>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8828A9"/>
    <w:rPr>
      <w:b/>
      <w:snapToGrid w:val="0"/>
      <w:kern w:val="28"/>
      <w:sz w:val="22"/>
    </w:rPr>
  </w:style>
  <w:style w:type="character" w:styleId="Strong">
    <w:name w:val="Strong"/>
    <w:qFormat/>
    <w:rsid w:val="008828A9"/>
    <w:rPr>
      <w:b/>
      <w:bCs/>
    </w:rPr>
  </w:style>
  <w:style w:type="character" w:customStyle="1" w:styleId="Footnote0">
    <w:name w:val="Footnote"/>
    <w:rsid w:val="008828A9"/>
    <w:rPr>
      <w:rFonts w:ascii="Times New Roman" w:hAnsi="Times New Roman" w:cs="Times New Roman" w:hint="default"/>
    </w:rPr>
  </w:style>
  <w:style w:type="character" w:customStyle="1" w:styleId="Heading4Char">
    <w:name w:val="Heading 4 Char"/>
    <w:aliases w:val="Heading 4 Char Char Char Char,Heading 4 Char Char Char1,Heading 4 Char Char Char1 Char Char Char,Heading 4 Char Char1 Char,Heading 4 Char Char1 Char Ch Char,Heading 4 Char1 Char Char,Heading 4 Char1 Char1,Heading 4 Char2 Char"/>
    <w:link w:val="Heading4"/>
    <w:rsid w:val="008828A9"/>
    <w:rPr>
      <w:b/>
      <w:snapToGrid w:val="0"/>
      <w:kern w:val="28"/>
      <w:sz w:val="22"/>
    </w:rPr>
  </w:style>
  <w:style w:type="character" w:customStyle="1" w:styleId="HeaderChar">
    <w:name w:val="Header Char"/>
    <w:link w:val="Header"/>
    <w:rsid w:val="008828A9"/>
    <w:rPr>
      <w:b/>
      <w:snapToGrid w:val="0"/>
      <w:kern w:val="28"/>
      <w:sz w:val="22"/>
    </w:rPr>
  </w:style>
  <w:style w:type="paragraph" w:customStyle="1" w:styleId="Default">
    <w:name w:val="Default"/>
    <w:rsid w:val="008828A9"/>
    <w:pPr>
      <w:autoSpaceDE w:val="0"/>
      <w:autoSpaceDN w:val="0"/>
      <w:adjustRightInd w:val="0"/>
    </w:pPr>
    <w:rPr>
      <w:color w:val="000000"/>
      <w:sz w:val="24"/>
      <w:szCs w:val="24"/>
    </w:rPr>
  </w:style>
  <w:style w:type="character" w:styleId="Emphasis">
    <w:name w:val="Emphasis"/>
    <w:uiPriority w:val="20"/>
    <w:qFormat/>
    <w:rsid w:val="008828A9"/>
    <w:rPr>
      <w:i/>
      <w:iCs/>
    </w:rPr>
  </w:style>
  <w:style w:type="character" w:customStyle="1" w:styleId="cosearchterm">
    <w:name w:val="co_searchterm"/>
    <w:rsid w:val="008828A9"/>
  </w:style>
  <w:style w:type="character" w:customStyle="1" w:styleId="ParaNumChar1">
    <w:name w:val="ParaNum Char1"/>
    <w:locked/>
    <w:rsid w:val="008828A9"/>
    <w:rPr>
      <w:snapToGrid w:val="0"/>
      <w:kern w:val="28"/>
      <w:sz w:val="22"/>
    </w:rPr>
  </w:style>
  <w:style w:type="character" w:customStyle="1" w:styleId="apple-converted-space">
    <w:name w:val="apple-converted-space"/>
    <w:rsid w:val="008828A9"/>
  </w:style>
  <w:style w:type="paragraph" w:styleId="NormalWeb">
    <w:name w:val="Normal (Web)"/>
    <w:basedOn w:val="Normal"/>
    <w:uiPriority w:val="99"/>
    <w:unhideWhenUsed/>
    <w:rsid w:val="008828A9"/>
    <w:pPr>
      <w:widowControl/>
    </w:pPr>
    <w:rPr>
      <w:rFonts w:eastAsia="Calibri"/>
      <w:snapToGrid/>
      <w:kern w:val="0"/>
      <w:sz w:val="24"/>
      <w:szCs w:val="24"/>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8828A9"/>
    <w:rPr>
      <w:b/>
      <w:snapToGrid w:val="0"/>
      <w:kern w:val="28"/>
      <w:sz w:val="22"/>
    </w:rPr>
  </w:style>
  <w:style w:type="paragraph" w:customStyle="1" w:styleId="note">
    <w:name w:val="note"/>
    <w:basedOn w:val="Normal"/>
    <w:rsid w:val="008828A9"/>
    <w:pPr>
      <w:widowControl/>
      <w:spacing w:before="100" w:beforeAutospacing="1" w:after="100" w:afterAutospacing="1"/>
    </w:pPr>
    <w:rPr>
      <w:snapToGrid/>
      <w:kern w:val="0"/>
      <w:sz w:val="24"/>
      <w:szCs w:val="24"/>
    </w:rPr>
  </w:style>
  <w:style w:type="character" w:customStyle="1" w:styleId="p">
    <w:name w:val="p"/>
    <w:rsid w:val="008828A9"/>
  </w:style>
  <w:style w:type="paragraph" w:styleId="Revision">
    <w:name w:val="Revision"/>
    <w:hidden/>
    <w:uiPriority w:val="99"/>
    <w:semiHidden/>
    <w:rsid w:val="008828A9"/>
    <w:rPr>
      <w:snapToGrid w:val="0"/>
      <w:kern w:val="28"/>
      <w:sz w:val="22"/>
    </w:rPr>
  </w:style>
  <w:style w:type="numbering" w:customStyle="1" w:styleId="StyleBulletedLatinCourierNewLeft075Hanging0252">
    <w:name w:val="Style Bulleted (Latin) Courier New Left:  0.75&quot; Hanging:  0.25&quot;...2"/>
    <w:basedOn w:val="NoList"/>
    <w:rsid w:val="008828A9"/>
    <w:pPr>
      <w:numPr>
        <w:numId w:val="4"/>
      </w:numPr>
    </w:pPr>
  </w:style>
  <w:style w:type="paragraph" w:styleId="NoSpacing">
    <w:name w:val="No Spacing"/>
    <w:uiPriority w:val="1"/>
    <w:qFormat/>
    <w:rsid w:val="008828A9"/>
    <w:rPr>
      <w:rFonts w:ascii="Calibri" w:eastAsia="Calibri" w:hAnsi="Calibri"/>
      <w:sz w:val="22"/>
      <w:szCs w:val="22"/>
    </w:rPr>
  </w:style>
  <w:style w:type="paragraph" w:styleId="BodyText">
    <w:name w:val="Body Text"/>
    <w:basedOn w:val="Normal"/>
    <w:link w:val="BodyTextChar"/>
    <w:qFormat/>
    <w:rsid w:val="008828A9"/>
    <w:pPr>
      <w:widowControl/>
      <w:spacing w:before="220" w:after="220"/>
    </w:pPr>
    <w:rPr>
      <w:rFonts w:ascii="Arial" w:hAnsi="Arial" w:cs="Arial"/>
      <w:snapToGrid/>
      <w:kern w:val="0"/>
    </w:rPr>
  </w:style>
  <w:style w:type="character" w:customStyle="1" w:styleId="BodyTextChar">
    <w:name w:val="Body Text Char"/>
    <w:basedOn w:val="DefaultParagraphFont"/>
    <w:link w:val="BodyText"/>
    <w:rsid w:val="008828A9"/>
    <w:rPr>
      <w:rFonts w:ascii="Arial" w:hAnsi="Arial" w:cs="Arial"/>
      <w:sz w:val="22"/>
    </w:rPr>
  </w:style>
  <w:style w:type="paragraph" w:customStyle="1" w:styleId="Memorandum">
    <w:name w:val="Memorandum"/>
    <w:basedOn w:val="Normal"/>
    <w:rsid w:val="008828A9"/>
    <w:pPr>
      <w:widowControl/>
      <w:tabs>
        <w:tab w:val="left" w:pos="1440"/>
      </w:tabs>
      <w:spacing w:after="120"/>
    </w:pPr>
    <w:rPr>
      <w:rFonts w:ascii="ITCCentury Book" w:hAnsi="ITCCentury Book" w:cs="Arial"/>
      <w:b/>
      <w:noProof/>
      <w:snapToGrid/>
      <w:kern w:val="0"/>
      <w:sz w:val="48"/>
    </w:rPr>
  </w:style>
  <w:style w:type="character" w:customStyle="1" w:styleId="UnresolvedMention">
    <w:name w:val="Unresolved Mention"/>
    <w:uiPriority w:val="99"/>
    <w:semiHidden/>
    <w:unhideWhenUsed/>
    <w:rsid w:val="008828A9"/>
    <w:rPr>
      <w:color w:val="605E5C"/>
      <w:shd w:val="clear" w:color="auto" w:fill="E1DFDD"/>
    </w:rPr>
  </w:style>
  <w:style w:type="table" w:styleId="TableGrid">
    <w:name w:val="Table Grid"/>
    <w:basedOn w:val="TableNormal"/>
    <w:uiPriority w:val="59"/>
    <w:rsid w:val="008828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AOTable">
    <w:name w:val="GAO Table"/>
    <w:basedOn w:val="TableNormal"/>
    <w:rsid w:val="008828A9"/>
    <w:pPr>
      <w:spacing w:before="220"/>
    </w:pPr>
    <w:rPr>
      <w:rFonts w:ascii="Arial" w:hAnsi="Arial"/>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xmsonormal">
    <w:name w:val="x_msonormal"/>
    <w:basedOn w:val="Normal"/>
    <w:rsid w:val="008828A9"/>
    <w:pPr>
      <w:widowControl/>
    </w:pPr>
    <w:rPr>
      <w:rFonts w:ascii="Calibri" w:eastAsia="Calibri" w:hAnsi="Calibri" w:cs="Calibri"/>
      <w:snapToGrid/>
      <w:kern w:val="0"/>
      <w:szCs w:val="22"/>
    </w:rPr>
  </w:style>
  <w:style w:type="paragraph" w:customStyle="1" w:styleId="xmsolistparagraph">
    <w:name w:val="x_msolistparagraph"/>
    <w:basedOn w:val="Normal"/>
    <w:rsid w:val="008828A9"/>
    <w:pPr>
      <w:widowControl/>
      <w:ind w:left="720"/>
    </w:pPr>
    <w:rPr>
      <w:rFonts w:ascii="Calibri" w:eastAsia="Calibri" w:hAnsi="Calibri" w:cs="Calibri"/>
      <w:snapToGrid/>
      <w:kern w:val="0"/>
      <w:szCs w:val="22"/>
    </w:rPr>
  </w:style>
  <w:style w:type="character" w:customStyle="1" w:styleId="apple-tab-span">
    <w:name w:val="apple-tab-span"/>
    <w:basedOn w:val="DefaultParagraphFont"/>
    <w:rsid w:val="0029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yperlink" Target="mailto:PRA@fcc.gov" TargetMode="External" /><Relationship Id="rId15" Type="http://schemas.openxmlformats.org/officeDocument/2006/relationships/header" Target="header4.xml" /><Relationship Id="rId16" Type="http://schemas.openxmlformats.org/officeDocument/2006/relationships/footer" Target="foot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Brenda.Boykin@fcc.gov" TargetMode="External" /><Relationship Id="rId9" Type="http://schemas.openxmlformats.org/officeDocument/2006/relationships/hyperlink" Target="mailto:Jill.Cooga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911-fee-reports" TargetMode="External" /><Relationship Id="rId10" Type="http://schemas.openxmlformats.org/officeDocument/2006/relationships/hyperlink" Target="https://www.fcc.gov/document/legal-and-regulatory-framework-ng911-services-report-congress" TargetMode="External" /><Relationship Id="rId11" Type="http://schemas.openxmlformats.org/officeDocument/2006/relationships/hyperlink" Target="https://www.fcc.gov/files/10thannual911feereporttocongresspdf" TargetMode="External" /><Relationship Id="rId12" Type="http://schemas.openxmlformats.org/officeDocument/2006/relationships/hyperlink" Target="https://www.fcc.gov/document/fcc-seeks-comment-tenth-annual-report-congress-state-911-fees" TargetMode="External" /><Relationship Id="rId13" Type="http://schemas.openxmlformats.org/officeDocument/2006/relationships/hyperlink" Target="https://www.leg.state.nv.us/App/NELIS/REL/80th2019/ExhibitDocument/OpenExhibitDocument?exhibitId=36516&amp;fileDownloadName=SB%2025_Testimony%20in%20Opposition_Matthew%20Grogan%20Nevada%20Fee%20Diversion.pdf" TargetMode="External" /><Relationship Id="rId14" Type="http://schemas.openxmlformats.org/officeDocument/2006/relationships/hyperlink" Target="https://www.policeforum.org/covidapril2" TargetMode="External" /><Relationship Id="rId15" Type="http://schemas.openxmlformats.org/officeDocument/2006/relationships/hyperlink" Target="https://www.ntia.doc.gov/press-release/2019/departments-commerce-and-transportation-announce-109-million-grants-modernize" TargetMode="External" /><Relationship Id="rId16" Type="http://schemas.openxmlformats.org/officeDocument/2006/relationships/hyperlink" Target="https://www.cisa.gov/sites/default/files/publications/fy_2020_safecom_guidance_on_emergency_communications_grants_final.pdf" TargetMode="External" /><Relationship Id="rId17" Type="http://schemas.openxmlformats.org/officeDocument/2006/relationships/hyperlink" Target="https://www.att.com/legal/terms.otherWirelessFeeSchedule.html" TargetMode="External" /><Relationship Id="rId18" Type="http://schemas.openxmlformats.org/officeDocument/2006/relationships/hyperlink" Target="https://docs.fcc.gov/public/attachments/DOC-359575A1.pdf" TargetMode="External" /><Relationship Id="rId19" Type="http://schemas.openxmlformats.org/officeDocument/2006/relationships/hyperlink" Target="https://docs.fcc.gov/public/attachments/DOC-355305A1.pdf" TargetMode="External" /><Relationship Id="rId2" Type="http://schemas.openxmlformats.org/officeDocument/2006/relationships/hyperlink" Target="https://www.fcc.gov/files/11thannual911feereport2019pdf" TargetMode="External" /><Relationship Id="rId20" Type="http://schemas.openxmlformats.org/officeDocument/2006/relationships/hyperlink" Target="https://news.bloombergtax.com/daily-tax-report-state/west-virginia-governor-signs-law-amending-wireless-enhanced-911-fee-adding-new-fees" TargetMode="External" /><Relationship Id="rId21" Type="http://schemas.openxmlformats.org/officeDocument/2006/relationships/hyperlink" Target="https://cdn.ymaws.com/www.nena.org/resource/resmgr/govaffairs/model_guidlines_for_prepaid.pdf" TargetMode="External" /><Relationship Id="rId22" Type="http://schemas.openxmlformats.org/officeDocument/2006/relationships/hyperlink" Target="https://www.911.gov/pdf/National_911_Program_NG911_Roadmap_Progress_Report.pdf" TargetMode="External" /><Relationship Id="rId23" Type="http://schemas.openxmlformats.org/officeDocument/2006/relationships/hyperlink" Target="https://www.revisor.mn.gov/statutes/cite/403.113" TargetMode="External" /><Relationship Id="rId24" Type="http://schemas.openxmlformats.org/officeDocument/2006/relationships/hyperlink" Target="https://www.legis.state.pa.us/WU01/LI/LI/CT/HTM/35/00.053.003.000..HTM" TargetMode="External" /><Relationship Id="rId25" Type="http://schemas.openxmlformats.org/officeDocument/2006/relationships/hyperlink" Target="https://www.pema.pa.gov/911-Program/Partners/Requirements-Resources/Documents/911-Program-Guidance-2020.pdf" TargetMode="External" /><Relationship Id="rId26" Type="http://schemas.openxmlformats.org/officeDocument/2006/relationships/hyperlink" Target="https://www.vaemergency.gov/wp-content/uploads/2020/07/FY22Guidelines.pdf" TargetMode="External" /><Relationship Id="rId27" Type="http://schemas.openxmlformats.org/officeDocument/2006/relationships/hyperlink" Target="https://api.ctia.org/docs/default-source/legislative-activity/ctia-letter-with-concerns-regarding-washington-dc-b22-0519----funding-personnel-through-911-fees.pdf" TargetMode="External" /><Relationship Id="rId28" Type="http://schemas.openxmlformats.org/officeDocument/2006/relationships/hyperlink" Target="https://www.nebraska.gov/psc/orders/state911/2020-05-05%20911-073%20PI-232%20Order%20Opening%20Docket%20And%20Seeking%20Public%20Comment.pdf" TargetMode="External" /><Relationship Id="rId29" Type="http://schemas.openxmlformats.org/officeDocument/2006/relationships/hyperlink" Target="https://psc.nebraska.gov/sites/psc.nebraska.gov/files/doc/CTIA%20Comments%20911-073%206-5-20.pdf" TargetMode="External" /><Relationship Id="rId3" Type="http://schemas.openxmlformats.org/officeDocument/2006/relationships/hyperlink" Target="https://www.nena.org/page/911Statistics" TargetMode="External" /><Relationship Id="rId30" Type="http://schemas.openxmlformats.org/officeDocument/2006/relationships/hyperlink" Target="https://psc.nebraska.gov/sites/psc.nebraska.gov/files/doc/Douglas%20County%20911%20Comments%20filed%206-4-2020%20on%20Application%20911-073PI232%20%281%29.pdf" TargetMode="External" /><Relationship Id="rId31" Type="http://schemas.openxmlformats.org/officeDocument/2006/relationships/hyperlink" Target="https://psc.nebraska.gov/sites/psc.nebraska.gov/files/doc/Dawson%20County%20Sheriff%20comments%205-27-2020.pdf" TargetMode="External" /><Relationship Id="rId32" Type="http://schemas.openxmlformats.org/officeDocument/2006/relationships/hyperlink" Target="https://cdn.ymaws.com/www.nena.org/resource/resmgr/standards/NENA-ADM-000.22-2018_FINAL_2.pdf" TargetMode="External" /><Relationship Id="rId4" Type="http://schemas.openxmlformats.org/officeDocument/2006/relationships/hyperlink" Target="https://cdn.ymaws.com/www.nena.org/resource/resmgr/standards/NENA-ADM-000.23-2020_FINAL_2.pdf" TargetMode="External" /><Relationship Id="rId5" Type="http://schemas.openxmlformats.org/officeDocument/2006/relationships/hyperlink" Target="https://www.911.gov/pdf/NG911_Roadmap_Final.pdf" TargetMode="External" /><Relationship Id="rId6" Type="http://schemas.openxmlformats.org/officeDocument/2006/relationships/hyperlink" Target="https://www.fcc.gov/about-fcc/advisory-committees/general/task-force-optimal-public-safety-answering-point" TargetMode="External" /><Relationship Id="rId7" Type="http://schemas.openxmlformats.org/officeDocument/2006/relationships/hyperlink" Target="https://cdn.ymaws.com/www.nena.org/resource/resmgr/covid/COVID-19_Report_2.pdf" TargetMode="External" /><Relationship Id="rId8" Type="http://schemas.openxmlformats.org/officeDocument/2006/relationships/hyperlink" Target="https://www.congress.gov/110/crpt/hrpt442/CRPT-110hrpt442.pdf" TargetMode="External" /><Relationship Id="rId9" Type="http://schemas.openxmlformats.org/officeDocument/2006/relationships/hyperlink" Target="https://transition.fcc.gov/national-broadband-plan/national-broadband-plan.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