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06EC5" w:rsidP="00934012" w14:paraId="6CEA030E" w14:textId="77777777">
      <w:pPr>
        <w:jc w:val="center"/>
        <w:rPr>
          <w:b/>
          <w:bCs/>
          <w:caps/>
          <w:szCs w:val="22"/>
        </w:rPr>
      </w:pPr>
      <w:r w:rsidRPr="00506EC5">
        <w:rPr>
          <w:b/>
          <w:bCs/>
          <w:caps/>
          <w:szCs w:val="22"/>
        </w:rPr>
        <w:t>Statement of</w:t>
      </w:r>
    </w:p>
    <w:p w:rsidR="00934012" w:rsidRPr="00506EC5" w:rsidP="00934012" w14:paraId="30A80AF1" w14:textId="3377958F">
      <w:pPr>
        <w:jc w:val="center"/>
        <w:rPr>
          <w:b/>
          <w:bCs/>
          <w:caps/>
          <w:szCs w:val="22"/>
        </w:rPr>
      </w:pPr>
      <w:r w:rsidRPr="00506EC5">
        <w:rPr>
          <w:b/>
          <w:bCs/>
          <w:caps/>
          <w:szCs w:val="22"/>
        </w:rPr>
        <w:t xml:space="preserve">COMMISSIONER </w:t>
      </w:r>
      <w:r w:rsidR="00C36D42">
        <w:rPr>
          <w:b/>
          <w:bCs/>
          <w:caps/>
          <w:szCs w:val="22"/>
        </w:rPr>
        <w:t>Jessica Rosenworcel</w:t>
      </w:r>
    </w:p>
    <w:p w:rsidR="00A104AD" w:rsidRPr="00506EC5" w:rsidP="00934012" w14:paraId="101CE085" w14:textId="77777777">
      <w:pPr>
        <w:jc w:val="center"/>
        <w:rPr>
          <w:b/>
          <w:bCs/>
          <w:caps/>
          <w:szCs w:val="22"/>
        </w:rPr>
      </w:pPr>
    </w:p>
    <w:p w:rsidR="00A104AD" w:rsidRPr="00506EC5" w:rsidP="00A104AD" w14:paraId="2165F63F" w14:textId="77777777">
      <w:pPr>
        <w:rPr>
          <w:i/>
          <w:iCs/>
          <w:szCs w:val="22"/>
        </w:rPr>
      </w:pPr>
      <w:r w:rsidRPr="00506EC5">
        <w:rPr>
          <w:iCs/>
          <w:szCs w:val="22"/>
        </w:rPr>
        <w:t>Re:</w:t>
      </w:r>
      <w:r w:rsidRPr="00506EC5">
        <w:rPr>
          <w:szCs w:val="22"/>
        </w:rPr>
        <w:t xml:space="preserve"> </w:t>
      </w:r>
      <w:r w:rsidRPr="00506EC5">
        <w:rPr>
          <w:szCs w:val="22"/>
        </w:rPr>
        <w:tab/>
      </w:r>
      <w:r w:rsidRPr="00506EC5">
        <w:rPr>
          <w:i/>
          <w:iCs/>
          <w:szCs w:val="22"/>
        </w:rPr>
        <w:t xml:space="preserve">Cable Service Change Notifications, </w:t>
      </w:r>
      <w:r w:rsidRPr="00506EC5">
        <w:rPr>
          <w:szCs w:val="22"/>
        </w:rPr>
        <w:t>MB Docket No. 19-347;</w:t>
      </w:r>
      <w:r w:rsidRPr="00506EC5">
        <w:rPr>
          <w:i/>
          <w:iCs/>
          <w:szCs w:val="22"/>
        </w:rPr>
        <w:t xml:space="preserve"> Modernization of Media Regulation </w:t>
      </w:r>
    </w:p>
    <w:p w:rsidR="00934012" w:rsidRPr="00506EC5" w:rsidP="00A104AD" w14:paraId="39B88622" w14:textId="5472A830">
      <w:pPr>
        <w:rPr>
          <w:i/>
          <w:iCs/>
          <w:szCs w:val="22"/>
        </w:rPr>
      </w:pPr>
      <w:r w:rsidRPr="00506EC5">
        <w:rPr>
          <w:i/>
          <w:iCs/>
          <w:szCs w:val="22"/>
        </w:rPr>
        <w:t xml:space="preserve">Initiative, </w:t>
      </w:r>
      <w:r w:rsidRPr="00506EC5">
        <w:rPr>
          <w:szCs w:val="22"/>
        </w:rPr>
        <w:t xml:space="preserve">MB Docket No. 17-105; </w:t>
      </w:r>
      <w:r w:rsidRPr="00506EC5">
        <w:rPr>
          <w:i/>
          <w:iCs/>
          <w:szCs w:val="22"/>
        </w:rPr>
        <w:t>Amendment of the Commission’s Rules Related to Retransmission Consent</w:t>
      </w:r>
      <w:r w:rsidRPr="00506EC5">
        <w:rPr>
          <w:szCs w:val="22"/>
        </w:rPr>
        <w:t>, MB Docket No. 10-71.</w:t>
      </w:r>
    </w:p>
    <w:p w:rsidR="00934012" w:rsidRPr="00506EC5" w:rsidP="00934012" w14:paraId="76FEA43C" w14:textId="77777777">
      <w:pPr>
        <w:ind w:firstLine="720"/>
        <w:rPr>
          <w:szCs w:val="22"/>
        </w:rPr>
      </w:pPr>
    </w:p>
    <w:p w:rsidR="00C36D42" w:rsidP="00C36D42" w14:paraId="618D423F" w14:textId="77777777">
      <w:pPr>
        <w:widowControl/>
        <w:ind w:firstLine="720"/>
        <w:rPr>
          <w:szCs w:val="22"/>
        </w:rPr>
      </w:pPr>
      <w:r w:rsidRPr="00C36D42">
        <w:rPr>
          <w:szCs w:val="22"/>
        </w:rPr>
        <w:t xml:space="preserve">Most consumers do not know the term retransmission consent.  But they do know the frustration of turning on their television to watch the big game, the local news, or their favorite show and seeing only a blank screen.  When that happens, they know something is wrong and the fact they can’t watch is unfair.  </w:t>
      </w:r>
    </w:p>
    <w:p w:rsidR="00C36D42" w:rsidP="00C36D42" w14:paraId="62DA4E7B" w14:textId="77777777">
      <w:pPr>
        <w:widowControl/>
        <w:ind w:firstLine="720"/>
        <w:rPr>
          <w:szCs w:val="22"/>
        </w:rPr>
      </w:pPr>
    </w:p>
    <w:p w:rsidR="00C36D42" w:rsidRPr="00C36D42" w:rsidP="00C36D42" w14:paraId="2F581B7D" w14:textId="69530775">
      <w:pPr>
        <w:widowControl/>
        <w:ind w:firstLine="720"/>
        <w:rPr>
          <w:szCs w:val="22"/>
        </w:rPr>
      </w:pPr>
      <w:r w:rsidRPr="00C36D42">
        <w:rPr>
          <w:szCs w:val="22"/>
        </w:rPr>
        <w:t xml:space="preserve">They’re right.  To prevent these problems and keep consumers informed, the Federal Communications Commission has long had rules that require cable operators to tell their subscribers when carriage negotiations may go awry.  </w:t>
      </w:r>
      <w:bookmarkStart w:id="0" w:name="_Hlk52364592"/>
      <w:r w:rsidRPr="00C36D42">
        <w:rPr>
          <w:szCs w:val="22"/>
        </w:rPr>
        <w:t>So</w:t>
      </w:r>
      <w:r>
        <w:rPr>
          <w:szCs w:val="22"/>
        </w:rPr>
        <w:t xml:space="preserve"> </w:t>
      </w:r>
      <w:r w:rsidRPr="00C36D42">
        <w:rPr>
          <w:szCs w:val="22"/>
        </w:rPr>
        <w:t xml:space="preserve">30 days in advance of retransmission consent negotiations that could fail, a cable operator is expected to disclose to its subscribers that an ongoing carriage dispute might result in a loss of programming.   </w:t>
      </w:r>
    </w:p>
    <w:bookmarkEnd w:id="0"/>
    <w:p w:rsidR="00C36D42" w:rsidRPr="00C36D42" w:rsidP="00C36D42" w14:paraId="62235B7B" w14:textId="77777777">
      <w:pPr>
        <w:widowControl/>
        <w:ind w:firstLine="720"/>
        <w:rPr>
          <w:szCs w:val="22"/>
        </w:rPr>
      </w:pPr>
    </w:p>
    <w:p w:rsidR="00C36D42" w:rsidRPr="00C36D42" w:rsidP="00C36D42" w14:paraId="01796C0F" w14:textId="6C01A1AB">
      <w:pPr>
        <w:widowControl/>
        <w:ind w:firstLine="720"/>
        <w:rPr>
          <w:szCs w:val="22"/>
        </w:rPr>
      </w:pPr>
      <w:r w:rsidRPr="00C36D42">
        <w:rPr>
          <w:szCs w:val="22"/>
        </w:rPr>
        <w:t xml:space="preserve">This approach has its merits.  But it also leads to consumers getting more of these notices than necessary.  They can be confusing.  That’s because many of these disputes are resolved before any channel falls off the line up and before any blank screens ensue.  </w:t>
      </w:r>
    </w:p>
    <w:p w:rsidR="00C36D42" w:rsidRPr="00C36D42" w:rsidP="00C36D42" w14:paraId="2A331DEB" w14:textId="77777777">
      <w:pPr>
        <w:widowControl/>
        <w:ind w:firstLine="720"/>
        <w:rPr>
          <w:szCs w:val="22"/>
        </w:rPr>
      </w:pPr>
    </w:p>
    <w:p w:rsidR="00C36D42" w:rsidRPr="00C36D42" w:rsidP="00C36D42" w14:paraId="060F8922" w14:textId="77777777">
      <w:pPr>
        <w:widowControl/>
        <w:ind w:firstLine="720"/>
        <w:rPr>
          <w:szCs w:val="22"/>
        </w:rPr>
      </w:pPr>
      <w:r w:rsidRPr="00C36D42">
        <w:rPr>
          <w:szCs w:val="22"/>
        </w:rPr>
        <w:t xml:space="preserve">So today we update our rules for the real world. We determine that instead of a strict 30-day notice of a dispute that could lead to a loss of programming, it is better if consumers are just notified that a blackout is likely as soon as possible. </w:t>
      </w:r>
    </w:p>
    <w:p w:rsidR="00C36D42" w:rsidRPr="00C36D42" w:rsidP="00C36D42" w14:paraId="1D0C8447" w14:textId="77777777">
      <w:pPr>
        <w:widowControl/>
        <w:ind w:firstLine="720"/>
        <w:rPr>
          <w:szCs w:val="22"/>
        </w:rPr>
      </w:pPr>
    </w:p>
    <w:p w:rsidR="002A6A9F" w:rsidRPr="002A6A9F" w:rsidP="002A6A9F" w14:paraId="42CC6393" w14:textId="43D4C8EA">
      <w:pPr>
        <w:widowControl/>
        <w:ind w:firstLine="720"/>
        <w:rPr>
          <w:szCs w:val="22"/>
        </w:rPr>
      </w:pPr>
      <w:r w:rsidRPr="00C36D42">
        <w:rPr>
          <w:szCs w:val="22"/>
        </w:rPr>
        <w:t>This is a modern approach.  It has my support.  But one word of caution.  This decision speaks at length about burdens on companies, but I believe the guiding principle here should be updating our policies for the benefit of consumers.  In the end, I think the changes we make here do just that.  However, if they are put in practice in a way that shortchanges consumers, we will need to revisit this approach.</w:t>
      </w:r>
      <w:bookmarkStart w:id="1" w:name="_GoBack"/>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9CAC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8661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39898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5D123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7B17D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6156B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47B97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BA3CD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FA22B4" w14:textId="2A8F76E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04AD">
      <w:rPr>
        <w:spacing w:val="-2"/>
      </w:rPr>
      <w:t>FCC 20-135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A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A6A9F"/>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06EC5"/>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104AD"/>
    <w:rsid w:val="00A32C3B"/>
    <w:rsid w:val="00A45F4F"/>
    <w:rsid w:val="00A600A9"/>
    <w:rsid w:val="00AA55B7"/>
    <w:rsid w:val="00AA5B9E"/>
    <w:rsid w:val="00AB2407"/>
    <w:rsid w:val="00AB53DF"/>
    <w:rsid w:val="00B07E5C"/>
    <w:rsid w:val="00B811F7"/>
    <w:rsid w:val="00BA5DC6"/>
    <w:rsid w:val="00BA6196"/>
    <w:rsid w:val="00BC6D8C"/>
    <w:rsid w:val="00C34006"/>
    <w:rsid w:val="00C36D42"/>
    <w:rsid w:val="00C426B1"/>
    <w:rsid w:val="00C45C18"/>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3D9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8830CE-578B-4914-B0F0-F4E25147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9F"/>
    <w:pPr>
      <w:widowControl w:val="0"/>
    </w:pPr>
    <w:rPr>
      <w:snapToGrid w:val="0"/>
      <w:kern w:val="28"/>
      <w:sz w:val="22"/>
    </w:rPr>
  </w:style>
  <w:style w:type="paragraph" w:styleId="Heading1">
    <w:name w:val="heading 1"/>
    <w:basedOn w:val="Normal"/>
    <w:next w:val="ParaNum"/>
    <w:qFormat/>
    <w:rsid w:val="002A6A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A6A9F"/>
    <w:pPr>
      <w:keepNext/>
      <w:numPr>
        <w:ilvl w:val="1"/>
        <w:numId w:val="3"/>
      </w:numPr>
      <w:spacing w:after="120"/>
      <w:outlineLvl w:val="1"/>
    </w:pPr>
    <w:rPr>
      <w:b/>
    </w:rPr>
  </w:style>
  <w:style w:type="paragraph" w:styleId="Heading3">
    <w:name w:val="heading 3"/>
    <w:basedOn w:val="Normal"/>
    <w:next w:val="ParaNum"/>
    <w:qFormat/>
    <w:rsid w:val="002A6A9F"/>
    <w:pPr>
      <w:keepNext/>
      <w:numPr>
        <w:ilvl w:val="2"/>
        <w:numId w:val="3"/>
      </w:numPr>
      <w:tabs>
        <w:tab w:val="left" w:pos="2160"/>
      </w:tabs>
      <w:spacing w:after="120"/>
      <w:outlineLvl w:val="2"/>
    </w:pPr>
    <w:rPr>
      <w:b/>
    </w:rPr>
  </w:style>
  <w:style w:type="paragraph" w:styleId="Heading4">
    <w:name w:val="heading 4"/>
    <w:basedOn w:val="Normal"/>
    <w:next w:val="ParaNum"/>
    <w:qFormat/>
    <w:rsid w:val="002A6A9F"/>
    <w:pPr>
      <w:keepNext/>
      <w:numPr>
        <w:ilvl w:val="3"/>
        <w:numId w:val="3"/>
      </w:numPr>
      <w:tabs>
        <w:tab w:val="left" w:pos="2880"/>
      </w:tabs>
      <w:spacing w:after="120"/>
      <w:outlineLvl w:val="3"/>
    </w:pPr>
    <w:rPr>
      <w:b/>
    </w:rPr>
  </w:style>
  <w:style w:type="paragraph" w:styleId="Heading5">
    <w:name w:val="heading 5"/>
    <w:basedOn w:val="Normal"/>
    <w:next w:val="ParaNum"/>
    <w:qFormat/>
    <w:rsid w:val="002A6A9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A6A9F"/>
    <w:pPr>
      <w:numPr>
        <w:ilvl w:val="5"/>
        <w:numId w:val="3"/>
      </w:numPr>
      <w:tabs>
        <w:tab w:val="left" w:pos="4320"/>
      </w:tabs>
      <w:spacing w:after="120"/>
      <w:outlineLvl w:val="5"/>
    </w:pPr>
    <w:rPr>
      <w:b/>
    </w:rPr>
  </w:style>
  <w:style w:type="paragraph" w:styleId="Heading7">
    <w:name w:val="heading 7"/>
    <w:basedOn w:val="Normal"/>
    <w:next w:val="ParaNum"/>
    <w:qFormat/>
    <w:rsid w:val="002A6A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6A9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6A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6A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6A9F"/>
  </w:style>
  <w:style w:type="paragraph" w:customStyle="1" w:styleId="ParaNum">
    <w:name w:val="ParaNum"/>
    <w:basedOn w:val="Normal"/>
    <w:rsid w:val="002A6A9F"/>
    <w:pPr>
      <w:numPr>
        <w:numId w:val="2"/>
      </w:numPr>
      <w:tabs>
        <w:tab w:val="clear" w:pos="1080"/>
        <w:tab w:val="num" w:pos="1440"/>
      </w:tabs>
      <w:spacing w:after="120"/>
    </w:pPr>
  </w:style>
  <w:style w:type="paragraph" w:styleId="EndnoteText">
    <w:name w:val="endnote text"/>
    <w:basedOn w:val="Normal"/>
    <w:semiHidden/>
    <w:rsid w:val="002A6A9F"/>
    <w:rPr>
      <w:sz w:val="20"/>
    </w:rPr>
  </w:style>
  <w:style w:type="character" w:styleId="EndnoteReference">
    <w:name w:val="endnote reference"/>
    <w:semiHidden/>
    <w:rsid w:val="002A6A9F"/>
    <w:rPr>
      <w:vertAlign w:val="superscript"/>
    </w:rPr>
  </w:style>
  <w:style w:type="paragraph" w:styleId="FootnoteText">
    <w:name w:val="footnote text"/>
    <w:rsid w:val="002A6A9F"/>
    <w:pPr>
      <w:spacing w:after="120"/>
    </w:pPr>
  </w:style>
  <w:style w:type="character" w:styleId="FootnoteReference">
    <w:name w:val="footnote reference"/>
    <w:rsid w:val="002A6A9F"/>
    <w:rPr>
      <w:rFonts w:ascii="Times New Roman" w:hAnsi="Times New Roman"/>
      <w:dstrike w:val="0"/>
      <w:color w:val="auto"/>
      <w:sz w:val="20"/>
      <w:vertAlign w:val="superscript"/>
    </w:rPr>
  </w:style>
  <w:style w:type="paragraph" w:styleId="TOC1">
    <w:name w:val="toc 1"/>
    <w:basedOn w:val="Normal"/>
    <w:next w:val="Normal"/>
    <w:semiHidden/>
    <w:rsid w:val="002A6A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A6A9F"/>
    <w:pPr>
      <w:tabs>
        <w:tab w:val="left" w:pos="720"/>
        <w:tab w:val="right" w:leader="dot" w:pos="9360"/>
      </w:tabs>
      <w:suppressAutoHyphens/>
      <w:ind w:left="720" w:right="720" w:hanging="360"/>
    </w:pPr>
    <w:rPr>
      <w:noProof/>
    </w:rPr>
  </w:style>
  <w:style w:type="paragraph" w:styleId="TOC3">
    <w:name w:val="toc 3"/>
    <w:basedOn w:val="Normal"/>
    <w:next w:val="Normal"/>
    <w:semiHidden/>
    <w:rsid w:val="002A6A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6A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6A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6A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6A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6A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6A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6A9F"/>
    <w:pPr>
      <w:tabs>
        <w:tab w:val="right" w:pos="9360"/>
      </w:tabs>
      <w:suppressAutoHyphens/>
    </w:pPr>
  </w:style>
  <w:style w:type="character" w:customStyle="1" w:styleId="EquationCaption">
    <w:name w:val="_Equation Caption"/>
    <w:rsid w:val="002A6A9F"/>
  </w:style>
  <w:style w:type="paragraph" w:styleId="Header">
    <w:name w:val="header"/>
    <w:basedOn w:val="Normal"/>
    <w:autoRedefine/>
    <w:rsid w:val="002A6A9F"/>
    <w:pPr>
      <w:tabs>
        <w:tab w:val="center" w:pos="4680"/>
        <w:tab w:val="right" w:pos="9360"/>
      </w:tabs>
    </w:pPr>
    <w:rPr>
      <w:b/>
    </w:rPr>
  </w:style>
  <w:style w:type="paragraph" w:styleId="Footer">
    <w:name w:val="footer"/>
    <w:basedOn w:val="Normal"/>
    <w:rsid w:val="002A6A9F"/>
    <w:pPr>
      <w:tabs>
        <w:tab w:val="center" w:pos="4320"/>
        <w:tab w:val="right" w:pos="8640"/>
      </w:tabs>
    </w:pPr>
  </w:style>
  <w:style w:type="character" w:styleId="PageNumber">
    <w:name w:val="page number"/>
    <w:basedOn w:val="DefaultParagraphFont"/>
    <w:rsid w:val="002A6A9F"/>
  </w:style>
  <w:style w:type="paragraph" w:styleId="BlockText">
    <w:name w:val="Block Text"/>
    <w:basedOn w:val="Normal"/>
    <w:rsid w:val="002A6A9F"/>
    <w:pPr>
      <w:spacing w:after="240"/>
      <w:ind w:left="1440" w:right="1440"/>
    </w:pPr>
  </w:style>
  <w:style w:type="paragraph" w:customStyle="1" w:styleId="Paratitle">
    <w:name w:val="Para title"/>
    <w:basedOn w:val="Normal"/>
    <w:rsid w:val="002A6A9F"/>
    <w:pPr>
      <w:tabs>
        <w:tab w:val="center" w:pos="9270"/>
      </w:tabs>
      <w:spacing w:after="240"/>
    </w:pPr>
    <w:rPr>
      <w:spacing w:val="-2"/>
    </w:rPr>
  </w:style>
  <w:style w:type="paragraph" w:customStyle="1" w:styleId="Bullet">
    <w:name w:val="Bullet"/>
    <w:basedOn w:val="Normal"/>
    <w:rsid w:val="002A6A9F"/>
    <w:pPr>
      <w:tabs>
        <w:tab w:val="left" w:pos="2160"/>
      </w:tabs>
      <w:spacing w:after="220"/>
      <w:ind w:left="2160" w:hanging="720"/>
    </w:pPr>
  </w:style>
  <w:style w:type="paragraph" w:customStyle="1" w:styleId="TableFormat">
    <w:name w:val="TableFormat"/>
    <w:basedOn w:val="Bullet"/>
    <w:rsid w:val="002A6A9F"/>
    <w:pPr>
      <w:tabs>
        <w:tab w:val="clear" w:pos="2160"/>
        <w:tab w:val="left" w:pos="5040"/>
      </w:tabs>
      <w:ind w:left="5040" w:hanging="3600"/>
    </w:pPr>
  </w:style>
  <w:style w:type="paragraph" w:customStyle="1" w:styleId="TOCTitle">
    <w:name w:val="TOC Title"/>
    <w:basedOn w:val="Normal"/>
    <w:rsid w:val="002A6A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6A9F"/>
    <w:pPr>
      <w:jc w:val="center"/>
    </w:pPr>
    <w:rPr>
      <w:rFonts w:ascii="Times New Roman Bold" w:hAnsi="Times New Roman Bold"/>
      <w:b/>
      <w:bCs/>
      <w:caps/>
      <w:szCs w:val="22"/>
    </w:rPr>
  </w:style>
  <w:style w:type="character" w:styleId="Hyperlink">
    <w:name w:val="Hyperlink"/>
    <w:rsid w:val="002A6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