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06EC5" w:rsidP="00934012" w14:paraId="6CEA030E" w14:textId="77777777">
      <w:pPr>
        <w:jc w:val="center"/>
        <w:rPr>
          <w:b/>
          <w:bCs/>
          <w:caps/>
          <w:szCs w:val="22"/>
        </w:rPr>
      </w:pPr>
      <w:r w:rsidRPr="00506EC5">
        <w:rPr>
          <w:b/>
          <w:bCs/>
          <w:caps/>
          <w:szCs w:val="22"/>
        </w:rPr>
        <w:t>Statement of</w:t>
      </w:r>
    </w:p>
    <w:p w:rsidR="00934012" w:rsidRPr="00506EC5" w:rsidP="00934012" w14:paraId="30A80AF1" w14:textId="380BB6DB">
      <w:pPr>
        <w:jc w:val="center"/>
        <w:rPr>
          <w:b/>
          <w:bCs/>
          <w:caps/>
          <w:szCs w:val="22"/>
        </w:rPr>
      </w:pPr>
      <w:r w:rsidRPr="00506EC5">
        <w:rPr>
          <w:b/>
          <w:bCs/>
          <w:caps/>
          <w:szCs w:val="22"/>
        </w:rPr>
        <w:t xml:space="preserve">COMMISSIONER </w:t>
      </w:r>
      <w:r w:rsidR="00506EC5">
        <w:rPr>
          <w:b/>
          <w:bCs/>
          <w:caps/>
          <w:szCs w:val="22"/>
        </w:rPr>
        <w:t>Geoffrey Starks</w:t>
      </w:r>
    </w:p>
    <w:p w:rsidR="00A104AD" w:rsidRPr="00506EC5" w:rsidP="00934012" w14:paraId="101CE085" w14:textId="77777777">
      <w:pPr>
        <w:jc w:val="center"/>
        <w:rPr>
          <w:b/>
          <w:bCs/>
          <w:caps/>
          <w:szCs w:val="22"/>
        </w:rPr>
      </w:pPr>
    </w:p>
    <w:p w:rsidR="00A104AD" w:rsidRPr="00506EC5" w:rsidP="00A104AD" w14:paraId="2165F63F" w14:textId="77777777">
      <w:pPr>
        <w:rPr>
          <w:i/>
          <w:iCs/>
          <w:szCs w:val="22"/>
        </w:rPr>
      </w:pPr>
      <w:r w:rsidRPr="00506EC5">
        <w:rPr>
          <w:iCs/>
          <w:szCs w:val="22"/>
        </w:rPr>
        <w:t>Re:</w:t>
      </w:r>
      <w:r w:rsidRPr="00506EC5">
        <w:rPr>
          <w:szCs w:val="22"/>
        </w:rPr>
        <w:t xml:space="preserve"> </w:t>
      </w:r>
      <w:r w:rsidRPr="00506EC5">
        <w:rPr>
          <w:szCs w:val="22"/>
        </w:rPr>
        <w:tab/>
      </w:r>
      <w:r w:rsidRPr="00506EC5">
        <w:rPr>
          <w:i/>
          <w:iCs/>
          <w:szCs w:val="22"/>
        </w:rPr>
        <w:t xml:space="preserve">Cable Service Change Notifications, </w:t>
      </w:r>
      <w:r w:rsidRPr="00506EC5">
        <w:rPr>
          <w:szCs w:val="22"/>
        </w:rPr>
        <w:t>MB Docket No. 19-347;</w:t>
      </w:r>
      <w:r w:rsidRPr="00506EC5">
        <w:rPr>
          <w:i/>
          <w:iCs/>
          <w:szCs w:val="22"/>
        </w:rPr>
        <w:t xml:space="preserve"> Modernization of Media Regulation </w:t>
      </w:r>
    </w:p>
    <w:p w:rsidR="00934012" w:rsidRPr="00506EC5" w:rsidP="00A104AD" w14:paraId="39B88622" w14:textId="5472A830">
      <w:pPr>
        <w:rPr>
          <w:i/>
          <w:iCs/>
          <w:szCs w:val="22"/>
        </w:rPr>
      </w:pPr>
      <w:r w:rsidRPr="00506EC5">
        <w:rPr>
          <w:i/>
          <w:iCs/>
          <w:szCs w:val="22"/>
        </w:rPr>
        <w:t xml:space="preserve">Initiative, </w:t>
      </w:r>
      <w:r w:rsidRPr="00506EC5">
        <w:rPr>
          <w:szCs w:val="22"/>
        </w:rPr>
        <w:t xml:space="preserve">MB Docket No. 17-105; </w:t>
      </w:r>
      <w:r w:rsidRPr="00506EC5">
        <w:rPr>
          <w:i/>
          <w:iCs/>
          <w:szCs w:val="22"/>
        </w:rPr>
        <w:t>Amendment of the Commission’s Rules Related to Retransmission Consent</w:t>
      </w:r>
      <w:r w:rsidRPr="00506EC5">
        <w:rPr>
          <w:szCs w:val="22"/>
        </w:rPr>
        <w:t>, MB Docket No. 10-71.</w:t>
      </w:r>
    </w:p>
    <w:p w:rsidR="00934012" w:rsidRPr="00506EC5" w:rsidP="00934012" w14:paraId="76FEA43C" w14:textId="77777777">
      <w:pPr>
        <w:ind w:firstLine="720"/>
        <w:rPr>
          <w:szCs w:val="22"/>
        </w:rPr>
      </w:pPr>
    </w:p>
    <w:p w:rsidR="00506EC5" w:rsidRPr="00506EC5" w:rsidP="00506EC5" w14:paraId="51B6977A" w14:textId="77777777">
      <w:pPr>
        <w:ind w:firstLine="720"/>
        <w:rPr>
          <w:szCs w:val="22"/>
        </w:rPr>
      </w:pPr>
      <w:r w:rsidRPr="00506EC5">
        <w:rPr>
          <w:szCs w:val="22"/>
        </w:rPr>
        <w:t xml:space="preserve">As I noted at the NPRM stage, protecting consumers is a responsibility that I take very seriously.  The impact on consumers’ access to the services they pay for—and to their pocketbooks—can be significant if they do not receive adequate notice of failing contract negotiations that ultimately result in surprise service changes and television channel blackouts.  I expressed concern about modifying the notice requirement from 30 days in advance of contract expiration to “as soon as possible,” and stated that I would review the record closely to ensure that our ultimate decision would put consumers front and center.  Commenters in the record describe how these negotiations can come down to the last days or even the last hours before a contract is due to expire, and that in most </w:t>
      </w:r>
      <w:r w:rsidRPr="00506EC5">
        <w:rPr>
          <w:szCs w:val="22"/>
        </w:rPr>
        <w:t>instances</w:t>
      </w:r>
      <w:r w:rsidRPr="00506EC5">
        <w:rPr>
          <w:szCs w:val="22"/>
        </w:rPr>
        <w:t xml:space="preserve"> agreements are reached and service disruptions are avoided.  When that happens, 30 days’ notice may cause unnecessary confusion, prompting some consumers to prematurely seek to switch providers only to find out the negotiations were ultimately successful.  I will be watching to make sure that the changes we adopt today will, in fact, protect consumers through notice provided “as soon as possible.”</w:t>
      </w:r>
    </w:p>
    <w:p w:rsidR="00506EC5" w:rsidRPr="00506EC5" w:rsidP="00506EC5" w14:paraId="64DE1150" w14:textId="77777777">
      <w:pPr>
        <w:rPr>
          <w:szCs w:val="22"/>
        </w:rPr>
      </w:pPr>
    </w:p>
    <w:p w:rsidR="002C00E8" w:rsidRPr="00F02872" w:rsidP="00F02872" w14:paraId="44F4F25E" w14:textId="3B4FF430">
      <w:pPr>
        <w:spacing w:after="120"/>
        <w:rPr>
          <w:szCs w:val="22"/>
        </w:rPr>
      </w:pPr>
      <w:r w:rsidRPr="00506EC5">
        <w:rPr>
          <w:szCs w:val="22"/>
        </w:rPr>
        <w:tab/>
        <w:t>I appreciate the work of the Media Bureau staff on this item.</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F9CAC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8661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39898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65D123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7B17D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6156B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47B97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BA3CD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FA22B4" w14:textId="2A8F76E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04AD">
      <w:rPr>
        <w:spacing w:val="-2"/>
      </w:rPr>
      <w:t>FCC 20-135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A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06EC5"/>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104AD"/>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45C18"/>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02872"/>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8830CE-578B-4914-B0F0-F4E25147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72"/>
    <w:pPr>
      <w:widowControl w:val="0"/>
    </w:pPr>
    <w:rPr>
      <w:snapToGrid w:val="0"/>
      <w:kern w:val="28"/>
      <w:sz w:val="22"/>
    </w:rPr>
  </w:style>
  <w:style w:type="paragraph" w:styleId="Heading1">
    <w:name w:val="heading 1"/>
    <w:basedOn w:val="Normal"/>
    <w:next w:val="ParaNum"/>
    <w:qFormat/>
    <w:rsid w:val="00F028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02872"/>
    <w:pPr>
      <w:keepNext/>
      <w:numPr>
        <w:ilvl w:val="1"/>
        <w:numId w:val="3"/>
      </w:numPr>
      <w:spacing w:after="120"/>
      <w:outlineLvl w:val="1"/>
    </w:pPr>
    <w:rPr>
      <w:b/>
    </w:rPr>
  </w:style>
  <w:style w:type="paragraph" w:styleId="Heading3">
    <w:name w:val="heading 3"/>
    <w:basedOn w:val="Normal"/>
    <w:next w:val="ParaNum"/>
    <w:qFormat/>
    <w:rsid w:val="00F02872"/>
    <w:pPr>
      <w:keepNext/>
      <w:numPr>
        <w:ilvl w:val="2"/>
        <w:numId w:val="3"/>
      </w:numPr>
      <w:tabs>
        <w:tab w:val="left" w:pos="2160"/>
      </w:tabs>
      <w:spacing w:after="120"/>
      <w:outlineLvl w:val="2"/>
    </w:pPr>
    <w:rPr>
      <w:b/>
    </w:rPr>
  </w:style>
  <w:style w:type="paragraph" w:styleId="Heading4">
    <w:name w:val="heading 4"/>
    <w:basedOn w:val="Normal"/>
    <w:next w:val="ParaNum"/>
    <w:qFormat/>
    <w:rsid w:val="00F02872"/>
    <w:pPr>
      <w:keepNext/>
      <w:numPr>
        <w:ilvl w:val="3"/>
        <w:numId w:val="3"/>
      </w:numPr>
      <w:tabs>
        <w:tab w:val="left" w:pos="2880"/>
      </w:tabs>
      <w:spacing w:after="120"/>
      <w:outlineLvl w:val="3"/>
    </w:pPr>
    <w:rPr>
      <w:b/>
    </w:rPr>
  </w:style>
  <w:style w:type="paragraph" w:styleId="Heading5">
    <w:name w:val="heading 5"/>
    <w:basedOn w:val="Normal"/>
    <w:next w:val="ParaNum"/>
    <w:qFormat/>
    <w:rsid w:val="00F0287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02872"/>
    <w:pPr>
      <w:numPr>
        <w:ilvl w:val="5"/>
        <w:numId w:val="3"/>
      </w:numPr>
      <w:tabs>
        <w:tab w:val="left" w:pos="4320"/>
      </w:tabs>
      <w:spacing w:after="120"/>
      <w:outlineLvl w:val="5"/>
    </w:pPr>
    <w:rPr>
      <w:b/>
    </w:rPr>
  </w:style>
  <w:style w:type="paragraph" w:styleId="Heading7">
    <w:name w:val="heading 7"/>
    <w:basedOn w:val="Normal"/>
    <w:next w:val="ParaNum"/>
    <w:qFormat/>
    <w:rsid w:val="00F0287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028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028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028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2872"/>
  </w:style>
  <w:style w:type="paragraph" w:customStyle="1" w:styleId="ParaNum">
    <w:name w:val="ParaNum"/>
    <w:basedOn w:val="Normal"/>
    <w:rsid w:val="00F02872"/>
    <w:pPr>
      <w:numPr>
        <w:numId w:val="2"/>
      </w:numPr>
      <w:tabs>
        <w:tab w:val="clear" w:pos="1080"/>
        <w:tab w:val="num" w:pos="1440"/>
      </w:tabs>
      <w:spacing w:after="120"/>
    </w:pPr>
  </w:style>
  <w:style w:type="paragraph" w:styleId="EndnoteText">
    <w:name w:val="endnote text"/>
    <w:basedOn w:val="Normal"/>
    <w:semiHidden/>
    <w:rsid w:val="00F02872"/>
    <w:rPr>
      <w:sz w:val="20"/>
    </w:rPr>
  </w:style>
  <w:style w:type="character" w:styleId="EndnoteReference">
    <w:name w:val="endnote reference"/>
    <w:semiHidden/>
    <w:rsid w:val="00F02872"/>
    <w:rPr>
      <w:vertAlign w:val="superscript"/>
    </w:rPr>
  </w:style>
  <w:style w:type="paragraph" w:styleId="FootnoteText">
    <w:name w:val="footnote text"/>
    <w:rsid w:val="00F02872"/>
    <w:pPr>
      <w:spacing w:after="120"/>
    </w:pPr>
  </w:style>
  <w:style w:type="character" w:styleId="FootnoteReference">
    <w:name w:val="footnote reference"/>
    <w:rsid w:val="00F02872"/>
    <w:rPr>
      <w:rFonts w:ascii="Times New Roman" w:hAnsi="Times New Roman"/>
      <w:dstrike w:val="0"/>
      <w:color w:val="auto"/>
      <w:sz w:val="20"/>
      <w:vertAlign w:val="superscript"/>
    </w:rPr>
  </w:style>
  <w:style w:type="paragraph" w:styleId="TOC1">
    <w:name w:val="toc 1"/>
    <w:basedOn w:val="Normal"/>
    <w:next w:val="Normal"/>
    <w:semiHidden/>
    <w:rsid w:val="00F028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02872"/>
    <w:pPr>
      <w:tabs>
        <w:tab w:val="left" w:pos="720"/>
        <w:tab w:val="right" w:leader="dot" w:pos="9360"/>
      </w:tabs>
      <w:suppressAutoHyphens/>
      <w:ind w:left="720" w:right="720" w:hanging="360"/>
    </w:pPr>
    <w:rPr>
      <w:noProof/>
    </w:rPr>
  </w:style>
  <w:style w:type="paragraph" w:styleId="TOC3">
    <w:name w:val="toc 3"/>
    <w:basedOn w:val="Normal"/>
    <w:next w:val="Normal"/>
    <w:semiHidden/>
    <w:rsid w:val="00F028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028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028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028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028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028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028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02872"/>
    <w:pPr>
      <w:tabs>
        <w:tab w:val="right" w:pos="9360"/>
      </w:tabs>
      <w:suppressAutoHyphens/>
    </w:pPr>
  </w:style>
  <w:style w:type="character" w:customStyle="1" w:styleId="EquationCaption">
    <w:name w:val="_Equation Caption"/>
    <w:rsid w:val="00F02872"/>
  </w:style>
  <w:style w:type="paragraph" w:styleId="Header">
    <w:name w:val="header"/>
    <w:basedOn w:val="Normal"/>
    <w:autoRedefine/>
    <w:rsid w:val="00F02872"/>
    <w:pPr>
      <w:tabs>
        <w:tab w:val="center" w:pos="4680"/>
        <w:tab w:val="right" w:pos="9360"/>
      </w:tabs>
    </w:pPr>
    <w:rPr>
      <w:b/>
    </w:rPr>
  </w:style>
  <w:style w:type="paragraph" w:styleId="Footer">
    <w:name w:val="footer"/>
    <w:basedOn w:val="Normal"/>
    <w:rsid w:val="00F02872"/>
    <w:pPr>
      <w:tabs>
        <w:tab w:val="center" w:pos="4320"/>
        <w:tab w:val="right" w:pos="8640"/>
      </w:tabs>
    </w:pPr>
  </w:style>
  <w:style w:type="character" w:styleId="PageNumber">
    <w:name w:val="page number"/>
    <w:basedOn w:val="DefaultParagraphFont"/>
    <w:rsid w:val="00F02872"/>
  </w:style>
  <w:style w:type="paragraph" w:styleId="BlockText">
    <w:name w:val="Block Text"/>
    <w:basedOn w:val="Normal"/>
    <w:rsid w:val="00F02872"/>
    <w:pPr>
      <w:spacing w:after="240"/>
      <w:ind w:left="1440" w:right="1440"/>
    </w:pPr>
  </w:style>
  <w:style w:type="paragraph" w:customStyle="1" w:styleId="Paratitle">
    <w:name w:val="Para title"/>
    <w:basedOn w:val="Normal"/>
    <w:rsid w:val="00F02872"/>
    <w:pPr>
      <w:tabs>
        <w:tab w:val="center" w:pos="9270"/>
      </w:tabs>
      <w:spacing w:after="240"/>
    </w:pPr>
    <w:rPr>
      <w:spacing w:val="-2"/>
    </w:rPr>
  </w:style>
  <w:style w:type="paragraph" w:customStyle="1" w:styleId="Bullet">
    <w:name w:val="Bullet"/>
    <w:basedOn w:val="Normal"/>
    <w:rsid w:val="00F02872"/>
    <w:pPr>
      <w:tabs>
        <w:tab w:val="left" w:pos="2160"/>
      </w:tabs>
      <w:spacing w:after="220"/>
      <w:ind w:left="2160" w:hanging="720"/>
    </w:pPr>
  </w:style>
  <w:style w:type="paragraph" w:customStyle="1" w:styleId="TableFormat">
    <w:name w:val="TableFormat"/>
    <w:basedOn w:val="Bullet"/>
    <w:rsid w:val="00F02872"/>
    <w:pPr>
      <w:tabs>
        <w:tab w:val="clear" w:pos="2160"/>
        <w:tab w:val="left" w:pos="5040"/>
      </w:tabs>
      <w:ind w:left="5040" w:hanging="3600"/>
    </w:pPr>
  </w:style>
  <w:style w:type="paragraph" w:customStyle="1" w:styleId="TOCTitle">
    <w:name w:val="TOC Title"/>
    <w:basedOn w:val="Normal"/>
    <w:rsid w:val="00F028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02872"/>
    <w:pPr>
      <w:jc w:val="center"/>
    </w:pPr>
    <w:rPr>
      <w:rFonts w:ascii="Times New Roman Bold" w:hAnsi="Times New Roman Bold"/>
      <w:b/>
      <w:bCs/>
      <w:caps/>
      <w:szCs w:val="22"/>
    </w:rPr>
  </w:style>
  <w:style w:type="character" w:styleId="Hyperlink">
    <w:name w:val="Hyperlink"/>
    <w:rsid w:val="00F02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