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4F1062A0"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42A473BC" w14:textId="77777777">
      <w:pPr>
        <w:pStyle w:val="StyleBoldCentered"/>
      </w:pPr>
      <w:r>
        <w:t>F</w:t>
      </w:r>
      <w:r>
        <w:rPr>
          <w:caps w:val="0"/>
        </w:rPr>
        <w:t>ederal Communications Commission</w:t>
      </w:r>
    </w:p>
    <w:p w:rsidR="004C2EE3" w:rsidP="00096D8C" w14:paraId="39F8C472" w14:textId="4A6F4926">
      <w:pPr>
        <w:pStyle w:val="StyleBoldCentered"/>
        <w:rPr>
          <w:caps w:val="0"/>
        </w:rPr>
      </w:pPr>
      <w:r>
        <w:rPr>
          <w:caps w:val="0"/>
        </w:rPr>
        <w:t>Washington, D.C. 20554</w:t>
      </w:r>
    </w:p>
    <w:p w:rsidR="002C2323" w:rsidP="00096D8C" w14:paraId="2A5625A0" w14:textId="77777777">
      <w:pPr>
        <w:pStyle w:val="StyleBoldCentered"/>
        <w:rPr>
          <w:caps w:val="0"/>
        </w:rPr>
      </w:pPr>
    </w:p>
    <w:p w:rsidR="004C2EE3" w:rsidP="0070224F" w14:paraId="11913DC4" w14:textId="77777777"/>
    <w:tbl>
      <w:tblPr>
        <w:tblW w:w="0" w:type="auto"/>
        <w:tblLayout w:type="fixed"/>
        <w:tblLook w:val="0000"/>
      </w:tblPr>
      <w:tblGrid>
        <w:gridCol w:w="4698"/>
        <w:gridCol w:w="630"/>
        <w:gridCol w:w="4248"/>
      </w:tblGrid>
      <w:tr w14:paraId="57AB75F8" w14:textId="77777777">
        <w:tblPrEx>
          <w:tblW w:w="0" w:type="auto"/>
          <w:tblLayout w:type="fixed"/>
          <w:tblLook w:val="0000"/>
        </w:tblPrEx>
        <w:tc>
          <w:tcPr>
            <w:tcW w:w="4698" w:type="dxa"/>
          </w:tcPr>
          <w:p w:rsidR="004C2EE3" w14:paraId="0BFB4679" w14:textId="77777777">
            <w:pPr>
              <w:tabs>
                <w:tab w:val="center" w:pos="4680"/>
              </w:tabs>
              <w:suppressAutoHyphens/>
              <w:rPr>
                <w:spacing w:val="-2"/>
              </w:rPr>
            </w:pPr>
            <w:r>
              <w:rPr>
                <w:spacing w:val="-2"/>
              </w:rPr>
              <w:t>In the Matter of</w:t>
            </w:r>
          </w:p>
          <w:p w:rsidR="004C2EE3" w14:paraId="41CB4143" w14:textId="77777777">
            <w:pPr>
              <w:tabs>
                <w:tab w:val="center" w:pos="4680"/>
              </w:tabs>
              <w:suppressAutoHyphens/>
              <w:rPr>
                <w:spacing w:val="-2"/>
              </w:rPr>
            </w:pPr>
          </w:p>
          <w:p w:rsidR="004C2EE3" w:rsidP="007115F7" w14:paraId="2D936EBF" w14:textId="77777777">
            <w:pPr>
              <w:tabs>
                <w:tab w:val="center" w:pos="4680"/>
              </w:tabs>
              <w:suppressAutoHyphens/>
              <w:rPr>
                <w:spacing w:val="-2"/>
              </w:rPr>
            </w:pPr>
            <w:r>
              <w:rPr>
                <w:spacing w:val="-2"/>
              </w:rPr>
              <w:t>O3b Limited</w:t>
            </w:r>
          </w:p>
          <w:p w:rsidR="00816915" w:rsidP="007115F7" w14:paraId="0C0C7333" w14:textId="77777777">
            <w:pPr>
              <w:tabs>
                <w:tab w:val="center" w:pos="4680"/>
              </w:tabs>
              <w:suppressAutoHyphens/>
              <w:rPr>
                <w:spacing w:val="-2"/>
              </w:rPr>
            </w:pPr>
          </w:p>
          <w:p w:rsidR="00FE11F7" w:rsidP="007115F7" w14:paraId="54AC2EE3" w14:textId="77777777">
            <w:pPr>
              <w:tabs>
                <w:tab w:val="center" w:pos="4680"/>
              </w:tabs>
              <w:suppressAutoHyphens/>
              <w:rPr>
                <w:spacing w:val="-2"/>
              </w:rPr>
            </w:pPr>
            <w:r>
              <w:rPr>
                <w:spacing w:val="-2"/>
              </w:rPr>
              <w:t>Request for Modification of U.S. Market Access for O3b Limited’s Non-Geostationary Satellite Orbit System in the Fixed-Satellite Service and in the Mobile-Satellite Service</w:t>
            </w:r>
          </w:p>
          <w:p w:rsidR="00816915" w:rsidP="007115F7" w14:paraId="6C8F9F9E" w14:textId="77777777">
            <w:pPr>
              <w:tabs>
                <w:tab w:val="center" w:pos="4680"/>
              </w:tabs>
              <w:suppressAutoHyphens/>
              <w:rPr>
                <w:spacing w:val="-2"/>
              </w:rPr>
            </w:pPr>
          </w:p>
          <w:p w:rsidR="00816915" w:rsidRPr="007115F7" w:rsidP="007115F7" w14:paraId="5CEB527A" w14:textId="77777777">
            <w:pPr>
              <w:tabs>
                <w:tab w:val="center" w:pos="4680"/>
              </w:tabs>
              <w:suppressAutoHyphens/>
              <w:rPr>
                <w:spacing w:val="-2"/>
              </w:rPr>
            </w:pPr>
          </w:p>
        </w:tc>
        <w:tc>
          <w:tcPr>
            <w:tcW w:w="630" w:type="dxa"/>
          </w:tcPr>
          <w:p w:rsidR="004C2EE3" w14:paraId="4AC809AE" w14:textId="77777777">
            <w:pPr>
              <w:tabs>
                <w:tab w:val="center" w:pos="4680"/>
              </w:tabs>
              <w:suppressAutoHyphens/>
              <w:rPr>
                <w:b/>
                <w:spacing w:val="-2"/>
              </w:rPr>
            </w:pPr>
            <w:r>
              <w:rPr>
                <w:b/>
                <w:spacing w:val="-2"/>
              </w:rPr>
              <w:t>)</w:t>
            </w:r>
          </w:p>
          <w:p w:rsidR="004C2EE3" w14:paraId="77283F9C" w14:textId="77777777">
            <w:pPr>
              <w:tabs>
                <w:tab w:val="center" w:pos="4680"/>
              </w:tabs>
              <w:suppressAutoHyphens/>
              <w:rPr>
                <w:b/>
                <w:spacing w:val="-2"/>
              </w:rPr>
            </w:pPr>
            <w:r>
              <w:rPr>
                <w:b/>
                <w:spacing w:val="-2"/>
              </w:rPr>
              <w:t>)</w:t>
            </w:r>
          </w:p>
          <w:p w:rsidR="004C2EE3" w14:paraId="5E1D36FC" w14:textId="77777777">
            <w:pPr>
              <w:tabs>
                <w:tab w:val="center" w:pos="4680"/>
              </w:tabs>
              <w:suppressAutoHyphens/>
              <w:rPr>
                <w:b/>
                <w:spacing w:val="-2"/>
              </w:rPr>
            </w:pPr>
            <w:r>
              <w:rPr>
                <w:b/>
                <w:spacing w:val="-2"/>
              </w:rPr>
              <w:t>)</w:t>
            </w:r>
          </w:p>
          <w:p w:rsidR="004C2EE3" w14:paraId="21D3505E" w14:textId="77777777">
            <w:pPr>
              <w:tabs>
                <w:tab w:val="center" w:pos="4680"/>
              </w:tabs>
              <w:suppressAutoHyphens/>
              <w:rPr>
                <w:b/>
                <w:spacing w:val="-2"/>
              </w:rPr>
            </w:pPr>
            <w:r>
              <w:rPr>
                <w:b/>
                <w:spacing w:val="-2"/>
              </w:rPr>
              <w:t>)</w:t>
            </w:r>
          </w:p>
          <w:p w:rsidR="004C2EE3" w14:paraId="42BEF26D" w14:textId="77777777">
            <w:pPr>
              <w:tabs>
                <w:tab w:val="center" w:pos="4680"/>
              </w:tabs>
              <w:suppressAutoHyphens/>
              <w:rPr>
                <w:b/>
                <w:spacing w:val="-2"/>
              </w:rPr>
            </w:pPr>
            <w:r>
              <w:rPr>
                <w:b/>
                <w:spacing w:val="-2"/>
              </w:rPr>
              <w:t>)</w:t>
            </w:r>
          </w:p>
          <w:p w:rsidR="004C2EE3" w14:paraId="326715FE" w14:textId="77777777">
            <w:pPr>
              <w:tabs>
                <w:tab w:val="center" w:pos="4680"/>
              </w:tabs>
              <w:suppressAutoHyphens/>
              <w:rPr>
                <w:b/>
                <w:spacing w:val="-2"/>
              </w:rPr>
            </w:pPr>
            <w:r>
              <w:rPr>
                <w:b/>
                <w:spacing w:val="-2"/>
              </w:rPr>
              <w:t>)</w:t>
            </w:r>
          </w:p>
          <w:p w:rsidR="004C2EE3" w14:paraId="37C3754F" w14:textId="77777777">
            <w:pPr>
              <w:tabs>
                <w:tab w:val="center" w:pos="4680"/>
              </w:tabs>
              <w:suppressAutoHyphens/>
              <w:rPr>
                <w:b/>
                <w:spacing w:val="-2"/>
              </w:rPr>
            </w:pPr>
            <w:r>
              <w:rPr>
                <w:b/>
                <w:spacing w:val="-2"/>
              </w:rPr>
              <w:t>)</w:t>
            </w:r>
          </w:p>
          <w:p w:rsidR="004C2EE3" w14:paraId="60782ED7" w14:textId="77777777">
            <w:pPr>
              <w:tabs>
                <w:tab w:val="center" w:pos="4680"/>
              </w:tabs>
              <w:suppressAutoHyphens/>
              <w:rPr>
                <w:b/>
                <w:spacing w:val="-2"/>
              </w:rPr>
            </w:pPr>
            <w:r>
              <w:rPr>
                <w:b/>
                <w:spacing w:val="-2"/>
              </w:rPr>
              <w:t>)</w:t>
            </w:r>
          </w:p>
          <w:p w:rsidR="00FE11F7" w14:paraId="76D57029" w14:textId="7DBEDC2B">
            <w:pPr>
              <w:tabs>
                <w:tab w:val="center" w:pos="4680"/>
              </w:tabs>
              <w:suppressAutoHyphens/>
              <w:rPr>
                <w:spacing w:val="-2"/>
              </w:rPr>
            </w:pPr>
          </w:p>
        </w:tc>
        <w:tc>
          <w:tcPr>
            <w:tcW w:w="4248" w:type="dxa"/>
          </w:tcPr>
          <w:p w:rsidR="004C2EE3" w14:paraId="753CBC11" w14:textId="77777777">
            <w:pPr>
              <w:tabs>
                <w:tab w:val="center" w:pos="4680"/>
              </w:tabs>
              <w:suppressAutoHyphens/>
              <w:rPr>
                <w:spacing w:val="-2"/>
              </w:rPr>
            </w:pPr>
          </w:p>
          <w:p w:rsidR="004C2EE3" w14:paraId="3607DD06" w14:textId="77777777">
            <w:pPr>
              <w:pStyle w:val="TOAHeading"/>
              <w:tabs>
                <w:tab w:val="center" w:pos="4680"/>
                <w:tab w:val="clear" w:pos="9360"/>
              </w:tabs>
              <w:rPr>
                <w:spacing w:val="-2"/>
              </w:rPr>
            </w:pPr>
          </w:p>
          <w:p w:rsidR="004C2EE3" w14:paraId="66B70AF7" w14:textId="77777777">
            <w:pPr>
              <w:tabs>
                <w:tab w:val="center" w:pos="4680"/>
              </w:tabs>
              <w:suppressAutoHyphens/>
              <w:rPr>
                <w:spacing w:val="-2"/>
              </w:rPr>
            </w:pPr>
            <w:r>
              <w:rPr>
                <w:spacing w:val="-2"/>
              </w:rPr>
              <w:t xml:space="preserve">IBFS File No. </w:t>
            </w:r>
            <w:bookmarkStart w:id="0" w:name="_GoBack"/>
            <w:r w:rsidR="00DE4C07">
              <w:rPr>
                <w:spacing w:val="-2"/>
              </w:rPr>
              <w:t>SAT-MOD-20160624-00060</w:t>
            </w:r>
            <w:bookmarkEnd w:id="0"/>
            <w:r w:rsidR="00DE4C07">
              <w:rPr>
                <w:spacing w:val="-2"/>
              </w:rPr>
              <w:t xml:space="preserve">, SAT-AMD-20161115-00116, SAT-AMD-20170301-00026, and </w:t>
            </w:r>
            <w:r>
              <w:rPr>
                <w:spacing w:val="-2"/>
              </w:rPr>
              <w:t>SAT-AMD-20171109-00154</w:t>
            </w:r>
          </w:p>
          <w:p w:rsidR="00FE11F7" w14:paraId="172C9321" w14:textId="77777777">
            <w:pPr>
              <w:tabs>
                <w:tab w:val="center" w:pos="4680"/>
              </w:tabs>
              <w:suppressAutoHyphens/>
              <w:rPr>
                <w:spacing w:val="-2"/>
              </w:rPr>
            </w:pPr>
          </w:p>
          <w:p w:rsidR="00677897" w14:paraId="241513F5" w14:textId="77777777">
            <w:pPr>
              <w:tabs>
                <w:tab w:val="center" w:pos="4680"/>
              </w:tabs>
              <w:suppressAutoHyphens/>
              <w:rPr>
                <w:spacing w:val="-2"/>
              </w:rPr>
            </w:pPr>
            <w:r>
              <w:rPr>
                <w:spacing w:val="-2"/>
              </w:rPr>
              <w:t>Call Sign S2935</w:t>
            </w:r>
          </w:p>
        </w:tc>
      </w:tr>
    </w:tbl>
    <w:p w:rsidR="004C2EE3" w:rsidP="0070224F" w14:paraId="67D98E5F" w14:textId="77777777"/>
    <w:p w:rsidR="00841AB1" w:rsidP="00F021FA" w14:paraId="2037C634" w14:textId="77777777">
      <w:pPr>
        <w:pStyle w:val="StyleBoldCentered"/>
      </w:pPr>
      <w:r>
        <w:t xml:space="preserve">MEMORANDUM OPINION AND </w:t>
      </w:r>
      <w:r w:rsidR="00816915">
        <w:t xml:space="preserve">Order </w:t>
      </w:r>
    </w:p>
    <w:p w:rsidR="004C2EE3" w14:paraId="16BB7DC1" w14:textId="77777777">
      <w:pPr>
        <w:tabs>
          <w:tab w:val="left" w:pos="-720"/>
        </w:tabs>
        <w:suppressAutoHyphens/>
        <w:spacing w:line="227" w:lineRule="auto"/>
        <w:rPr>
          <w:spacing w:val="-2"/>
        </w:rPr>
      </w:pPr>
    </w:p>
    <w:p w:rsidR="004C2EE3" w:rsidP="005D7DE9" w14:paraId="31D405D1" w14:textId="31CB11FC">
      <w:pPr>
        <w:tabs>
          <w:tab w:val="left" w:pos="720"/>
          <w:tab w:val="right" w:pos="9360"/>
        </w:tabs>
        <w:suppressAutoHyphens/>
        <w:spacing w:line="227" w:lineRule="auto"/>
        <w:rPr>
          <w:spacing w:val="-2"/>
        </w:rPr>
      </w:pPr>
      <w:r>
        <w:rPr>
          <w:b/>
          <w:spacing w:val="-2"/>
        </w:rPr>
        <w:t xml:space="preserve">Adopted:  </w:t>
      </w:r>
      <w:r w:rsidR="00796715">
        <w:rPr>
          <w:b/>
          <w:spacing w:val="-2"/>
        </w:rPr>
        <w:t>February 19,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96715">
        <w:rPr>
          <w:b/>
          <w:spacing w:val="-2"/>
        </w:rPr>
        <w:t>February 2</w:t>
      </w:r>
      <w:r w:rsidR="0087257D">
        <w:rPr>
          <w:b/>
          <w:spacing w:val="-2"/>
        </w:rPr>
        <w:t>5</w:t>
      </w:r>
      <w:r w:rsidR="00796715">
        <w:rPr>
          <w:b/>
          <w:spacing w:val="-2"/>
        </w:rPr>
        <w:t>, 2020</w:t>
      </w:r>
    </w:p>
    <w:p w:rsidR="00822CE0" w14:paraId="2DEFFF50" w14:textId="77777777"/>
    <w:p w:rsidR="00822CE0" w14:paraId="6B22787A" w14:textId="77777777">
      <w:r>
        <w:t xml:space="preserve">By </w:t>
      </w:r>
      <w:r w:rsidR="004E4A22">
        <w:t>the</w:t>
      </w:r>
      <w:r w:rsidR="002A2D2E">
        <w:t xml:space="preserve"> </w:t>
      </w:r>
      <w:r w:rsidR="00780462">
        <w:t>Commission:</w:t>
      </w:r>
    </w:p>
    <w:p w:rsidR="00780462" w14:paraId="2474C70D" w14:textId="77777777">
      <w:pPr>
        <w:rPr>
          <w:spacing w:val="-2"/>
        </w:rPr>
      </w:pPr>
    </w:p>
    <w:p w:rsidR="00412FC5" w:rsidP="00C36B4C" w14:paraId="2F04F266" w14:textId="77777777">
      <w:pPr>
        <w:pStyle w:val="Heading1"/>
      </w:pPr>
      <w:r>
        <w:t>INTRODUCTION</w:t>
      </w:r>
    </w:p>
    <w:p w:rsidR="00FE11F7" w:rsidP="008A4C4B" w14:paraId="6BD40121" w14:textId="5A70AEDF">
      <w:pPr>
        <w:pStyle w:val="ParaNum"/>
      </w:pPr>
      <w:r>
        <w:t xml:space="preserve">By this </w:t>
      </w:r>
      <w:r w:rsidR="00B6496D">
        <w:t xml:space="preserve">Memorandum Opinion and </w:t>
      </w:r>
      <w:r>
        <w:t xml:space="preserve">Order, we deny </w:t>
      </w:r>
      <w:r w:rsidR="00C81426">
        <w:t xml:space="preserve">Iridium Constellation LLC’s (Iridium) </w:t>
      </w:r>
      <w:r>
        <w:t>Petition</w:t>
      </w:r>
      <w:r w:rsidR="00403BBE">
        <w:t xml:space="preserve"> for Partial Reconsideration </w:t>
      </w:r>
      <w:r w:rsidR="00483009">
        <w:t xml:space="preserve">of </w:t>
      </w:r>
      <w:r w:rsidR="00A20BE1">
        <w:t xml:space="preserve">the Commission’s decision to approve </w:t>
      </w:r>
      <w:r w:rsidR="00C81426">
        <w:t xml:space="preserve">O3b Limited’s </w:t>
      </w:r>
      <w:r w:rsidR="00A20BE1">
        <w:t xml:space="preserve">request to modify its </w:t>
      </w:r>
      <w:r w:rsidR="00A543A8">
        <w:t>U.S. market access</w:t>
      </w:r>
      <w:r w:rsidR="00A20BE1">
        <w:t xml:space="preserve"> grant</w:t>
      </w:r>
      <w:r w:rsidR="00301ED8">
        <w:t xml:space="preserve"> for its non-geostationary</w:t>
      </w:r>
      <w:r w:rsidR="00F06807">
        <w:t xml:space="preserve"> </w:t>
      </w:r>
      <w:r w:rsidR="00301ED8">
        <w:t xml:space="preserve">satellite </w:t>
      </w:r>
      <w:r w:rsidR="00F06807">
        <w:t xml:space="preserve">orbit </w:t>
      </w:r>
      <w:r w:rsidR="00301ED8">
        <w:t>(NGSO), fixed-satellite service (FSS) system</w:t>
      </w:r>
      <w:r w:rsidR="00A543A8">
        <w:t>.</w:t>
      </w:r>
      <w:r>
        <w:rPr>
          <w:rStyle w:val="FootnoteReference"/>
        </w:rPr>
        <w:footnoteReference w:id="3"/>
      </w:r>
      <w:r w:rsidR="00A543A8">
        <w:t xml:space="preserve"> </w:t>
      </w:r>
      <w:r w:rsidR="00826358">
        <w:t xml:space="preserve"> </w:t>
      </w:r>
    </w:p>
    <w:p w:rsidR="0014178A" w:rsidP="0014178A" w14:paraId="3F3C332B" w14:textId="77777777">
      <w:pPr>
        <w:pStyle w:val="Heading1"/>
      </w:pPr>
      <w:r>
        <w:t>BACKGROUND</w:t>
      </w:r>
    </w:p>
    <w:p w:rsidR="00301ED8" w:rsidP="0014178A" w14:paraId="0383CCEB" w14:textId="559FAD6F">
      <w:pPr>
        <w:pStyle w:val="ParaNum"/>
      </w:pPr>
      <w:bookmarkStart w:id="1" w:name="_Hlk12028501"/>
      <w:r>
        <w:t xml:space="preserve">In </w:t>
      </w:r>
      <w:r w:rsidR="0083174B">
        <w:t>2012</w:t>
      </w:r>
      <w:r>
        <w:t xml:space="preserve">, the International Bureau granted </w:t>
      </w:r>
      <w:r w:rsidR="00A66186">
        <w:t xml:space="preserve">market access for </w:t>
      </w:r>
      <w:r>
        <w:t xml:space="preserve">O3b’s </w:t>
      </w:r>
      <w:r w:rsidR="00A66186">
        <w:t>NGSO FSS system, which operates under the authority of the United Kingdom.</w:t>
      </w:r>
      <w:r>
        <w:rPr>
          <w:rStyle w:val="FootnoteReference"/>
        </w:rPr>
        <w:footnoteReference w:id="4"/>
      </w:r>
      <w:r w:rsidR="00A66186">
        <w:t xml:space="preserve"> </w:t>
      </w:r>
      <w:r w:rsidR="004056BC">
        <w:t xml:space="preserve"> </w:t>
      </w:r>
      <w:r>
        <w:t>In 2016, as</w:t>
      </w:r>
      <w:r w:rsidR="00A66186">
        <w:t xml:space="preserve"> part of</w:t>
      </w:r>
      <w:r w:rsidR="00950F4C">
        <w:t xml:space="preserve"> a </w:t>
      </w:r>
      <w:r w:rsidR="00F51D0B">
        <w:t>processing round for NGSO-like applications in the Ku-and Ka-band frequencies</w:t>
      </w:r>
      <w:r w:rsidR="00950F4C">
        <w:t xml:space="preserve">, O3b filed </w:t>
      </w:r>
      <w:r w:rsidR="00745729">
        <w:t xml:space="preserve">a </w:t>
      </w:r>
      <w:r w:rsidR="00BE4395">
        <w:t xml:space="preserve">petition for declaratory ruling </w:t>
      </w:r>
      <w:r w:rsidR="00745729">
        <w:t xml:space="preserve">to modify its </w:t>
      </w:r>
      <w:r w:rsidR="00642A4D">
        <w:t xml:space="preserve">grant of </w:t>
      </w:r>
      <w:r w:rsidR="00745729">
        <w:t>U.S. market access</w:t>
      </w:r>
      <w:r w:rsidR="00762699">
        <w:t xml:space="preserve"> by increasing the number of satellites </w:t>
      </w:r>
      <w:r w:rsidR="00623652">
        <w:t xml:space="preserve">comprising </w:t>
      </w:r>
      <w:r w:rsidR="00EF4994">
        <w:t>its NGSO FSS system</w:t>
      </w:r>
      <w:r>
        <w:rPr>
          <w:rStyle w:val="FootnoteReference"/>
        </w:rPr>
        <w:footnoteReference w:id="5"/>
      </w:r>
      <w:r w:rsidR="00EF4994">
        <w:t xml:space="preserve"> </w:t>
      </w:r>
      <w:r w:rsidR="00762699">
        <w:t xml:space="preserve">and </w:t>
      </w:r>
      <w:r w:rsidR="008A6617">
        <w:t xml:space="preserve">a subsequent amendment seeking to </w:t>
      </w:r>
      <w:r w:rsidR="00762699">
        <w:t xml:space="preserve">add </w:t>
      </w:r>
      <w:r w:rsidR="00CF502B">
        <w:t xml:space="preserve">the </w:t>
      </w:r>
      <w:bookmarkStart w:id="2" w:name="_Hlk11863037"/>
      <w:r w:rsidRPr="00CF502B" w:rsidR="00CF502B">
        <w:t xml:space="preserve">19.7-20.2 GHz and 29.5-30.0 GHz </w:t>
      </w:r>
      <w:bookmarkEnd w:id="2"/>
      <w:r w:rsidR="00762699">
        <w:t xml:space="preserve">frequency bands </w:t>
      </w:r>
      <w:r w:rsidR="00EF4994">
        <w:t xml:space="preserve">to the spectrum that </w:t>
      </w:r>
      <w:r w:rsidR="00762699">
        <w:t>its NGSO FSS system</w:t>
      </w:r>
      <w:r w:rsidR="00EF4994">
        <w:t xml:space="preserve"> </w:t>
      </w:r>
      <w:r w:rsidR="004B7FAE">
        <w:t xml:space="preserve">is </w:t>
      </w:r>
      <w:r w:rsidR="00EF4994">
        <w:t>authorized to use</w:t>
      </w:r>
      <w:r w:rsidR="00762699">
        <w:t>.</w:t>
      </w:r>
      <w:r>
        <w:rPr>
          <w:rStyle w:val="FootnoteReference"/>
        </w:rPr>
        <w:footnoteReference w:id="6"/>
      </w:r>
      <w:r>
        <w:t xml:space="preserve">  </w:t>
      </w:r>
      <w:r w:rsidR="008A6617">
        <w:t>In 2017</w:t>
      </w:r>
      <w:r w:rsidR="0049626B">
        <w:t>, O</w:t>
      </w:r>
      <w:r w:rsidR="00BB56AA">
        <w:t xml:space="preserve">3b amended its </w:t>
      </w:r>
      <w:r w:rsidR="00BE4395">
        <w:t xml:space="preserve">petition </w:t>
      </w:r>
      <w:r w:rsidR="00BB56AA">
        <w:t xml:space="preserve">to </w:t>
      </w:r>
      <w:r w:rsidR="002375F3">
        <w:t>expand the requested use of these bands</w:t>
      </w:r>
      <w:r w:rsidR="00882DC2">
        <w:t xml:space="preserve"> </w:t>
      </w:r>
      <w:r w:rsidR="00F121FB">
        <w:t>beyond FSS</w:t>
      </w:r>
      <w:r w:rsidR="00623652">
        <w:t>,</w:t>
      </w:r>
      <w:r w:rsidR="0036041B">
        <w:t xml:space="preserve"> </w:t>
      </w:r>
      <w:r w:rsidR="00EA449F">
        <w:t xml:space="preserve">by </w:t>
      </w:r>
      <w:r w:rsidR="00745729">
        <w:t>includ</w:t>
      </w:r>
      <w:r w:rsidR="00EA449F">
        <w:t>ing</w:t>
      </w:r>
      <w:r w:rsidR="00745729">
        <w:t xml:space="preserve"> </w:t>
      </w:r>
      <w:r w:rsidR="00950F4C">
        <w:t xml:space="preserve">a </w:t>
      </w:r>
      <w:r w:rsidR="00762699">
        <w:t>mobile satellite service (</w:t>
      </w:r>
      <w:r w:rsidR="00950F4C">
        <w:t>MSS</w:t>
      </w:r>
      <w:r w:rsidR="00762699">
        <w:t>)</w:t>
      </w:r>
      <w:r w:rsidR="00950F4C">
        <w:t xml:space="preserve"> designation</w:t>
      </w:r>
      <w:r w:rsidR="00C568CE">
        <w:t>,</w:t>
      </w:r>
      <w:r>
        <w:rPr>
          <w:rStyle w:val="FootnoteReference"/>
        </w:rPr>
        <w:footnoteReference w:id="7"/>
      </w:r>
      <w:r w:rsidR="00EA449F">
        <w:t xml:space="preserve"> </w:t>
      </w:r>
      <w:r w:rsidR="008F4006">
        <w:t xml:space="preserve">and to </w:t>
      </w:r>
      <w:r w:rsidR="00952D61">
        <w:t xml:space="preserve">add </w:t>
      </w:r>
      <w:r w:rsidR="00114E18">
        <w:t xml:space="preserve">a proposal </w:t>
      </w:r>
      <w:r w:rsidR="00950F4C">
        <w:t xml:space="preserve">to </w:t>
      </w:r>
      <w:r>
        <w:t xml:space="preserve">access the U.S. market in </w:t>
      </w:r>
      <w:r w:rsidR="00950F4C">
        <w:t>the 19.3-19.7 GHz</w:t>
      </w:r>
      <w:r w:rsidR="00087F3B">
        <w:t xml:space="preserve"> and 29.1-29.5 GHz </w:t>
      </w:r>
      <w:r w:rsidR="00950F4C">
        <w:t>bands</w:t>
      </w:r>
      <w:r w:rsidR="007A1783">
        <w:t>, which</w:t>
      </w:r>
      <w:r>
        <w:t xml:space="preserve"> are restricted for use by</w:t>
      </w:r>
      <w:r w:rsidR="00950F4C">
        <w:t xml:space="preserve"> MSS feeder links.</w:t>
      </w:r>
      <w:r>
        <w:rPr>
          <w:rStyle w:val="FootnoteReference"/>
        </w:rPr>
        <w:footnoteReference w:id="8"/>
      </w:r>
      <w:r w:rsidR="00F51D0B">
        <w:t xml:space="preserve"> </w:t>
      </w:r>
      <w:r w:rsidR="00FD6706">
        <w:t xml:space="preserve"> </w:t>
      </w:r>
      <w:r w:rsidR="00363881">
        <w:t>Iridium</w:t>
      </w:r>
      <w:r w:rsidR="00B8555E">
        <w:t xml:space="preserve"> filed a</w:t>
      </w:r>
      <w:r w:rsidR="00363881">
        <w:t xml:space="preserve"> petition to deny O3b’s </w:t>
      </w:r>
      <w:r w:rsidR="005C5882">
        <w:t>petition for declaratory ruling</w:t>
      </w:r>
      <w:r w:rsidR="00363881">
        <w:t>, asserting in part that O3b’s request for MSS operations was inconsistent with the Commission’s Ka-band plan</w:t>
      </w:r>
      <w:r w:rsidR="00833849">
        <w:t xml:space="preserve">, which provides only for </w:t>
      </w:r>
      <w:r w:rsidR="001771D6">
        <w:t xml:space="preserve"> </w:t>
      </w:r>
      <w:r w:rsidR="003F30D0">
        <w:t xml:space="preserve">NGSO FSS </w:t>
      </w:r>
      <w:r w:rsidR="001771D6">
        <w:t xml:space="preserve">operations, even </w:t>
      </w:r>
      <w:r w:rsidR="008864EF">
        <w:t>where</w:t>
      </w:r>
      <w:r w:rsidR="001771D6">
        <w:t xml:space="preserve"> there are allocations for both FSS and MSS</w:t>
      </w:r>
      <w:r w:rsidR="00833849">
        <w:t>.</w:t>
      </w:r>
      <w:r>
        <w:rPr>
          <w:rStyle w:val="FootnoteReference"/>
        </w:rPr>
        <w:footnoteReference w:id="9"/>
      </w:r>
      <w:r w:rsidR="00363881">
        <w:t xml:space="preserve"> </w:t>
      </w:r>
      <w:r w:rsidR="00893552">
        <w:t xml:space="preserve"> Iridium argued that w</w:t>
      </w:r>
      <w:r w:rsidR="00363881">
        <w:t xml:space="preserve">ithout a designation </w:t>
      </w:r>
      <w:r w:rsidR="001771D6">
        <w:t xml:space="preserve">authorizing MSS </w:t>
      </w:r>
      <w:r w:rsidR="00294F18">
        <w:t xml:space="preserve">use of the </w:t>
      </w:r>
      <w:r w:rsidRPr="00294F18" w:rsidR="00294F18">
        <w:t>19.7-20.2 GHz and 29.5-30.0 GHz bands</w:t>
      </w:r>
      <w:r w:rsidR="003F30D0">
        <w:t xml:space="preserve">, O3b </w:t>
      </w:r>
      <w:r w:rsidR="00833849">
        <w:t xml:space="preserve">had </w:t>
      </w:r>
      <w:r w:rsidR="00363881">
        <w:t xml:space="preserve">no basis </w:t>
      </w:r>
      <w:r w:rsidR="003F30D0">
        <w:t xml:space="preserve">to operate MSS feeder links </w:t>
      </w:r>
      <w:r w:rsidRPr="001B10A9" w:rsidR="00B909B6">
        <w:t>in the adjacent band</w:t>
      </w:r>
      <w:r w:rsidRPr="001B10A9" w:rsidR="006D5383">
        <w:t>s</w:t>
      </w:r>
      <w:r w:rsidR="00B909B6">
        <w:t xml:space="preserve"> </w:t>
      </w:r>
      <w:r w:rsidR="004C2729">
        <w:t xml:space="preserve">at </w:t>
      </w:r>
      <w:r w:rsidRPr="004C2729" w:rsidR="004C2729">
        <w:t>19.</w:t>
      </w:r>
      <w:r w:rsidR="00B74A17">
        <w:t>3</w:t>
      </w:r>
      <w:r w:rsidRPr="004C2729" w:rsidR="004C2729">
        <w:t>-19.</w:t>
      </w:r>
      <w:r w:rsidR="00B74A17">
        <w:t>7</w:t>
      </w:r>
      <w:r w:rsidRPr="004C2729" w:rsidR="004C2729">
        <w:t xml:space="preserve"> GHz and 29.1-29.</w:t>
      </w:r>
      <w:r w:rsidR="00B74A17">
        <w:t>5</w:t>
      </w:r>
      <w:r w:rsidRPr="004C2729" w:rsidR="004C2729">
        <w:t xml:space="preserve"> GHz</w:t>
      </w:r>
      <w:r w:rsidR="00363881">
        <w:t>.</w:t>
      </w:r>
      <w:r>
        <w:rPr>
          <w:rStyle w:val="FootnoteReference"/>
        </w:rPr>
        <w:footnoteReference w:id="10"/>
      </w:r>
      <w:r w:rsidR="00363881">
        <w:t xml:space="preserve">  </w:t>
      </w:r>
      <w:r w:rsidR="00762699">
        <w:t xml:space="preserve">Iridium </w:t>
      </w:r>
      <w:r w:rsidR="00363881">
        <w:t xml:space="preserve">further asserted that scarce feeder link spectrum should be reserved for </w:t>
      </w:r>
      <w:r w:rsidR="00EF65AD">
        <w:t xml:space="preserve">providers that conduct </w:t>
      </w:r>
      <w:r w:rsidR="00363881">
        <w:t xml:space="preserve">MSS operations </w:t>
      </w:r>
      <w:r w:rsidR="00522359">
        <w:t xml:space="preserve">that </w:t>
      </w:r>
      <w:r w:rsidR="00EF65AD">
        <w:t xml:space="preserve">do not conflict with </w:t>
      </w:r>
      <w:r w:rsidR="008106A3">
        <w:t xml:space="preserve">the Ka-band </w:t>
      </w:r>
      <w:r w:rsidR="00363881">
        <w:t>plan.</w:t>
      </w:r>
      <w:r>
        <w:rPr>
          <w:rStyle w:val="FootnoteReference"/>
        </w:rPr>
        <w:footnoteReference w:id="11"/>
      </w:r>
      <w:r w:rsidR="00363881">
        <w:t xml:space="preserve">  </w:t>
      </w:r>
    </w:p>
    <w:bookmarkEnd w:id="1"/>
    <w:p w:rsidR="00FA70AF" w:rsidP="00FF1526" w14:paraId="6F5F58F9" w14:textId="6AEA6A51">
      <w:pPr>
        <w:pStyle w:val="ParaNum"/>
      </w:pPr>
      <w:r>
        <w:t xml:space="preserve">In June 2018, the Commission granted O3b’s </w:t>
      </w:r>
      <w:r w:rsidR="00B8555E">
        <w:t xml:space="preserve">petition for declaratory ruling </w:t>
      </w:r>
      <w:r>
        <w:t>to expand its access to the U.S. market</w:t>
      </w:r>
      <w:r w:rsidR="00762699">
        <w:t xml:space="preserve">, including O3b’s request for </w:t>
      </w:r>
      <w:r w:rsidR="00236B2F">
        <w:t xml:space="preserve">authority to engage in MSS </w:t>
      </w:r>
      <w:r w:rsidR="00762699">
        <w:t xml:space="preserve">operations </w:t>
      </w:r>
      <w:r w:rsidR="00D8256E">
        <w:t xml:space="preserve">in </w:t>
      </w:r>
      <w:r w:rsidRPr="00D8256E" w:rsidR="00D8256E">
        <w:t>the 19.7-20.2 GHz and 29.5-30.0 GHz frequency bands</w:t>
      </w:r>
      <w:r w:rsidR="00D8256E">
        <w:t>,</w:t>
      </w:r>
      <w:r w:rsidRPr="00D8256E" w:rsidR="00D8256E">
        <w:t xml:space="preserve"> </w:t>
      </w:r>
      <w:r w:rsidR="00682766">
        <w:t xml:space="preserve">and to employ </w:t>
      </w:r>
      <w:r w:rsidR="00762699">
        <w:t xml:space="preserve">feeder links associated with such MSS operations in </w:t>
      </w:r>
      <w:r w:rsidR="00B8555E">
        <w:t xml:space="preserve">the </w:t>
      </w:r>
      <w:r w:rsidR="008543C4">
        <w:t xml:space="preserve">19.3-19.7 and </w:t>
      </w:r>
      <w:r w:rsidR="00B8555E">
        <w:t>29.1-29.5 GHz band</w:t>
      </w:r>
      <w:r w:rsidR="003F30D0">
        <w:t>s</w:t>
      </w:r>
      <w:r w:rsidR="00B8555E">
        <w:t xml:space="preserve"> </w:t>
      </w:r>
      <w:r w:rsidR="00762699">
        <w:t xml:space="preserve">to </w:t>
      </w:r>
      <w:r w:rsidR="00B8555E">
        <w:t xml:space="preserve">communicate with </w:t>
      </w:r>
      <w:r w:rsidR="00762699">
        <w:t>MSS space stations</w:t>
      </w:r>
      <w:r w:rsidR="00363881">
        <w:t>.</w:t>
      </w:r>
      <w:r>
        <w:rPr>
          <w:rStyle w:val="FootnoteReference"/>
        </w:rPr>
        <w:footnoteReference w:id="12"/>
      </w:r>
      <w:r>
        <w:t xml:space="preserve">  </w:t>
      </w:r>
      <w:r w:rsidR="00363881">
        <w:t>In so</w:t>
      </w:r>
      <w:r w:rsidR="009A0B4F">
        <w:t xml:space="preserve"> ruling</w:t>
      </w:r>
      <w:r w:rsidR="00363881">
        <w:t xml:space="preserve">, the </w:t>
      </w:r>
      <w:r w:rsidR="00A63467">
        <w:t xml:space="preserve">Commission denied Iridium’s </w:t>
      </w:r>
      <w:r w:rsidR="00636EFD">
        <w:t>petition</w:t>
      </w:r>
      <w:r w:rsidR="00275C87">
        <w:t xml:space="preserve"> to deny</w:t>
      </w:r>
      <w:r w:rsidR="00F02A86">
        <w:t xml:space="preserve">, </w:t>
      </w:r>
      <w:r w:rsidR="009F3F63">
        <w:t xml:space="preserve">noting </w:t>
      </w:r>
      <w:r w:rsidR="00275C87">
        <w:t>the existing MSS allocations</w:t>
      </w:r>
      <w:r w:rsidR="009F3F63">
        <w:t xml:space="preserve"> in the </w:t>
      </w:r>
      <w:r w:rsidR="001542D0">
        <w:t xml:space="preserve">19.7-20.2 GHz and 29.5-30.0 GHz </w:t>
      </w:r>
      <w:r w:rsidR="009F3F63">
        <w:t>band</w:t>
      </w:r>
      <w:r w:rsidR="00A70B47">
        <w:t>s</w:t>
      </w:r>
      <w:r w:rsidR="00275C87">
        <w:t xml:space="preserve"> and the fact that O3b’s MSS operations </w:t>
      </w:r>
      <w:r w:rsidR="009F3F63">
        <w:t xml:space="preserve">would </w:t>
      </w:r>
      <w:r w:rsidR="00275C87">
        <w:t xml:space="preserve">have the same characteristics as </w:t>
      </w:r>
      <w:r w:rsidR="00255385">
        <w:t xml:space="preserve">the </w:t>
      </w:r>
      <w:r w:rsidR="00275C87">
        <w:t>NGSO FSS system</w:t>
      </w:r>
      <w:r w:rsidR="00255385">
        <w:t>s that are currently operating in those bands</w:t>
      </w:r>
      <w:r w:rsidR="00275C87">
        <w:t>.</w:t>
      </w:r>
      <w:r>
        <w:rPr>
          <w:rStyle w:val="FootnoteReference"/>
        </w:rPr>
        <w:footnoteReference w:id="13"/>
      </w:r>
      <w:r w:rsidR="00275C87">
        <w:t xml:space="preserve">  The Commission concluded it was in the public interest to grant O3b market access to operate in the bands and waived the Ka-band plan on its own motion </w:t>
      </w:r>
      <w:r w:rsidR="00E64B67">
        <w:t>for O3b’s MSS operations in the 19.7-20.2 GHz and 29.5-30.0 G</w:t>
      </w:r>
      <w:r w:rsidR="00275C87">
        <w:t>H</w:t>
      </w:r>
      <w:r w:rsidR="00E64B67">
        <w:t>z bands</w:t>
      </w:r>
      <w:r w:rsidR="00E5059C">
        <w:t>.</w:t>
      </w:r>
      <w:r>
        <w:rPr>
          <w:rStyle w:val="FootnoteReference"/>
        </w:rPr>
        <w:footnoteReference w:id="14"/>
      </w:r>
      <w:r w:rsidR="00E5059C">
        <w:t xml:space="preserve">  The Commission’s </w:t>
      </w:r>
      <w:r w:rsidR="001B1AED">
        <w:t xml:space="preserve">O3b market access </w:t>
      </w:r>
      <w:r w:rsidR="00E5059C">
        <w:t>grant</w:t>
      </w:r>
      <w:r>
        <w:t xml:space="preserve"> </w:t>
      </w:r>
      <w:r w:rsidR="00E92B6F">
        <w:t>noted it was “</w:t>
      </w:r>
      <w:r>
        <w:t xml:space="preserve">subject to modification to bring them into conformance with any rules or policies adopted </w:t>
      </w:r>
      <w:r w:rsidR="00C61575">
        <w:t>b</w:t>
      </w:r>
      <w:r>
        <w:t xml:space="preserve">y </w:t>
      </w:r>
      <w:r w:rsidR="00C61575">
        <w:t xml:space="preserve">the </w:t>
      </w:r>
      <w:r>
        <w:t>Commission in the future.</w:t>
      </w:r>
      <w:r w:rsidR="00E92B6F">
        <w:t>”</w:t>
      </w:r>
      <w:r>
        <w:rPr>
          <w:rStyle w:val="FootnoteReference"/>
        </w:rPr>
        <w:footnoteReference w:id="15"/>
      </w:r>
    </w:p>
    <w:p w:rsidR="00461D9F" w:rsidP="00FA70AF" w14:paraId="6FDF8735" w14:textId="325B03BD">
      <w:pPr>
        <w:pStyle w:val="ParaNum"/>
      </w:pPr>
      <w:r>
        <w:t xml:space="preserve">Iridium </w:t>
      </w:r>
      <w:r w:rsidR="00363881">
        <w:t xml:space="preserve">now </w:t>
      </w:r>
      <w:r w:rsidR="00F923A6">
        <w:t xml:space="preserve">seeks </w:t>
      </w:r>
      <w:r w:rsidR="00E64B67">
        <w:t xml:space="preserve">partial </w:t>
      </w:r>
      <w:r w:rsidR="00F923A6">
        <w:t xml:space="preserve">reconsideration of the </w:t>
      </w:r>
      <w:r w:rsidRPr="0069026F" w:rsidR="00F923A6">
        <w:rPr>
          <w:i/>
        </w:rPr>
        <w:t>O3b Order</w:t>
      </w:r>
      <w:r w:rsidR="00F923A6">
        <w:t>.</w:t>
      </w:r>
      <w:r>
        <w:t xml:space="preserve"> </w:t>
      </w:r>
      <w:r w:rsidR="00FD6706">
        <w:t xml:space="preserve"> </w:t>
      </w:r>
      <w:r>
        <w:t xml:space="preserve">Specifically, Iridium </w:t>
      </w:r>
      <w:r w:rsidR="00A00379">
        <w:t xml:space="preserve">requests that O3b’s </w:t>
      </w:r>
      <w:r w:rsidR="00F923A6">
        <w:t>market access in</w:t>
      </w:r>
      <w:r w:rsidR="00A00379">
        <w:t xml:space="preserve"> the</w:t>
      </w:r>
      <w:r>
        <w:t xml:space="preserve"> </w:t>
      </w:r>
      <w:r w:rsidR="00A00379">
        <w:t>19.7-20.2 GHz and 29.5-30.0 GHz bands be conditioned on the outcome of future proceedings addressing technical and/or service rules for NGSO MSS stations in those bands</w:t>
      </w:r>
      <w:r>
        <w:t>.</w:t>
      </w:r>
      <w:r>
        <w:rPr>
          <w:rStyle w:val="FootnoteReference"/>
        </w:rPr>
        <w:footnoteReference w:id="16"/>
      </w:r>
      <w:r>
        <w:t xml:space="preserve"> </w:t>
      </w:r>
      <w:r w:rsidR="00FD6706">
        <w:t xml:space="preserve"> </w:t>
      </w:r>
      <w:r w:rsidR="006A6A9D">
        <w:t xml:space="preserve">Iridium argues that </w:t>
      </w:r>
      <w:r w:rsidR="00363881">
        <w:t xml:space="preserve">this </w:t>
      </w:r>
      <w:r>
        <w:t xml:space="preserve">same condition should also be applied to </w:t>
      </w:r>
      <w:r w:rsidR="00A00379">
        <w:t xml:space="preserve">O3b’s </w:t>
      </w:r>
      <w:r w:rsidR="00F923A6">
        <w:t>market access to operate</w:t>
      </w:r>
      <w:r w:rsidR="00A00379">
        <w:t xml:space="preserve"> NGSO MSS feeder links in the 19.4-19.6 GHz and 29.1-29.3 GHz</w:t>
      </w:r>
      <w:r>
        <w:t xml:space="preserve"> bands,</w:t>
      </w:r>
      <w:r>
        <w:rPr>
          <w:rStyle w:val="FootnoteReference"/>
        </w:rPr>
        <w:footnoteReference w:id="17"/>
      </w:r>
      <w:r>
        <w:t xml:space="preserve"> as these operations are </w:t>
      </w:r>
      <w:r w:rsidR="00A00379">
        <w:t xml:space="preserve">dependent on </w:t>
      </w:r>
      <w:r w:rsidR="00201ADB">
        <w:t xml:space="preserve">the </w:t>
      </w:r>
      <w:r>
        <w:t xml:space="preserve">MSS </w:t>
      </w:r>
      <w:r w:rsidR="00F923A6">
        <w:t xml:space="preserve">designation </w:t>
      </w:r>
      <w:r>
        <w:t xml:space="preserve">of </w:t>
      </w:r>
      <w:r w:rsidR="00F923A6">
        <w:t xml:space="preserve">O3b’s market access in </w:t>
      </w:r>
      <w:r>
        <w:t>the 19.7-20.2 GHz and 29.5-30.0 GHz bands.</w:t>
      </w:r>
      <w:r>
        <w:rPr>
          <w:rStyle w:val="FootnoteReference"/>
        </w:rPr>
        <w:footnoteReference w:id="18"/>
      </w:r>
      <w:r>
        <w:t xml:space="preserve">  Iridium </w:t>
      </w:r>
      <w:r w:rsidR="00363881">
        <w:t xml:space="preserve">asserts </w:t>
      </w:r>
      <w:r>
        <w:t xml:space="preserve">that allowing O3b to </w:t>
      </w:r>
      <w:r w:rsidR="00F923A6">
        <w:t xml:space="preserve">access the U.S. market </w:t>
      </w:r>
      <w:r>
        <w:t>in th</w:t>
      </w:r>
      <w:r w:rsidR="006861B8">
        <w:t>ese</w:t>
      </w:r>
      <w:r>
        <w:t xml:space="preserve"> bands</w:t>
      </w:r>
      <w:r w:rsidR="00F923A6">
        <w:t>,</w:t>
      </w:r>
      <w:r>
        <w:t xml:space="preserve"> </w:t>
      </w:r>
      <w:r w:rsidR="006861B8">
        <w:t>as currently conditioned</w:t>
      </w:r>
      <w:r w:rsidR="00F923A6">
        <w:t>,</w:t>
      </w:r>
      <w:r w:rsidR="006861B8">
        <w:t xml:space="preserve"> </w:t>
      </w:r>
      <w:r>
        <w:t xml:space="preserve">is meaningless unless </w:t>
      </w:r>
      <w:r w:rsidR="006861B8">
        <w:t xml:space="preserve">the Commission also conditions </w:t>
      </w:r>
      <w:r>
        <w:t>O3b’s grant on the outcome of the proceedings in which rules are developed.</w:t>
      </w:r>
      <w:r>
        <w:rPr>
          <w:rStyle w:val="FootnoteReference"/>
        </w:rPr>
        <w:footnoteReference w:id="19"/>
      </w:r>
      <w:r w:rsidR="00A1257A">
        <w:t xml:space="preserve">  </w:t>
      </w:r>
      <w:r w:rsidR="00F61B38">
        <w:t xml:space="preserve">Iridium also notes that adding such a condition is in furtherance of </w:t>
      </w:r>
      <w:bookmarkStart w:id="5" w:name="_Hlk12962794"/>
      <w:r w:rsidR="00893552">
        <w:t>s</w:t>
      </w:r>
      <w:r w:rsidR="00BF55E5">
        <w:t>ection 25.217</w:t>
      </w:r>
      <w:r w:rsidR="005164DD">
        <w:t>(e)</w:t>
      </w:r>
      <w:r w:rsidR="00BF55E5">
        <w:t xml:space="preserve"> </w:t>
      </w:r>
      <w:bookmarkEnd w:id="5"/>
      <w:r w:rsidR="00BF55E5">
        <w:t xml:space="preserve">of the </w:t>
      </w:r>
      <w:r w:rsidR="00F61B38">
        <w:t>Commission’s</w:t>
      </w:r>
      <w:r w:rsidR="00BF55E5">
        <w:t xml:space="preserve"> default service rules</w:t>
      </w:r>
      <w:r w:rsidR="00B91DAA">
        <w:t xml:space="preserve">, </w:t>
      </w:r>
      <w:r w:rsidR="00BF55E5">
        <w:t>which provides that</w:t>
      </w:r>
      <w:r w:rsidR="00FC3C8D">
        <w:t xml:space="preserve"> space station or earth station</w:t>
      </w:r>
      <w:r w:rsidR="005164DD">
        <w:t xml:space="preserve"> licensees granted operations in bands for which </w:t>
      </w:r>
      <w:r w:rsidR="00B91DAA">
        <w:t xml:space="preserve">there are no service rules, </w:t>
      </w:r>
      <w:r w:rsidR="005164DD">
        <w:t xml:space="preserve">must comply with </w:t>
      </w:r>
      <w:r w:rsidR="00B91DAA">
        <w:t xml:space="preserve">any subsequently adopted </w:t>
      </w:r>
      <w:r w:rsidR="005164DD">
        <w:t>service rules within 30 days of their effective date.</w:t>
      </w:r>
      <w:r>
        <w:rPr>
          <w:rStyle w:val="FootnoteReference"/>
        </w:rPr>
        <w:footnoteReference w:id="20"/>
      </w:r>
    </w:p>
    <w:p w:rsidR="00FA70AF" w:rsidP="00FA70AF" w14:paraId="6D52FA48" w14:textId="71DC3C80">
      <w:pPr>
        <w:pStyle w:val="ParaNum"/>
      </w:pPr>
      <w:r>
        <w:t xml:space="preserve">O3b </w:t>
      </w:r>
      <w:r w:rsidR="00F923A6">
        <w:t xml:space="preserve">opposes </w:t>
      </w:r>
      <w:r>
        <w:t xml:space="preserve">Iridium’s </w:t>
      </w:r>
      <w:r w:rsidR="00D85554">
        <w:t>P</w:t>
      </w:r>
      <w:r>
        <w:t>etition on two grounds.</w:t>
      </w:r>
      <w:r>
        <w:rPr>
          <w:rStyle w:val="FootnoteReference"/>
        </w:rPr>
        <w:footnoteReference w:id="21"/>
      </w:r>
      <w:r>
        <w:t xml:space="preserve">  First</w:t>
      </w:r>
      <w:r w:rsidR="00950F27">
        <w:t>,</w:t>
      </w:r>
      <w:r>
        <w:t xml:space="preserve"> O3b asserts that </w:t>
      </w:r>
      <w:r w:rsidR="00F923A6">
        <w:t xml:space="preserve">the </w:t>
      </w:r>
      <w:r>
        <w:t>Iridium</w:t>
      </w:r>
      <w:r w:rsidR="00F923A6">
        <w:t xml:space="preserve"> </w:t>
      </w:r>
      <w:r w:rsidR="00D85554">
        <w:t>P</w:t>
      </w:r>
      <w:r w:rsidR="00F923A6">
        <w:t>etition</w:t>
      </w:r>
      <w:r>
        <w:t xml:space="preserve"> is procedurally</w:t>
      </w:r>
      <w:r w:rsidR="00950F27">
        <w:t xml:space="preserve"> deficient because </w:t>
      </w:r>
      <w:r w:rsidR="00F923A6">
        <w:t>Iridium raises</w:t>
      </w:r>
      <w:r w:rsidR="00950F27">
        <w:t xml:space="preserve"> this issue for the first time. </w:t>
      </w:r>
      <w:r w:rsidR="004056BC">
        <w:t xml:space="preserve"> </w:t>
      </w:r>
      <w:r w:rsidR="007416A9">
        <w:t xml:space="preserve">O3b states </w:t>
      </w:r>
      <w:r w:rsidR="00950F27">
        <w:t xml:space="preserve">that </w:t>
      </w:r>
      <w:r>
        <w:t xml:space="preserve">Commission rules provide that a petition for reconsideration </w:t>
      </w:r>
      <w:r w:rsidR="00F84DBB">
        <w:t>may not rely on facts or arguments not previously presented unless the petitioner explains why it could not have raised the issue earlier and there is a strong public interest showing for the new material.</w:t>
      </w:r>
      <w:r>
        <w:rPr>
          <w:rStyle w:val="FootnoteReference"/>
        </w:rPr>
        <w:footnoteReference w:id="22"/>
      </w:r>
      <w:r w:rsidR="00F84DBB">
        <w:t xml:space="preserve">  Second, O3b </w:t>
      </w:r>
      <w:r w:rsidR="008A4E9B">
        <w:t>asserts</w:t>
      </w:r>
      <w:r w:rsidR="00F84DBB">
        <w:t xml:space="preserve"> that its </w:t>
      </w:r>
      <w:r w:rsidR="00F923A6">
        <w:t>market access in</w:t>
      </w:r>
      <w:r w:rsidR="00F84DBB">
        <w:t xml:space="preserve"> bands </w:t>
      </w:r>
      <w:r w:rsidR="00F923A6">
        <w:t xml:space="preserve">designated </w:t>
      </w:r>
      <w:r w:rsidR="00F84DBB">
        <w:t xml:space="preserve">for NGSO </w:t>
      </w:r>
      <w:r w:rsidR="00A70B47">
        <w:t>F</w:t>
      </w:r>
      <w:r w:rsidR="00F84DBB">
        <w:t xml:space="preserve">SS and MSS feeder links </w:t>
      </w:r>
      <w:r w:rsidR="00554CF9">
        <w:t>is</w:t>
      </w:r>
      <w:r w:rsidR="00F84DBB">
        <w:t xml:space="preserve"> already subject </w:t>
      </w:r>
      <w:r w:rsidR="00554CF9">
        <w:t xml:space="preserve">to </w:t>
      </w:r>
      <w:r w:rsidR="00F84DBB">
        <w:t xml:space="preserve">a condition requiring modification to bring </w:t>
      </w:r>
      <w:r w:rsidR="00F923A6">
        <w:t xml:space="preserve">the terms of its market access </w:t>
      </w:r>
      <w:r w:rsidR="00F84DBB">
        <w:t xml:space="preserve">into conformance with any new rules or policies adopted by the Commission in the future.  O3b states that this condition does not need to be supplemented to specifically mention </w:t>
      </w:r>
      <w:r w:rsidR="008B606A">
        <w:t xml:space="preserve">future </w:t>
      </w:r>
      <w:r w:rsidR="00F84DBB">
        <w:t>proceedings involving MSS spectrum.</w:t>
      </w:r>
      <w:r>
        <w:rPr>
          <w:rStyle w:val="FootnoteReference"/>
        </w:rPr>
        <w:footnoteReference w:id="23"/>
      </w:r>
      <w:r w:rsidR="00EE6180">
        <w:t xml:space="preserve">  Iridium filed a reply, reiterating </w:t>
      </w:r>
      <w:r w:rsidR="00F84DBB">
        <w:t xml:space="preserve">that </w:t>
      </w:r>
      <w:r w:rsidR="00EE6180">
        <w:t>a</w:t>
      </w:r>
      <w:r w:rsidR="00F84DBB">
        <w:t xml:space="preserve"> specific condition will make it “incumbent</w:t>
      </w:r>
      <w:r w:rsidR="00E837D7">
        <w:t xml:space="preserve"> on O3b to conform” its operations to rules adopted in future rulemakings.</w:t>
      </w:r>
      <w:r>
        <w:rPr>
          <w:rStyle w:val="FootnoteReference"/>
        </w:rPr>
        <w:footnoteReference w:id="24"/>
      </w:r>
      <w:r w:rsidR="00FD6706">
        <w:t xml:space="preserve"> </w:t>
      </w:r>
      <w:r w:rsidR="00E837D7">
        <w:t xml:space="preserve"> It also asserts that the </w:t>
      </w:r>
      <w:r w:rsidR="00D85554">
        <w:t>P</w:t>
      </w:r>
      <w:r w:rsidR="00E837D7">
        <w:t xml:space="preserve">etition for </w:t>
      </w:r>
      <w:r w:rsidR="00D85554">
        <w:t>P</w:t>
      </w:r>
      <w:r w:rsidR="00E837D7">
        <w:t xml:space="preserve">artial </w:t>
      </w:r>
      <w:r w:rsidR="00D85554">
        <w:t>R</w:t>
      </w:r>
      <w:r w:rsidR="00E837D7">
        <w:t>econsideration is the first opportunity to raise the issue, particularly since the Commission waived the Ka-ba</w:t>
      </w:r>
      <w:r w:rsidR="00950F27">
        <w:t xml:space="preserve">nd plan to allow MSS operations </w:t>
      </w:r>
      <w:r w:rsidR="00E837D7">
        <w:t>on its own motion.</w:t>
      </w:r>
      <w:r>
        <w:rPr>
          <w:rStyle w:val="FootnoteReference"/>
        </w:rPr>
        <w:footnoteReference w:id="25"/>
      </w:r>
      <w:r w:rsidR="00E837D7">
        <w:t xml:space="preserve"> </w:t>
      </w:r>
    </w:p>
    <w:p w:rsidR="00E837D7" w:rsidP="00E837D7" w14:paraId="23588A14" w14:textId="77777777">
      <w:pPr>
        <w:pStyle w:val="Heading1"/>
      </w:pPr>
      <w:r>
        <w:t>DISCUSSION</w:t>
      </w:r>
    </w:p>
    <w:p w:rsidR="00E92B6F" w:rsidP="00C87277" w14:paraId="26488914" w14:textId="77777777">
      <w:pPr>
        <w:pStyle w:val="ParaNum"/>
      </w:pPr>
      <w:r>
        <w:t xml:space="preserve">We find that </w:t>
      </w:r>
      <w:r w:rsidR="00F923A6">
        <w:t xml:space="preserve">the conditions placed on </w:t>
      </w:r>
      <w:r>
        <w:t xml:space="preserve">O3b’s </w:t>
      </w:r>
      <w:r w:rsidR="00F923A6">
        <w:t>grant of market access are</w:t>
      </w:r>
      <w:r>
        <w:t xml:space="preserve"> </w:t>
      </w:r>
      <w:r>
        <w:t>sufficient</w:t>
      </w:r>
      <w:r>
        <w:t xml:space="preserve"> to address Iridium’s concerns.  In the </w:t>
      </w:r>
      <w:r w:rsidRPr="0067605F" w:rsidR="00090FB2">
        <w:rPr>
          <w:i/>
        </w:rPr>
        <w:t xml:space="preserve">O3b </w:t>
      </w:r>
      <w:r w:rsidRPr="0067605F">
        <w:rPr>
          <w:i/>
        </w:rPr>
        <w:t>Order</w:t>
      </w:r>
      <w:r>
        <w:t>, the Commission acknowledged that</w:t>
      </w:r>
      <w:r w:rsidR="0036041B">
        <w:t xml:space="preserve"> </w:t>
      </w:r>
      <w:r w:rsidR="00F923A6">
        <w:t xml:space="preserve">although </w:t>
      </w:r>
      <w:r>
        <w:t xml:space="preserve">the </w:t>
      </w:r>
      <w:r w:rsidR="00F923A6">
        <w:t xml:space="preserve">19.7-20.2 GHz and 29.5-30.0 GHz </w:t>
      </w:r>
      <w:r>
        <w:t xml:space="preserve">frequency bands were allocated to </w:t>
      </w:r>
      <w:r w:rsidR="00F923A6">
        <w:t xml:space="preserve">both </w:t>
      </w:r>
      <w:r>
        <w:t xml:space="preserve">FSS and MSS, there were no service rules for MSS operations in these bands.  </w:t>
      </w:r>
      <w:r w:rsidR="00A411E1">
        <w:t>T</w:t>
      </w:r>
      <w:r w:rsidR="00D1121C">
        <w:t>he Commission</w:t>
      </w:r>
      <w:r w:rsidR="00A411E1">
        <w:t xml:space="preserve">, therefore, </w:t>
      </w:r>
      <w:r w:rsidR="000A6762">
        <w:t xml:space="preserve">imposed various conditions including </w:t>
      </w:r>
      <w:r w:rsidR="00F923A6">
        <w:t>power limits</w:t>
      </w:r>
      <w:r w:rsidR="000A6762">
        <w:t xml:space="preserve"> and </w:t>
      </w:r>
      <w:r w:rsidR="00F923A6">
        <w:t xml:space="preserve">a requirement </w:t>
      </w:r>
      <w:r w:rsidR="000A6762">
        <w:t xml:space="preserve">that operations </w:t>
      </w:r>
      <w:r w:rsidR="00F923A6">
        <w:t xml:space="preserve">in the United States in these bands </w:t>
      </w:r>
      <w:r w:rsidR="000A6762">
        <w:t xml:space="preserve">be on a </w:t>
      </w:r>
      <w:r w:rsidR="00D1121C">
        <w:t>non-interference, non-protected basis with respect to NGSO FSS operations</w:t>
      </w:r>
      <w:r w:rsidR="00473983">
        <w:t>.</w:t>
      </w:r>
      <w:r>
        <w:rPr>
          <w:rStyle w:val="FootnoteReference"/>
        </w:rPr>
        <w:footnoteReference w:id="26"/>
      </w:r>
      <w:r w:rsidR="00F1038B">
        <w:t xml:space="preserve">  </w:t>
      </w:r>
      <w:r w:rsidR="00473983">
        <w:t>It further stated that O3b’s use of</w:t>
      </w:r>
      <w:r w:rsidR="0036041B">
        <w:t xml:space="preserve"> </w:t>
      </w:r>
      <w:r w:rsidR="000A6762">
        <w:t xml:space="preserve">MSS feeder links </w:t>
      </w:r>
      <w:r w:rsidR="003F2461">
        <w:t>in the 19.3-19.7 GHz and 29.1-29.5 GHz</w:t>
      </w:r>
      <w:r w:rsidR="00B20698">
        <w:t xml:space="preserve"> bands</w:t>
      </w:r>
      <w:r w:rsidR="003F2461">
        <w:t xml:space="preserve"> </w:t>
      </w:r>
      <w:r w:rsidR="000A6762">
        <w:t>must be coordinated with other NGSO MSS systems, including Iridium</w:t>
      </w:r>
      <w:r w:rsidR="00F923A6">
        <w:t>’s</w:t>
      </w:r>
      <w:r w:rsidR="000A6762">
        <w:t xml:space="preserve">, before transmissions to earth stations </w:t>
      </w:r>
      <w:r w:rsidR="00F923A6">
        <w:t xml:space="preserve">in the United States </w:t>
      </w:r>
      <w:r w:rsidR="000A6762">
        <w:t>could be conducted</w:t>
      </w:r>
      <w:r w:rsidR="00FD6706">
        <w:t>.</w:t>
      </w:r>
      <w:r>
        <w:rPr>
          <w:rStyle w:val="FootnoteReference"/>
        </w:rPr>
        <w:footnoteReference w:id="27"/>
      </w:r>
      <w:r w:rsidR="000A6762">
        <w:t xml:space="preserve"> </w:t>
      </w:r>
      <w:r w:rsidR="00535582">
        <w:t xml:space="preserve"> Finally, as noted above, </w:t>
      </w:r>
      <w:r w:rsidR="000024E5">
        <w:t xml:space="preserve">O3b’s </w:t>
      </w:r>
      <w:r w:rsidR="00535582">
        <w:t xml:space="preserve">U.S. market </w:t>
      </w:r>
      <w:r w:rsidR="000024E5">
        <w:t xml:space="preserve">access </w:t>
      </w:r>
      <w:r w:rsidR="00F073CA">
        <w:t xml:space="preserve">is </w:t>
      </w:r>
      <w:r w:rsidRPr="00F33B93" w:rsidR="00535582">
        <w:t xml:space="preserve">subject to modification to </w:t>
      </w:r>
      <w:r w:rsidRPr="00F33B93" w:rsidR="005E73BE">
        <w:t>bring it into compliance</w:t>
      </w:r>
      <w:r w:rsidRPr="00F33B93" w:rsidR="00535582">
        <w:t xml:space="preserve"> with any rules or policies</w:t>
      </w:r>
      <w:r w:rsidR="00535582">
        <w:t xml:space="preserve"> </w:t>
      </w:r>
      <w:r w:rsidR="00F073CA">
        <w:t xml:space="preserve">the Commission adopts </w:t>
      </w:r>
      <w:r w:rsidR="00535582">
        <w:t>in the future.</w:t>
      </w:r>
      <w:r>
        <w:rPr>
          <w:rStyle w:val="FootnoteReference"/>
        </w:rPr>
        <w:footnoteReference w:id="28"/>
      </w:r>
      <w:r w:rsidR="000024E5">
        <w:t xml:space="preserve">  The</w:t>
      </w:r>
      <w:r w:rsidR="008114E2">
        <w:t xml:space="preserve"> </w:t>
      </w:r>
      <w:r w:rsidR="005E73BE">
        <w:t>specificity</w:t>
      </w:r>
      <w:r w:rsidR="00001E74">
        <w:t xml:space="preserve"> </w:t>
      </w:r>
      <w:r w:rsidR="00893552">
        <w:t xml:space="preserve">of </w:t>
      </w:r>
      <w:r w:rsidR="00406F59">
        <w:t xml:space="preserve">Iridium’s proposed condition </w:t>
      </w:r>
      <w:r w:rsidR="000024E5">
        <w:t xml:space="preserve"> is unnecessary</w:t>
      </w:r>
      <w:r w:rsidR="00567B05">
        <w:t xml:space="preserve"> </w:t>
      </w:r>
      <w:r w:rsidR="002B7516">
        <w:t xml:space="preserve">because it would </w:t>
      </w:r>
      <w:r w:rsidR="00006AE8">
        <w:t>reiterate conditions that are already in place</w:t>
      </w:r>
      <w:r w:rsidR="000024E5">
        <w:t xml:space="preserve">. </w:t>
      </w:r>
      <w:r w:rsidR="008114E2">
        <w:t xml:space="preserve"> The </w:t>
      </w:r>
      <w:r w:rsidRPr="0067605F" w:rsidR="00A411E1">
        <w:rPr>
          <w:i/>
        </w:rPr>
        <w:t xml:space="preserve">O3b </w:t>
      </w:r>
      <w:r w:rsidRPr="0067605F" w:rsidR="005E73BE">
        <w:rPr>
          <w:i/>
        </w:rPr>
        <w:t>Order</w:t>
      </w:r>
      <w:r w:rsidR="005E73BE">
        <w:t xml:space="preserve">, </w:t>
      </w:r>
      <w:r w:rsidR="00094C18">
        <w:t xml:space="preserve">as </w:t>
      </w:r>
      <w:r w:rsidR="00F073CA">
        <w:t>conditioned</w:t>
      </w:r>
      <w:r w:rsidR="005E73BE">
        <w:t>,</w:t>
      </w:r>
      <w:r w:rsidR="00F073CA">
        <w:t xml:space="preserve"> </w:t>
      </w:r>
      <w:r w:rsidR="005E73BE">
        <w:t xml:space="preserve">already </w:t>
      </w:r>
      <w:r w:rsidR="00F073CA">
        <w:t>pr</w:t>
      </w:r>
      <w:r w:rsidR="008114E2">
        <w:t>ovide</w:t>
      </w:r>
      <w:r w:rsidR="00F850FC">
        <w:t>s</w:t>
      </w:r>
      <w:r w:rsidR="008114E2">
        <w:t xml:space="preserve"> notice to O3b that </w:t>
      </w:r>
      <w:r w:rsidR="005E73BE">
        <w:t>the terms of its market access</w:t>
      </w:r>
      <w:r w:rsidR="008114E2">
        <w:t xml:space="preserve"> </w:t>
      </w:r>
      <w:r w:rsidR="002D146E">
        <w:t xml:space="preserve">grant </w:t>
      </w:r>
      <w:r w:rsidR="005E73BE">
        <w:t>are</w:t>
      </w:r>
      <w:r w:rsidR="008114E2">
        <w:t xml:space="preserve"> subject to change</w:t>
      </w:r>
      <w:r w:rsidR="005E73BE">
        <w:t xml:space="preserve"> as </w:t>
      </w:r>
      <w:r w:rsidR="008114E2">
        <w:t xml:space="preserve">the result of </w:t>
      </w:r>
      <w:r w:rsidR="005E73BE">
        <w:t xml:space="preserve">future Commission </w:t>
      </w:r>
      <w:r w:rsidR="008114E2">
        <w:t xml:space="preserve">rulemaking </w:t>
      </w:r>
      <w:r w:rsidR="005E73BE">
        <w:t>decisions, including any</w:t>
      </w:r>
      <w:r w:rsidR="00095D27">
        <w:t xml:space="preserve"> that</w:t>
      </w:r>
      <w:r w:rsidR="005E73BE">
        <w:t xml:space="preserve"> </w:t>
      </w:r>
      <w:r w:rsidRPr="005E73BE" w:rsidR="005E73BE">
        <w:t>address technical and/or service rules</w:t>
      </w:r>
      <w:r w:rsidR="008455D2">
        <w:t xml:space="preserve"> for MSS or MSS feeder link bands</w:t>
      </w:r>
      <w:r w:rsidR="008114E2">
        <w:t>.</w:t>
      </w:r>
      <w:r w:rsidR="009940AD">
        <w:t xml:space="preserve">  </w:t>
      </w:r>
      <w:bookmarkStart w:id="6" w:name="_Hlk12611188"/>
    </w:p>
    <w:p w:rsidR="00E92B6F" w:rsidP="00C87277" w14:paraId="197DED62" w14:textId="77777777">
      <w:pPr>
        <w:pStyle w:val="ParaNum"/>
      </w:pPr>
      <w:r>
        <w:t>Iridium argues tha</w:t>
      </w:r>
      <w:r w:rsidR="004D35F9">
        <w:t>t this condition is inadequate because it does not</w:t>
      </w:r>
      <w:r w:rsidR="00DC71B8">
        <w:t xml:space="preserve"> </w:t>
      </w:r>
      <w:r w:rsidR="00DB0B05">
        <w:t xml:space="preserve">explicitly </w:t>
      </w:r>
      <w:r w:rsidR="00DC71B8">
        <w:t xml:space="preserve">make the continued validity of O3b’s </w:t>
      </w:r>
      <w:r w:rsidR="009E4595">
        <w:t>market access grants</w:t>
      </w:r>
      <w:r w:rsidR="00DC71B8">
        <w:t xml:space="preserve"> contingent on </w:t>
      </w:r>
      <w:r w:rsidR="00F7630F">
        <w:t xml:space="preserve">O3b affirmatively </w:t>
      </w:r>
      <w:r w:rsidR="00DC71B8">
        <w:t>conformi</w:t>
      </w:r>
      <w:r w:rsidR="00004774">
        <w:t>ng</w:t>
      </w:r>
      <w:r w:rsidR="00DC71B8">
        <w:t xml:space="preserve"> </w:t>
      </w:r>
      <w:r w:rsidR="006A1817">
        <w:t xml:space="preserve">its </w:t>
      </w:r>
      <w:r w:rsidR="00C325D9">
        <w:t xml:space="preserve">MSS </w:t>
      </w:r>
      <w:r w:rsidR="006A1817">
        <w:t xml:space="preserve">service to </w:t>
      </w:r>
      <w:r w:rsidR="00DC71B8">
        <w:t xml:space="preserve">any </w:t>
      </w:r>
      <w:r w:rsidR="004D35F9">
        <w:t>new rules</w:t>
      </w:r>
      <w:r w:rsidR="00DC71B8">
        <w:t xml:space="preserve"> covering </w:t>
      </w:r>
      <w:r w:rsidR="00C325D9">
        <w:t xml:space="preserve">such </w:t>
      </w:r>
      <w:r w:rsidR="004D35F9">
        <w:t>services</w:t>
      </w:r>
      <w:r w:rsidR="00DC71B8">
        <w:t xml:space="preserve"> in the bands at issue here</w:t>
      </w:r>
      <w:r w:rsidR="00623652">
        <w:t xml:space="preserve">. </w:t>
      </w:r>
      <w:r w:rsidR="00574E27">
        <w:t xml:space="preserve"> </w:t>
      </w:r>
      <w:r w:rsidR="00623652">
        <w:t xml:space="preserve">Rather, Iridium asserts, O3b’s </w:t>
      </w:r>
      <w:r w:rsidR="009E4595">
        <w:t xml:space="preserve">market access grant </w:t>
      </w:r>
      <w:r w:rsidR="00AD2BEF">
        <w:t>c</w:t>
      </w:r>
      <w:r w:rsidR="00623652">
        <w:t xml:space="preserve">ould remain unchanged </w:t>
      </w:r>
      <w:r w:rsidR="00DC71B8">
        <w:t xml:space="preserve">despite </w:t>
      </w:r>
      <w:r w:rsidR="00623652">
        <w:t xml:space="preserve">a </w:t>
      </w:r>
      <w:r w:rsidR="00DC71B8">
        <w:t>potential conflict with new rules until O3b requests and secures a modification</w:t>
      </w:r>
      <w:r w:rsidR="00623652">
        <w:t>,</w:t>
      </w:r>
      <w:r w:rsidR="00DC71B8">
        <w:t xml:space="preserve"> or until </w:t>
      </w:r>
      <w:r w:rsidR="004D35F9">
        <w:t xml:space="preserve">the Commission </w:t>
      </w:r>
      <w:r w:rsidR="00DC71B8">
        <w:t xml:space="preserve">acts on a </w:t>
      </w:r>
      <w:r w:rsidRPr="0067605F" w:rsidR="00DC71B8">
        <w:rPr>
          <w:i/>
        </w:rPr>
        <w:t>sua</w:t>
      </w:r>
      <w:r w:rsidRPr="0067605F" w:rsidR="00DC71B8">
        <w:rPr>
          <w:i/>
        </w:rPr>
        <w:t xml:space="preserve"> sponte</w:t>
      </w:r>
      <w:r w:rsidR="00DC71B8">
        <w:t xml:space="preserve"> basis to effectuate such a result</w:t>
      </w:r>
      <w:r w:rsidR="004D35F9">
        <w:t>.</w:t>
      </w:r>
      <w:r>
        <w:rPr>
          <w:rStyle w:val="FootnoteReference"/>
        </w:rPr>
        <w:footnoteReference w:id="29"/>
      </w:r>
      <w:r w:rsidR="004D35F9">
        <w:t xml:space="preserve">  </w:t>
      </w:r>
      <w:r w:rsidR="00421389">
        <w:t xml:space="preserve">We </w:t>
      </w:r>
      <w:r w:rsidR="002A664F">
        <w:t xml:space="preserve">disagree and </w:t>
      </w:r>
      <w:r w:rsidR="00421389">
        <w:t xml:space="preserve">find </w:t>
      </w:r>
      <w:r w:rsidR="00893552">
        <w:t xml:space="preserve">that </w:t>
      </w:r>
      <w:r w:rsidR="00421389">
        <w:t>no additional condition is necessary, because</w:t>
      </w:r>
      <w:r w:rsidR="00893552">
        <w:t xml:space="preserve"> </w:t>
      </w:r>
      <w:r w:rsidR="006D52E6">
        <w:t xml:space="preserve">the express terms of </w:t>
      </w:r>
      <w:r w:rsidR="00421389">
        <w:t xml:space="preserve">O3b’s </w:t>
      </w:r>
      <w:r w:rsidR="00893552">
        <w:t>market access grant</w:t>
      </w:r>
      <w:r w:rsidR="00421389">
        <w:t xml:space="preserve"> and the Commission’s rules address Iridium’s concern</w:t>
      </w:r>
      <w:r w:rsidR="00CF741A">
        <w:t xml:space="preserve"> and ensure O3b</w:t>
      </w:r>
      <w:r w:rsidR="009E4595">
        <w:t>’s compliance</w:t>
      </w:r>
      <w:r w:rsidR="00CF741A">
        <w:t xml:space="preserve"> with any post-grant requirements adopted by the Commission</w:t>
      </w:r>
      <w:r w:rsidR="00421389">
        <w:t>.</w:t>
      </w:r>
      <w:r>
        <w:rPr>
          <w:rStyle w:val="FootnoteReference"/>
        </w:rPr>
        <w:footnoteReference w:id="30"/>
      </w:r>
      <w:r w:rsidR="00421389">
        <w:t xml:space="preserve"> </w:t>
      </w:r>
      <w:r w:rsidR="00201547">
        <w:t xml:space="preserve"> </w:t>
      </w:r>
      <w:bookmarkEnd w:id="6"/>
      <w:r w:rsidR="00D24BE4">
        <w:t xml:space="preserve">As particularly relevant here, </w:t>
      </w:r>
      <w:r w:rsidR="006B5B60">
        <w:t>s</w:t>
      </w:r>
      <w:r w:rsidR="00421389">
        <w:t xml:space="preserve">ection 25.217 of the Commission’s rules </w:t>
      </w:r>
      <w:r w:rsidR="00004774">
        <w:t>requires licensees</w:t>
      </w:r>
      <w:r w:rsidR="00484AA3">
        <w:t xml:space="preserve"> and holders of market access </w:t>
      </w:r>
      <w:r w:rsidR="007128C8">
        <w:t>grants</w:t>
      </w:r>
      <w:r w:rsidR="00004774">
        <w:t xml:space="preserve"> to comply with </w:t>
      </w:r>
      <w:r w:rsidR="00C1280A">
        <w:t xml:space="preserve">frequency band specific service rules within </w:t>
      </w:r>
      <w:bookmarkStart w:id="7" w:name="_Hlk21625849"/>
      <w:r w:rsidR="00C1280A">
        <w:t>30 days</w:t>
      </w:r>
      <w:r w:rsidR="00004774">
        <w:t xml:space="preserve"> of the rules</w:t>
      </w:r>
      <w:r w:rsidRPr="00095D27" w:rsidR="001C5121">
        <w:t>’</w:t>
      </w:r>
      <w:r w:rsidR="00004774">
        <w:t xml:space="preserve"> effective date</w:t>
      </w:r>
      <w:r w:rsidRPr="00095D27" w:rsidR="00C16692">
        <w:t xml:space="preserve">, which </w:t>
      </w:r>
      <w:r w:rsidRPr="00095D27" w:rsidR="000E2C20">
        <w:t xml:space="preserve">places on O3b the </w:t>
      </w:r>
      <w:r w:rsidRPr="00095D27" w:rsidR="002918A9">
        <w:t xml:space="preserve">type of affirmative </w:t>
      </w:r>
      <w:r w:rsidRPr="00095D27" w:rsidR="007B5C34">
        <w:t xml:space="preserve">obligation to </w:t>
      </w:r>
      <w:r w:rsidRPr="00095D27" w:rsidR="002918A9">
        <w:t>act that Iridium claims is miss</w:t>
      </w:r>
      <w:r w:rsidRPr="00095D27" w:rsidR="00240A50">
        <w:t>ing</w:t>
      </w:r>
      <w:r w:rsidR="00C1280A">
        <w:t>.</w:t>
      </w:r>
      <w:r>
        <w:rPr>
          <w:rStyle w:val="FootnoteReference"/>
        </w:rPr>
        <w:footnoteReference w:id="31"/>
      </w:r>
      <w:r w:rsidR="00C1280A">
        <w:t xml:space="preserve"> </w:t>
      </w:r>
      <w:r w:rsidR="00201547">
        <w:t xml:space="preserve"> </w:t>
      </w:r>
    </w:p>
    <w:p w:rsidR="0025764F" w:rsidP="00C87277" w14:paraId="16B5E6BA" w14:textId="01B305CE">
      <w:pPr>
        <w:pStyle w:val="ParaNum"/>
      </w:pPr>
      <w:r>
        <w:t xml:space="preserve">In sum, </w:t>
      </w:r>
      <w:r w:rsidRPr="00095D27">
        <w:t>b</w:t>
      </w:r>
      <w:r w:rsidR="009715AB">
        <w:t xml:space="preserve">ecause there are already protections in place to ensure </w:t>
      </w:r>
      <w:bookmarkEnd w:id="7"/>
      <w:r w:rsidR="009715AB">
        <w:t>that O3b will be required to comply with any relevant changes or modifications to the Commission’s rules</w:t>
      </w:r>
      <w:r w:rsidR="00201547">
        <w:t xml:space="preserve">, we deny Iridium’s </w:t>
      </w:r>
      <w:r w:rsidR="00801F0C">
        <w:t>P</w:t>
      </w:r>
      <w:r w:rsidR="00201547">
        <w:t>etition</w:t>
      </w:r>
      <w:r w:rsidR="00F7630F">
        <w:t>.</w:t>
      </w:r>
      <w:r>
        <w:rPr>
          <w:rStyle w:val="FootnoteReference"/>
        </w:rPr>
        <w:footnoteReference w:id="32"/>
      </w:r>
    </w:p>
    <w:p w:rsidR="0025764F" w14:paraId="4BF24F3B" w14:textId="77777777">
      <w:pPr>
        <w:widowControl/>
      </w:pPr>
      <w:r>
        <w:br w:type="page"/>
      </w:r>
    </w:p>
    <w:p w:rsidR="00AD48D0" w:rsidP="00F06807" w14:paraId="3A6E21D0" w14:textId="2C38B7E5">
      <w:pPr>
        <w:pStyle w:val="Heading1"/>
      </w:pPr>
      <w:r>
        <w:t>Ordering clause</w:t>
      </w:r>
    </w:p>
    <w:p w:rsidR="00DA2613" w:rsidRPr="00DA2613" w:rsidP="00D802BC" w14:paraId="10E50405" w14:textId="77777777">
      <w:pPr>
        <w:pStyle w:val="ParaNum"/>
        <w:rPr>
          <w:snapToGrid/>
        </w:rPr>
      </w:pPr>
      <w:r>
        <w:t xml:space="preserve">Accordingly, IT IS ORDERED, that </w:t>
      </w:r>
      <w:r w:rsidR="008455D2">
        <w:t xml:space="preserve">pursuant to </w:t>
      </w:r>
      <w:r w:rsidR="00893552">
        <w:t>s</w:t>
      </w:r>
      <w:r w:rsidR="008455D2">
        <w:t>ection 1.106 of the Commission’s rules, 47 CFR § 1.106, the</w:t>
      </w:r>
      <w:r>
        <w:t xml:space="preserve"> Petition for Partial Reconsideration filed </w:t>
      </w:r>
      <w:r w:rsidR="008455D2">
        <w:t xml:space="preserve">by Iridium Constellation LLC on </w:t>
      </w:r>
      <w:r>
        <w:t>July 6, 2018</w:t>
      </w:r>
      <w:r w:rsidR="008455D2">
        <w:t>,</w:t>
      </w:r>
      <w:r>
        <w:t xml:space="preserve"> is DENIED. </w:t>
      </w:r>
    </w:p>
    <w:p w:rsidR="00DA2613" w:rsidRPr="00DA2613" w:rsidP="00DA2613" w14:paraId="41C29A91" w14:textId="77777777">
      <w:pPr>
        <w:pStyle w:val="ParaNum"/>
        <w:numPr>
          <w:ilvl w:val="0"/>
          <w:numId w:val="0"/>
        </w:numPr>
        <w:ind w:left="720"/>
        <w:rPr>
          <w:snapToGrid/>
        </w:rPr>
      </w:pPr>
    </w:p>
    <w:p w:rsidR="00DA2613" w:rsidP="00DA2613" w14:paraId="1512DAE9" w14:textId="5F170DBF">
      <w:pPr>
        <w:pStyle w:val="ParaNum"/>
        <w:numPr>
          <w:ilvl w:val="0"/>
          <w:numId w:val="0"/>
        </w:numPr>
        <w:ind w:left="720"/>
        <w:rPr>
          <w:snapToGrid/>
        </w:rPr>
      </w:pPr>
    </w:p>
    <w:p w:rsidR="00137B46" w:rsidP="0017296B" w14:paraId="02DA17B9" w14:textId="77777777">
      <w:r>
        <w:tab/>
      </w:r>
      <w:r>
        <w:tab/>
      </w:r>
      <w:r>
        <w:tab/>
      </w:r>
      <w:r>
        <w:tab/>
      </w:r>
      <w:r>
        <w:tab/>
      </w:r>
      <w:r>
        <w:tab/>
        <w:t>FEDERAL COMMUNICATIONS COMMISSION</w:t>
      </w:r>
    </w:p>
    <w:p w:rsidR="00137B46" w:rsidP="0017296B" w14:paraId="03CCBE8C" w14:textId="77777777"/>
    <w:p w:rsidR="00137B46" w:rsidP="0017296B" w14:paraId="60B6A606" w14:textId="77777777"/>
    <w:p w:rsidR="00137B46" w:rsidP="0017296B" w14:paraId="5A0C289C" w14:textId="77777777"/>
    <w:p w:rsidR="00137B46" w:rsidP="0017296B" w14:paraId="1F7EBD91" w14:textId="77777777"/>
    <w:p w:rsidR="00137B46" w:rsidP="0017296B" w14:paraId="5C3B35CC" w14:textId="77777777">
      <w:r>
        <w:tab/>
      </w:r>
      <w:r>
        <w:tab/>
      </w:r>
      <w:r>
        <w:tab/>
      </w:r>
      <w:r>
        <w:tab/>
      </w:r>
      <w:r>
        <w:tab/>
      </w:r>
      <w:r>
        <w:tab/>
        <w:t>Marlene H. Dortch</w:t>
      </w:r>
    </w:p>
    <w:p w:rsidR="00137B46" w:rsidP="0017296B" w14:paraId="668BAFF2" w14:textId="77777777">
      <w:r>
        <w:tab/>
      </w:r>
      <w:r>
        <w:tab/>
      </w:r>
      <w:r>
        <w:tab/>
      </w:r>
      <w:r>
        <w:tab/>
      </w:r>
      <w:r>
        <w:tab/>
      </w:r>
      <w:r>
        <w:tab/>
        <w:t>Secretary</w:t>
      </w:r>
    </w:p>
    <w:p w:rsidR="00137B46" w:rsidP="00DA2613" w14:paraId="12773933" w14:textId="77777777">
      <w:pPr>
        <w:pStyle w:val="ParaNum"/>
        <w:numPr>
          <w:ilvl w:val="0"/>
          <w:numId w:val="0"/>
        </w:numPr>
        <w:ind w:left="720"/>
        <w:rPr>
          <w:snapToGrid/>
        </w:r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97D089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CBFCB7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54AB7C7" w14:textId="77777777">
    <w:pPr>
      <w:pStyle w:val="Footer"/>
      <w:jc w:val="center"/>
    </w:pPr>
    <w:r>
      <w:fldChar w:fldCharType="begin"/>
    </w:r>
    <w:r>
      <w:instrText xml:space="preserve"> PAGE   \* MERGEFORMAT </w:instrText>
    </w:r>
    <w:r>
      <w:fldChar w:fldCharType="separate"/>
    </w:r>
    <w:r w:rsidR="00CB567E">
      <w:rPr>
        <w:noProof/>
      </w:rPr>
      <w:t>4</w:t>
    </w:r>
    <w:r>
      <w:rPr>
        <w:noProof/>
      </w:rPr>
      <w:fldChar w:fldCharType="end"/>
    </w:r>
  </w:p>
  <w:p w:rsidR="00D25FB5" w14:paraId="7E79348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5F8F06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F751E" w14:paraId="4B2F7349" w14:textId="77777777">
      <w:r>
        <w:separator/>
      </w:r>
    </w:p>
  </w:footnote>
  <w:footnote w:type="continuationSeparator" w:id="1">
    <w:p w:rsidR="004F751E" w:rsidP="00C721AC" w14:paraId="59E8B0D0" w14:textId="77777777">
      <w:pPr>
        <w:spacing w:before="120"/>
        <w:rPr>
          <w:sz w:val="20"/>
        </w:rPr>
      </w:pPr>
      <w:r>
        <w:rPr>
          <w:sz w:val="20"/>
        </w:rPr>
        <w:t xml:space="preserve">(Continued from previous page)  </w:t>
      </w:r>
      <w:r>
        <w:rPr>
          <w:sz w:val="20"/>
        </w:rPr>
        <w:separator/>
      </w:r>
    </w:p>
  </w:footnote>
  <w:footnote w:type="continuationNotice" w:id="2">
    <w:p w:rsidR="004F751E" w:rsidP="00C721AC" w14:paraId="384016A3" w14:textId="77777777">
      <w:pPr>
        <w:jc w:val="right"/>
        <w:rPr>
          <w:sz w:val="20"/>
        </w:rPr>
      </w:pPr>
    </w:p>
  </w:footnote>
  <w:footnote w:id="3">
    <w:p w:rsidR="00636EFD" w14:paraId="06E50947" w14:textId="77777777">
      <w:pPr>
        <w:pStyle w:val="FootnoteText"/>
      </w:pPr>
      <w:r>
        <w:rPr>
          <w:rStyle w:val="FootnoteReference"/>
        </w:rPr>
        <w:footnoteRef/>
      </w:r>
      <w:r>
        <w:t xml:space="preserve"> Iridium Constellation LLC, Petition for Partial Reconsideration (filed July 6, 2018) (Iridium Petition).</w:t>
      </w:r>
    </w:p>
  </w:footnote>
  <w:footnote w:id="4">
    <w:p w:rsidR="00745729" w:rsidRPr="003F0179" w14:paraId="20A1A400" w14:textId="0B7C4DCC">
      <w:pPr>
        <w:pStyle w:val="FootnoteText"/>
      </w:pPr>
      <w:r>
        <w:rPr>
          <w:rStyle w:val="FootnoteReference"/>
        </w:rPr>
        <w:footnoteRef/>
      </w:r>
      <w:r w:rsidR="00D9768E">
        <w:t xml:space="preserve"> </w:t>
      </w:r>
      <w:r w:rsidRPr="003F0179" w:rsidR="00E25E8F">
        <w:t xml:space="preserve">O3b was initially granted U.S. market access through individual earth stations transmitting to and receiving from eight satellites in medium earth orbit.  </w:t>
      </w:r>
      <w:r w:rsidRPr="00596223" w:rsidR="00E25E8F">
        <w:rPr>
          <w:rStyle w:val="Emphasis"/>
          <w:color w:val="212121"/>
        </w:rPr>
        <w:t>See</w:t>
      </w:r>
      <w:r w:rsidRPr="00596223" w:rsidR="00E25E8F">
        <w:rPr>
          <w:color w:val="212121"/>
        </w:rPr>
        <w:t> </w:t>
      </w:r>
      <w:r w:rsidRPr="00F1038B" w:rsidR="00E25E8F">
        <w:rPr>
          <w:rStyle w:val="cosearchterm"/>
          <w:bCs/>
          <w:color w:val="252525"/>
        </w:rPr>
        <w:t>O3b</w:t>
      </w:r>
      <w:r w:rsidRPr="00596223" w:rsidR="00E25E8F">
        <w:rPr>
          <w:color w:val="212121"/>
        </w:rPr>
        <w:t> Limited, IBFS File Nos. SES-LIC-20100723-00952 (granted Sept. 25, 2012), SES-LIC-20130124-00089 (granted June 20, 2013) and SES-LIC-20130618-00516 (granted June 24, 2015). </w:t>
      </w:r>
      <w:r w:rsidR="00D9768E">
        <w:rPr>
          <w:color w:val="212121"/>
        </w:rPr>
        <w:t xml:space="preserve"> </w:t>
      </w:r>
      <w:r w:rsidRPr="00596223" w:rsidR="00E25E8F">
        <w:rPr>
          <w:color w:val="212121"/>
        </w:rPr>
        <w:t xml:space="preserve">In January 2015, the International Bureau granted O3b’s petition to consolidate its several U.S. market access grants under a single </w:t>
      </w:r>
      <w:r w:rsidRPr="00596223" w:rsidR="00642A4D">
        <w:rPr>
          <w:color w:val="212121"/>
        </w:rPr>
        <w:t>grant</w:t>
      </w:r>
      <w:r w:rsidR="00642A4D">
        <w:rPr>
          <w:color w:val="212121"/>
        </w:rPr>
        <w:t>,</w:t>
      </w:r>
      <w:r w:rsidRPr="00596223" w:rsidR="00642A4D">
        <w:rPr>
          <w:color w:val="212121"/>
        </w:rPr>
        <w:t xml:space="preserve"> and</w:t>
      </w:r>
      <w:r w:rsidRPr="00596223" w:rsidR="00E25E8F">
        <w:rPr>
          <w:color w:val="212121"/>
        </w:rPr>
        <w:t xml:space="preserve"> to increase the number of satellites from eight to twelve.  </w:t>
      </w:r>
      <w:r w:rsidRPr="00596223" w:rsidR="00E25E8F">
        <w:rPr>
          <w:rStyle w:val="cosearchterm"/>
          <w:bCs/>
          <w:color w:val="252525"/>
        </w:rPr>
        <w:t>O3b</w:t>
      </w:r>
      <w:r w:rsidRPr="00596223" w:rsidR="00E25E8F">
        <w:rPr>
          <w:color w:val="212121"/>
        </w:rPr>
        <w:t> Limited, IBFS File Nos. SAT-LOI-20141029-00118 and SAT-AMD-20150115-00004 (granted Jan. 22, 2015)</w:t>
      </w:r>
      <w:r w:rsidRPr="00596223" w:rsidR="00AD6D71">
        <w:rPr>
          <w:color w:val="212121"/>
        </w:rPr>
        <w:t>.</w:t>
      </w:r>
    </w:p>
  </w:footnote>
  <w:footnote w:id="5">
    <w:p w:rsidR="008A6617" w:rsidRPr="008A6617" w14:paraId="230163B4" w14:textId="4859A0A6">
      <w:pPr>
        <w:pStyle w:val="FootnoteText"/>
      </w:pPr>
      <w:r w:rsidRPr="008A6617">
        <w:rPr>
          <w:rStyle w:val="FootnoteReference"/>
        </w:rPr>
        <w:footnoteRef/>
      </w:r>
      <w:r w:rsidRPr="008A6617">
        <w:t xml:space="preserve"> O3b Request for Modification of U.S. Market Access Grant, IBFS File No. SAT-MOD-20160624-00060.</w:t>
      </w:r>
    </w:p>
  </w:footnote>
  <w:footnote w:id="6">
    <w:p w:rsidR="00636EFD" w:rsidRPr="008A6617" w:rsidP="00636EFD" w14:paraId="741D60F3" w14:textId="5BFB6D03">
      <w:pPr>
        <w:pStyle w:val="FootnoteText"/>
      </w:pPr>
      <w:r w:rsidRPr="008A6617">
        <w:rPr>
          <w:rStyle w:val="FootnoteReference"/>
        </w:rPr>
        <w:footnoteRef/>
      </w:r>
      <w:r w:rsidRPr="008A6617">
        <w:t xml:space="preserve"> </w:t>
      </w:r>
      <w:r w:rsidRPr="008A6617" w:rsidR="008A6617">
        <w:t xml:space="preserve">O3b Amendment, IBFS File No. SAT-AMD-20161115-00116.  </w:t>
      </w:r>
    </w:p>
  </w:footnote>
  <w:footnote w:id="7">
    <w:p w:rsidR="00494E38" w14:paraId="3B9478D4" w14:textId="7DB35C4F">
      <w:pPr>
        <w:pStyle w:val="FootnoteText"/>
      </w:pPr>
      <w:r>
        <w:rPr>
          <w:rStyle w:val="FootnoteReference"/>
        </w:rPr>
        <w:footnoteRef/>
      </w:r>
      <w:r w:rsidR="009E5EEF">
        <w:t xml:space="preserve"> </w:t>
      </w:r>
      <w:r>
        <w:t>While these bands are allocated for both FSS and MSS use,</w:t>
      </w:r>
      <w:r w:rsidR="00623652">
        <w:t xml:space="preserve"> currently there are o</w:t>
      </w:r>
      <w:r w:rsidR="009E5EEF">
        <w:t>nly</w:t>
      </w:r>
      <w:r w:rsidR="0036041B">
        <w:t xml:space="preserve"> </w:t>
      </w:r>
      <w:r w:rsidR="009E5EEF">
        <w:t>service rules for FSS operations.</w:t>
      </w:r>
    </w:p>
  </w:footnote>
  <w:footnote w:id="8">
    <w:p w:rsidR="00636EFD" w14:paraId="261D3906" w14:textId="06F282B6">
      <w:pPr>
        <w:pStyle w:val="FootnoteText"/>
      </w:pPr>
      <w:r>
        <w:rPr>
          <w:rStyle w:val="FootnoteReference"/>
        </w:rPr>
        <w:footnoteRef/>
      </w:r>
      <w:r w:rsidR="00AD6D71">
        <w:t xml:space="preserve"> </w:t>
      </w:r>
      <w:r w:rsidRPr="008A6617" w:rsidR="008A6617">
        <w:t xml:space="preserve">O3b Amendment, IBFS File No. SAT-AMD-20171109-00154, </w:t>
      </w:r>
      <w:r w:rsidRPr="008A6617" w:rsidR="00F0436A">
        <w:t>Na</w:t>
      </w:r>
      <w:r w:rsidRPr="008A6617" w:rsidR="00AD6D71">
        <w:t>rrative</w:t>
      </w:r>
      <w:r w:rsidR="00AD6D71">
        <w:t xml:space="preserve"> at 5, and 47 CFR </w:t>
      </w:r>
      <w:r w:rsidR="003F0179">
        <w:t xml:space="preserve">§ </w:t>
      </w:r>
      <w:r w:rsidR="00AD6D71">
        <w:t>2.106</w:t>
      </w:r>
      <w:r w:rsidR="003F0179">
        <w:t>, NG166</w:t>
      </w:r>
      <w:r w:rsidR="004056BC">
        <w:t>.</w:t>
      </w:r>
      <w:r w:rsidR="004C2729">
        <w:t xml:space="preserve">  </w:t>
      </w:r>
    </w:p>
  </w:footnote>
  <w:footnote w:id="9">
    <w:p w:rsidR="00D7217B" w:rsidRPr="005167AF" w:rsidP="00D7217B" w14:paraId="5F21C8AC" w14:textId="658DCE0B">
      <w:pPr>
        <w:pStyle w:val="FootnoteText"/>
        <w:rPr>
          <w:i/>
        </w:rPr>
      </w:pPr>
      <w:r>
        <w:rPr>
          <w:rStyle w:val="FootnoteReference"/>
        </w:rPr>
        <w:footnoteRef/>
      </w:r>
      <w:r>
        <w:t xml:space="preserve"> The Ka-band Plan was developed in a series of orders to designate discrete spectrum bands for specific types of systems including GSO FSS, NGSO FSS, and certain Mobile Satellite Systems.  </w:t>
      </w:r>
      <w:r>
        <w:rPr>
          <w:i/>
        </w:rPr>
        <w:t xml:space="preserve">See </w:t>
      </w:r>
      <w:r w:rsidRPr="00AD48D0">
        <w:rPr>
          <w:i/>
        </w:rPr>
        <w:t>O3b Limited</w:t>
      </w:r>
      <w:r>
        <w:t xml:space="preserve">, </w:t>
      </w:r>
      <w:r w:rsidRPr="00EA0483">
        <w:t>Order and Declaratory Ruling,</w:t>
      </w:r>
      <w:r w:rsidR="00623652">
        <w:t xml:space="preserve"> 33 FCC </w:t>
      </w:r>
      <w:r w:rsidR="00623652">
        <w:t>Rcd</w:t>
      </w:r>
      <w:r w:rsidR="00623652">
        <w:t xml:space="preserve"> 5508 (2018) </w:t>
      </w:r>
      <w:r>
        <w:t>(</w:t>
      </w:r>
      <w:r w:rsidRPr="00EA0483">
        <w:rPr>
          <w:i/>
        </w:rPr>
        <w:t>O3b Order</w:t>
      </w:r>
      <w:r>
        <w:t>).</w:t>
      </w:r>
    </w:p>
  </w:footnote>
  <w:footnote w:id="10">
    <w:p w:rsidR="00363881" w:rsidP="00363881" w14:paraId="4A2160A3" w14:textId="146B71F5">
      <w:pPr>
        <w:pStyle w:val="FootnoteText"/>
      </w:pPr>
      <w:r>
        <w:rPr>
          <w:rStyle w:val="FootnoteReference"/>
        </w:rPr>
        <w:footnoteRef/>
      </w:r>
      <w:r>
        <w:t xml:space="preserve"> Iridium Constellation LLC, Petition to Deny or Remove from Processing Round (filed Dec. 26, 2017) at 4-5</w:t>
      </w:r>
      <w:r w:rsidR="00792E70">
        <w:t xml:space="preserve"> (Iridium Petition to Deny or Remove)</w:t>
      </w:r>
      <w:r>
        <w:t>.</w:t>
      </w:r>
      <w:r w:rsidR="00DA159F">
        <w:t xml:space="preserve">  </w:t>
      </w:r>
    </w:p>
  </w:footnote>
  <w:footnote w:id="11">
    <w:p w:rsidR="00363881" w:rsidP="00363881" w14:paraId="7D8535A9" w14:textId="77777777">
      <w:pPr>
        <w:pStyle w:val="FootnoteText"/>
      </w:pPr>
      <w:r>
        <w:rPr>
          <w:rStyle w:val="FootnoteReference"/>
        </w:rPr>
        <w:footnoteRef/>
      </w:r>
      <w:r>
        <w:t xml:space="preserve"> </w:t>
      </w:r>
      <w:r w:rsidRPr="00466755">
        <w:rPr>
          <w:i/>
        </w:rPr>
        <w:t>Id</w:t>
      </w:r>
      <w:r>
        <w:t>. at 5.</w:t>
      </w:r>
    </w:p>
  </w:footnote>
  <w:footnote w:id="12">
    <w:p w:rsidR="00301ED8" w:rsidP="00301ED8" w14:paraId="7A689C89" w14:textId="0C265C22">
      <w:pPr>
        <w:pStyle w:val="FootnoteText"/>
      </w:pPr>
      <w:r>
        <w:rPr>
          <w:rStyle w:val="FootnoteReference"/>
        </w:rPr>
        <w:footnoteRef/>
      </w:r>
      <w:r>
        <w:t xml:space="preserve"> </w:t>
      </w:r>
      <w:r w:rsidRPr="00AD48D0">
        <w:rPr>
          <w:i/>
        </w:rPr>
        <w:t xml:space="preserve">O3b </w:t>
      </w:r>
      <w:r w:rsidRPr="00EA0483">
        <w:rPr>
          <w:i/>
        </w:rPr>
        <w:t>Order</w:t>
      </w:r>
      <w:r w:rsidR="00623652">
        <w:t xml:space="preserve">, 33 FCC </w:t>
      </w:r>
      <w:r w:rsidR="00623652">
        <w:t>Rcd</w:t>
      </w:r>
      <w:r w:rsidR="00623652">
        <w:t xml:space="preserve"> at 5516.</w:t>
      </w:r>
      <w:r>
        <w:t xml:space="preserve"> </w:t>
      </w:r>
    </w:p>
  </w:footnote>
  <w:footnote w:id="13">
    <w:p w:rsidR="00275C87" w:rsidRPr="00B22ECB" w14:paraId="20BE6645" w14:textId="77FBDEAF">
      <w:pPr>
        <w:pStyle w:val="FootnoteText"/>
      </w:pPr>
      <w:r>
        <w:rPr>
          <w:rStyle w:val="FootnoteReference"/>
        </w:rPr>
        <w:footnoteRef/>
      </w:r>
      <w:r>
        <w:t xml:space="preserve"> </w:t>
      </w:r>
      <w:r w:rsidRPr="0036041B" w:rsidR="00623652">
        <w:rPr>
          <w:i/>
        </w:rPr>
        <w:t>Id</w:t>
      </w:r>
      <w:r w:rsidR="00623652">
        <w:t xml:space="preserve">. </w:t>
      </w:r>
      <w:r w:rsidR="009F3F63">
        <w:t xml:space="preserve"> </w:t>
      </w:r>
      <w:bookmarkStart w:id="3" w:name="_Hlk12610639"/>
      <w:r w:rsidR="009F3F63">
        <w:t xml:space="preserve">The Commission observed that although O3b’s NGSO MSS operations would be </w:t>
      </w:r>
      <w:r w:rsidRPr="00DC71B8" w:rsidR="009F3F63">
        <w:t xml:space="preserve">indistinguishable from NGSO </w:t>
      </w:r>
      <w:r w:rsidRPr="00DC71B8" w:rsidR="00CF555D">
        <w:t xml:space="preserve">FSS </w:t>
      </w:r>
      <w:r w:rsidRPr="00DC71B8" w:rsidR="009F3F63">
        <w:t xml:space="preserve">operations in the 19.7-20.2 and 29.5-30 GHz bands being conducted by earth stations in motion (ESIMs), there are </w:t>
      </w:r>
      <w:r w:rsidRPr="00DC71B8" w:rsidR="00CF555D">
        <w:t xml:space="preserve">currently </w:t>
      </w:r>
      <w:r w:rsidRPr="00DC71B8" w:rsidR="009F3F63">
        <w:t xml:space="preserve">no </w:t>
      </w:r>
      <w:r w:rsidRPr="00DC71B8" w:rsidR="00752520">
        <w:t xml:space="preserve">service </w:t>
      </w:r>
      <w:r w:rsidRPr="00DC71B8" w:rsidR="009F3F63">
        <w:t xml:space="preserve">rules </w:t>
      </w:r>
      <w:r w:rsidRPr="00DC71B8" w:rsidR="00752520">
        <w:t xml:space="preserve">for conducting </w:t>
      </w:r>
      <w:r w:rsidRPr="00DC71B8" w:rsidR="009F3F63">
        <w:t>ESIM operations with NGSO FSS space station</w:t>
      </w:r>
      <w:r w:rsidRPr="00DC71B8" w:rsidR="00FB7814">
        <w:t>s</w:t>
      </w:r>
      <w:r w:rsidRPr="00DC71B8" w:rsidR="00CF555D">
        <w:t>.  Consequently,</w:t>
      </w:r>
      <w:r w:rsidRPr="00DC71B8" w:rsidR="009F3F63">
        <w:t xml:space="preserve"> </w:t>
      </w:r>
      <w:r w:rsidR="00623652">
        <w:t>until</w:t>
      </w:r>
      <w:r w:rsidR="003F461A">
        <w:t xml:space="preserve"> </w:t>
      </w:r>
      <w:r w:rsidR="009F3F63">
        <w:t xml:space="preserve">such rules </w:t>
      </w:r>
      <w:r w:rsidR="00CF555D">
        <w:t xml:space="preserve">governing operation of ESIMs </w:t>
      </w:r>
      <w:r w:rsidR="009F3F63">
        <w:t>are adopted</w:t>
      </w:r>
      <w:r w:rsidR="00FB7814">
        <w:t>,</w:t>
      </w:r>
      <w:r w:rsidR="009F3F63">
        <w:t xml:space="preserve"> O3b’s NGSO MSS operations in the 19.7-20.2 and 29.5-30 GHz bands must be conducted on a non-interference, non-protected basis with respect to </w:t>
      </w:r>
      <w:r w:rsidR="00C9668C">
        <w:t xml:space="preserve">the </w:t>
      </w:r>
      <w:r w:rsidR="009F3F63">
        <w:t xml:space="preserve">NGSO FSS operations in these bands. </w:t>
      </w:r>
      <w:r w:rsidR="009F3F63">
        <w:rPr>
          <w:i/>
        </w:rPr>
        <w:t>Id.</w:t>
      </w:r>
      <w:bookmarkEnd w:id="3"/>
      <w:r w:rsidR="00B22ECB">
        <w:rPr>
          <w:i/>
        </w:rPr>
        <w:t xml:space="preserve">  </w:t>
      </w:r>
      <w:r w:rsidR="00B22ECB">
        <w:t xml:space="preserve">Such operations are currently authorized by a waiver of </w:t>
      </w:r>
      <w:r w:rsidR="00D85554">
        <w:t>s</w:t>
      </w:r>
      <w:r w:rsidR="00B22ECB">
        <w:t xml:space="preserve">ection 2.106, </w:t>
      </w:r>
      <w:r w:rsidR="006C1F9C">
        <w:t xml:space="preserve">pending the Commission’s resolution of a proceeding proposing rules to allow </w:t>
      </w:r>
      <w:r w:rsidR="00D85554">
        <w:t>NGSO FSS</w:t>
      </w:r>
      <w:r w:rsidR="006C1F9C">
        <w:t xml:space="preserve"> operations on a primary basis in certain Ku-and Ka-band frequencies</w:t>
      </w:r>
      <w:r w:rsidR="00415266">
        <w:t xml:space="preserve">. </w:t>
      </w:r>
      <w:r w:rsidRPr="00415266" w:rsidR="00415266">
        <w:rPr>
          <w:i/>
        </w:rPr>
        <w:t>See</w:t>
      </w:r>
      <w:r w:rsidR="006C1F9C">
        <w:t xml:space="preserve"> </w:t>
      </w:r>
      <w:r w:rsidRPr="006A271B" w:rsidR="006C1F9C">
        <w:rPr>
          <w:i/>
        </w:rPr>
        <w:t>Facilitating the Communications of Earth Stations in Motion with Non-Geostationary Orbit Space Stations</w:t>
      </w:r>
      <w:r w:rsidR="006C1F9C">
        <w:t xml:space="preserve">, Notice of Proposed Rulemaking, 33 FCC </w:t>
      </w:r>
      <w:r w:rsidR="006C1F9C">
        <w:t>Rcd</w:t>
      </w:r>
      <w:r w:rsidR="006C1F9C">
        <w:t xml:space="preserve"> 11416 (2018).  </w:t>
      </w:r>
    </w:p>
  </w:footnote>
  <w:footnote w:id="14">
    <w:p w:rsidR="00275C87" w14:paraId="5D4DBC15" w14:textId="614E1319">
      <w:pPr>
        <w:pStyle w:val="FootnoteText"/>
      </w:pPr>
      <w:r>
        <w:rPr>
          <w:rStyle w:val="FootnoteReference"/>
        </w:rPr>
        <w:footnoteRef/>
      </w:r>
      <w:r>
        <w:t xml:space="preserve"> </w:t>
      </w:r>
      <w:r w:rsidRPr="00F06807">
        <w:rPr>
          <w:i/>
        </w:rPr>
        <w:t>Id</w:t>
      </w:r>
      <w:r>
        <w:t xml:space="preserve">. </w:t>
      </w:r>
    </w:p>
  </w:footnote>
  <w:footnote w:id="15">
    <w:p w:rsidR="001657B2" w:rsidP="001657B2" w14:paraId="604D29D7" w14:textId="0F1041A7">
      <w:pPr>
        <w:pStyle w:val="FootnoteText"/>
      </w:pPr>
      <w:r>
        <w:rPr>
          <w:rStyle w:val="FootnoteReference"/>
        </w:rPr>
        <w:footnoteRef/>
      </w:r>
      <w:r>
        <w:t xml:space="preserve"> </w:t>
      </w:r>
      <w:r w:rsidR="00CF6F73">
        <w:rPr>
          <w:i/>
        </w:rPr>
        <w:t>Id</w:t>
      </w:r>
      <w:r w:rsidR="0036041B">
        <w:rPr>
          <w:i/>
        </w:rPr>
        <w:t xml:space="preserve">. </w:t>
      </w:r>
      <w:r w:rsidR="00EB69F2">
        <w:t xml:space="preserve">at </w:t>
      </w:r>
      <w:r>
        <w:t xml:space="preserve">para. 54. </w:t>
      </w:r>
    </w:p>
  </w:footnote>
  <w:footnote w:id="16">
    <w:p w:rsidR="00564553" w14:paraId="0B4B15D2" w14:textId="77777777">
      <w:pPr>
        <w:pStyle w:val="FootnoteText"/>
      </w:pPr>
      <w:r>
        <w:rPr>
          <w:rStyle w:val="FootnoteReference"/>
        </w:rPr>
        <w:footnoteRef/>
      </w:r>
      <w:r>
        <w:t xml:space="preserve"> </w:t>
      </w:r>
      <w:bookmarkStart w:id="4" w:name="_Hlk11924252"/>
      <w:r w:rsidR="003C087D">
        <w:t>Iridium Petition at 2-3.</w:t>
      </w:r>
      <w:bookmarkEnd w:id="4"/>
    </w:p>
  </w:footnote>
  <w:footnote w:id="17">
    <w:p w:rsidR="0089149A" w14:paraId="13C14F02" w14:textId="0633BF7F">
      <w:pPr>
        <w:pStyle w:val="FootnoteText"/>
      </w:pPr>
      <w:r>
        <w:rPr>
          <w:rStyle w:val="FootnoteReference"/>
        </w:rPr>
        <w:footnoteRef/>
      </w:r>
      <w:r>
        <w:t xml:space="preserve"> </w:t>
      </w:r>
      <w:r w:rsidRPr="0089149A">
        <w:t xml:space="preserve">Although the Commission authorized O3b to operate MSS feeder links in the 19.3-19.7 GHz and 29.1-29.5 GHz bands, Iridium’s petition for partial reconsideration only addresses the </w:t>
      </w:r>
      <w:r w:rsidRPr="0081718A" w:rsidR="00A05190">
        <w:t>authorization of a subset of these bands</w:t>
      </w:r>
      <w:r w:rsidRPr="0081718A" w:rsidR="00BA4F36">
        <w:t>—</w:t>
      </w:r>
      <w:r w:rsidRPr="0081718A" w:rsidR="00BA4F36">
        <w:rPr>
          <w:i/>
        </w:rPr>
        <w:t>i.e.</w:t>
      </w:r>
      <w:r w:rsidRPr="0081718A" w:rsidR="00BA4F36">
        <w:t>, operations at</w:t>
      </w:r>
      <w:r w:rsidR="00BA4F36">
        <w:t xml:space="preserve"> </w:t>
      </w:r>
      <w:r w:rsidRPr="0089149A">
        <w:t xml:space="preserve">19.4-19.6 GHz and 29.1-29.3 GHz. </w:t>
      </w:r>
      <w:r w:rsidR="0010254E">
        <w:t xml:space="preserve"> </w:t>
      </w:r>
      <w:r w:rsidRPr="0089149A">
        <w:t>Iridium is authorized to operate gateway earth stations in this subset</w:t>
      </w:r>
      <w:r w:rsidR="0010254E">
        <w:t>.</w:t>
      </w:r>
      <w:r w:rsidRPr="0089149A">
        <w:t xml:space="preserve"> </w:t>
      </w:r>
      <w:r w:rsidRPr="0089149A">
        <w:rPr>
          <w:i/>
        </w:rPr>
        <w:t>See O3b Order</w:t>
      </w:r>
      <w:r w:rsidR="00623652">
        <w:t xml:space="preserve">, 33 FCC </w:t>
      </w:r>
      <w:r w:rsidR="00623652">
        <w:t>Rcd</w:t>
      </w:r>
      <w:r w:rsidR="00623652">
        <w:t xml:space="preserve"> at 5516.</w:t>
      </w:r>
    </w:p>
  </w:footnote>
  <w:footnote w:id="18">
    <w:p w:rsidR="0058380C" w:rsidRPr="0016521B" w14:paraId="5A90BE4D" w14:textId="5E1C261E">
      <w:pPr>
        <w:pStyle w:val="FootnoteText"/>
      </w:pPr>
      <w:r>
        <w:rPr>
          <w:rStyle w:val="FootnoteReference"/>
        </w:rPr>
        <w:footnoteRef/>
      </w:r>
      <w:r>
        <w:t xml:space="preserve"> </w:t>
      </w:r>
      <w:r w:rsidRPr="00474857" w:rsidR="00474857">
        <w:t>Iridium Petition at 2-3.</w:t>
      </w:r>
    </w:p>
  </w:footnote>
  <w:footnote w:id="19">
    <w:p w:rsidR="00094C18" w14:paraId="7DE185D5" w14:textId="78EF2FF3">
      <w:pPr>
        <w:pStyle w:val="FootnoteText"/>
      </w:pPr>
      <w:r>
        <w:rPr>
          <w:rStyle w:val="FootnoteReference"/>
        </w:rPr>
        <w:footnoteRef/>
      </w:r>
      <w:r>
        <w:t xml:space="preserve"> </w:t>
      </w:r>
      <w:r w:rsidR="00F9362A">
        <w:rPr>
          <w:i/>
        </w:rPr>
        <w:t>Id</w:t>
      </w:r>
      <w:r w:rsidR="00F9362A">
        <w:t xml:space="preserve">. </w:t>
      </w:r>
      <w:r>
        <w:t xml:space="preserve">at 3. </w:t>
      </w:r>
    </w:p>
  </w:footnote>
  <w:footnote w:id="20">
    <w:p w:rsidR="005164DD" w14:paraId="7BAAC55D" w14:textId="2040CD16">
      <w:pPr>
        <w:pStyle w:val="FootnoteText"/>
      </w:pPr>
      <w:r>
        <w:rPr>
          <w:rStyle w:val="FootnoteReference"/>
        </w:rPr>
        <w:footnoteRef/>
      </w:r>
      <w:r>
        <w:t xml:space="preserve"> </w:t>
      </w:r>
      <w:r w:rsidR="00573EBB">
        <w:rPr>
          <w:i/>
        </w:rPr>
        <w:t>Id</w:t>
      </w:r>
      <w:r w:rsidR="00573EBB">
        <w:t xml:space="preserve">., and Iridium </w:t>
      </w:r>
      <w:r w:rsidRPr="0036041B" w:rsidR="00573EBB">
        <w:t>Constellation LLC</w:t>
      </w:r>
      <w:r w:rsidRPr="0036041B" w:rsidR="0036041B">
        <w:t xml:space="preserve"> Reply</w:t>
      </w:r>
      <w:r w:rsidR="0036041B">
        <w:t xml:space="preserve"> to Petition for Reconsideration (filed July 31, 2018) </w:t>
      </w:r>
      <w:r w:rsidR="00792E70">
        <w:t>(</w:t>
      </w:r>
      <w:r w:rsidR="0036041B">
        <w:t xml:space="preserve">Iridium Reply) </w:t>
      </w:r>
      <w:r w:rsidR="004B3403">
        <w:t>at 2;</w:t>
      </w:r>
      <w:r w:rsidR="0036041B">
        <w:t xml:space="preserve"> </w:t>
      </w:r>
      <w:r>
        <w:t>47 CFR § 25.217(e).</w:t>
      </w:r>
    </w:p>
  </w:footnote>
  <w:footnote w:id="21">
    <w:p w:rsidR="00094C18" w14:paraId="4FD831DE" w14:textId="77777777">
      <w:pPr>
        <w:pStyle w:val="FootnoteText"/>
      </w:pPr>
      <w:r>
        <w:rPr>
          <w:rStyle w:val="FootnoteReference"/>
        </w:rPr>
        <w:footnoteRef/>
      </w:r>
      <w:r>
        <w:t xml:space="preserve"> Opposition of O3b Limited to Petition for Partial Reconsideration (filed July 19, 2018) (O3b Opposition).</w:t>
      </w:r>
    </w:p>
  </w:footnote>
  <w:footnote w:id="22">
    <w:p w:rsidR="00094C18" w14:paraId="33FDE44C" w14:textId="7596007F">
      <w:pPr>
        <w:pStyle w:val="FootnoteText"/>
      </w:pPr>
      <w:r>
        <w:rPr>
          <w:rStyle w:val="FootnoteReference"/>
        </w:rPr>
        <w:footnoteRef/>
      </w:r>
      <w:r>
        <w:t xml:space="preserve"> </w:t>
      </w:r>
      <w:r w:rsidRPr="00094C18">
        <w:rPr>
          <w:i/>
        </w:rPr>
        <w:t>Id</w:t>
      </w:r>
      <w:r>
        <w:t xml:space="preserve">. at </w:t>
      </w:r>
      <w:r w:rsidR="00594B39">
        <w:t>1-</w:t>
      </w:r>
      <w:r>
        <w:t>2</w:t>
      </w:r>
      <w:r w:rsidR="00594B39">
        <w:t>.</w:t>
      </w:r>
    </w:p>
  </w:footnote>
  <w:footnote w:id="23">
    <w:p w:rsidR="00094C18" w14:paraId="2E2BF880" w14:textId="6D0B60E4">
      <w:pPr>
        <w:pStyle w:val="FootnoteText"/>
      </w:pPr>
      <w:r>
        <w:rPr>
          <w:rStyle w:val="FootnoteReference"/>
        </w:rPr>
        <w:footnoteRef/>
      </w:r>
      <w:r>
        <w:t xml:space="preserve"> </w:t>
      </w:r>
      <w:r w:rsidRPr="00094C18">
        <w:rPr>
          <w:i/>
        </w:rPr>
        <w:t>Id</w:t>
      </w:r>
      <w:r>
        <w:t xml:space="preserve">. </w:t>
      </w:r>
      <w:r w:rsidR="00031EB1">
        <w:t>at 2.</w:t>
      </w:r>
    </w:p>
  </w:footnote>
  <w:footnote w:id="24">
    <w:p w:rsidR="00554CF9" w14:paraId="67E90583" w14:textId="1CFA7FFE">
      <w:pPr>
        <w:pStyle w:val="FootnoteText"/>
      </w:pPr>
      <w:r>
        <w:rPr>
          <w:rStyle w:val="FootnoteReference"/>
        </w:rPr>
        <w:footnoteRef/>
      </w:r>
      <w:r>
        <w:t xml:space="preserve"> Iridium Reply at 3.</w:t>
      </w:r>
    </w:p>
  </w:footnote>
  <w:footnote w:id="25">
    <w:p w:rsidR="00094C18" w14:paraId="71856993" w14:textId="77777777">
      <w:pPr>
        <w:pStyle w:val="FootnoteText"/>
      </w:pPr>
      <w:r>
        <w:rPr>
          <w:rStyle w:val="FootnoteReference"/>
        </w:rPr>
        <w:footnoteRef/>
      </w:r>
      <w:r w:rsidR="00554CF9">
        <w:t xml:space="preserve"> </w:t>
      </w:r>
      <w:r w:rsidRPr="00F1038B" w:rsidR="00554CF9">
        <w:rPr>
          <w:i/>
        </w:rPr>
        <w:t>Id</w:t>
      </w:r>
      <w:r w:rsidRPr="00F1038B" w:rsidR="00554CF9">
        <w:t xml:space="preserve">.  </w:t>
      </w:r>
    </w:p>
  </w:footnote>
  <w:footnote w:id="26">
    <w:p w:rsidR="00090FB2" w14:paraId="26301754" w14:textId="2909DD2F">
      <w:pPr>
        <w:pStyle w:val="FootnoteText"/>
      </w:pPr>
      <w:r>
        <w:rPr>
          <w:rStyle w:val="FootnoteReference"/>
        </w:rPr>
        <w:footnoteRef/>
      </w:r>
      <w:r>
        <w:t xml:space="preserve"> </w:t>
      </w:r>
      <w:r w:rsidRPr="00FD6706">
        <w:rPr>
          <w:i/>
        </w:rPr>
        <w:t>O3b Order</w:t>
      </w:r>
      <w:r>
        <w:t>, at para</w:t>
      </w:r>
      <w:r w:rsidR="00D85554">
        <w:t>s</w:t>
      </w:r>
      <w:r>
        <w:t xml:space="preserve">. </w:t>
      </w:r>
      <w:r w:rsidR="00BA59A8">
        <w:t>21</w:t>
      </w:r>
      <w:r w:rsidR="007207AB">
        <w:t>-</w:t>
      </w:r>
      <w:r>
        <w:t>22.</w:t>
      </w:r>
    </w:p>
  </w:footnote>
  <w:footnote w:id="27">
    <w:p w:rsidR="00EA0483" w14:paraId="1DFBACC9" w14:textId="1D1C66C9">
      <w:pPr>
        <w:pStyle w:val="FootnoteText"/>
      </w:pPr>
      <w:r>
        <w:rPr>
          <w:rStyle w:val="FootnoteReference"/>
        </w:rPr>
        <w:footnoteRef/>
      </w:r>
      <w:r>
        <w:t xml:space="preserve"> </w:t>
      </w:r>
      <w:r w:rsidRPr="00FD6706">
        <w:rPr>
          <w:i/>
        </w:rPr>
        <w:t>O3b Order</w:t>
      </w:r>
      <w:r w:rsidR="00751316">
        <w:t xml:space="preserve">, </w:t>
      </w:r>
      <w:r w:rsidR="00EB69F2">
        <w:t xml:space="preserve">at </w:t>
      </w:r>
      <w:r w:rsidR="00FD6706">
        <w:t xml:space="preserve">para. </w:t>
      </w:r>
      <w:r w:rsidR="00751316">
        <w:t>23.</w:t>
      </w:r>
    </w:p>
  </w:footnote>
  <w:footnote w:id="28">
    <w:p w:rsidR="00FD6706" w14:paraId="5B20687E" w14:textId="659FDDB9">
      <w:pPr>
        <w:pStyle w:val="FootnoteText"/>
      </w:pPr>
      <w:r>
        <w:rPr>
          <w:rStyle w:val="FootnoteReference"/>
        </w:rPr>
        <w:footnoteRef/>
      </w:r>
      <w:r>
        <w:t xml:space="preserve"> </w:t>
      </w:r>
      <w:r w:rsidRPr="00FD6706">
        <w:rPr>
          <w:i/>
        </w:rPr>
        <w:t>O3b Order</w:t>
      </w:r>
      <w:r>
        <w:t xml:space="preserve">, </w:t>
      </w:r>
      <w:r w:rsidR="00EB69F2">
        <w:t xml:space="preserve">at </w:t>
      </w:r>
      <w:r>
        <w:t xml:space="preserve">para. 54 (emphasis added). </w:t>
      </w:r>
    </w:p>
  </w:footnote>
  <w:footnote w:id="29">
    <w:p w:rsidR="00885C09" w:rsidRPr="00885C09" w14:paraId="6EB31E57" w14:textId="6D1D9EFD">
      <w:pPr>
        <w:pStyle w:val="FootnoteText"/>
      </w:pPr>
      <w:r>
        <w:rPr>
          <w:rStyle w:val="FootnoteReference"/>
        </w:rPr>
        <w:footnoteRef/>
      </w:r>
      <w:r>
        <w:t xml:space="preserve"> </w:t>
      </w:r>
      <w:r>
        <w:rPr>
          <w:i/>
        </w:rPr>
        <w:t xml:space="preserve">See </w:t>
      </w:r>
      <w:r w:rsidRPr="00885C09">
        <w:t>Iridium Reply to Opposition to Petition for Reconsideration (</w:t>
      </w:r>
      <w:r>
        <w:t>filed July 31, 2018).</w:t>
      </w:r>
    </w:p>
  </w:footnote>
  <w:footnote w:id="30">
    <w:p w:rsidR="002E7E86" w:rsidRPr="002E7E86" w14:paraId="30422FFC" w14:textId="708B0D2C">
      <w:pPr>
        <w:pStyle w:val="FootnoteText"/>
      </w:pPr>
      <w:r>
        <w:rPr>
          <w:rStyle w:val="FootnoteReference"/>
        </w:rPr>
        <w:footnoteRef/>
      </w:r>
      <w:r>
        <w:t xml:space="preserve"> </w:t>
      </w:r>
      <w:r>
        <w:rPr>
          <w:i/>
        </w:rPr>
        <w:t>See, e.g.</w:t>
      </w:r>
      <w:r>
        <w:t xml:space="preserve">, </w:t>
      </w:r>
      <w:r>
        <w:rPr>
          <w:i/>
        </w:rPr>
        <w:t>O3b Order</w:t>
      </w:r>
      <w:r>
        <w:t xml:space="preserve"> at para. 31 (noting that when the Commission adopts new EPFD limits in the future</w:t>
      </w:r>
      <w:r w:rsidRPr="00095D27" w:rsidR="004A101D">
        <w:t>,</w:t>
      </w:r>
      <w:r>
        <w:t xml:space="preserve"> “O3b’s operations subject to this grant…must comply with those limits or procedures”); </w:t>
      </w:r>
      <w:r w:rsidR="009E4595">
        <w:t xml:space="preserve">and </w:t>
      </w:r>
      <w:r>
        <w:t xml:space="preserve">at para. 37 (conditioning grant of O3b’s application on the outcome of future rulemakings).  The Communications Act also gives the Commission broad authority to ensure that holders of Commission authorizations comply with its rules.  </w:t>
      </w:r>
      <w:r>
        <w:rPr>
          <w:i/>
        </w:rPr>
        <w:t xml:space="preserve">See </w:t>
      </w:r>
      <w:r>
        <w:t>47 U.S.C. §</w:t>
      </w:r>
      <w:r w:rsidRPr="002E7E86">
        <w:t xml:space="preserve"> 303(f) (the Commission’s power to adopt regulations to prevent interference by changing the frequencies, authorized power, or times of operation of any station without the licensee’s consent if in the public interest); </w:t>
      </w:r>
      <w:r>
        <w:t>47 U.S.C. §</w:t>
      </w:r>
      <w:r w:rsidRPr="002E7E86">
        <w:t xml:space="preserve"> 312(a)(4) (ability of the Commission to revoke a license for willful violation of any Commission rule); and </w:t>
      </w:r>
      <w:r>
        <w:t>47 U.S.C. §</w:t>
      </w:r>
      <w:r w:rsidRPr="002E7E86">
        <w:t xml:space="preserve"> 312(b) (ability of Commission to order licensee to cease actions that violate its regulations)</w:t>
      </w:r>
      <w:r w:rsidR="00833237">
        <w:t>.</w:t>
      </w:r>
    </w:p>
  </w:footnote>
  <w:footnote w:id="31">
    <w:p w:rsidR="00004774" w14:paraId="116AE458" w14:textId="3EEC9FDC">
      <w:pPr>
        <w:pStyle w:val="FootnoteText"/>
      </w:pPr>
      <w:r>
        <w:rPr>
          <w:rStyle w:val="FootnoteReference"/>
        </w:rPr>
        <w:footnoteRef/>
      </w:r>
      <w:r>
        <w:t xml:space="preserve"> 47 CFR § 25.217.</w:t>
      </w:r>
      <w:r w:rsidR="0094082E">
        <w:t xml:space="preserve">  In addition, we note that </w:t>
      </w:r>
      <w:r w:rsidR="00833849">
        <w:t xml:space="preserve">O3b must request Commission approval to modify the terms and conditions of its </w:t>
      </w:r>
      <w:r w:rsidR="006B5B60">
        <w:t>market access grant</w:t>
      </w:r>
      <w:r w:rsidR="00833849">
        <w:t xml:space="preserve">. </w:t>
      </w:r>
      <w:r w:rsidRPr="0094082E" w:rsidR="0094082E">
        <w:t xml:space="preserve"> </w:t>
      </w:r>
      <w:r w:rsidR="0094082E">
        <w:t xml:space="preserve">47 CFR </w:t>
      </w:r>
      <w:r w:rsidR="00833849">
        <w:t xml:space="preserve">§ </w:t>
      </w:r>
      <w:r w:rsidR="0094082E">
        <w:t>25.117 (no modifications effecting “the terms and conditions of the station authorization shall be made except upon application and grant of such application by the Commission”</w:t>
      </w:r>
      <w:r w:rsidR="00833849">
        <w:t>)</w:t>
      </w:r>
      <w:r w:rsidR="00833237">
        <w:t xml:space="preserve">; </w:t>
      </w:r>
      <w:r w:rsidRPr="002E7E86" w:rsidR="00833237">
        <w:rPr>
          <w:i/>
        </w:rPr>
        <w:t>see also</w:t>
      </w:r>
      <w:r w:rsidRPr="002E7E86" w:rsidR="00833237">
        <w:t xml:space="preserve"> </w:t>
      </w:r>
      <w:r w:rsidR="00833237">
        <w:t>47 CFR §</w:t>
      </w:r>
      <w:r w:rsidRPr="002E7E86" w:rsidR="00833237">
        <w:t xml:space="preserve"> 25.160 (administrative sanctions for failing to comply with Commission rules).</w:t>
      </w:r>
    </w:p>
  </w:footnote>
  <w:footnote w:id="32">
    <w:p w:rsidR="00E92B6F" w14:paraId="581BE86E" w14:textId="2C452C1F">
      <w:pPr>
        <w:pStyle w:val="FootnoteText"/>
      </w:pPr>
      <w:r>
        <w:rPr>
          <w:rStyle w:val="FootnoteReference"/>
        </w:rPr>
        <w:footnoteRef/>
      </w:r>
      <w:r>
        <w:t xml:space="preserve"> We note that O3b has asserted that Iridium’s Petition was procedurally flawed.  We find </w:t>
      </w:r>
      <w:r w:rsidR="00174DE5">
        <w:t>that</w:t>
      </w:r>
      <w:r>
        <w:t xml:space="preserve"> argument moot given our denial of th</w:t>
      </w:r>
      <w:r w:rsidR="005B79B9">
        <w:t>at</w:t>
      </w:r>
      <w:r>
        <w:t xml:space="preserve"> </w:t>
      </w:r>
      <w:r w:rsidR="00DA2613">
        <w:t>P</w:t>
      </w:r>
      <w:r>
        <w:t>etition.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3EA7A2A" w14:textId="49486B43">
    <w:pPr>
      <w:pStyle w:val="Header"/>
      <w:rPr>
        <w:b w:val="0"/>
      </w:rPr>
    </w:pPr>
    <w:r>
      <w:tab/>
      <w:t>Federal Communications Commission</w:t>
    </w:r>
    <w:r>
      <w:tab/>
    </w:r>
    <w:r w:rsidR="00465B19">
      <w:t>FCC 20-13</w:t>
    </w:r>
  </w:p>
  <w:p w:rsidR="00D25FB5" w14:paraId="355D9538"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D25FB5" w14:paraId="623257C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C726B14" w14:textId="78617219">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t>Federal Communications Commission</w:t>
    </w:r>
    <w:r>
      <w:tab/>
    </w:r>
    <w:r w:rsidR="00796715">
      <w:t xml:space="preserve">FCC 20-13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915"/>
    <w:rsid w:val="00001E74"/>
    <w:rsid w:val="000024E5"/>
    <w:rsid w:val="000027BC"/>
    <w:rsid w:val="00004774"/>
    <w:rsid w:val="00006AE8"/>
    <w:rsid w:val="00010E71"/>
    <w:rsid w:val="000203CC"/>
    <w:rsid w:val="00027B3C"/>
    <w:rsid w:val="00031EB1"/>
    <w:rsid w:val="00036039"/>
    <w:rsid w:val="00036843"/>
    <w:rsid w:val="00037F90"/>
    <w:rsid w:val="00040C48"/>
    <w:rsid w:val="00043B53"/>
    <w:rsid w:val="00053439"/>
    <w:rsid w:val="00071CCF"/>
    <w:rsid w:val="00076B82"/>
    <w:rsid w:val="00080C89"/>
    <w:rsid w:val="0008278A"/>
    <w:rsid w:val="00085C08"/>
    <w:rsid w:val="000875BF"/>
    <w:rsid w:val="00087F3B"/>
    <w:rsid w:val="00090FB2"/>
    <w:rsid w:val="00093F86"/>
    <w:rsid w:val="00094C18"/>
    <w:rsid w:val="00095D27"/>
    <w:rsid w:val="00096D8C"/>
    <w:rsid w:val="000A29CC"/>
    <w:rsid w:val="000A6762"/>
    <w:rsid w:val="000C0B65"/>
    <w:rsid w:val="000C5DA5"/>
    <w:rsid w:val="000C64D3"/>
    <w:rsid w:val="000D117F"/>
    <w:rsid w:val="000D20AD"/>
    <w:rsid w:val="000D4498"/>
    <w:rsid w:val="000D4CCC"/>
    <w:rsid w:val="000D5753"/>
    <w:rsid w:val="000E05FE"/>
    <w:rsid w:val="000E2C20"/>
    <w:rsid w:val="000E3D42"/>
    <w:rsid w:val="000E4805"/>
    <w:rsid w:val="000F7225"/>
    <w:rsid w:val="0010254E"/>
    <w:rsid w:val="00103189"/>
    <w:rsid w:val="00106BAC"/>
    <w:rsid w:val="00114C2E"/>
    <w:rsid w:val="00114E18"/>
    <w:rsid w:val="00122BD5"/>
    <w:rsid w:val="00132A21"/>
    <w:rsid w:val="00133F79"/>
    <w:rsid w:val="00135918"/>
    <w:rsid w:val="00137B46"/>
    <w:rsid w:val="0014178A"/>
    <w:rsid w:val="0014339D"/>
    <w:rsid w:val="001542D0"/>
    <w:rsid w:val="001543A6"/>
    <w:rsid w:val="00160838"/>
    <w:rsid w:val="0016521B"/>
    <w:rsid w:val="001657B2"/>
    <w:rsid w:val="00166322"/>
    <w:rsid w:val="0017296B"/>
    <w:rsid w:val="00174DE5"/>
    <w:rsid w:val="001771D6"/>
    <w:rsid w:val="00183FE4"/>
    <w:rsid w:val="00184AAA"/>
    <w:rsid w:val="00185924"/>
    <w:rsid w:val="00194A66"/>
    <w:rsid w:val="001A0BC4"/>
    <w:rsid w:val="001A331A"/>
    <w:rsid w:val="001B0405"/>
    <w:rsid w:val="001B10A9"/>
    <w:rsid w:val="001B1AED"/>
    <w:rsid w:val="001B371E"/>
    <w:rsid w:val="001C5121"/>
    <w:rsid w:val="001C7E85"/>
    <w:rsid w:val="001D18D3"/>
    <w:rsid w:val="001D2C4E"/>
    <w:rsid w:val="001D6BCF"/>
    <w:rsid w:val="001E01CA"/>
    <w:rsid w:val="001F58C1"/>
    <w:rsid w:val="001F6C8B"/>
    <w:rsid w:val="00201547"/>
    <w:rsid w:val="00201ADB"/>
    <w:rsid w:val="00206FF8"/>
    <w:rsid w:val="002104A5"/>
    <w:rsid w:val="00215658"/>
    <w:rsid w:val="002237EE"/>
    <w:rsid w:val="0022702B"/>
    <w:rsid w:val="00230481"/>
    <w:rsid w:val="00231C54"/>
    <w:rsid w:val="00231E9E"/>
    <w:rsid w:val="002353E7"/>
    <w:rsid w:val="00236B2F"/>
    <w:rsid w:val="002375F3"/>
    <w:rsid w:val="00240A50"/>
    <w:rsid w:val="00243C8C"/>
    <w:rsid w:val="00245C24"/>
    <w:rsid w:val="00255385"/>
    <w:rsid w:val="00255396"/>
    <w:rsid w:val="0025540A"/>
    <w:rsid w:val="00257321"/>
    <w:rsid w:val="0025764F"/>
    <w:rsid w:val="002673CE"/>
    <w:rsid w:val="00271692"/>
    <w:rsid w:val="00275C87"/>
    <w:rsid w:val="00275CF5"/>
    <w:rsid w:val="00282A2C"/>
    <w:rsid w:val="0028301F"/>
    <w:rsid w:val="00285017"/>
    <w:rsid w:val="002918A9"/>
    <w:rsid w:val="00291CA1"/>
    <w:rsid w:val="00294F18"/>
    <w:rsid w:val="002A2D2E"/>
    <w:rsid w:val="002A39A0"/>
    <w:rsid w:val="002A664F"/>
    <w:rsid w:val="002B2E0C"/>
    <w:rsid w:val="002B40F8"/>
    <w:rsid w:val="002B7516"/>
    <w:rsid w:val="002C00E8"/>
    <w:rsid w:val="002C2323"/>
    <w:rsid w:val="002C5916"/>
    <w:rsid w:val="002C78C7"/>
    <w:rsid w:val="002C7EF0"/>
    <w:rsid w:val="002D146E"/>
    <w:rsid w:val="002E7E86"/>
    <w:rsid w:val="002F1B1E"/>
    <w:rsid w:val="002F1DFF"/>
    <w:rsid w:val="002F2784"/>
    <w:rsid w:val="002F2FC1"/>
    <w:rsid w:val="00301ED8"/>
    <w:rsid w:val="00311D99"/>
    <w:rsid w:val="0031571B"/>
    <w:rsid w:val="00317369"/>
    <w:rsid w:val="0032115A"/>
    <w:rsid w:val="00322B7C"/>
    <w:rsid w:val="00334A79"/>
    <w:rsid w:val="00340A15"/>
    <w:rsid w:val="00340C1E"/>
    <w:rsid w:val="00343749"/>
    <w:rsid w:val="003601B6"/>
    <w:rsid w:val="0036041B"/>
    <w:rsid w:val="00363881"/>
    <w:rsid w:val="003660ED"/>
    <w:rsid w:val="003660FA"/>
    <w:rsid w:val="0037583E"/>
    <w:rsid w:val="00380E50"/>
    <w:rsid w:val="00382387"/>
    <w:rsid w:val="003915B3"/>
    <w:rsid w:val="003940D0"/>
    <w:rsid w:val="0039473C"/>
    <w:rsid w:val="003A0A00"/>
    <w:rsid w:val="003B0550"/>
    <w:rsid w:val="003B0D1E"/>
    <w:rsid w:val="003B6255"/>
    <w:rsid w:val="003B694F"/>
    <w:rsid w:val="003C087D"/>
    <w:rsid w:val="003C497A"/>
    <w:rsid w:val="003D199E"/>
    <w:rsid w:val="003D340E"/>
    <w:rsid w:val="003E0E31"/>
    <w:rsid w:val="003F0179"/>
    <w:rsid w:val="003F171C"/>
    <w:rsid w:val="003F2461"/>
    <w:rsid w:val="003F2909"/>
    <w:rsid w:val="003F30D0"/>
    <w:rsid w:val="003F461A"/>
    <w:rsid w:val="003F62D6"/>
    <w:rsid w:val="00403BBE"/>
    <w:rsid w:val="004056BC"/>
    <w:rsid w:val="00406F59"/>
    <w:rsid w:val="00412FC5"/>
    <w:rsid w:val="00414836"/>
    <w:rsid w:val="00415266"/>
    <w:rsid w:val="00421389"/>
    <w:rsid w:val="004221C9"/>
    <w:rsid w:val="00422231"/>
    <w:rsid w:val="00422276"/>
    <w:rsid w:val="004242F1"/>
    <w:rsid w:val="004247CA"/>
    <w:rsid w:val="00445A00"/>
    <w:rsid w:val="00447840"/>
    <w:rsid w:val="00450072"/>
    <w:rsid w:val="00451B0F"/>
    <w:rsid w:val="004539AE"/>
    <w:rsid w:val="00455E23"/>
    <w:rsid w:val="00456E3A"/>
    <w:rsid w:val="00461D9F"/>
    <w:rsid w:val="00465B19"/>
    <w:rsid w:val="00466755"/>
    <w:rsid w:val="00473983"/>
    <w:rsid w:val="00474857"/>
    <w:rsid w:val="004760E2"/>
    <w:rsid w:val="0047767F"/>
    <w:rsid w:val="00480EE4"/>
    <w:rsid w:val="00483009"/>
    <w:rsid w:val="00483571"/>
    <w:rsid w:val="00484AA3"/>
    <w:rsid w:val="00485A4D"/>
    <w:rsid w:val="00491141"/>
    <w:rsid w:val="004928D7"/>
    <w:rsid w:val="00493BDA"/>
    <w:rsid w:val="00494E38"/>
    <w:rsid w:val="0049626B"/>
    <w:rsid w:val="0049658F"/>
    <w:rsid w:val="00496814"/>
    <w:rsid w:val="004A101D"/>
    <w:rsid w:val="004A177D"/>
    <w:rsid w:val="004A17E3"/>
    <w:rsid w:val="004A3847"/>
    <w:rsid w:val="004B1807"/>
    <w:rsid w:val="004B3403"/>
    <w:rsid w:val="004B7FAE"/>
    <w:rsid w:val="004C2729"/>
    <w:rsid w:val="004C2EE3"/>
    <w:rsid w:val="004D35F9"/>
    <w:rsid w:val="004D5B60"/>
    <w:rsid w:val="004E4A22"/>
    <w:rsid w:val="004F2615"/>
    <w:rsid w:val="004F54B7"/>
    <w:rsid w:val="004F59E2"/>
    <w:rsid w:val="004F751E"/>
    <w:rsid w:val="00505F0B"/>
    <w:rsid w:val="005076F9"/>
    <w:rsid w:val="00511968"/>
    <w:rsid w:val="00514C87"/>
    <w:rsid w:val="005164DD"/>
    <w:rsid w:val="005167AF"/>
    <w:rsid w:val="00517719"/>
    <w:rsid w:val="00522359"/>
    <w:rsid w:val="00525719"/>
    <w:rsid w:val="005314AA"/>
    <w:rsid w:val="00532F6F"/>
    <w:rsid w:val="00534A32"/>
    <w:rsid w:val="00535582"/>
    <w:rsid w:val="00535CDA"/>
    <w:rsid w:val="0054011C"/>
    <w:rsid w:val="00546394"/>
    <w:rsid w:val="00554CF9"/>
    <w:rsid w:val="0055614C"/>
    <w:rsid w:val="00560702"/>
    <w:rsid w:val="00564553"/>
    <w:rsid w:val="00566D06"/>
    <w:rsid w:val="00567B05"/>
    <w:rsid w:val="00571D7D"/>
    <w:rsid w:val="00573EBB"/>
    <w:rsid w:val="00574E27"/>
    <w:rsid w:val="00575A5F"/>
    <w:rsid w:val="00580156"/>
    <w:rsid w:val="0058380C"/>
    <w:rsid w:val="00585075"/>
    <w:rsid w:val="005850A3"/>
    <w:rsid w:val="00587932"/>
    <w:rsid w:val="00593669"/>
    <w:rsid w:val="00594B39"/>
    <w:rsid w:val="00596223"/>
    <w:rsid w:val="005B2A20"/>
    <w:rsid w:val="005B2F45"/>
    <w:rsid w:val="005B3C5D"/>
    <w:rsid w:val="005B4B41"/>
    <w:rsid w:val="005B79B9"/>
    <w:rsid w:val="005C5882"/>
    <w:rsid w:val="005D09B5"/>
    <w:rsid w:val="005D0BAD"/>
    <w:rsid w:val="005D3597"/>
    <w:rsid w:val="005D6F21"/>
    <w:rsid w:val="005D7DE9"/>
    <w:rsid w:val="005E14C2"/>
    <w:rsid w:val="005E5848"/>
    <w:rsid w:val="005E5975"/>
    <w:rsid w:val="005E73BE"/>
    <w:rsid w:val="005F57BB"/>
    <w:rsid w:val="00600222"/>
    <w:rsid w:val="00607BA5"/>
    <w:rsid w:val="0061180A"/>
    <w:rsid w:val="00613548"/>
    <w:rsid w:val="006178DD"/>
    <w:rsid w:val="00623652"/>
    <w:rsid w:val="00626EB6"/>
    <w:rsid w:val="00631CF0"/>
    <w:rsid w:val="00633F51"/>
    <w:rsid w:val="0063637D"/>
    <w:rsid w:val="00636EFD"/>
    <w:rsid w:val="0064143F"/>
    <w:rsid w:val="00642356"/>
    <w:rsid w:val="00642A4D"/>
    <w:rsid w:val="0065287E"/>
    <w:rsid w:val="0065532E"/>
    <w:rsid w:val="00655D03"/>
    <w:rsid w:val="00673CF4"/>
    <w:rsid w:val="00674086"/>
    <w:rsid w:val="0067605F"/>
    <w:rsid w:val="00677897"/>
    <w:rsid w:val="0068254F"/>
    <w:rsid w:val="006826D7"/>
    <w:rsid w:val="00682766"/>
    <w:rsid w:val="00683388"/>
    <w:rsid w:val="00683F84"/>
    <w:rsid w:val="006861B8"/>
    <w:rsid w:val="00686322"/>
    <w:rsid w:val="0069026F"/>
    <w:rsid w:val="006A1817"/>
    <w:rsid w:val="006A271B"/>
    <w:rsid w:val="006A654F"/>
    <w:rsid w:val="006A6A81"/>
    <w:rsid w:val="006A6A9D"/>
    <w:rsid w:val="006B27AC"/>
    <w:rsid w:val="006B30C5"/>
    <w:rsid w:val="006B5B60"/>
    <w:rsid w:val="006C040E"/>
    <w:rsid w:val="006C1F9C"/>
    <w:rsid w:val="006C4FD0"/>
    <w:rsid w:val="006D155C"/>
    <w:rsid w:val="006D296D"/>
    <w:rsid w:val="006D52E6"/>
    <w:rsid w:val="006D5383"/>
    <w:rsid w:val="006D6625"/>
    <w:rsid w:val="006D7529"/>
    <w:rsid w:val="006E35D8"/>
    <w:rsid w:val="006F43AF"/>
    <w:rsid w:val="006F6188"/>
    <w:rsid w:val="006F7393"/>
    <w:rsid w:val="0070224F"/>
    <w:rsid w:val="00707360"/>
    <w:rsid w:val="00707891"/>
    <w:rsid w:val="007114D7"/>
    <w:rsid w:val="007115F7"/>
    <w:rsid w:val="007128C8"/>
    <w:rsid w:val="00714621"/>
    <w:rsid w:val="007207AB"/>
    <w:rsid w:val="00720AC2"/>
    <w:rsid w:val="007224A1"/>
    <w:rsid w:val="007226BB"/>
    <w:rsid w:val="00726166"/>
    <w:rsid w:val="00733EC4"/>
    <w:rsid w:val="007416A9"/>
    <w:rsid w:val="00742B34"/>
    <w:rsid w:val="007447A1"/>
    <w:rsid w:val="00745729"/>
    <w:rsid w:val="00751316"/>
    <w:rsid w:val="00752520"/>
    <w:rsid w:val="00761DA8"/>
    <w:rsid w:val="00762699"/>
    <w:rsid w:val="0076532A"/>
    <w:rsid w:val="00780462"/>
    <w:rsid w:val="00785689"/>
    <w:rsid w:val="007865B1"/>
    <w:rsid w:val="007912E6"/>
    <w:rsid w:val="00792E70"/>
    <w:rsid w:val="00796715"/>
    <w:rsid w:val="0079754B"/>
    <w:rsid w:val="007A1783"/>
    <w:rsid w:val="007A1E6D"/>
    <w:rsid w:val="007B08B3"/>
    <w:rsid w:val="007B0E1F"/>
    <w:rsid w:val="007B0EB2"/>
    <w:rsid w:val="007B5C34"/>
    <w:rsid w:val="007C47EC"/>
    <w:rsid w:val="007E1B55"/>
    <w:rsid w:val="007E3A26"/>
    <w:rsid w:val="00801CC5"/>
    <w:rsid w:val="00801F0C"/>
    <w:rsid w:val="008106A3"/>
    <w:rsid w:val="00810B6F"/>
    <w:rsid w:val="008114E2"/>
    <w:rsid w:val="00814E30"/>
    <w:rsid w:val="00816915"/>
    <w:rsid w:val="0081718A"/>
    <w:rsid w:val="00822CE0"/>
    <w:rsid w:val="00825C33"/>
    <w:rsid w:val="00826358"/>
    <w:rsid w:val="00827ADC"/>
    <w:rsid w:val="0083046C"/>
    <w:rsid w:val="00831324"/>
    <w:rsid w:val="0083174B"/>
    <w:rsid w:val="00832B98"/>
    <w:rsid w:val="00833237"/>
    <w:rsid w:val="00833849"/>
    <w:rsid w:val="00835445"/>
    <w:rsid w:val="00841AB1"/>
    <w:rsid w:val="008455D2"/>
    <w:rsid w:val="0084639A"/>
    <w:rsid w:val="008543C4"/>
    <w:rsid w:val="00854412"/>
    <w:rsid w:val="00857F3C"/>
    <w:rsid w:val="00870394"/>
    <w:rsid w:val="008721CB"/>
    <w:rsid w:val="0087257D"/>
    <w:rsid w:val="0087536D"/>
    <w:rsid w:val="00882DC2"/>
    <w:rsid w:val="0088355C"/>
    <w:rsid w:val="0088464F"/>
    <w:rsid w:val="00885C09"/>
    <w:rsid w:val="008864EF"/>
    <w:rsid w:val="00886BB2"/>
    <w:rsid w:val="0089149A"/>
    <w:rsid w:val="00893552"/>
    <w:rsid w:val="00894051"/>
    <w:rsid w:val="008A4C4B"/>
    <w:rsid w:val="008A4E9B"/>
    <w:rsid w:val="008A58E4"/>
    <w:rsid w:val="008A6617"/>
    <w:rsid w:val="008A6B2B"/>
    <w:rsid w:val="008A7B0C"/>
    <w:rsid w:val="008B27A2"/>
    <w:rsid w:val="008B606A"/>
    <w:rsid w:val="008C68F1"/>
    <w:rsid w:val="008C7D07"/>
    <w:rsid w:val="008D2C8A"/>
    <w:rsid w:val="008D516B"/>
    <w:rsid w:val="008E361D"/>
    <w:rsid w:val="008E59D4"/>
    <w:rsid w:val="008E6F07"/>
    <w:rsid w:val="008F4006"/>
    <w:rsid w:val="008F57BF"/>
    <w:rsid w:val="00900FEF"/>
    <w:rsid w:val="00916B9D"/>
    <w:rsid w:val="00921803"/>
    <w:rsid w:val="009229CF"/>
    <w:rsid w:val="00926503"/>
    <w:rsid w:val="00932E2A"/>
    <w:rsid w:val="00935029"/>
    <w:rsid w:val="009370E8"/>
    <w:rsid w:val="009402FC"/>
    <w:rsid w:val="0094082E"/>
    <w:rsid w:val="00950F27"/>
    <w:rsid w:val="00950F4C"/>
    <w:rsid w:val="00952D61"/>
    <w:rsid w:val="009674BE"/>
    <w:rsid w:val="0097050F"/>
    <w:rsid w:val="009715AB"/>
    <w:rsid w:val="009726D8"/>
    <w:rsid w:val="00986A1C"/>
    <w:rsid w:val="009877D4"/>
    <w:rsid w:val="009940AD"/>
    <w:rsid w:val="00994B89"/>
    <w:rsid w:val="009A0B4F"/>
    <w:rsid w:val="009A50C0"/>
    <w:rsid w:val="009A797B"/>
    <w:rsid w:val="009B7166"/>
    <w:rsid w:val="009D7308"/>
    <w:rsid w:val="009E2CCE"/>
    <w:rsid w:val="009E4595"/>
    <w:rsid w:val="009E5EEF"/>
    <w:rsid w:val="009F3F63"/>
    <w:rsid w:val="009F76DB"/>
    <w:rsid w:val="00A00379"/>
    <w:rsid w:val="00A018A0"/>
    <w:rsid w:val="00A02E59"/>
    <w:rsid w:val="00A05190"/>
    <w:rsid w:val="00A05A90"/>
    <w:rsid w:val="00A1257A"/>
    <w:rsid w:val="00A15B01"/>
    <w:rsid w:val="00A16DA5"/>
    <w:rsid w:val="00A17FAC"/>
    <w:rsid w:val="00A20BE1"/>
    <w:rsid w:val="00A31D5C"/>
    <w:rsid w:val="00A32C3B"/>
    <w:rsid w:val="00A33D90"/>
    <w:rsid w:val="00A378F9"/>
    <w:rsid w:val="00A411E1"/>
    <w:rsid w:val="00A42871"/>
    <w:rsid w:val="00A45F4F"/>
    <w:rsid w:val="00A51DC9"/>
    <w:rsid w:val="00A539F0"/>
    <w:rsid w:val="00A543A8"/>
    <w:rsid w:val="00A57120"/>
    <w:rsid w:val="00A57395"/>
    <w:rsid w:val="00A600A9"/>
    <w:rsid w:val="00A60662"/>
    <w:rsid w:val="00A63467"/>
    <w:rsid w:val="00A65737"/>
    <w:rsid w:val="00A66186"/>
    <w:rsid w:val="00A70B47"/>
    <w:rsid w:val="00A777F6"/>
    <w:rsid w:val="00AA0299"/>
    <w:rsid w:val="00AA117E"/>
    <w:rsid w:val="00AA55B7"/>
    <w:rsid w:val="00AA5B9E"/>
    <w:rsid w:val="00AA5CB6"/>
    <w:rsid w:val="00AB0A8A"/>
    <w:rsid w:val="00AB2407"/>
    <w:rsid w:val="00AB53DF"/>
    <w:rsid w:val="00AC2D42"/>
    <w:rsid w:val="00AC4F8B"/>
    <w:rsid w:val="00AC69FE"/>
    <w:rsid w:val="00AD0AE6"/>
    <w:rsid w:val="00AD0FC7"/>
    <w:rsid w:val="00AD2BEF"/>
    <w:rsid w:val="00AD48D0"/>
    <w:rsid w:val="00AD6D71"/>
    <w:rsid w:val="00AE0178"/>
    <w:rsid w:val="00AE5F04"/>
    <w:rsid w:val="00AF25F5"/>
    <w:rsid w:val="00AF3DAD"/>
    <w:rsid w:val="00B07E5C"/>
    <w:rsid w:val="00B12FE3"/>
    <w:rsid w:val="00B13CD0"/>
    <w:rsid w:val="00B20698"/>
    <w:rsid w:val="00B22ECB"/>
    <w:rsid w:val="00B30891"/>
    <w:rsid w:val="00B30E4F"/>
    <w:rsid w:val="00B33E68"/>
    <w:rsid w:val="00B35686"/>
    <w:rsid w:val="00B413BB"/>
    <w:rsid w:val="00B52D56"/>
    <w:rsid w:val="00B57E6A"/>
    <w:rsid w:val="00B6496D"/>
    <w:rsid w:val="00B74A17"/>
    <w:rsid w:val="00B811F7"/>
    <w:rsid w:val="00B8555E"/>
    <w:rsid w:val="00B869A4"/>
    <w:rsid w:val="00B909B6"/>
    <w:rsid w:val="00B91DAA"/>
    <w:rsid w:val="00B92774"/>
    <w:rsid w:val="00BA0383"/>
    <w:rsid w:val="00BA4F36"/>
    <w:rsid w:val="00BA59A8"/>
    <w:rsid w:val="00BA5DC6"/>
    <w:rsid w:val="00BA6196"/>
    <w:rsid w:val="00BB0601"/>
    <w:rsid w:val="00BB35A6"/>
    <w:rsid w:val="00BB3A38"/>
    <w:rsid w:val="00BB56AA"/>
    <w:rsid w:val="00BB5F17"/>
    <w:rsid w:val="00BB7439"/>
    <w:rsid w:val="00BC2CA2"/>
    <w:rsid w:val="00BC63FA"/>
    <w:rsid w:val="00BC6D8C"/>
    <w:rsid w:val="00BC7BBA"/>
    <w:rsid w:val="00BD3062"/>
    <w:rsid w:val="00BE18FB"/>
    <w:rsid w:val="00BE4395"/>
    <w:rsid w:val="00BE474D"/>
    <w:rsid w:val="00BF31F3"/>
    <w:rsid w:val="00BF55E5"/>
    <w:rsid w:val="00C034CB"/>
    <w:rsid w:val="00C1030E"/>
    <w:rsid w:val="00C1280A"/>
    <w:rsid w:val="00C16692"/>
    <w:rsid w:val="00C22283"/>
    <w:rsid w:val="00C238D8"/>
    <w:rsid w:val="00C318ED"/>
    <w:rsid w:val="00C325D9"/>
    <w:rsid w:val="00C34006"/>
    <w:rsid w:val="00C36297"/>
    <w:rsid w:val="00C36B4C"/>
    <w:rsid w:val="00C426B1"/>
    <w:rsid w:val="00C46BBD"/>
    <w:rsid w:val="00C52B1A"/>
    <w:rsid w:val="00C54745"/>
    <w:rsid w:val="00C568CE"/>
    <w:rsid w:val="00C5792A"/>
    <w:rsid w:val="00C61575"/>
    <w:rsid w:val="00C64F43"/>
    <w:rsid w:val="00C66160"/>
    <w:rsid w:val="00C6712D"/>
    <w:rsid w:val="00C721AC"/>
    <w:rsid w:val="00C7422F"/>
    <w:rsid w:val="00C760CD"/>
    <w:rsid w:val="00C81426"/>
    <w:rsid w:val="00C83CDA"/>
    <w:rsid w:val="00C87277"/>
    <w:rsid w:val="00C90D6A"/>
    <w:rsid w:val="00C9668C"/>
    <w:rsid w:val="00CA247E"/>
    <w:rsid w:val="00CA6D21"/>
    <w:rsid w:val="00CB13D2"/>
    <w:rsid w:val="00CB2BC9"/>
    <w:rsid w:val="00CB567E"/>
    <w:rsid w:val="00CB64C6"/>
    <w:rsid w:val="00CC4163"/>
    <w:rsid w:val="00CC4F38"/>
    <w:rsid w:val="00CC68DD"/>
    <w:rsid w:val="00CC72B6"/>
    <w:rsid w:val="00CF0ABE"/>
    <w:rsid w:val="00CF3AFC"/>
    <w:rsid w:val="00CF502B"/>
    <w:rsid w:val="00CF555D"/>
    <w:rsid w:val="00CF6F73"/>
    <w:rsid w:val="00CF741A"/>
    <w:rsid w:val="00CF7932"/>
    <w:rsid w:val="00D00CE9"/>
    <w:rsid w:val="00D0218D"/>
    <w:rsid w:val="00D1121C"/>
    <w:rsid w:val="00D20A6E"/>
    <w:rsid w:val="00D24BE4"/>
    <w:rsid w:val="00D25FB5"/>
    <w:rsid w:val="00D26761"/>
    <w:rsid w:val="00D30A60"/>
    <w:rsid w:val="00D44223"/>
    <w:rsid w:val="00D51960"/>
    <w:rsid w:val="00D55C15"/>
    <w:rsid w:val="00D56019"/>
    <w:rsid w:val="00D7217B"/>
    <w:rsid w:val="00D802BC"/>
    <w:rsid w:val="00D80CAB"/>
    <w:rsid w:val="00D8195E"/>
    <w:rsid w:val="00D8256E"/>
    <w:rsid w:val="00D83F81"/>
    <w:rsid w:val="00D85554"/>
    <w:rsid w:val="00D900F5"/>
    <w:rsid w:val="00D91C25"/>
    <w:rsid w:val="00D961CA"/>
    <w:rsid w:val="00D9768E"/>
    <w:rsid w:val="00D97AE8"/>
    <w:rsid w:val="00DA0D8E"/>
    <w:rsid w:val="00DA159F"/>
    <w:rsid w:val="00DA1970"/>
    <w:rsid w:val="00DA2529"/>
    <w:rsid w:val="00DA2613"/>
    <w:rsid w:val="00DA2799"/>
    <w:rsid w:val="00DA381E"/>
    <w:rsid w:val="00DB0B05"/>
    <w:rsid w:val="00DB130A"/>
    <w:rsid w:val="00DB2EBB"/>
    <w:rsid w:val="00DB5494"/>
    <w:rsid w:val="00DC10A1"/>
    <w:rsid w:val="00DC3588"/>
    <w:rsid w:val="00DC655F"/>
    <w:rsid w:val="00DC71B8"/>
    <w:rsid w:val="00DC7F02"/>
    <w:rsid w:val="00DD0B59"/>
    <w:rsid w:val="00DD2865"/>
    <w:rsid w:val="00DD310C"/>
    <w:rsid w:val="00DD7EBD"/>
    <w:rsid w:val="00DE0292"/>
    <w:rsid w:val="00DE1823"/>
    <w:rsid w:val="00DE4C07"/>
    <w:rsid w:val="00DF62B6"/>
    <w:rsid w:val="00E07225"/>
    <w:rsid w:val="00E13994"/>
    <w:rsid w:val="00E234B3"/>
    <w:rsid w:val="00E25E8F"/>
    <w:rsid w:val="00E307C8"/>
    <w:rsid w:val="00E3751B"/>
    <w:rsid w:val="00E37722"/>
    <w:rsid w:val="00E42F8A"/>
    <w:rsid w:val="00E5059C"/>
    <w:rsid w:val="00E5409F"/>
    <w:rsid w:val="00E625C4"/>
    <w:rsid w:val="00E64B67"/>
    <w:rsid w:val="00E73674"/>
    <w:rsid w:val="00E8218C"/>
    <w:rsid w:val="00E837D7"/>
    <w:rsid w:val="00E84135"/>
    <w:rsid w:val="00E92B6F"/>
    <w:rsid w:val="00E96A48"/>
    <w:rsid w:val="00E96E03"/>
    <w:rsid w:val="00EA0483"/>
    <w:rsid w:val="00EA1E48"/>
    <w:rsid w:val="00EA3FEC"/>
    <w:rsid w:val="00EA41A6"/>
    <w:rsid w:val="00EA449F"/>
    <w:rsid w:val="00EB5545"/>
    <w:rsid w:val="00EB69F2"/>
    <w:rsid w:val="00EB6BC5"/>
    <w:rsid w:val="00EC003A"/>
    <w:rsid w:val="00EC48C2"/>
    <w:rsid w:val="00EC6563"/>
    <w:rsid w:val="00ED563C"/>
    <w:rsid w:val="00EE0171"/>
    <w:rsid w:val="00EE5585"/>
    <w:rsid w:val="00EE6180"/>
    <w:rsid w:val="00EE6488"/>
    <w:rsid w:val="00EE7B24"/>
    <w:rsid w:val="00EF4994"/>
    <w:rsid w:val="00EF65AD"/>
    <w:rsid w:val="00F001B5"/>
    <w:rsid w:val="00F021FA"/>
    <w:rsid w:val="00F0275F"/>
    <w:rsid w:val="00F02A86"/>
    <w:rsid w:val="00F0436A"/>
    <w:rsid w:val="00F0679D"/>
    <w:rsid w:val="00F06807"/>
    <w:rsid w:val="00F073CA"/>
    <w:rsid w:val="00F1038B"/>
    <w:rsid w:val="00F107BA"/>
    <w:rsid w:val="00F121FB"/>
    <w:rsid w:val="00F138F5"/>
    <w:rsid w:val="00F20B72"/>
    <w:rsid w:val="00F22E5B"/>
    <w:rsid w:val="00F25AAB"/>
    <w:rsid w:val="00F33B93"/>
    <w:rsid w:val="00F368D6"/>
    <w:rsid w:val="00F43667"/>
    <w:rsid w:val="00F46F59"/>
    <w:rsid w:val="00F471B7"/>
    <w:rsid w:val="00F51D0B"/>
    <w:rsid w:val="00F535EB"/>
    <w:rsid w:val="00F61B38"/>
    <w:rsid w:val="00F622A8"/>
    <w:rsid w:val="00F62E97"/>
    <w:rsid w:val="00F64209"/>
    <w:rsid w:val="00F6778E"/>
    <w:rsid w:val="00F72F4F"/>
    <w:rsid w:val="00F736B0"/>
    <w:rsid w:val="00F74471"/>
    <w:rsid w:val="00F7630F"/>
    <w:rsid w:val="00F81922"/>
    <w:rsid w:val="00F821A3"/>
    <w:rsid w:val="00F84258"/>
    <w:rsid w:val="00F84DBB"/>
    <w:rsid w:val="00F850FC"/>
    <w:rsid w:val="00F860CF"/>
    <w:rsid w:val="00F87252"/>
    <w:rsid w:val="00F92354"/>
    <w:rsid w:val="00F923A6"/>
    <w:rsid w:val="00F9362A"/>
    <w:rsid w:val="00F93BF5"/>
    <w:rsid w:val="00F948C2"/>
    <w:rsid w:val="00FA1B1D"/>
    <w:rsid w:val="00FA70AF"/>
    <w:rsid w:val="00FA7342"/>
    <w:rsid w:val="00FA7E04"/>
    <w:rsid w:val="00FB415D"/>
    <w:rsid w:val="00FB6E6D"/>
    <w:rsid w:val="00FB7814"/>
    <w:rsid w:val="00FC02DB"/>
    <w:rsid w:val="00FC1EA1"/>
    <w:rsid w:val="00FC3C8D"/>
    <w:rsid w:val="00FC5F93"/>
    <w:rsid w:val="00FC65D8"/>
    <w:rsid w:val="00FD6706"/>
    <w:rsid w:val="00FE11F7"/>
    <w:rsid w:val="00FE4B49"/>
    <w:rsid w:val="00FF1526"/>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0E2"/>
    <w:pPr>
      <w:widowControl w:val="0"/>
    </w:pPr>
    <w:rPr>
      <w:snapToGrid w:val="0"/>
      <w:kern w:val="28"/>
      <w:sz w:val="22"/>
    </w:rPr>
  </w:style>
  <w:style w:type="paragraph" w:styleId="Heading1">
    <w:name w:val="heading 1"/>
    <w:basedOn w:val="Normal"/>
    <w:next w:val="ParaNum"/>
    <w:qFormat/>
    <w:rsid w:val="004760E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760E2"/>
    <w:pPr>
      <w:keepNext/>
      <w:numPr>
        <w:ilvl w:val="1"/>
        <w:numId w:val="3"/>
      </w:numPr>
      <w:spacing w:after="120"/>
      <w:outlineLvl w:val="1"/>
    </w:pPr>
    <w:rPr>
      <w:b/>
    </w:rPr>
  </w:style>
  <w:style w:type="paragraph" w:styleId="Heading3">
    <w:name w:val="heading 3"/>
    <w:basedOn w:val="Normal"/>
    <w:next w:val="ParaNum"/>
    <w:qFormat/>
    <w:rsid w:val="004760E2"/>
    <w:pPr>
      <w:keepNext/>
      <w:numPr>
        <w:ilvl w:val="2"/>
        <w:numId w:val="3"/>
      </w:numPr>
      <w:tabs>
        <w:tab w:val="left" w:pos="2160"/>
      </w:tabs>
      <w:spacing w:after="120"/>
      <w:outlineLvl w:val="2"/>
    </w:pPr>
    <w:rPr>
      <w:b/>
    </w:rPr>
  </w:style>
  <w:style w:type="paragraph" w:styleId="Heading4">
    <w:name w:val="heading 4"/>
    <w:basedOn w:val="Normal"/>
    <w:next w:val="ParaNum"/>
    <w:qFormat/>
    <w:rsid w:val="004760E2"/>
    <w:pPr>
      <w:keepNext/>
      <w:numPr>
        <w:ilvl w:val="3"/>
        <w:numId w:val="3"/>
      </w:numPr>
      <w:tabs>
        <w:tab w:val="left" w:pos="2880"/>
      </w:tabs>
      <w:spacing w:after="120"/>
      <w:outlineLvl w:val="3"/>
    </w:pPr>
    <w:rPr>
      <w:b/>
    </w:rPr>
  </w:style>
  <w:style w:type="paragraph" w:styleId="Heading5">
    <w:name w:val="heading 5"/>
    <w:basedOn w:val="Normal"/>
    <w:next w:val="ParaNum"/>
    <w:qFormat/>
    <w:rsid w:val="004760E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760E2"/>
    <w:pPr>
      <w:numPr>
        <w:ilvl w:val="5"/>
        <w:numId w:val="3"/>
      </w:numPr>
      <w:tabs>
        <w:tab w:val="left" w:pos="4320"/>
      </w:tabs>
      <w:spacing w:after="120"/>
      <w:outlineLvl w:val="5"/>
    </w:pPr>
    <w:rPr>
      <w:b/>
    </w:rPr>
  </w:style>
  <w:style w:type="paragraph" w:styleId="Heading7">
    <w:name w:val="heading 7"/>
    <w:basedOn w:val="Normal"/>
    <w:next w:val="ParaNum"/>
    <w:qFormat/>
    <w:rsid w:val="004760E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760E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760E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760E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760E2"/>
  </w:style>
  <w:style w:type="paragraph" w:customStyle="1" w:styleId="ParaNum">
    <w:name w:val="ParaNum"/>
    <w:basedOn w:val="Normal"/>
    <w:rsid w:val="004760E2"/>
    <w:pPr>
      <w:numPr>
        <w:numId w:val="2"/>
      </w:numPr>
      <w:tabs>
        <w:tab w:val="clear" w:pos="1080"/>
        <w:tab w:val="num" w:pos="1440"/>
      </w:tabs>
      <w:spacing w:after="120"/>
    </w:pPr>
  </w:style>
  <w:style w:type="paragraph" w:styleId="EndnoteText">
    <w:name w:val="endnote text"/>
    <w:basedOn w:val="Normal"/>
    <w:semiHidden/>
    <w:rsid w:val="004760E2"/>
    <w:rPr>
      <w:sz w:val="20"/>
    </w:rPr>
  </w:style>
  <w:style w:type="character" w:styleId="EndnoteReference">
    <w:name w:val="endnote reference"/>
    <w:semiHidden/>
    <w:rsid w:val="004760E2"/>
    <w:rPr>
      <w:vertAlign w:val="superscript"/>
    </w:rPr>
  </w:style>
  <w:style w:type="paragraph" w:styleId="FootnoteText">
    <w:name w:val="footnote text"/>
    <w:rsid w:val="004760E2"/>
    <w:pPr>
      <w:spacing w:after="120"/>
    </w:pPr>
  </w:style>
  <w:style w:type="character" w:styleId="FootnoteReference">
    <w:name w:val="footnote reference"/>
    <w:rsid w:val="004760E2"/>
    <w:rPr>
      <w:rFonts w:ascii="Times New Roman" w:hAnsi="Times New Roman"/>
      <w:dstrike w:val="0"/>
      <w:color w:val="auto"/>
      <w:sz w:val="20"/>
      <w:vertAlign w:val="superscript"/>
    </w:rPr>
  </w:style>
  <w:style w:type="paragraph" w:styleId="TOC1">
    <w:name w:val="toc 1"/>
    <w:basedOn w:val="Normal"/>
    <w:next w:val="Normal"/>
    <w:semiHidden/>
    <w:rsid w:val="004760E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760E2"/>
    <w:pPr>
      <w:tabs>
        <w:tab w:val="left" w:pos="720"/>
        <w:tab w:val="right" w:leader="dot" w:pos="9360"/>
      </w:tabs>
      <w:suppressAutoHyphens/>
      <w:ind w:left="720" w:right="720" w:hanging="360"/>
    </w:pPr>
    <w:rPr>
      <w:noProof/>
    </w:rPr>
  </w:style>
  <w:style w:type="paragraph" w:styleId="TOC3">
    <w:name w:val="toc 3"/>
    <w:basedOn w:val="Normal"/>
    <w:next w:val="Normal"/>
    <w:semiHidden/>
    <w:rsid w:val="004760E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760E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760E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760E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760E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760E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760E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760E2"/>
    <w:pPr>
      <w:tabs>
        <w:tab w:val="right" w:pos="9360"/>
      </w:tabs>
      <w:suppressAutoHyphens/>
    </w:pPr>
  </w:style>
  <w:style w:type="character" w:customStyle="1" w:styleId="EquationCaption">
    <w:name w:val="_Equation Caption"/>
    <w:rsid w:val="004760E2"/>
  </w:style>
  <w:style w:type="paragraph" w:styleId="Header">
    <w:name w:val="header"/>
    <w:basedOn w:val="Normal"/>
    <w:autoRedefine/>
    <w:rsid w:val="004760E2"/>
    <w:pPr>
      <w:tabs>
        <w:tab w:val="center" w:pos="4680"/>
        <w:tab w:val="right" w:pos="9360"/>
      </w:tabs>
    </w:pPr>
    <w:rPr>
      <w:b/>
    </w:rPr>
  </w:style>
  <w:style w:type="paragraph" w:styleId="Footer">
    <w:name w:val="footer"/>
    <w:basedOn w:val="Normal"/>
    <w:link w:val="FooterChar"/>
    <w:uiPriority w:val="99"/>
    <w:rsid w:val="004760E2"/>
    <w:pPr>
      <w:tabs>
        <w:tab w:val="center" w:pos="4320"/>
        <w:tab w:val="right" w:pos="8640"/>
      </w:tabs>
    </w:pPr>
  </w:style>
  <w:style w:type="character" w:styleId="PageNumber">
    <w:name w:val="page number"/>
    <w:basedOn w:val="DefaultParagraphFont"/>
    <w:rsid w:val="004760E2"/>
  </w:style>
  <w:style w:type="paragraph" w:styleId="BlockText">
    <w:name w:val="Block Text"/>
    <w:basedOn w:val="Normal"/>
    <w:rsid w:val="004760E2"/>
    <w:pPr>
      <w:spacing w:after="240"/>
      <w:ind w:left="1440" w:right="1440"/>
    </w:pPr>
  </w:style>
  <w:style w:type="paragraph" w:customStyle="1" w:styleId="Paratitle">
    <w:name w:val="Para title"/>
    <w:basedOn w:val="Normal"/>
    <w:rsid w:val="004760E2"/>
    <w:pPr>
      <w:tabs>
        <w:tab w:val="center" w:pos="9270"/>
      </w:tabs>
      <w:spacing w:after="240"/>
    </w:pPr>
    <w:rPr>
      <w:spacing w:val="-2"/>
    </w:rPr>
  </w:style>
  <w:style w:type="paragraph" w:customStyle="1" w:styleId="Bullet">
    <w:name w:val="Bullet"/>
    <w:basedOn w:val="Normal"/>
    <w:rsid w:val="004760E2"/>
    <w:pPr>
      <w:tabs>
        <w:tab w:val="left" w:pos="2160"/>
      </w:tabs>
      <w:spacing w:after="220"/>
      <w:ind w:left="2160" w:hanging="720"/>
    </w:pPr>
  </w:style>
  <w:style w:type="paragraph" w:customStyle="1" w:styleId="TableFormat">
    <w:name w:val="TableFormat"/>
    <w:basedOn w:val="Bullet"/>
    <w:rsid w:val="004760E2"/>
    <w:pPr>
      <w:tabs>
        <w:tab w:val="clear" w:pos="2160"/>
        <w:tab w:val="left" w:pos="5040"/>
      </w:tabs>
      <w:ind w:left="5040" w:hanging="3600"/>
    </w:pPr>
  </w:style>
  <w:style w:type="paragraph" w:customStyle="1" w:styleId="TOCTitle">
    <w:name w:val="TOC Title"/>
    <w:basedOn w:val="Normal"/>
    <w:rsid w:val="004760E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760E2"/>
    <w:pPr>
      <w:jc w:val="center"/>
    </w:pPr>
    <w:rPr>
      <w:rFonts w:ascii="Times New Roman Bold" w:hAnsi="Times New Roman Bold"/>
      <w:b/>
      <w:bCs/>
      <w:caps/>
      <w:szCs w:val="22"/>
    </w:rPr>
  </w:style>
  <w:style w:type="character" w:styleId="Hyperlink">
    <w:name w:val="Hyperlink"/>
    <w:rsid w:val="004760E2"/>
    <w:rPr>
      <w:color w:val="0000FF"/>
      <w:u w:val="single"/>
    </w:rPr>
  </w:style>
  <w:style w:type="character" w:customStyle="1" w:styleId="FooterChar">
    <w:name w:val="Footer Char"/>
    <w:link w:val="Footer"/>
    <w:uiPriority w:val="99"/>
    <w:rsid w:val="004760E2"/>
    <w:rPr>
      <w:snapToGrid w:val="0"/>
      <w:kern w:val="28"/>
      <w:sz w:val="22"/>
    </w:rPr>
  </w:style>
  <w:style w:type="paragraph" w:styleId="BalloonText">
    <w:name w:val="Balloon Text"/>
    <w:basedOn w:val="Normal"/>
    <w:link w:val="BalloonTextChar"/>
    <w:rsid w:val="001D2C4E"/>
    <w:rPr>
      <w:rFonts w:ascii="Segoe UI" w:hAnsi="Segoe UI" w:cs="Segoe UI"/>
      <w:sz w:val="18"/>
      <w:szCs w:val="18"/>
    </w:rPr>
  </w:style>
  <w:style w:type="character" w:customStyle="1" w:styleId="BalloonTextChar">
    <w:name w:val="Balloon Text Char"/>
    <w:basedOn w:val="DefaultParagraphFont"/>
    <w:link w:val="BalloonText"/>
    <w:rsid w:val="001D2C4E"/>
    <w:rPr>
      <w:rFonts w:ascii="Segoe UI" w:hAnsi="Segoe UI" w:cs="Segoe UI"/>
      <w:snapToGrid w:val="0"/>
      <w:kern w:val="28"/>
      <w:sz w:val="18"/>
      <w:szCs w:val="18"/>
    </w:rPr>
  </w:style>
  <w:style w:type="character" w:styleId="CommentReference">
    <w:name w:val="annotation reference"/>
    <w:basedOn w:val="DefaultParagraphFont"/>
    <w:rsid w:val="00636EFD"/>
    <w:rPr>
      <w:sz w:val="16"/>
      <w:szCs w:val="16"/>
    </w:rPr>
  </w:style>
  <w:style w:type="paragraph" w:styleId="CommentText">
    <w:name w:val="annotation text"/>
    <w:basedOn w:val="Normal"/>
    <w:link w:val="CommentTextChar"/>
    <w:rsid w:val="00636EFD"/>
    <w:rPr>
      <w:sz w:val="20"/>
    </w:rPr>
  </w:style>
  <w:style w:type="character" w:customStyle="1" w:styleId="CommentTextChar">
    <w:name w:val="Comment Text Char"/>
    <w:basedOn w:val="DefaultParagraphFont"/>
    <w:link w:val="CommentText"/>
    <w:rsid w:val="00636EFD"/>
    <w:rPr>
      <w:snapToGrid w:val="0"/>
      <w:kern w:val="28"/>
    </w:rPr>
  </w:style>
  <w:style w:type="paragraph" w:styleId="CommentSubject">
    <w:name w:val="annotation subject"/>
    <w:basedOn w:val="CommentText"/>
    <w:next w:val="CommentText"/>
    <w:link w:val="CommentSubjectChar"/>
    <w:rsid w:val="00636EFD"/>
    <w:rPr>
      <w:b/>
      <w:bCs/>
    </w:rPr>
  </w:style>
  <w:style w:type="character" w:customStyle="1" w:styleId="CommentSubjectChar">
    <w:name w:val="Comment Subject Char"/>
    <w:basedOn w:val="CommentTextChar"/>
    <w:link w:val="CommentSubject"/>
    <w:rsid w:val="00636EFD"/>
    <w:rPr>
      <w:b/>
      <w:bCs/>
      <w:snapToGrid w:val="0"/>
      <w:kern w:val="28"/>
    </w:rPr>
  </w:style>
  <w:style w:type="character" w:styleId="Emphasis">
    <w:name w:val="Emphasis"/>
    <w:basedOn w:val="DefaultParagraphFont"/>
    <w:uiPriority w:val="20"/>
    <w:qFormat/>
    <w:rsid w:val="00E25E8F"/>
    <w:rPr>
      <w:i/>
      <w:iCs/>
    </w:rPr>
  </w:style>
  <w:style w:type="character" w:customStyle="1" w:styleId="cosearchterm">
    <w:name w:val="co_searchterm"/>
    <w:basedOn w:val="DefaultParagraphFont"/>
    <w:rsid w:val="00E25E8F"/>
  </w:style>
  <w:style w:type="paragraph" w:styleId="Revision">
    <w:name w:val="Revision"/>
    <w:hidden/>
    <w:uiPriority w:val="99"/>
    <w:semiHidden/>
    <w:rsid w:val="00040C4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